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60EA2" w14:textId="4EB22597" w:rsidR="00C578AE" w:rsidRPr="007E6972" w:rsidRDefault="00140F12" w:rsidP="00140F12">
      <w:pPr>
        <w:pStyle w:val="Pagedecouverture"/>
        <w:rPr>
          <w:noProof/>
        </w:rPr>
      </w:pPr>
      <w:r>
        <w:rPr>
          <w:noProof/>
        </w:rPr>
        <w:pict w14:anchorId="202C8F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3F0EFCB-4679-40DF-8494-AE5B907B065A" style="width:455.25pt;height:342.75pt">
            <v:imagedata r:id="rId8" o:title=""/>
          </v:shape>
        </w:pict>
      </w:r>
    </w:p>
    <w:p w14:paraId="411C459A" w14:textId="77777777" w:rsidR="00C578AE" w:rsidRPr="007E6972" w:rsidRDefault="00C578AE" w:rsidP="00C578AE">
      <w:pPr>
        <w:rPr>
          <w:noProof/>
        </w:rPr>
        <w:sectPr w:rsidR="00C578AE" w:rsidRPr="007E6972" w:rsidSect="00140F12">
          <w:footerReference w:type="even" r:id="rId9"/>
          <w:footerReference w:type="default" r:id="rId10"/>
          <w:pgSz w:w="11907" w:h="16839"/>
          <w:pgMar w:top="1134" w:right="1417" w:bottom="1134" w:left="1417" w:header="709" w:footer="709" w:gutter="0"/>
          <w:pgNumType w:start="0"/>
          <w:cols w:space="720"/>
          <w:docGrid w:linePitch="360"/>
        </w:sectPr>
      </w:pPr>
    </w:p>
    <w:p w14:paraId="74A6FC62" w14:textId="77777777" w:rsidR="005D782C" w:rsidRPr="007E6972" w:rsidRDefault="005D782C" w:rsidP="009511E1">
      <w:pPr>
        <w:pStyle w:val="Exposdesmotifstitre"/>
        <w:rPr>
          <w:noProof/>
          <w:color w:val="FF0000"/>
        </w:rPr>
      </w:pPr>
      <w:bookmarkStart w:id="0" w:name="_GoBack"/>
      <w:bookmarkEnd w:id="0"/>
    </w:p>
    <w:p w14:paraId="452D3AD4" w14:textId="77777777" w:rsidR="008A58AF" w:rsidRPr="007E6972" w:rsidRDefault="00C578AE">
      <w:pPr>
        <w:pStyle w:val="ManualHeading1"/>
        <w:rPr>
          <w:noProof/>
        </w:rPr>
      </w:pPr>
      <w:r w:rsidRPr="007E6972">
        <w:rPr>
          <w:noProof/>
        </w:rPr>
        <w:t>1.</w:t>
      </w:r>
      <w:r w:rsidRPr="007E6972">
        <w:rPr>
          <w:noProof/>
        </w:rPr>
        <w:tab/>
        <w:t>KONTEXT NÁVRHU</w:t>
      </w:r>
    </w:p>
    <w:p w14:paraId="7336C156" w14:textId="77777777" w:rsidR="00C578AE" w:rsidRPr="007E6972" w:rsidRDefault="00C578AE">
      <w:pPr>
        <w:pStyle w:val="ManualHeading2"/>
        <w:rPr>
          <w:rFonts w:eastAsia="Arial Unicode MS"/>
          <w:noProof/>
        </w:rPr>
      </w:pPr>
      <w:r w:rsidRPr="007E6972">
        <w:rPr>
          <w:noProof/>
          <w:color w:val="000000"/>
          <w:u w:color="000000"/>
          <w:bdr w:val="nil"/>
        </w:rPr>
        <w:t>•</w:t>
      </w:r>
      <w:r w:rsidRPr="007E6972">
        <w:rPr>
          <w:noProof/>
        </w:rPr>
        <w:tab/>
        <w:t>Dôvody a ciele návrhu</w:t>
      </w:r>
    </w:p>
    <w:p w14:paraId="16A3F6C8" w14:textId="77777777" w:rsidR="00EE62F1" w:rsidRPr="007E6972" w:rsidRDefault="008F4F37" w:rsidP="008A4180">
      <w:pPr>
        <w:pStyle w:val="Text1"/>
        <w:ind w:left="0"/>
        <w:rPr>
          <w:noProof/>
        </w:rPr>
      </w:pPr>
      <w:r w:rsidRPr="007E6972">
        <w:rPr>
          <w:noProof/>
        </w:rPr>
        <w:t xml:space="preserve">Predsedníčka Komisie Ursula von der Leyenová vo svojom prejave o stave Únie z 10. septembra 2025 </w:t>
      </w:r>
      <w:r w:rsidRPr="007E6972">
        <w:rPr>
          <w:b/>
          <w:noProof/>
        </w:rPr>
        <w:t>postavila do centra pozornosti bývanie a chudobu</w:t>
      </w:r>
      <w:r w:rsidRPr="007E6972">
        <w:rPr>
          <w:noProof/>
        </w:rPr>
        <w:t>, pričom sa zaviazala vypracovať „</w:t>
      </w:r>
      <w:r w:rsidRPr="007E6972">
        <w:rPr>
          <w:b/>
          <w:noProof/>
        </w:rPr>
        <w:t>plán, ako pomôcť odstrániť chudobu do roku 2050</w:t>
      </w:r>
      <w:r w:rsidRPr="007E6972">
        <w:rPr>
          <w:noProof/>
        </w:rPr>
        <w:t xml:space="preserve">“ pomocou ambicióznej </w:t>
      </w:r>
      <w:r w:rsidRPr="007E6972">
        <w:rPr>
          <w:b/>
          <w:noProof/>
        </w:rPr>
        <w:t>európskej stratégie v oblasti boja proti chudobe</w:t>
      </w:r>
      <w:r w:rsidRPr="007E6972">
        <w:rPr>
          <w:noProof/>
        </w:rPr>
        <w:t>, a predložiť vôbec prvý </w:t>
      </w:r>
      <w:r w:rsidRPr="007E6972">
        <w:rPr>
          <w:b/>
          <w:noProof/>
        </w:rPr>
        <w:t>Európsky plán pre cenovo dostupné bývanie</w:t>
      </w:r>
      <w:r w:rsidRPr="007E6972">
        <w:rPr>
          <w:noProof/>
        </w:rPr>
        <w:t>. Predsedníčka zdôraznila, že „</w:t>
      </w:r>
      <w:hyperlink r:id="rId11" w:history="1">
        <w:r w:rsidRPr="007E6972">
          <w:rPr>
            <w:rStyle w:val="Hyperlink"/>
            <w:noProof/>
          </w:rPr>
          <w:t>vďaka Európskemu pilieru sociálnych práv sa bývanie stalo v Európe právom</w:t>
        </w:r>
      </w:hyperlink>
      <w:r w:rsidRPr="007E6972">
        <w:rPr>
          <w:noProof/>
        </w:rPr>
        <w:t xml:space="preserve">“, a vyhlásila, že je čas, aby sa tento sľub premenil na skutočnosť. Krízu bývania charakterizovala ako sociálnu výzvu a otázku dôstojnosti a vyslovila sa za radikálnu zmenu spôsobu, akým tento problém riešime. </w:t>
      </w:r>
    </w:p>
    <w:p w14:paraId="2B3F17EC" w14:textId="083A1BCC" w:rsidR="00AE4B7F" w:rsidRPr="007E6972" w:rsidRDefault="00AE4B7F" w:rsidP="00AE4B7F">
      <w:pPr>
        <w:pStyle w:val="Text1"/>
        <w:ind w:left="0"/>
        <w:rPr>
          <w:noProof/>
        </w:rPr>
      </w:pPr>
      <w:r w:rsidRPr="007E6972">
        <w:rPr>
          <w:b/>
          <w:noProof/>
        </w:rPr>
        <w:t>Zásadou 19 Európskeho piliera sociálnych práv</w:t>
      </w:r>
      <w:r w:rsidRPr="007E6972">
        <w:rPr>
          <w:noProof/>
        </w:rPr>
        <w:t xml:space="preserve"> sa zakotvuje právo na bývanie a pomoc pre ľudí bez domova. Vyzýva sa v nej k tomu, aby sa ľuďom v núdzi poskytoval prístup ku kvalitnému sociálnemu bývaniu alebo ku kvalitnej pomoci pri bývaní, a zdôrazňuje sa, že zraniteľné osoby majú právo na primeranú pomoc a ochranu proti nútenému vysťahovaniu. Zároveň sa v nej zdôrazňuje, že ľuďom bez domova treba poskytnúť primerané prístrešie a služby, aby sa podporilo ich sociálne začlenenie. </w:t>
      </w:r>
    </w:p>
    <w:p w14:paraId="2E85743B" w14:textId="77777777" w:rsidR="004A59B3" w:rsidRPr="007E6972" w:rsidRDefault="004A59B3" w:rsidP="004A59B3">
      <w:pPr>
        <w:pStyle w:val="Text1"/>
        <w:ind w:left="0"/>
        <w:rPr>
          <w:bCs/>
          <w:noProof/>
        </w:rPr>
      </w:pPr>
      <w:r w:rsidRPr="007E6972">
        <w:rPr>
          <w:noProof/>
        </w:rPr>
        <w:t>V </w:t>
      </w:r>
      <w:r w:rsidRPr="007E6972">
        <w:rPr>
          <w:b/>
          <w:noProof/>
        </w:rPr>
        <w:t xml:space="preserve">Charte základných práv Európskej únie </w:t>
      </w:r>
      <w:r w:rsidRPr="007E6972">
        <w:rPr>
          <w:noProof/>
        </w:rPr>
        <w:t xml:space="preserve">sa poukazuje na to, že Únia s cieľom bojovať proti sociálnemu vylúčeniu a chudobe uznáva a rešpektuje právo na sociálnu pomoc a pomoc pri bývaní. Cieľom je zabezpečiť dôstojnú existenciu všetkých osôb, ktoré nemajú dostatok prostriedkov, v súlade s právom Únie a vnútroštátnymi právnymi predpismi a praxou. </w:t>
      </w:r>
    </w:p>
    <w:p w14:paraId="50C8B773" w14:textId="77777777" w:rsidR="004A59B3" w:rsidRPr="007E6972" w:rsidRDefault="004A59B3" w:rsidP="004A59B3">
      <w:pPr>
        <w:pStyle w:val="Text1"/>
        <w:ind w:left="0"/>
        <w:rPr>
          <w:bCs/>
          <w:noProof/>
        </w:rPr>
      </w:pPr>
      <w:r w:rsidRPr="007E6972">
        <w:rPr>
          <w:noProof/>
        </w:rPr>
        <w:t xml:space="preserve">V revidovanej </w:t>
      </w:r>
      <w:r w:rsidRPr="007E6972">
        <w:rPr>
          <w:b/>
          <w:noProof/>
        </w:rPr>
        <w:t>Európskej sociálnej charte</w:t>
      </w:r>
      <w:r w:rsidRPr="007E6972">
        <w:rPr>
          <w:noProof/>
        </w:rPr>
        <w:t xml:space="preserve"> sa uznáva právo každého človeka na prístup k bývaniu na primeranej úrovni a na predchádzanie bezdomovectvu a jeho zníženie s cieľom jeho postupného odstránenia. </w:t>
      </w:r>
    </w:p>
    <w:p w14:paraId="3F32A393" w14:textId="77777777" w:rsidR="00797766" w:rsidRPr="007E6972" w:rsidRDefault="00797766" w:rsidP="00797766">
      <w:pPr>
        <w:pStyle w:val="Text1"/>
        <w:ind w:left="0"/>
        <w:rPr>
          <w:noProof/>
        </w:rPr>
      </w:pPr>
      <w:r w:rsidRPr="007E6972">
        <w:rPr>
          <w:noProof/>
        </w:rPr>
        <w:t>Vzhľadom na dôležitosť týchto práv a potrebu ich účinného uplatňovania sa v </w:t>
      </w:r>
      <w:r w:rsidRPr="007E6972">
        <w:rPr>
          <w:b/>
          <w:noProof/>
        </w:rPr>
        <w:t>Lisabonskej deklarácii o európskej platforme na boj proti bezdomovectvu</w:t>
      </w:r>
      <w:r w:rsidRPr="007E6972">
        <w:rPr>
          <w:noProof/>
        </w:rPr>
        <w:t>, ktorú v júni 2021 podpísali členské štáty, inštitúcie a poradné orgány EÚ, sociálni partneri a príslušné MVO, vyjadruje záväzok usilovať sa o ukončenie bezdomovectva do roku 2030, aby i) nikto neprespával na ulici z dôvodu nedostatku dostupného, bezpečného a vhodného núdzového ubytovania; ii) nikto nežil v núdzovom alebo prechodnom ubytovaní dlhšie, než je to nevyhnutné na úspešný prechod na trvalé bývanie; iii) nikoho neprepustili zo žiadneho zariadenia (napr. väzenia, nemocnice, zariadenia starostlivosti) bez ponuky vhodného ubytovania; iv) pokiaľ to je možné, sa zabránilo nútenému vysťahovaniu a nikto nebol vysťahovaný bez toho, aby mu bola v prípade potreby poskytnutá pomoc pri hľadaní vhodného bývania; v) nikto nebol diskriminovaný z dôvodu bezdomovectva.</w:t>
      </w:r>
    </w:p>
    <w:p w14:paraId="14BA0E5B" w14:textId="77777777" w:rsidR="00797766" w:rsidRPr="007E6972" w:rsidRDefault="005A1EE8" w:rsidP="00797766">
      <w:pPr>
        <w:pStyle w:val="Text1"/>
        <w:ind w:left="0"/>
        <w:rPr>
          <w:noProof/>
        </w:rPr>
      </w:pPr>
      <w:r w:rsidRPr="007E6972">
        <w:rPr>
          <w:b/>
          <w:noProof/>
        </w:rPr>
        <w:t>Celkovým cieľom tohto návrhu</w:t>
      </w:r>
      <w:r w:rsidRPr="007E6972">
        <w:rPr>
          <w:noProof/>
        </w:rPr>
        <w:t xml:space="preserve"> je podporiť politické úsilie o účinné vykonávanie uvedených usmernení v oblasti prístupu k bývaniu a pomoci pri bývaní. </w:t>
      </w:r>
    </w:p>
    <w:p w14:paraId="40C56544" w14:textId="77777777" w:rsidR="004061B5" w:rsidRPr="007E6972" w:rsidRDefault="003B6E95" w:rsidP="004061B5">
      <w:pPr>
        <w:pBdr>
          <w:top w:val="nil"/>
          <w:left w:val="nil"/>
          <w:bottom w:val="nil"/>
          <w:right w:val="nil"/>
          <w:between w:val="nil"/>
          <w:bar w:val="nil"/>
        </w:pBdr>
        <w:spacing w:before="0" w:after="240"/>
        <w:rPr>
          <w:noProof/>
        </w:rPr>
      </w:pPr>
      <w:r w:rsidRPr="007E6972">
        <w:rPr>
          <w:b/>
          <w:noProof/>
        </w:rPr>
        <w:t>Európsky plán pre cenovo dostupné bývanie</w:t>
      </w:r>
      <w:r w:rsidRPr="007E6972">
        <w:rPr>
          <w:noProof/>
        </w:rPr>
        <w:t xml:space="preserve">, prvý rámec na úrovni EÚ zameraný na riešenie krízy bývania, je postavený na štyroch pilieroch, v rámci ktorých treba konať, vrátane poskytovania podpory osobám, ktoré čelia vylúčeniu z bývania a bezdomovectvu. Navrhuje sa v ňom odporúčanie Rady s cieľom podporiť zraniteľné osoby v neistej bytovej situácii a predchádzať bezdomovectvu a riešiť ho, a to prostredníctvom integrovaných politík zameraných na človeka a na bývanie. </w:t>
      </w:r>
    </w:p>
    <w:p w14:paraId="6FCAC1FC" w14:textId="77777777" w:rsidR="00533100" w:rsidRPr="007E6972" w:rsidRDefault="005F4A72" w:rsidP="00FA27F5">
      <w:pPr>
        <w:rPr>
          <w:rFonts w:eastAsia="Arial Unicode MS"/>
          <w:noProof/>
        </w:rPr>
      </w:pPr>
      <w:r w:rsidRPr="007E6972">
        <w:rPr>
          <w:b/>
          <w:noProof/>
        </w:rPr>
        <w:t xml:space="preserve">Cieľom vôbec prvej stratégie EÚ v oblasti boja proti chudobe </w:t>
      </w:r>
      <w:r w:rsidRPr="007E6972">
        <w:rPr>
          <w:noProof/>
        </w:rPr>
        <w:t xml:space="preserve">oznámenej v politických usmerneniach na roky 2024 – 2029 je </w:t>
      </w:r>
      <w:r w:rsidRPr="007E6972">
        <w:rPr>
          <w:b/>
          <w:noProof/>
        </w:rPr>
        <w:t xml:space="preserve">pomôcť do roku 2050 odstrániť chudobu </w:t>
      </w:r>
      <w:r w:rsidRPr="007E6972">
        <w:rPr>
          <w:noProof/>
        </w:rPr>
        <w:t xml:space="preserve">so </w:t>
      </w:r>
      <w:r w:rsidRPr="007E6972">
        <w:rPr>
          <w:noProof/>
        </w:rPr>
        <w:lastRenderedPageBreak/>
        <w:t xml:space="preserve">zameraním na poskytovanie podpory členským štátom, aby poskytli „pomoc ľuďom pri získavaní prístupu k základnej ochrane a službám, ktoré potrebujú, spolu s riešením základných príčin chudoby“. Tento návrh odporúčania Rady sa prijíma spolu so </w:t>
      </w:r>
      <w:r w:rsidRPr="007E6972">
        <w:rPr>
          <w:b/>
          <w:noProof/>
        </w:rPr>
        <w:t>stratégiou EÚ v oblasti boja proti chudobe</w:t>
      </w:r>
      <w:r w:rsidRPr="007E6972">
        <w:rPr>
          <w:noProof/>
        </w:rPr>
        <w:t xml:space="preserve"> a je neoddeliteľnou súčasťou úsilia Komisie o predchádzanie chudobe a boj proti nej. Súčasťou stratégie EÚ v oblasti boja proti chudobe je aj posilnená Európska záruka pre deti, ktorou sa riešia nedostatky v boji proti chudobe detí a ktorou sa deťom v núdzi zabezpečuje prístup k základným službám – vrátane vyhovujúceho bývania – na podporu ich rozvoja.</w:t>
      </w:r>
    </w:p>
    <w:p w14:paraId="5080CA0C" w14:textId="77777777" w:rsidR="00585711" w:rsidRPr="007E6972" w:rsidRDefault="008F4F37" w:rsidP="0042488C">
      <w:pPr>
        <w:pStyle w:val="Text1"/>
        <w:ind w:left="0"/>
        <w:rPr>
          <w:noProof/>
        </w:rPr>
      </w:pPr>
      <w:r w:rsidRPr="007E6972">
        <w:rPr>
          <w:noProof/>
        </w:rPr>
        <w:t xml:space="preserve">S cieľom </w:t>
      </w:r>
      <w:r w:rsidRPr="007E6972">
        <w:rPr>
          <w:b/>
          <w:noProof/>
        </w:rPr>
        <w:t>predchádzať</w:t>
      </w:r>
      <w:r w:rsidRPr="007E6972">
        <w:rPr>
          <w:noProof/>
        </w:rPr>
        <w:t xml:space="preserve"> </w:t>
      </w:r>
      <w:r w:rsidRPr="007E6972">
        <w:rPr>
          <w:b/>
          <w:noProof/>
        </w:rPr>
        <w:t>vylúčeniu z bývania a bezdomovectvu a bojovať proti nim</w:t>
      </w:r>
      <w:r w:rsidRPr="007E6972">
        <w:rPr>
          <w:noProof/>
        </w:rPr>
        <w:t xml:space="preserve"> bude tento návrh odporúčania Rady slúžiť ako nástroj na </w:t>
      </w:r>
      <w:r w:rsidRPr="007E6972">
        <w:rPr>
          <w:b/>
          <w:noProof/>
        </w:rPr>
        <w:t xml:space="preserve">podporu členských štátov, regiónov a miest </w:t>
      </w:r>
      <w:r w:rsidRPr="007E6972">
        <w:rPr>
          <w:noProof/>
        </w:rPr>
        <w:t>pri preskúmavaní, navrhovaní a vykonávaní komplexných a integrovaných strategických politických rámcov zameraných na človeka a na bývanie, ktorých cieľom je predchádzať vylúčeniu z bývania a bezdomovectvu a znižovať ich, a to tak v mestských, ako aj vo vidieckych oblastiach. Vidiecke a vzdialené oblasti čelia špecifickým výzvam, pokiaľ ide o prístup k cenovo dostupnému bývaniu, vrátane nízkej hodnoty nehnuteľností, čím sa môže znížiť motivácia na údržbu a investície a môže to viesť k neobsadenosti, degradácii a opúšťaniu bytového fondu. Bývanie na vidieku okrem toho často predstavuje bývanie v starších a energeticky menej efektívnych domoch, čo zvyšuje potrebu obnovy, náklady obyvateľov a prispieva to k energetickej chudobe. Hoci niektoré členské štáty nedávno vytvorili alebo posilnili svoje strategické politické rámce, existujú značné rozdiely v metodikách, štruktúrach riadenia a vo výsledkoch, čo zdôrazňuje potrebu usmernení, pokiaľ ide o overené politické opatrenia založené na dôkazoch. Cieľom politiky je podporovať zraniteľné osoby, ktoré sa nachádzajú v neistej bytovej situácii alebo ktorým takáto situácia hrozí, a predchádzať bezdomovectvu a riešiť ho</w:t>
      </w:r>
      <w:r w:rsidRPr="007E6972">
        <w:rPr>
          <w:b/>
          <w:noProof/>
        </w:rPr>
        <w:t>.</w:t>
      </w:r>
      <w:r w:rsidRPr="007E6972">
        <w:rPr>
          <w:noProof/>
        </w:rPr>
        <w:t xml:space="preserve"> </w:t>
      </w:r>
    </w:p>
    <w:p w14:paraId="77D3FE9B" w14:textId="77777777" w:rsidR="00CB5EEE" w:rsidRPr="007E6972" w:rsidRDefault="00327BDF" w:rsidP="002233E1">
      <w:pPr>
        <w:rPr>
          <w:noProof/>
        </w:rPr>
      </w:pPr>
      <w:r w:rsidRPr="007E6972">
        <w:rPr>
          <w:b/>
          <w:noProof/>
        </w:rPr>
        <w:t xml:space="preserve">Vylúčenie z bývania </w:t>
      </w:r>
      <w:r w:rsidRPr="007E6972">
        <w:rPr>
          <w:noProof/>
        </w:rPr>
        <w:t>označuje neschopnosť jednotlivca alebo domácnosti získať alebo udržať si dôstojné, stabilné bývanie, ktoré spĺňa základné normy kvality a požiadavku právnej istoty</w:t>
      </w:r>
      <w:r w:rsidRPr="007E6972">
        <w:rPr>
          <w:rStyle w:val="FootnoteReference"/>
          <w:noProof/>
        </w:rPr>
        <w:footnoteReference w:id="1"/>
      </w:r>
      <w:r w:rsidRPr="007E6972">
        <w:rPr>
          <w:noProof/>
        </w:rPr>
        <w:t xml:space="preserve"> a je cenovo dostupné. Bezdomovectvo je jeho najviditeľnejšou a najextrémnejšou formou a zahŕňa ľudí, ktorí prespávajú na ulici, ako aj v núdzovom a dočasnom ubytovaní. Vylúčenie z bývania je však širšie a zahŕňa aj tých, ktorí majú strechu nad hlavou, ale žijú v nevyhovujúcich a/alebo neistých podmienkach. K neistému bývaniu dochádza vtedy, keď jednotlivci čelia hrozbe svojvoľného alebo núteného vysťahovania, domáceho násilia alebo majú nestabilné nájomné zmluvy. Nevyhovujúce bývanie znamená bývanie, keď jednotlivci obývajú obydlia na nevyhovujúcej úrovni, v ktorých chýba základné vybavenie, či už z dôvodu vážneho havarijného stavu, extrémnej preplnenosti alebo neprispôsobenia pre ľudí s dodatočnými potrebami, ako sú starší ľudia alebo osoby so zdravotným postihnutím alebo s potrebou dlhodobej starostlivosti. Ďalšou formou vylúčenia z bývania môže byť nedostupnosť ubytovania pre študentov, čo môže viesť k zanechaniu ďalšieho štúdia.</w:t>
      </w:r>
    </w:p>
    <w:p w14:paraId="1ADB6EC1" w14:textId="77777777" w:rsidR="003C2783" w:rsidRPr="007E6972" w:rsidRDefault="008F4F37" w:rsidP="008F4F37">
      <w:pPr>
        <w:rPr>
          <w:noProof/>
        </w:rPr>
      </w:pPr>
      <w:r w:rsidRPr="007E6972">
        <w:rPr>
          <w:b/>
          <w:noProof/>
        </w:rPr>
        <w:t>Bezdomovectvo je najzávažnejším prejavom chudoby a sociálnej marginalizácie</w:t>
      </w:r>
      <w:r w:rsidRPr="007E6972">
        <w:rPr>
          <w:noProof/>
        </w:rPr>
        <w:t xml:space="preserve">, ktorý prispieva k výraznému znižovaniu strednej dĺžky života, zhoršovaniu zdravia, znižovaniu blahobytu a účasti na spoločenskom a demokratickom živote a pracovnom trhu, ako aj možnosti prístupu k základným hospodárskym a sociálnym službám. Ide o komplexnú, vyvíjajúcu sa sociálnu výzvu, ktorá je podmienená štrukturálnymi faktormi, ako je chudoba, nezamestnanosť, život v marginalizovaných oblastiach, obmedzená dostupnosť sociálneho a cenovo dostupného bývania a nedostatočné poskytovanie sociálneho zabezpečenia. Osobné okolnosti, ako je závislosť, zlé duševné alebo fyzické zdravie, rozpad rodiny alebo domáce </w:t>
      </w:r>
      <w:r w:rsidRPr="007E6972">
        <w:rPr>
          <w:noProof/>
        </w:rPr>
        <w:lastRenderedPageBreak/>
        <w:t>násilie, môžu zvýšiť zraniteľnosť alebo môžu pôsobiť ako spúšťače. Hoci najviditeľnejšou formou bezdomovectva je spanie na ulici (</w:t>
      </w:r>
      <w:r w:rsidRPr="007E6972">
        <w:rPr>
          <w:b/>
          <w:noProof/>
        </w:rPr>
        <w:t>bez prístrešia</w:t>
      </w:r>
      <w:r w:rsidRPr="007E6972">
        <w:rPr>
          <w:noProof/>
        </w:rPr>
        <w:t xml:space="preserve">), existujú aj menej zjavné formy – najmä </w:t>
      </w:r>
      <w:r w:rsidRPr="007E6972">
        <w:rPr>
          <w:b/>
          <w:noProof/>
        </w:rPr>
        <w:t>stav bez bývania</w:t>
      </w:r>
      <w:r w:rsidRPr="007E6972">
        <w:rPr>
          <w:noProof/>
        </w:rPr>
        <w:t xml:space="preserve"> –, keď jednotlivci žijú v núdzovom alebo dočasnom ubytovaní</w:t>
      </w:r>
      <w:r w:rsidRPr="007E6972">
        <w:rPr>
          <w:rStyle w:val="FootnoteReference"/>
          <w:noProof/>
        </w:rPr>
        <w:footnoteReference w:id="2"/>
      </w:r>
      <w:r w:rsidRPr="007E6972">
        <w:rPr>
          <w:noProof/>
        </w:rPr>
        <w:t xml:space="preserve">. </w:t>
      </w:r>
    </w:p>
    <w:p w14:paraId="6F34B20F" w14:textId="77777777" w:rsidR="003F4066" w:rsidRPr="007E6972" w:rsidRDefault="000B69AA" w:rsidP="003F4066">
      <w:pPr>
        <w:rPr>
          <w:noProof/>
        </w:rPr>
      </w:pPr>
      <w:r w:rsidRPr="007E6972">
        <w:rPr>
          <w:noProof/>
        </w:rPr>
        <w:t xml:space="preserve">Rozdiely v právnom a štatistickom vymedzení bezdomovectva spolu s rozdielnymi druhmi monitorovania a metodikami v jednotlivých členských štátoch predstavujú výzvy pri získavaní konzistentných, spoľahlivých a porovnateľných údajov o bezdomovectve v celej EÚ. Z dostupných vnútroštátnych údajov vyplýva rastúci trend vo viacerých členských štátoch, pričom OECD odhaduje, že </w:t>
      </w:r>
      <w:r w:rsidRPr="007E6972">
        <w:rPr>
          <w:b/>
          <w:noProof/>
        </w:rPr>
        <w:t xml:space="preserve">približne jeden milión ľudí v EÚ zažíva bezdomovectvo. </w:t>
      </w:r>
      <w:r w:rsidRPr="007E6972">
        <w:rPr>
          <w:noProof/>
        </w:rPr>
        <w:t xml:space="preserve">Sociálno-demografické charakteristiky osôb, ktoré zažívajú vylúčenie z bývania alebo bezdomovectvo, sa líšia v závislosti od národných, regionálnych a miestnych podmienok. </w:t>
      </w:r>
      <w:r w:rsidRPr="007E6972">
        <w:rPr>
          <w:b/>
          <w:noProof/>
        </w:rPr>
        <w:t>OECD</w:t>
      </w:r>
      <w:r w:rsidRPr="007E6972">
        <w:rPr>
          <w:rStyle w:val="FootnoteReference"/>
          <w:noProof/>
        </w:rPr>
        <w:footnoteReference w:id="3"/>
      </w:r>
      <w:r w:rsidRPr="007E6972">
        <w:rPr>
          <w:noProof/>
        </w:rPr>
        <w:t xml:space="preserve"> napriek tomu poukazuje na to, že určité skupiny obyvateľstva sú neúmerne postihnuté bezdomovectvom, vrátane </w:t>
      </w:r>
      <w:r w:rsidRPr="007E6972">
        <w:rPr>
          <w:b/>
          <w:noProof/>
        </w:rPr>
        <w:t>mladých ľudí, rodín s deťmi, migrantov, starších dospelých a osôb so zdravotným postihnutím</w:t>
      </w:r>
      <w:r w:rsidRPr="007E6972">
        <w:rPr>
          <w:noProof/>
        </w:rPr>
        <w:t>.</w:t>
      </w:r>
    </w:p>
    <w:p w14:paraId="539FE262" w14:textId="77777777" w:rsidR="00604D02" w:rsidRPr="007E6972" w:rsidRDefault="003A7975" w:rsidP="008F4F37">
      <w:pPr>
        <w:rPr>
          <w:b/>
          <w:noProof/>
        </w:rPr>
      </w:pPr>
      <w:r w:rsidRPr="007E6972">
        <w:rPr>
          <w:noProof/>
        </w:rPr>
        <w:t xml:space="preserve">Podľa </w:t>
      </w:r>
      <w:r w:rsidRPr="007E6972">
        <w:rPr>
          <w:b/>
          <w:noProof/>
        </w:rPr>
        <w:t>modulu EU-SILC</w:t>
      </w:r>
      <w:r w:rsidRPr="007E6972">
        <w:rPr>
          <w:rStyle w:val="FootnoteReference"/>
          <w:b/>
          <w:bCs/>
          <w:noProof/>
        </w:rPr>
        <w:footnoteReference w:id="4"/>
      </w:r>
      <w:r w:rsidRPr="007E6972">
        <w:rPr>
          <w:b/>
          <w:noProof/>
        </w:rPr>
        <w:t xml:space="preserve"> z roku 2023 „Medzigeneračný prenos výhod a nevýhod a problémy s bývaním“</w:t>
      </w:r>
      <w:r w:rsidRPr="007E6972">
        <w:rPr>
          <w:rStyle w:val="FootnoteReference"/>
          <w:noProof/>
        </w:rPr>
        <w:footnoteReference w:id="5"/>
      </w:r>
      <w:r w:rsidRPr="007E6972">
        <w:rPr>
          <w:b/>
          <w:noProof/>
        </w:rPr>
        <w:t xml:space="preserve"> </w:t>
      </w:r>
      <w:r w:rsidRPr="007E6972">
        <w:rPr>
          <w:noProof/>
        </w:rPr>
        <w:t xml:space="preserve">približne 5 % dospelých osôb v EÚ uvádza, že v určitej fáze svojho života zažili problémy s bývaním vrátane spania na ulici, pobytu v núdzových prístreškoch, využívania netradičného bývania alebo dočasného ubytovania sa u rodiny a priateľov z dôvodu nedostatku alternatív. Podiel všetkých domácností ohrozených chudobou alebo sociálnym vylúčením, ktoré zažívajú problémy s bývaním, je viac ako dvojnásobný v porovnaní s tými, ktoré ohrozené nie sú (8,5 % oproti 3,9 %). Domácnosti so závislými deťmi (18,1 %) majú častejšie problémy s prenájmom bývania než domácnosti bez detí (10,2 %). Hlavnými príčinami problémov s bývaním sú rodinné a osobné problémy (30 %), finančné problémy (25,9 %), strata zamestnania alebo nemožnosť nájsť si zamestnanie (7,3 %), ukončenie nájomnej zmluvy (5,2 %) a vzťahové alebo rodinné problémy (14,1 %). Zdravotné problémy prispievajú k problémom s bývaním v 1,1 % prípadov. 26,5 % prekonalo problémy s bývaním tým, že si našli zamestnanie, 20,4 % tým, že sa presťahovali do sociálneho alebo dotovaného súkromného bývania, a 14,1 % prostredníctvom vzťahov alebo rodiny. </w:t>
      </w:r>
    </w:p>
    <w:p w14:paraId="37BCAA09" w14:textId="77777777" w:rsidR="00CB1B6A" w:rsidRPr="007E6972" w:rsidRDefault="001D4FFE" w:rsidP="008820B1">
      <w:pPr>
        <w:rPr>
          <w:noProof/>
        </w:rPr>
      </w:pPr>
      <w:r w:rsidRPr="007E6972">
        <w:rPr>
          <w:noProof/>
        </w:rPr>
        <w:t xml:space="preserve">Bezdomovectvo je takisto </w:t>
      </w:r>
      <w:r w:rsidRPr="007E6972">
        <w:rPr>
          <w:b/>
          <w:noProof/>
        </w:rPr>
        <w:t>významnou systémovou výzvou so značnými fiškálnymi a sociálnymi dôsledkami</w:t>
      </w:r>
      <w:r w:rsidRPr="007E6972">
        <w:rPr>
          <w:noProof/>
        </w:rPr>
        <w:t xml:space="preserve"> pre členské štáty. Postupy, pri ktorých sa uprednostňujú reaktívne opatrenia zamerané na krízu, ako je napríklad pohotovostná zdravotná starostlivosť, dočasné prístrešky a dohľad trestnej justície, vedú k cyklu vysoko nákladných služieb, ktorými sa neriešia základné príčiny bezdomovectva. Okrem bezprostredného vplyvu na štátne rozpočty sú tu aj širšie spoločenské náklady vrátane oslabenia ľudského potenciálu a súdržnosti komunity, keďže vylúčenie z bývania bráni hospodárskej angažovanosti a upevňuje cykly medzigeneračných nerovností. </w:t>
      </w:r>
    </w:p>
    <w:p w14:paraId="5BD3EC57" w14:textId="77777777" w:rsidR="00EB1FE2" w:rsidRPr="007E6972" w:rsidRDefault="008263D9" w:rsidP="00AB5546">
      <w:pPr>
        <w:rPr>
          <w:rFonts w:eastAsia="Calibri"/>
          <w:noProof/>
        </w:rPr>
      </w:pPr>
      <w:r w:rsidRPr="007E6972">
        <w:rPr>
          <w:b/>
          <w:noProof/>
        </w:rPr>
        <w:t>Na riešenie vylúčenia z bývania a bezdomovectva je preto potrebný strategický posun od núdzového riadenia k integrovaným politikám zameraným na človeka a na bývanie</w:t>
      </w:r>
      <w:r w:rsidRPr="007E6972">
        <w:rPr>
          <w:noProof/>
        </w:rPr>
        <w:t xml:space="preserve">. </w:t>
      </w:r>
      <w:bookmarkStart w:id="1" w:name="_Hlk220762610"/>
      <w:r w:rsidRPr="007E6972">
        <w:rPr>
          <w:b/>
          <w:noProof/>
        </w:rPr>
        <w:t>Politiky zamerané na človeka</w:t>
      </w:r>
      <w:r w:rsidRPr="007E6972">
        <w:rPr>
          <w:noProof/>
        </w:rPr>
        <w:t xml:space="preserve"> sa zacieľujú na riešenie osobitných výziev jednotlivcov </w:t>
      </w:r>
      <w:r w:rsidRPr="007E6972">
        <w:rPr>
          <w:noProof/>
        </w:rPr>
        <w:lastRenderedPageBreak/>
        <w:t xml:space="preserve">a domácností v neistej bytovej situácii, ktoré čelia vylúčeniu z bývania a bezdomovectvu alebo im to hrozí. </w:t>
      </w:r>
      <w:bookmarkEnd w:id="1"/>
      <w:r w:rsidRPr="007E6972">
        <w:rPr>
          <w:b/>
          <w:noProof/>
        </w:rPr>
        <w:t>Prístupmi zameranými na bývanie</w:t>
      </w:r>
      <w:r w:rsidRPr="007E6972">
        <w:rPr>
          <w:noProof/>
        </w:rPr>
        <w:t>, ako je napríklad prístup „bývanie na prvom mieste“, sa pomáha ľuďom v neistej bytovej situácii zostať v ubytovaní a ich cieľom je čo najrýchlejšie poskytnúť stabilné bývanie spolu s </w:t>
      </w:r>
      <w:r w:rsidRPr="007E6972">
        <w:rPr>
          <w:b/>
          <w:noProof/>
        </w:rPr>
        <w:t>integrovanými podpornými službami</w:t>
      </w:r>
      <w:r w:rsidRPr="007E6972">
        <w:rPr>
          <w:noProof/>
        </w:rPr>
        <w:t xml:space="preserve"> tým, ktorí sú vylúčení z bývania a konkrétnejšie bez domova. Z dôkazov vyplýva, že ide o najúčinnejšie a nákladovo najefektívnejšie politiky na riešenie bezdomovectva. </w:t>
      </w:r>
    </w:p>
    <w:p w14:paraId="6C1EB3F9" w14:textId="77777777" w:rsidR="00AB5546" w:rsidRPr="007E6972" w:rsidRDefault="006571EC" w:rsidP="00AB5546">
      <w:pPr>
        <w:rPr>
          <w:noProof/>
        </w:rPr>
      </w:pPr>
      <w:r w:rsidRPr="007E6972">
        <w:rPr>
          <w:noProof/>
        </w:rPr>
        <w:t xml:space="preserve">Prístupy zamerané na bývanie môže brzdiť nedostatok cenovo dostupného bývania. Hoci zvýšenie ponuky cenovo dostupného bývania je strednodobým a dlhodobým cieľom, zlepšenia v krátkodobom horizonte by sa mohli dosiahnuť cielenejším prideľovaním sociálneho a obecného bývania a poskytovaním podpory ľuďom bez domova pri prístupe k existujúcemu a neobsadenému bývaniu na trhu s nájomným bývaním prostredníctvom pomoci pri hľadaní bývania, záruk alebo dotácií na nájomné a finančnej podpory na zaplatenie nájomných kaucií, pričom by sa mali zabezpečiť aj primerané záruky a stimuly pre vlastníkov bývania/prenajímateľov. Zvýšenie ponuky cenovo dostupného bývania je výzvou, ktorá si vyžaduje zapojenie viacerých zainteresovaných strán v každej fáze procesu, počnúc návrhom konkrétnych opatrení v oblasti politiky bývania na zvýšenie ponuky sociálneho a cenovo dostupného bývania spôsobom, ktorým sa zároveň podporia súkromné investície. Poskytovanie bývania musí byť integrované so sociálnou podporou, s pomocou pri bývaní, so službami zdravotnej a dlhodobej starostlivosti, službami integrácie do trhu práce a s ďalšími základnými službami, aby sa riešili mnohostranné výzvy spojené s vylúčením z bývania a bezdomovectvom. </w:t>
      </w:r>
    </w:p>
    <w:p w14:paraId="70EB46A6" w14:textId="77777777" w:rsidR="002224A1" w:rsidRPr="007E6972" w:rsidRDefault="002224A1" w:rsidP="00ED7527">
      <w:pPr>
        <w:rPr>
          <w:noProof/>
        </w:rPr>
      </w:pPr>
      <w:r w:rsidRPr="007E6972">
        <w:rPr>
          <w:b/>
          <w:noProof/>
        </w:rPr>
        <w:t>Pre udržateľnosť bývania, dôstojnosť a pohodu jednotlivca je rozhodujúca kvalita</w:t>
      </w:r>
      <w:r w:rsidRPr="007E6972">
        <w:rPr>
          <w:noProof/>
        </w:rPr>
        <w:t xml:space="preserve">. Minimálne normy pre dôstojné bývanie zahŕňajú bezpečnostné podmienky na ochranu obyvateľov pred nebezpečenstvami, ako je zrútenie konštrukcie, požiar, nedostatočná sanitácia a environmentálne hrozby, ako aj prípadné úpravy prístupnosti. Bezpečnosť bývania si vyžaduje primerané základné služby (napr. elektrinu, kúrenie a tečúcu vodu) a ochranu pred poveternostnými vplyvmi, konštrukčnými problémami a inými nebezpečenstvami. Kvalitné bývanie zahŕňa aj dobrú energetickú hospodárnosť, aby sa zabránilo energetickej chudobe domácností, a dostatočnú obytnú plochu na osobu, aby sa zabránilo preplneniu. </w:t>
      </w:r>
    </w:p>
    <w:p w14:paraId="0D023D6D" w14:textId="77777777" w:rsidR="0B2BA4A7" w:rsidRPr="007E6972" w:rsidRDefault="7190567F" w:rsidP="00ED7527">
      <w:pPr>
        <w:rPr>
          <w:rFonts w:eastAsia="Calibri"/>
          <w:noProof/>
        </w:rPr>
      </w:pPr>
      <w:r w:rsidRPr="007E6972">
        <w:rPr>
          <w:b/>
          <w:noProof/>
        </w:rPr>
        <w:t xml:space="preserve">Strategické rámce na riešenie bezdomovectva </w:t>
      </w:r>
      <w:r w:rsidRPr="007E6972">
        <w:rPr>
          <w:noProof/>
        </w:rPr>
        <w:t>v súčasnosti existujú v 19 členských štátoch, a to buď na národnej, alebo na regionálnej úrovni. Pri týchto stratégiách sa uprednostňuje poskytovanie sociálneho a cenovo dostupného bývania a komplexnej podpory ľuďom bez domova a na to sa aj zameriavajú. Predchádzanie bezdomovectvu a prechod od núdzového a dočasného ubytovania k dlhodobým riešeniam v oblasti bývania vrátane tvorby alebo rozšírenia prístupov, ako je prístup „bývanie na prvom mieste“, ktoré sú jadrom politiky vo viacerých krajinách.</w:t>
      </w:r>
    </w:p>
    <w:p w14:paraId="29FB4076" w14:textId="77777777" w:rsidR="008F4F37" w:rsidRPr="007E6972" w:rsidRDefault="008F4F37" w:rsidP="00ED7527">
      <w:pPr>
        <w:rPr>
          <w:rFonts w:eastAsia="Calibri"/>
          <w:noProof/>
        </w:rPr>
      </w:pPr>
      <w:r w:rsidRPr="007E6972">
        <w:rPr>
          <w:b/>
          <w:noProof/>
        </w:rPr>
        <w:t>Pri účinných stratégiách na riešenie vylúčenia z bývania a bezdomovectva sa musí uprednostňovať prevencia</w:t>
      </w:r>
      <w:r w:rsidRPr="007E6972">
        <w:rPr>
          <w:noProof/>
        </w:rPr>
        <w:t>, na ktorú často nie sú dostatočné zdroje. Napriek tomu, že preventívne prístupy sú hospodárnejšie než reaktívne prístupy, často ich zatieňujú rýchle núdzové reakcie. Služby včasnej intervencie vrátane mediácie v prípade nedoplatkov za nájomné, poradenstva v oblasti dlhov na nájomnom alebo hypotékach, právnej podpory týkajúcej sa práv nájomcov a prenajímateľov, systémov včasného varovania a krátkodobej finančnej pomoci sa poskytujú nedôsledne a môžu byť ťažko dostupné. Zlepšenie týchto služieb, prispôsobená podpora pre jednotlivcov opúšťajúcich inštitúcie a primeraná finančná pomoc na zvýšenie poberania dávok sú kľúčové pre prerušenie cyklu, ktorý vedie k bezdomovectvu.</w:t>
      </w:r>
    </w:p>
    <w:p w14:paraId="26E4BBBF" w14:textId="77777777" w:rsidR="00BD7A63" w:rsidRPr="007E6972" w:rsidRDefault="007F6B16" w:rsidP="00BD7A63">
      <w:pPr>
        <w:rPr>
          <w:noProof/>
        </w:rPr>
      </w:pPr>
      <w:r w:rsidRPr="007E6972">
        <w:rPr>
          <w:noProof/>
        </w:rPr>
        <w:t xml:space="preserve">Preventívne opatrenia sa môžu týkať aj svojvoľného alebo núteného </w:t>
      </w:r>
      <w:r w:rsidRPr="007E6972">
        <w:rPr>
          <w:b/>
          <w:noProof/>
        </w:rPr>
        <w:t>vysťahovania</w:t>
      </w:r>
      <w:r w:rsidRPr="007E6972">
        <w:rPr>
          <w:noProof/>
        </w:rPr>
        <w:t xml:space="preserve">. Hoci je náročné získať komplexné, spoľahlivé a porovnateľné údaje o vysťahovaniach, napríklad </w:t>
      </w:r>
      <w:r w:rsidRPr="007E6972">
        <w:rPr>
          <w:noProof/>
        </w:rPr>
        <w:lastRenderedPageBreak/>
        <w:t>o počte oznamov o vysťahovaní, konaní alebo príkazov a o tom, či sa údaje týkajú všetkých vysťahovaní alebo len vysťahovaní vykonaných orgánmi presadzovania práva, OECD odhaduje, že v krajinách OECD sa ročne formálne začne 2,4 milióna konaní o vysťahovaní.</w:t>
      </w:r>
    </w:p>
    <w:p w14:paraId="0A1934E8" w14:textId="77777777" w:rsidR="008D3E29" w:rsidRPr="007E6972" w:rsidRDefault="005D5924" w:rsidP="00BD7A63">
      <w:pPr>
        <w:rPr>
          <w:rFonts w:eastAsia="Calibri"/>
          <w:noProof/>
        </w:rPr>
      </w:pPr>
      <w:r w:rsidRPr="007E6972">
        <w:rPr>
          <w:noProof/>
        </w:rPr>
        <w:t xml:space="preserve">Na zníženie rizika vysťahovania a bezdomovectva by sa mali vypracovať zmierňujúce opatrenia a mechanizmy spolupráce. V Európskom dohovore o ľudských právach a Európskej sociálnej charte sa vyžaduje, aby krajiny zabezpečili právnu ochranu osobám, ktorým hrozí vysťahovanie. Patria sem konzultácie s dotknutými stranami s cieľom nájsť alternatívne riešenia, stanovenie platobných plánov na zabezpečenie splácania nájomného a hypoték, návrh primeranej výpovednej lehoty, zákaz nočného alebo zimného vysťahovania, ak je to možné, poskytovanie právnych prostriedkov nápravy proti nezákonnému vysťahovaniu a pomoci, ako aj ponuka odškodnenia za nezákonné vysťahovanie. Ak dôjde k vysťahovaniu, musí sa pri ňom rešpektovať dôstojnosť a práva jednotlivcov a malo by byť sprevádzané náhradným ubytovaním. </w:t>
      </w:r>
    </w:p>
    <w:p w14:paraId="5C4B72A1" w14:textId="07691E17" w:rsidR="008F4F37" w:rsidRPr="007E6972" w:rsidRDefault="008F4F37" w:rsidP="00ED7527">
      <w:pPr>
        <w:rPr>
          <w:rFonts w:eastAsia="Calibri"/>
          <w:noProof/>
        </w:rPr>
      </w:pPr>
      <w:r w:rsidRPr="007E6972">
        <w:rPr>
          <w:b/>
          <w:noProof/>
        </w:rPr>
        <w:t>Účinná stratégia v oblasti vylúčenia z bývania a bezdomovectva</w:t>
      </w:r>
      <w:r w:rsidRPr="007E6972">
        <w:rPr>
          <w:noProof/>
        </w:rPr>
        <w:t xml:space="preserve"> by preto mala zahŕňať rozšírenie ponuky sociálneho a cenovo dostupného bývania pre stabilné strednodobé a dlhodobé riešenia a mala by zahŕňať prevenciu a opätovné ubytovanie prostredníctvom ochrany osôb v neistej bytovej situácii pred vysťahovaním, včasnú intervenciu v prípade nedoplatkov na nájomnom, a to aj prostredníctvom finančného a dlhového poradenstva, ako aj zabezpečenie prístupu k primeraným sociálnym službám, službám zamestnanosti, zdravotníckym službám a službám starostlivosti.</w:t>
      </w:r>
    </w:p>
    <w:p w14:paraId="557979C1" w14:textId="77777777" w:rsidR="00C578AE" w:rsidRPr="007E6972" w:rsidRDefault="00C578AE">
      <w:pPr>
        <w:pStyle w:val="ManualHeading2"/>
        <w:rPr>
          <w:rFonts w:eastAsia="Arial Unicode MS"/>
          <w:noProof/>
          <w:color w:val="000000"/>
          <w:u w:color="000000"/>
          <w:bdr w:val="nil"/>
        </w:rPr>
      </w:pPr>
      <w:r w:rsidRPr="007E6972">
        <w:rPr>
          <w:noProof/>
          <w:color w:val="000000"/>
          <w:u w:color="000000"/>
          <w:bdr w:val="nil"/>
        </w:rPr>
        <w:t>•</w:t>
      </w:r>
      <w:r w:rsidRPr="007E6972">
        <w:rPr>
          <w:noProof/>
        </w:rPr>
        <w:tab/>
        <w:t>Súlad s existujúcimi ustanoveniami v tejto oblasti politiky</w:t>
      </w:r>
    </w:p>
    <w:p w14:paraId="3040D734" w14:textId="77777777" w:rsidR="0051699B" w:rsidRPr="007E6972" w:rsidRDefault="00AB0D67" w:rsidP="00AB0D67">
      <w:pPr>
        <w:pBdr>
          <w:top w:val="nil"/>
          <w:left w:val="nil"/>
          <w:bottom w:val="nil"/>
          <w:right w:val="nil"/>
          <w:between w:val="nil"/>
          <w:bar w:val="nil"/>
        </w:pBdr>
        <w:spacing w:before="0" w:after="240"/>
        <w:rPr>
          <w:rFonts w:eastAsia="Arial Unicode MS"/>
          <w:noProof/>
        </w:rPr>
      </w:pPr>
      <w:r w:rsidRPr="007E6972">
        <w:rPr>
          <w:noProof/>
        </w:rPr>
        <w:t xml:space="preserve">Návrh prispieva k uplatňovaniu </w:t>
      </w:r>
      <w:r w:rsidRPr="007E6972">
        <w:rPr>
          <w:b/>
          <w:noProof/>
        </w:rPr>
        <w:t xml:space="preserve">zásady 19 Európskeho piliera sociálnych práv týkajúcej sa bývania a pomoci pre ľudí bez domova. </w:t>
      </w:r>
      <w:r w:rsidRPr="007E6972">
        <w:rPr>
          <w:noProof/>
        </w:rPr>
        <w:t xml:space="preserve">Podľa tejto zásady sa uznáva, že ľudia v núdzi by mali mať prístup k sociálnemu bývaniu alebo vysokokvalitnej pomoci pri bývaní, že zraniteľné osoby majú právo na ochranu pred núteným vysťahovaním a že ľuďom bez domova sa musí poskytnúť vyhovujúce ubytovanie a služby. </w:t>
      </w:r>
    </w:p>
    <w:p w14:paraId="428CA38F" w14:textId="38490F7E" w:rsidR="009A2B0D" w:rsidRPr="007E6972" w:rsidRDefault="00882C93" w:rsidP="00F422C3">
      <w:pPr>
        <w:pBdr>
          <w:top w:val="nil"/>
          <w:left w:val="nil"/>
          <w:bottom w:val="nil"/>
          <w:right w:val="nil"/>
          <w:between w:val="nil"/>
          <w:bar w:val="nil"/>
        </w:pBdr>
        <w:spacing w:before="0" w:after="240"/>
        <w:rPr>
          <w:noProof/>
        </w:rPr>
      </w:pPr>
      <w:r w:rsidRPr="007E6972">
        <w:rPr>
          <w:noProof/>
        </w:rPr>
        <w:t xml:space="preserve">V záveroch predsedníctva o budúcom Európskom pláne pre cenovo dostupné bývanie z 1. decembra 2025 sa vyzýva na intenzívnejšiu spoluprácu na úrovni EÚ, ktorá by vychádzala z práce európskej platformy na boj proti bezdomovectvu a politík zameraných na bývanie, ako je napríklad zásada „bývanie na prvom mieste“, a ďalej by ich posilňovala. Zároveň sa v nich Komisia vyzýva, aby zvážila, či k tomu môže prispieť odporúčanie Rady. V decembri 2025 predložila Európska komisia </w:t>
      </w:r>
      <w:r w:rsidRPr="007E6972">
        <w:rPr>
          <w:b/>
          <w:noProof/>
        </w:rPr>
        <w:t>Európsky plán pre cenovo dostupné bývanie</w:t>
      </w:r>
      <w:r w:rsidRPr="007E6972">
        <w:rPr>
          <w:noProof/>
        </w:rPr>
        <w:t>, prvý rámec na úrovni EÚ zameraný na riešenie krízy bývania. Plán pozostáva zo štyroch pilierov: i) zvýšenie ponuky bývania; ii) mobilizácia investícií; iii) poskytovanie okamžitej podpory a presadzovanie reforiem a iv) ochrana osôb najviac postihnutých vylúčením z bývania. V opatrení č. 10 zakotvenom v pláne, ktoré sa zameriava na riešenie bezdomovectva a podporu nájomníkov a domácností v zraniteľných situáciách</w:t>
      </w:r>
      <w:r w:rsidRPr="007E6972">
        <w:rPr>
          <w:b/>
          <w:noProof/>
        </w:rPr>
        <w:t>,</w:t>
      </w:r>
      <w:r w:rsidRPr="007E6972">
        <w:rPr>
          <w:noProof/>
        </w:rPr>
        <w:t xml:space="preserve"> sa navrhuje odporúčanie Rady týkajúce sa boja proti vylúčeniu z bývania s cieľom podporiť zraniteľné osoby v neistej bytovej situácii a predchádzať bezdomovectvu a riešiť ho. </w:t>
      </w:r>
    </w:p>
    <w:p w14:paraId="286B6B3C" w14:textId="77777777" w:rsidR="00AB0D67" w:rsidRPr="007E6972" w:rsidRDefault="00A667D7" w:rsidP="00ED7527">
      <w:pPr>
        <w:rPr>
          <w:rFonts w:eastAsia="Calibri"/>
          <w:noProof/>
        </w:rPr>
      </w:pPr>
      <w:r w:rsidRPr="007E6972">
        <w:rPr>
          <w:b/>
          <w:noProof/>
        </w:rPr>
        <w:t>Na základe Lisabonskej deklarácie o európskej platforme na boj proti bezdomovectvu</w:t>
      </w:r>
      <w:r w:rsidRPr="007E6972">
        <w:rPr>
          <w:noProof/>
        </w:rPr>
        <w:t xml:space="preserve"> sa spustila </w:t>
      </w:r>
      <w:r w:rsidRPr="007E6972">
        <w:rPr>
          <w:b/>
          <w:noProof/>
        </w:rPr>
        <w:t>európska platforma na boj proti bezdomovectvu</w:t>
      </w:r>
      <w:r w:rsidRPr="007E6972">
        <w:rPr>
          <w:noProof/>
        </w:rPr>
        <w:t xml:space="preserve"> (ďalej len „platforma“), ktorou sa podporujú i) porovnateľné, spoľahlivé údaje a monitorovanie; ii) výmena poznatkov a iii) zlepšenie prístupu k financovaniu spolu so iv) začleňovaním vylúčenia z bývania a bezdomovectva do všetkých relevantných politík Únie. Tento návrh vychádza z doteraz vykonanej práce a zo skúseností získaných v rámci platformy.</w:t>
      </w:r>
    </w:p>
    <w:p w14:paraId="3BFD9ECF" w14:textId="77777777" w:rsidR="004843BA" w:rsidRPr="007E6972" w:rsidRDefault="00AB0D67" w:rsidP="004843BA">
      <w:pPr>
        <w:pStyle w:val="Text1"/>
        <w:ind w:left="0"/>
        <w:rPr>
          <w:noProof/>
        </w:rPr>
      </w:pPr>
      <w:r w:rsidRPr="007E6972">
        <w:rPr>
          <w:noProof/>
        </w:rPr>
        <w:t xml:space="preserve">Komisia výrazne zintenzívnila svoje prispievanie k politikám týkajúcim sa bývania, pričom plne rešpektuje právomoci členských štátov v tejto oblasti. Hoci väčšinu právomocí v oblasti </w:t>
      </w:r>
      <w:r w:rsidRPr="007E6972">
        <w:rPr>
          <w:noProof/>
        </w:rPr>
        <w:lastRenderedPageBreak/>
        <w:t xml:space="preserve">bývania vykonávajú národné, regionálne a miestne orgány, situácia sa z miestneho problému s nehnuteľnosťami premenila na systémovú </w:t>
      </w:r>
      <w:r w:rsidRPr="007E6972">
        <w:rPr>
          <w:b/>
          <w:noProof/>
        </w:rPr>
        <w:t>krízu bývania.</w:t>
      </w:r>
      <w:r w:rsidRPr="007E6972">
        <w:rPr>
          <w:noProof/>
        </w:rPr>
        <w:t xml:space="preserve"> V </w:t>
      </w:r>
      <w:r w:rsidRPr="007E6972">
        <w:rPr>
          <w:b/>
          <w:noProof/>
        </w:rPr>
        <w:t>odporúčaní Rady</w:t>
      </w:r>
      <w:r w:rsidRPr="007E6972">
        <w:rPr>
          <w:noProof/>
        </w:rPr>
        <w:t xml:space="preserve"> EÚ z roku 2023 </w:t>
      </w:r>
      <w:r w:rsidRPr="007E6972">
        <w:rPr>
          <w:b/>
          <w:noProof/>
        </w:rPr>
        <w:t>o primeranom minimálnom príjme zaručujúcom aktívne začleňovanie</w:t>
      </w:r>
      <w:r w:rsidRPr="007E6972">
        <w:rPr>
          <w:noProof/>
        </w:rPr>
        <w:t xml:space="preserve"> sa prístup k bývaniu označuje za jednu z podporných služieb, ktoré môžu jednotlivcom bez dostatočných prostriedkov pomôcť začleniť sa do spoločnosti a prípadne do trhu práce a získať prístup k iným podporným službám a podpore príjmu.</w:t>
      </w:r>
    </w:p>
    <w:p w14:paraId="0BC24604" w14:textId="77777777" w:rsidR="00C578AE" w:rsidRPr="007E6972" w:rsidRDefault="00C578AE">
      <w:pPr>
        <w:pStyle w:val="ManualHeading2"/>
        <w:rPr>
          <w:rFonts w:eastAsia="Arial Unicode MS"/>
          <w:noProof/>
        </w:rPr>
      </w:pPr>
      <w:r w:rsidRPr="007E6972">
        <w:rPr>
          <w:noProof/>
          <w:color w:val="000000"/>
          <w:u w:color="000000"/>
          <w:bdr w:val="nil"/>
        </w:rPr>
        <w:t>•</w:t>
      </w:r>
      <w:r w:rsidRPr="007E6972">
        <w:rPr>
          <w:noProof/>
        </w:rPr>
        <w:tab/>
        <w:t>Súlad s ostatnými politikami Únie</w:t>
      </w:r>
    </w:p>
    <w:p w14:paraId="3704C0A0" w14:textId="77777777" w:rsidR="00C52196" w:rsidRPr="007E6972" w:rsidRDefault="001C56C6" w:rsidP="00353E62">
      <w:pPr>
        <w:pBdr>
          <w:top w:val="nil"/>
          <w:left w:val="nil"/>
          <w:bottom w:val="nil"/>
          <w:right w:val="nil"/>
          <w:between w:val="nil"/>
          <w:bar w:val="nil"/>
        </w:pBdr>
        <w:spacing w:before="0" w:after="240"/>
        <w:rPr>
          <w:rFonts w:eastAsia="Arial Unicode MS"/>
          <w:noProof/>
        </w:rPr>
      </w:pPr>
      <w:r w:rsidRPr="007E6972">
        <w:rPr>
          <w:noProof/>
        </w:rPr>
        <w:t xml:space="preserve">Cieľom </w:t>
      </w:r>
      <w:r w:rsidRPr="007E6972">
        <w:rPr>
          <w:b/>
          <w:noProof/>
        </w:rPr>
        <w:t xml:space="preserve">Európskej záruky pre deti </w:t>
      </w:r>
      <w:r w:rsidRPr="007E6972">
        <w:rPr>
          <w:noProof/>
        </w:rPr>
        <w:t xml:space="preserve">prijatej v roku 2021 je predchádzať sociálnemu vylúčeniu a bojovať proti nemu tým, že sa členským štátom odporúča zaručiť, aby mali deti v núdzi účinný prístup k súboru kľúčových služieb vrátane vyhovujúceho bývania. Odporúča sa v nej, aby členské štáty zvážili špecifické znevýhodnenia detí bez domova alebo detí, ktoré čelia závažnej deprivácii v oblasti bývania, a zabezpečili, aby tieto deti spolu so svojimi rodinami mali prístup k „vyhovujúcemu ubytovaniu“ a k príslušným sociálnym a poradenským službám. </w:t>
      </w:r>
    </w:p>
    <w:p w14:paraId="4C5E844E" w14:textId="77777777" w:rsidR="0035599E" w:rsidRPr="007E6972" w:rsidRDefault="00306004" w:rsidP="00353E62">
      <w:pPr>
        <w:pBdr>
          <w:top w:val="nil"/>
          <w:left w:val="nil"/>
          <w:bottom w:val="nil"/>
          <w:right w:val="nil"/>
          <w:between w:val="nil"/>
          <w:bar w:val="nil"/>
        </w:pBdr>
        <w:spacing w:before="0" w:after="240"/>
        <w:rPr>
          <w:rFonts w:eastAsia="Arial Unicode MS"/>
          <w:noProof/>
        </w:rPr>
      </w:pPr>
      <w:r w:rsidRPr="007E6972">
        <w:rPr>
          <w:b/>
          <w:noProof/>
        </w:rPr>
        <w:t xml:space="preserve">V odporúčaní Rady týkajúcom sa prístupu k cenovo dostupnej, vysokokvalitnej dlhodobej starostlivosti </w:t>
      </w:r>
      <w:r w:rsidRPr="007E6972">
        <w:rPr>
          <w:noProof/>
        </w:rPr>
        <w:t>sa členské štáty vyzývajú, aby rozšírili služby formálnej dlhodobej starostlivosti, a to najmä domácu a komunitnú starostlivosť. Bývanie, ktoré je prispôsobené meniacim sa potrebám jednotlivcov v oblasti starostlivosti, je základným predpokladom starnutia na mieste, ktoré umožňuje poskytovanie domácej starostlivosti.</w:t>
      </w:r>
    </w:p>
    <w:p w14:paraId="6106776E" w14:textId="77777777" w:rsidR="0022205D" w:rsidRPr="007E6972" w:rsidRDefault="0022205D" w:rsidP="00353E62">
      <w:pPr>
        <w:pBdr>
          <w:top w:val="nil"/>
          <w:left w:val="nil"/>
          <w:bottom w:val="nil"/>
          <w:right w:val="nil"/>
          <w:between w:val="nil"/>
          <w:bar w:val="nil"/>
        </w:pBdr>
        <w:spacing w:before="0" w:after="240"/>
        <w:rPr>
          <w:noProof/>
        </w:rPr>
      </w:pPr>
      <w:r w:rsidRPr="007E6972">
        <w:rPr>
          <w:noProof/>
        </w:rPr>
        <w:t xml:space="preserve">Cieľom </w:t>
      </w:r>
      <w:r w:rsidRPr="007E6972">
        <w:rPr>
          <w:b/>
          <w:noProof/>
        </w:rPr>
        <w:t>akčného plánu pre sociálne hospodárstvo</w:t>
      </w:r>
      <w:r w:rsidRPr="007E6972">
        <w:rPr>
          <w:noProof/>
        </w:rPr>
        <w:t xml:space="preserve"> z roku 2021 a súvisiaceho </w:t>
      </w:r>
      <w:r w:rsidRPr="007E6972">
        <w:rPr>
          <w:b/>
          <w:noProof/>
        </w:rPr>
        <w:t xml:space="preserve">odporúčania Rady týkajúceho sa vypracovania rámcových podmienok sociálneho hospodárstva </w:t>
      </w:r>
      <w:r w:rsidRPr="007E6972">
        <w:rPr>
          <w:noProof/>
        </w:rPr>
        <w:t xml:space="preserve">z roku 2023 je zlepšiť rámcové podmienky pre organizácie sociálneho hospodárstva v celej Európe. Mnohé organizácie sociálneho hospodárstva sa snažia podporovať sociálne začlenenie marginalizovaných a znevýhodnených osôb, a to aj pomocou pracovnej integrácie a poskytovaním cenovo dostupného a inkluzívneho bývania a iných relevantných sociálnych služieb (ako je napríklad právna a praktická podpora pre nájomníkov). </w:t>
      </w:r>
    </w:p>
    <w:p w14:paraId="5020A1A8" w14:textId="77777777" w:rsidR="00EF2059" w:rsidRPr="007E6972" w:rsidRDefault="00E56715" w:rsidP="00BB5BCC">
      <w:pPr>
        <w:pBdr>
          <w:top w:val="nil"/>
          <w:left w:val="nil"/>
          <w:bottom w:val="nil"/>
          <w:right w:val="nil"/>
          <w:between w:val="nil"/>
          <w:bar w:val="nil"/>
        </w:pBdr>
        <w:spacing w:before="0" w:after="240"/>
        <w:rPr>
          <w:noProof/>
        </w:rPr>
      </w:pPr>
      <w:r w:rsidRPr="007E6972">
        <w:rPr>
          <w:noProof/>
        </w:rPr>
        <w:t>V </w:t>
      </w:r>
      <w:r w:rsidRPr="007E6972">
        <w:rPr>
          <w:b/>
          <w:noProof/>
        </w:rPr>
        <w:t>Stratégii pre medzigeneračnú spravodlivosť</w:t>
      </w:r>
      <w:r w:rsidRPr="007E6972">
        <w:rPr>
          <w:noProof/>
        </w:rPr>
        <w:t xml:space="preserve"> sa uvádza, že prístup k cenovo dostupnému a udržateľnému bývaniu, ku kvalitným verejným službám vrátane sociálnych a opatrovateľských služieb, dopravy, digitálnej pripojiteľnosti, sociálnej infraštruktúry a rekreačných zariadení má zásadný význam pre to, či ľudia budú môcť vo svojich komunitách zostať, vrátiť sa do nich alebo si v nich budovať budúcnosť. </w:t>
      </w:r>
    </w:p>
    <w:p w14:paraId="0EE69D0D" w14:textId="77777777" w:rsidR="00504CF8" w:rsidRPr="007E6972" w:rsidRDefault="0078108A" w:rsidP="00504CF8">
      <w:pPr>
        <w:pBdr>
          <w:top w:val="nil"/>
          <w:left w:val="nil"/>
          <w:bottom w:val="nil"/>
          <w:right w:val="nil"/>
          <w:between w:val="nil"/>
          <w:bar w:val="nil"/>
        </w:pBdr>
        <w:spacing w:before="0" w:after="240"/>
        <w:rPr>
          <w:rFonts w:eastAsia="Arial Unicode MS"/>
          <w:noProof/>
        </w:rPr>
      </w:pPr>
      <w:r w:rsidRPr="007E6972">
        <w:rPr>
          <w:b/>
          <w:noProof/>
        </w:rPr>
        <w:t xml:space="preserve">V oznámení Komisie o komplexnom prístupe k duševnému zdraviu z roku 2023 </w:t>
      </w:r>
      <w:r w:rsidRPr="007E6972">
        <w:rPr>
          <w:noProof/>
        </w:rPr>
        <w:t>sa ľudia bez domova označujú za zraniteľnú skupinu, ktorá si vyžaduje cielenú podporu. V oznámení sa takisto uznáva, že vylúčením z bývania sa zlý duševný stav a zdravotné postihnutie iba zhoršujú.</w:t>
      </w:r>
    </w:p>
    <w:p w14:paraId="4023A83B" w14:textId="77777777" w:rsidR="00303B70" w:rsidRPr="007E6972" w:rsidRDefault="00303B70" w:rsidP="00303B70">
      <w:pPr>
        <w:pBdr>
          <w:top w:val="nil"/>
          <w:left w:val="nil"/>
          <w:bottom w:val="nil"/>
          <w:right w:val="nil"/>
          <w:between w:val="nil"/>
          <w:bar w:val="nil"/>
        </w:pBdr>
        <w:spacing w:before="0" w:after="240"/>
        <w:rPr>
          <w:rFonts w:eastAsia="Arial Unicode MS"/>
          <w:noProof/>
        </w:rPr>
      </w:pPr>
      <w:r w:rsidRPr="007E6972">
        <w:rPr>
          <w:b/>
          <w:noProof/>
        </w:rPr>
        <w:t>Akčným plánom pre integráciu a začlenenie na roky 2021 – 2027</w:t>
      </w:r>
      <w:r w:rsidRPr="007E6972">
        <w:rPr>
          <w:noProof/>
        </w:rPr>
        <w:t xml:space="preserve"> sa poskytuje komplexný rámec na podporu migrantov aj občanov EÚ s migrantským pôvodom. Vychádza zo zásady „začlenenie pre všetkých“ a načrtávajú sa v ňom opatrenia na zintenzívnenie činnosti a prepojenie aktérov na všetkých úrovniach s cieľom posilniť integráciu a začlenenie, čím sa podporia súdržné spoločnosti v štyroch oblastiach: vzdelávanie, zamestnanosť, zdravie a bývanie.</w:t>
      </w:r>
    </w:p>
    <w:p w14:paraId="32F9B53A" w14:textId="77777777" w:rsidR="005F505C" w:rsidRPr="007E6972" w:rsidRDefault="005F505C" w:rsidP="00303B70">
      <w:pPr>
        <w:pBdr>
          <w:top w:val="nil"/>
          <w:left w:val="nil"/>
          <w:bottom w:val="nil"/>
          <w:right w:val="nil"/>
          <w:between w:val="nil"/>
          <w:bar w:val="nil"/>
        </w:pBdr>
        <w:spacing w:before="0" w:after="240"/>
        <w:rPr>
          <w:rFonts w:eastAsia="Arial Unicode MS"/>
          <w:noProof/>
        </w:rPr>
      </w:pPr>
      <w:r w:rsidRPr="007E6972">
        <w:rPr>
          <w:noProof/>
        </w:rPr>
        <w:t>V </w:t>
      </w:r>
      <w:r w:rsidRPr="007E6972">
        <w:rPr>
          <w:b/>
          <w:noProof/>
        </w:rPr>
        <w:t>Dlhodobej vízii pre vidiecke oblasti EÚ</w:t>
      </w:r>
      <w:r w:rsidRPr="007E6972">
        <w:rPr>
          <w:noProof/>
        </w:rPr>
        <w:t xml:space="preserve"> (LTVRA)</w:t>
      </w:r>
      <w:r w:rsidRPr="007E6972">
        <w:rPr>
          <w:rStyle w:val="FootnoteReference"/>
          <w:rFonts w:eastAsia="Arial Unicode MS"/>
          <w:noProof/>
        </w:rPr>
        <w:footnoteReference w:id="6"/>
      </w:r>
      <w:r w:rsidRPr="007E6972">
        <w:rPr>
          <w:noProof/>
        </w:rPr>
        <w:t xml:space="preserve"> sa stanovuje holistický rámec pre silnejšie, prepojené, odolné a prosperujúce vidiecke oblasti do roku 2040. Jedným z cieľov </w:t>
      </w:r>
      <w:r w:rsidRPr="007E6972">
        <w:rPr>
          <w:noProof/>
        </w:rPr>
        <w:lastRenderedPageBreak/>
        <w:t>iniciatívy LTVRA je riešenie prístupu k základným službám vrátane bývania na vidieku. Aktualizovaný akčný plán pre vidiek, ktorý sa má uverejniť v roku 2026, má obsahovať jedno opatrenie týkajúce sa riešenia bývania na vidieku.</w:t>
      </w:r>
    </w:p>
    <w:p w14:paraId="30AA4B16" w14:textId="77777777" w:rsidR="006D6F50" w:rsidRPr="007E6972" w:rsidRDefault="00005BA0" w:rsidP="00763768">
      <w:pPr>
        <w:pBdr>
          <w:top w:val="nil"/>
          <w:left w:val="nil"/>
          <w:bottom w:val="nil"/>
          <w:right w:val="nil"/>
          <w:between w:val="nil"/>
          <w:bar w:val="nil"/>
        </w:pBdr>
        <w:spacing w:before="0" w:after="240"/>
        <w:rPr>
          <w:rFonts w:eastAsia="Arial Unicode MS"/>
          <w:noProof/>
        </w:rPr>
      </w:pPr>
      <w:r w:rsidRPr="007E6972">
        <w:rPr>
          <w:noProof/>
        </w:rPr>
        <w:t>V </w:t>
      </w:r>
      <w:r w:rsidRPr="007E6972">
        <w:rPr>
          <w:b/>
          <w:noProof/>
        </w:rPr>
        <w:t>Stratégii EÚ proti rasizmu na roky 2026 – 2030</w:t>
      </w:r>
      <w:r w:rsidRPr="007E6972">
        <w:rPr>
          <w:noProof/>
        </w:rPr>
        <w:t xml:space="preserve">, prijatej v januári 2026, sa uznáva, že ľudia z rasových a etnických menšín čelia diskriminácii a prekážkam v oblasti bývania. Rasizované komunity vrátane Rómov čelia nerovnakým podmienkam v prístupe k bývaniu a neprimeranému riziku preplnenia, zlých životných podmienok, bezdomovectva a segregácie. </w:t>
      </w:r>
    </w:p>
    <w:p w14:paraId="100F5CBE" w14:textId="77777777" w:rsidR="00BE2C9A" w:rsidRPr="007E6972" w:rsidRDefault="00721226" w:rsidP="00763768">
      <w:pPr>
        <w:pBdr>
          <w:top w:val="nil"/>
          <w:left w:val="nil"/>
          <w:bottom w:val="nil"/>
          <w:right w:val="nil"/>
          <w:between w:val="nil"/>
          <w:bar w:val="nil"/>
        </w:pBdr>
        <w:spacing w:before="0" w:after="240"/>
        <w:rPr>
          <w:rFonts w:eastAsia="Arial Unicode MS"/>
          <w:noProof/>
        </w:rPr>
      </w:pPr>
      <w:r w:rsidRPr="007E6972">
        <w:rPr>
          <w:b/>
          <w:noProof/>
        </w:rPr>
        <w:t xml:space="preserve">Stratégia rodovej rovnosti na roky 2026 – 2030 </w:t>
      </w:r>
      <w:r w:rsidRPr="007E6972">
        <w:rPr>
          <w:noProof/>
        </w:rPr>
        <w:t>bola</w:t>
      </w:r>
      <w:r w:rsidRPr="007E6972">
        <w:rPr>
          <w:b/>
          <w:noProof/>
        </w:rPr>
        <w:t xml:space="preserve"> </w:t>
      </w:r>
      <w:r w:rsidRPr="007E6972">
        <w:rPr>
          <w:noProof/>
        </w:rPr>
        <w:t>prijatá</w:t>
      </w:r>
      <w:r w:rsidRPr="007E6972">
        <w:rPr>
          <w:b/>
          <w:noProof/>
        </w:rPr>
        <w:t xml:space="preserve"> </w:t>
      </w:r>
      <w:r w:rsidRPr="007E6972">
        <w:rPr>
          <w:noProof/>
        </w:rPr>
        <w:t xml:space="preserve">v marci 2026 a v súlade s Európskym plánom pre cenovo dostupné bývanie sa v nej oznámil zámer Komisie riešiť vylúčenie z bývania návrhom odporúčania Rady. </w:t>
      </w:r>
    </w:p>
    <w:p w14:paraId="38659F05" w14:textId="77777777" w:rsidR="000E4099" w:rsidRPr="007E6972" w:rsidRDefault="00763768" w:rsidP="00460269">
      <w:pPr>
        <w:pBdr>
          <w:top w:val="nil"/>
          <w:left w:val="nil"/>
          <w:bottom w:val="nil"/>
          <w:right w:val="nil"/>
          <w:between w:val="nil"/>
          <w:bar w:val="nil"/>
        </w:pBdr>
        <w:spacing w:before="0" w:after="240"/>
        <w:rPr>
          <w:rFonts w:eastAsia="Arial Unicode MS"/>
          <w:noProof/>
        </w:rPr>
      </w:pPr>
      <w:r w:rsidRPr="007E6972">
        <w:rPr>
          <w:noProof/>
        </w:rPr>
        <w:t xml:space="preserve">Cieľom </w:t>
      </w:r>
      <w:r w:rsidRPr="007E6972">
        <w:rPr>
          <w:b/>
          <w:noProof/>
        </w:rPr>
        <w:t xml:space="preserve">Stratégie v oblasti práv osôb so zdravotným postihnutím na roky 2021 – 2030 </w:t>
      </w:r>
      <w:r w:rsidRPr="007E6972">
        <w:rPr>
          <w:noProof/>
        </w:rPr>
        <w:t>prijatej v roku 2021</w:t>
      </w:r>
      <w:r w:rsidRPr="007E6972">
        <w:rPr>
          <w:b/>
          <w:noProof/>
        </w:rPr>
        <w:t xml:space="preserve"> </w:t>
      </w:r>
      <w:r w:rsidRPr="007E6972">
        <w:rPr>
          <w:noProof/>
        </w:rPr>
        <w:t>je pomôcť členským štátom umožniť nezávislý život a deinštitucionalizáciu tým, že sa zabezpečí, aby mohli osoby so zdravotným postihnutím využívať prístupné a podporované bývanie. Podporuje sa ňou komunitné začlenenie namiesto segregovaných inštitúcií, čím sa znižuje riziko bezdomovectva pre osoby, ktoré prechádzajú na nový spôsob života bez náležitej podpory.</w:t>
      </w:r>
    </w:p>
    <w:p w14:paraId="2D924CEC" w14:textId="77777777" w:rsidR="00116429" w:rsidRPr="007E6972" w:rsidRDefault="00763768" w:rsidP="00763768">
      <w:pPr>
        <w:pBdr>
          <w:top w:val="nil"/>
          <w:left w:val="nil"/>
          <w:bottom w:val="nil"/>
          <w:right w:val="nil"/>
          <w:between w:val="nil"/>
          <w:bar w:val="nil"/>
        </w:pBdr>
        <w:spacing w:before="0" w:after="240"/>
        <w:rPr>
          <w:rFonts w:eastAsia="Arial Unicode MS"/>
          <w:noProof/>
        </w:rPr>
      </w:pPr>
      <w:r w:rsidRPr="007E6972">
        <w:rPr>
          <w:noProof/>
        </w:rPr>
        <w:t>V </w:t>
      </w:r>
      <w:r w:rsidRPr="007E6972">
        <w:rPr>
          <w:b/>
          <w:noProof/>
        </w:rPr>
        <w:t>Stratégii pre rovnosť LGBTIQ+ osôb na roky 2026 – 2030</w:t>
      </w:r>
      <w:r w:rsidRPr="007E6972">
        <w:rPr>
          <w:noProof/>
        </w:rPr>
        <w:t xml:space="preserve"> prijatej v októbri 2025 sa zdôrazňuje, že diskriminácia a nedostatočná spoločenská akceptácia majú za následok vysokú mieru chudoby a bezdomovectva medzi LGBTIQ+ osobami. Z tretieho prieskumu Agentúry EÚ pre základné práva o LGBTIQ osobách vyplýva, že 38 % LGBTIQ+ respondentov má problém vychádzať s peniazmi (v porovnaní s 22 % všeobecnej populácie) a 13 % sa uchyľuje k dočasnému pobytu u priateľov alebo príbuzných. </w:t>
      </w:r>
    </w:p>
    <w:p w14:paraId="609DC5DC" w14:textId="77777777" w:rsidR="00B95FB2" w:rsidRPr="007E6972" w:rsidRDefault="00001104" w:rsidP="00763768">
      <w:pPr>
        <w:pBdr>
          <w:top w:val="nil"/>
          <w:left w:val="nil"/>
          <w:bottom w:val="nil"/>
          <w:right w:val="nil"/>
          <w:between w:val="nil"/>
          <w:bar w:val="nil"/>
        </w:pBdr>
        <w:spacing w:before="0" w:after="240"/>
        <w:rPr>
          <w:rFonts w:eastAsia="Arial Unicode MS"/>
          <w:noProof/>
        </w:rPr>
      </w:pPr>
      <w:r w:rsidRPr="007E6972">
        <w:rPr>
          <w:b/>
          <w:noProof/>
        </w:rPr>
        <w:t>Smernicou Rady, ktorou sa zavádza zásada rovnakého zaobchádzania s osobami bez ohľadu na rasový alebo etnický pôvod</w:t>
      </w:r>
      <w:r w:rsidRPr="007E6972">
        <w:rPr>
          <w:noProof/>
        </w:rPr>
        <w:t>, z júna 2000 sa zavádza zásada rovnakého zaobchádzania s osobami bez ohľadu na rasový alebo etnický pôvod, a to aj prostredníctvom zákazu diskriminácie v súvislosti s prístupom k bývaniu.</w:t>
      </w:r>
    </w:p>
    <w:p w14:paraId="1FBC77BE" w14:textId="77777777" w:rsidR="002418DD" w:rsidRPr="007E6972" w:rsidRDefault="00D85E17" w:rsidP="002418DD">
      <w:pPr>
        <w:pBdr>
          <w:top w:val="nil"/>
          <w:left w:val="nil"/>
          <w:bottom w:val="nil"/>
          <w:right w:val="nil"/>
          <w:between w:val="nil"/>
          <w:bar w:val="nil"/>
        </w:pBdr>
        <w:spacing w:before="0" w:after="240"/>
        <w:rPr>
          <w:rFonts w:eastAsia="Arial Unicode MS"/>
          <w:noProof/>
        </w:rPr>
      </w:pPr>
      <w:r w:rsidRPr="007E6972">
        <w:rPr>
          <w:noProof/>
        </w:rPr>
        <w:t>V </w:t>
      </w:r>
      <w:r w:rsidRPr="007E6972">
        <w:rPr>
          <w:b/>
          <w:noProof/>
        </w:rPr>
        <w:t xml:space="preserve">oznámení Komisie Európskemu parlamentu a Rade s názvom „Únia rovnosti: strategický rámec EÚ pre rovnosť, začleňovanie a účasť Rómov“ </w:t>
      </w:r>
      <w:r w:rsidRPr="007E6972">
        <w:rPr>
          <w:noProof/>
        </w:rPr>
        <w:t>prijatom v októbri 2020 sa zdôrazňujú pretrvávajúce problémy Rómov, pokiaľ ide o bývanie, vrátane nevyhovujúceho a segregovaného bývania. Jeho cieľom je do roku 2030 zabezpečiť rovnaký prístup k vyhovujúcemu nesegregovanému bývaniu a základným službám a vyzýva sa v ňom, aby členské štáty prijali národné stratégie sociálno-ekonomického začlenenia marginalizovaných Rómov so zameraním na vzdelávanie, zamestnanosť, zdravie a bývanie. V </w:t>
      </w:r>
      <w:r w:rsidRPr="007E6972">
        <w:rPr>
          <w:b/>
          <w:noProof/>
        </w:rPr>
        <w:t>odporúčaní Rady o rovnosti, začleňovaní a účasti Rómov</w:t>
      </w:r>
      <w:r w:rsidRPr="007E6972">
        <w:rPr>
          <w:noProof/>
        </w:rPr>
        <w:t xml:space="preserve"> z roku 2021 sa členské štáty vyzývajú, aby zabezpečili rovnaké zaobchádzanie s Rómami, čo sa okrem iného týka prístupu k vyhovujúcemu nesegregovanému bývaniu a základným službám.</w:t>
      </w:r>
    </w:p>
    <w:p w14:paraId="1C4A804E" w14:textId="77777777" w:rsidR="002F5035" w:rsidRPr="007E6972" w:rsidRDefault="003C0DAB" w:rsidP="00F422C3">
      <w:pPr>
        <w:pBdr>
          <w:top w:val="nil"/>
          <w:left w:val="nil"/>
          <w:bottom w:val="nil"/>
          <w:right w:val="nil"/>
          <w:between w:val="nil"/>
          <w:bar w:val="nil"/>
        </w:pBdr>
        <w:spacing w:before="0" w:after="240"/>
        <w:rPr>
          <w:rFonts w:eastAsia="Arial Unicode MS"/>
          <w:noProof/>
        </w:rPr>
      </w:pPr>
      <w:r w:rsidRPr="007E6972">
        <w:rPr>
          <w:noProof/>
        </w:rPr>
        <w:t xml:space="preserve">EÚ poskytuje rôzne mechanizmy financovania, ktoré možno využiť na riešenie vylúčenia z bývania a bezdomovectva. V roku 2024 predložila Európska komisia </w:t>
      </w:r>
      <w:r w:rsidRPr="007E6972">
        <w:rPr>
          <w:b/>
          <w:noProof/>
        </w:rPr>
        <w:t xml:space="preserve">súbor nástrojov s názvom </w:t>
      </w:r>
      <w:r w:rsidRPr="007E6972">
        <w:rPr>
          <w:b/>
          <w:i/>
          <w:iCs/>
          <w:noProof/>
        </w:rPr>
        <w:t>Social housing and beyond – Operational toolkit on the use of EU funds for investments in social housing and associated services</w:t>
      </w:r>
      <w:r w:rsidRPr="007E6972">
        <w:rPr>
          <w:noProof/>
        </w:rPr>
        <w:t xml:space="preserve"> (Sociálne bývanie a súvisiace možnosti – súbor operačných nástrojov na využívanie fondov EÚ na investície do sociálneho bývania a súvisiacich služieb). Tento súbor nástrojov slúži na podporu tvorcov politík pri maximalizácii využívania fondov EÚ – Európskeho sociálneho fondu plus (ďalej len </w:t>
      </w:r>
      <w:r w:rsidRPr="007E6972">
        <w:rPr>
          <w:noProof/>
        </w:rPr>
        <w:lastRenderedPageBreak/>
        <w:t xml:space="preserve">„ESF+“), Európskeho fondu regionálneho rozvoja (ďalej len „EFRR“) a Mechanizmu na podporu obnovy a odolnosti – na investície do sociálneho bývania a súvisiace služby. Vďaka 20 prípadovým štúdiám sa v ňom uvádzajú názorné príklady toho, ako sa pomocou týchto fondov zlepšuje prístup k vyhovujúcemu bývaniu, a ponúkajú sa riešenia šité na mieru pre zraniteľné skupiny. </w:t>
      </w:r>
    </w:p>
    <w:p w14:paraId="7128E05D" w14:textId="77777777" w:rsidR="00D72390" w:rsidRPr="007E6972" w:rsidRDefault="00551B41" w:rsidP="00D72390">
      <w:pPr>
        <w:spacing w:after="160" w:line="259" w:lineRule="auto"/>
        <w:rPr>
          <w:noProof/>
        </w:rPr>
      </w:pPr>
      <w:r w:rsidRPr="007E6972">
        <w:rPr>
          <w:noProof/>
        </w:rPr>
        <w:t>V rámci</w:t>
      </w:r>
      <w:r w:rsidRPr="007E6972">
        <w:rPr>
          <w:b/>
          <w:noProof/>
        </w:rPr>
        <w:t xml:space="preserve"> politiky súdržnosti</w:t>
      </w:r>
      <w:r w:rsidRPr="007E6972">
        <w:rPr>
          <w:noProof/>
        </w:rPr>
        <w:t xml:space="preserve">, predovšetkým z fondov </w:t>
      </w:r>
      <w:r w:rsidRPr="007E6972">
        <w:rPr>
          <w:b/>
          <w:noProof/>
        </w:rPr>
        <w:t>ESF+</w:t>
      </w:r>
      <w:r w:rsidRPr="007E6972">
        <w:rPr>
          <w:noProof/>
        </w:rPr>
        <w:t xml:space="preserve"> a </w:t>
      </w:r>
      <w:r w:rsidRPr="007E6972">
        <w:rPr>
          <w:b/>
          <w:noProof/>
        </w:rPr>
        <w:t>EFRR</w:t>
      </w:r>
      <w:r w:rsidRPr="007E6972">
        <w:rPr>
          <w:noProof/>
        </w:rPr>
        <w:t>, sa financujú iniciatívy, ktorých cieľom je zlepšiť sociálne začlenenie a podmienky bývania, ako sú sociálne služby pre ľudí bez domova, výstavba a obnova cenovo dostupného bývania a premena nevyužívaných budov na cenovo dostupné a sociálne bývanie. Z ESF+ možno financovať poskytovanie služieb, ako je sociálna práca, zdravotná starostlivosť a pracovné poradenstvo, zatiaľ čo z EFRR možno financovať nové sociálne bývanie, obnovu a infraštruktúru pre centrá služieb „bývanie na prvom mieste“ (Housing First). V rámci strednodobého preskúmania [nariadenie (EÚ) 2025/1914] sa rozšírili možnosti financovania cenovo dostupného a sociálneho bývania a zaviedli sa vyššie miery spolufinancovania zo strany EÚ. Členské štáty môžu využiť nástroje, ako sú integrované územné investície a miestny rozvoj vedený komunitou, na spojenie financovania z viacerých cieľov politiky.</w:t>
      </w:r>
    </w:p>
    <w:p w14:paraId="48343A2F" w14:textId="77777777" w:rsidR="009D688B" w:rsidRPr="007E6972" w:rsidRDefault="009D688B" w:rsidP="009D688B">
      <w:pPr>
        <w:pBdr>
          <w:top w:val="nil"/>
          <w:left w:val="nil"/>
          <w:bottom w:val="nil"/>
          <w:right w:val="nil"/>
          <w:between w:val="nil"/>
          <w:bar w:val="nil"/>
        </w:pBdr>
        <w:spacing w:before="0" w:after="240"/>
        <w:rPr>
          <w:rFonts w:eastAsia="Arial Unicode MS"/>
          <w:b/>
          <w:noProof/>
        </w:rPr>
      </w:pPr>
      <w:r w:rsidRPr="007E6972">
        <w:rPr>
          <w:noProof/>
        </w:rPr>
        <w:t xml:space="preserve">Prostredníctvom </w:t>
      </w:r>
      <w:r w:rsidRPr="007E6972">
        <w:rPr>
          <w:b/>
          <w:noProof/>
        </w:rPr>
        <w:t xml:space="preserve">Európskej mestskej iniciatívy </w:t>
      </w:r>
      <w:r w:rsidRPr="007E6972">
        <w:rPr>
          <w:noProof/>
        </w:rPr>
        <w:t>sa mestám poskytuje priame financovanie, pokiaľ ide o „odvážne, neoverené nápady“ na riešenie mestských výziev, ako aj inovatívne spôsoby riešenia v oblasti bývania, a to aj pre ľudí bez domova.</w:t>
      </w:r>
    </w:p>
    <w:p w14:paraId="16A8F438" w14:textId="77777777" w:rsidR="00D00228" w:rsidRPr="007E6972" w:rsidRDefault="00D00228" w:rsidP="00D00228">
      <w:pPr>
        <w:pBdr>
          <w:top w:val="nil"/>
          <w:left w:val="nil"/>
          <w:bottom w:val="nil"/>
          <w:right w:val="nil"/>
          <w:between w:val="nil"/>
          <w:bar w:val="nil"/>
        </w:pBdr>
        <w:spacing w:before="0" w:after="240"/>
        <w:rPr>
          <w:rFonts w:eastAsia="Arial Unicode MS"/>
          <w:noProof/>
        </w:rPr>
      </w:pPr>
      <w:r w:rsidRPr="007E6972">
        <w:rPr>
          <w:b/>
          <w:noProof/>
        </w:rPr>
        <w:t>Mechanizmu na podporu obnovy a odolnosti</w:t>
      </w:r>
      <w:r w:rsidRPr="007E6972">
        <w:rPr>
          <w:noProof/>
        </w:rPr>
        <w:t xml:space="preserve"> využívajú členské štáty na investovanie do sociálnej infraštruktúry vrátane bývania. Niektoré členské štáty sa bezdomovectvom zaoberali vo svojich plánoch obnovy a odolnosti, pričom navrhli riešenia zamerané na bývanie. Iné členské štáty plánovali investície do bývania v širšom zmysle (napr. energetická obnova bytov, projekty cenovo dostupného bývania). Časť finančných prostriedkov označených v plánoch obnovy a odolnosti ako „sociálne výdavky“ ide na sociálne bývanie a súvisiacu sociálnu infraštruktúru. Národné plány často zahŕňajú odbornú prípravu, zdravotnú starostlivosť, služby pre zraniteľné osoby a opatrenia súvisiace s bývaním, ktorými sa môže znížiť riziko bezdomovectva. </w:t>
      </w:r>
    </w:p>
    <w:p w14:paraId="6AADC555" w14:textId="77777777" w:rsidR="00F21ECE" w:rsidRPr="007E6972" w:rsidRDefault="00F21ECE" w:rsidP="00F422C3">
      <w:pPr>
        <w:rPr>
          <w:rFonts w:eastAsia="Arial Unicode MS"/>
          <w:noProof/>
          <w:szCs w:val="24"/>
        </w:rPr>
      </w:pPr>
      <w:r w:rsidRPr="007E6972">
        <w:rPr>
          <w:noProof/>
        </w:rPr>
        <w:t xml:space="preserve">V rámci </w:t>
      </w:r>
      <w:r w:rsidRPr="007E6972">
        <w:rPr>
          <w:b/>
          <w:noProof/>
        </w:rPr>
        <w:t xml:space="preserve">Sociálno-klimatického fondu </w:t>
      </w:r>
      <w:r w:rsidRPr="007E6972">
        <w:rPr>
          <w:noProof/>
        </w:rPr>
        <w:t>sa poskytuje podpora zraniteľným domácnostiam prostredníctvom riešenia sociálnych dôsledkov vyplývajúcich zo systému obchodovania s emisiami. Členské štáty môžu do svojich sociálno-klimatických plánov zahrnúť opatrenia a investície s trvalým vplyvom na podporu prístupu k cenovo dostupnému a energeticky efektívnemu bývaniu vrátane sociálneho bývania.</w:t>
      </w:r>
    </w:p>
    <w:p w14:paraId="2778488A" w14:textId="77777777" w:rsidR="0023334A" w:rsidRPr="007E6972" w:rsidRDefault="000F77E4" w:rsidP="0023334A">
      <w:pPr>
        <w:pBdr>
          <w:top w:val="nil"/>
          <w:left w:val="nil"/>
          <w:bottom w:val="nil"/>
          <w:right w:val="nil"/>
          <w:between w:val="nil"/>
          <w:bar w:val="nil"/>
        </w:pBdr>
        <w:spacing w:before="0" w:after="240"/>
        <w:rPr>
          <w:rFonts w:eastAsia="Arial Unicode MS"/>
          <w:noProof/>
        </w:rPr>
      </w:pPr>
      <w:r w:rsidRPr="007E6972">
        <w:rPr>
          <w:b/>
          <w:noProof/>
        </w:rPr>
        <w:t>Segment sociálnych investícií a zručností v rámci Fondu InvestEU</w:t>
      </w:r>
      <w:r w:rsidRPr="007E6972">
        <w:rPr>
          <w:noProof/>
        </w:rPr>
        <w:t xml:space="preserve"> pomáha pri zabezpečovaní prístupu k sociálnemu a cenovo dostupnému bývaniu, prispieva k boju proti sociálnemu vylúčeniu a pomáha zmierňovať chudobu. Úspešne znižuje riziko súvisiace s cenovo dostupným sociálnym bývaním a môže pomôcť pri vylúčení z bývania tým, že usmerňuje poradenskú podporu a podporuje zavádzanie finančných nástrojov. Patria sem záruky na projekty implementujúcich partnerov, ako sú Európska investičná banka, Rozvojová banka Rady Európy a národné podporné banky.</w:t>
      </w:r>
    </w:p>
    <w:p w14:paraId="4C8396DF" w14:textId="77777777" w:rsidR="00762BC9" w:rsidRPr="007E6972" w:rsidRDefault="000F77E4" w:rsidP="00F422C3">
      <w:pPr>
        <w:pBdr>
          <w:top w:val="nil"/>
          <w:left w:val="nil"/>
          <w:bottom w:val="nil"/>
          <w:right w:val="nil"/>
          <w:between w:val="nil"/>
          <w:bar w:val="nil"/>
        </w:pBdr>
        <w:spacing w:before="0" w:after="240"/>
        <w:rPr>
          <w:noProof/>
        </w:rPr>
      </w:pPr>
      <w:r w:rsidRPr="007E6972">
        <w:rPr>
          <w:noProof/>
        </w:rPr>
        <w:t xml:space="preserve">Iniciatívu </w:t>
      </w:r>
      <w:r w:rsidRPr="007E6972">
        <w:rPr>
          <w:b/>
          <w:noProof/>
        </w:rPr>
        <w:t>Nový európsky Bauhaus</w:t>
      </w:r>
      <w:r w:rsidRPr="007E6972">
        <w:rPr>
          <w:noProof/>
        </w:rPr>
        <w:t xml:space="preserve"> (NEB) spustila Európska komisia v roku 2021 ako spojovaciu iniciatívu na priesečníku udržateľnosti, estetiky a sociálneho začlenenia. Cieľom je zmeniť zastavané prostredie a životy ľudí tak, aby boli udržateľnejšie, inkluzívnejšie, krajšie a zamerané na človeka. Iniciatíva NEB funguje tak, že zapája ľudí na najnižšej úrovni v ich štvrtiach, poskytuje nástroje a usmernenia, ponúka riešenia šité na mieru rôznym komunitám </w:t>
      </w:r>
      <w:r w:rsidRPr="007E6972">
        <w:rPr>
          <w:noProof/>
        </w:rPr>
        <w:lastRenderedPageBreak/>
        <w:t xml:space="preserve">a zapracúva názory rôznych zainteresovaných strán do procesov navrhovania a realizácie. V rámci iniciatívy NEB sa uprednostňujú ľudia a sociálne začlenenie, ako aj hospodárstvo s cieľom zvýšiť konkurencieschopnosť a strategickú autonómiu Únie. </w:t>
      </w:r>
    </w:p>
    <w:p w14:paraId="6F3FC073" w14:textId="77777777" w:rsidR="002150E9" w:rsidRPr="007E6972" w:rsidRDefault="00B90F88" w:rsidP="002150E9">
      <w:pPr>
        <w:pBdr>
          <w:top w:val="nil"/>
          <w:left w:val="nil"/>
          <w:bottom w:val="nil"/>
          <w:right w:val="nil"/>
          <w:between w:val="nil"/>
          <w:bar w:val="nil"/>
        </w:pBdr>
        <w:spacing w:before="0" w:after="240"/>
        <w:rPr>
          <w:noProof/>
        </w:rPr>
      </w:pPr>
      <w:r w:rsidRPr="007E6972">
        <w:rPr>
          <w:noProof/>
        </w:rPr>
        <w:t>Z </w:t>
      </w:r>
      <w:r w:rsidRPr="007E6972">
        <w:rPr>
          <w:b/>
          <w:noProof/>
        </w:rPr>
        <w:t>nástroja NEB</w:t>
      </w:r>
      <w:r w:rsidRPr="007E6972">
        <w:rPr>
          <w:noProof/>
        </w:rPr>
        <w:t xml:space="preserve"> sa financujú projekty, ktorých cieľom je oživiť štvrte, podporiť sociálne začlenenie a umožniť prístup k cenovo dostupnému bývaniu prostredníctvom inovatívnej a obehovej koncepcie zameranej na človeka – čím sa prepája ponuka bývania so širšími sociálnymi a environmentálnymi cieľmi. V rámci výskumnej a inovačnej zložky nástroja NEB sa podporuje niekoľko projektov v oblasti bývania a bezdomovectva vrátane sociálnej infraštruktúry a služieb.</w:t>
      </w:r>
    </w:p>
    <w:p w14:paraId="7BC6FB01" w14:textId="65E418F5" w:rsidR="000F77E4" w:rsidRPr="007E6972" w:rsidRDefault="000F77E4" w:rsidP="00CD4F24">
      <w:pPr>
        <w:pBdr>
          <w:top w:val="nil"/>
          <w:left w:val="nil"/>
          <w:bottom w:val="nil"/>
          <w:right w:val="nil"/>
          <w:between w:val="nil"/>
          <w:bar w:val="nil"/>
        </w:pBdr>
        <w:spacing w:before="0" w:after="240"/>
        <w:rPr>
          <w:rFonts w:eastAsia="Arial Unicode MS"/>
          <w:noProof/>
        </w:rPr>
      </w:pPr>
      <w:r w:rsidRPr="007E6972">
        <w:rPr>
          <w:noProof/>
        </w:rPr>
        <w:t xml:space="preserve">Cieľom </w:t>
      </w:r>
      <w:r w:rsidRPr="007E6972">
        <w:rPr>
          <w:b/>
          <w:noProof/>
        </w:rPr>
        <w:t>iniciatívy za cenovo dostupné bývanie</w:t>
      </w:r>
      <w:r w:rsidRPr="007E6972">
        <w:rPr>
          <w:noProof/>
        </w:rPr>
        <w:t xml:space="preserve">, súčasti stratégie EÚ </w:t>
      </w:r>
      <w:r w:rsidRPr="007E6972">
        <w:rPr>
          <w:b/>
          <w:noProof/>
        </w:rPr>
        <w:t>„vlna obnovy“</w:t>
      </w:r>
      <w:r w:rsidRPr="007E6972">
        <w:rPr>
          <w:noProof/>
        </w:rPr>
        <w:t xml:space="preserve"> a </w:t>
      </w:r>
      <w:r w:rsidRPr="007E6972">
        <w:rPr>
          <w:b/>
          <w:noProof/>
        </w:rPr>
        <w:t>hlavnej iniciatívy v rámci Nového európskeho Bauhausu</w:t>
      </w:r>
      <w:r w:rsidRPr="007E6972">
        <w:rPr>
          <w:noProof/>
        </w:rPr>
        <w:t xml:space="preserve">, je vytvorenie alebo obnova sociálnych a cenovo dostupných štvrtí. Programom sa rieši energetická chudoba, podporuje sa začlenenie, zabezpečuje sa cenová dostupnosť a znižujú sa emisie, a to prostredníctvom usmernení šitých na mieru vrátane finančného poradenstva, mentorstva a budovania kapacít. To môže pomôcť zlepšiť kvalitu a dostupnosť bývania pre domácnosti s nižšími príjmami. </w:t>
      </w:r>
    </w:p>
    <w:p w14:paraId="1B983FB0" w14:textId="7A9E5414" w:rsidR="005E2B93" w:rsidRPr="007E6972" w:rsidRDefault="00EB32EC" w:rsidP="00000BDB">
      <w:pPr>
        <w:pBdr>
          <w:top w:val="nil"/>
          <w:left w:val="nil"/>
          <w:bottom w:val="nil"/>
          <w:right w:val="nil"/>
          <w:between w:val="nil"/>
          <w:bar w:val="nil"/>
        </w:pBdr>
        <w:spacing w:before="0" w:after="240"/>
        <w:rPr>
          <w:rFonts w:eastAsia="Times New Roman"/>
          <w:noProof/>
          <w:color w:val="000000" w:themeColor="text1"/>
          <w:szCs w:val="24"/>
        </w:rPr>
      </w:pPr>
      <w:r w:rsidRPr="007E6972">
        <w:rPr>
          <w:noProof/>
          <w:color w:val="000000" w:themeColor="text1"/>
        </w:rPr>
        <w:t xml:space="preserve">Podpora ľudí a ich sociálneho začlenenia, a to aj prostredníctvom boja proti chudobe a bezdomovectvu, patrí medzi ciele </w:t>
      </w:r>
      <w:r w:rsidRPr="007E6972">
        <w:rPr>
          <w:b/>
          <w:noProof/>
          <w:color w:val="000000" w:themeColor="text1"/>
        </w:rPr>
        <w:t xml:space="preserve">návrhu Komisie na ďalší dlhodobý rozpočet EÚ na roky 2028 – 2034 </w:t>
      </w:r>
      <w:r w:rsidRPr="007E6972">
        <w:rPr>
          <w:noProof/>
          <w:color w:val="000000" w:themeColor="text1"/>
        </w:rPr>
        <w:t xml:space="preserve">(známy ako viacročný finančný rámec alebo VFR). Vďaka novému integrovanému prístupu umožní návrh VFR členským štátom financovať cenovo dostupné a sociálne bývanie a boj proti bezdomovectvu v kombinácii s potrebnými reformami. </w:t>
      </w:r>
    </w:p>
    <w:p w14:paraId="3AD01330" w14:textId="77777777" w:rsidR="00C578AE" w:rsidRPr="007E6972" w:rsidRDefault="00C578AE" w:rsidP="00000BDB">
      <w:pPr>
        <w:pBdr>
          <w:top w:val="nil"/>
          <w:left w:val="nil"/>
          <w:bottom w:val="nil"/>
          <w:right w:val="nil"/>
          <w:between w:val="nil"/>
          <w:bar w:val="nil"/>
        </w:pBdr>
        <w:spacing w:before="0" w:after="240"/>
        <w:rPr>
          <w:noProof/>
        </w:rPr>
      </w:pPr>
      <w:r w:rsidRPr="007E6972">
        <w:rPr>
          <w:noProof/>
        </w:rPr>
        <w:t>2.</w:t>
      </w:r>
      <w:r w:rsidRPr="007E6972">
        <w:rPr>
          <w:noProof/>
        </w:rPr>
        <w:tab/>
        <w:t>PRÁVNY ZÁKLAD, SUBSIDIARITA A PROPORCIONALITA</w:t>
      </w:r>
    </w:p>
    <w:p w14:paraId="5B7CE084"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Právny základ</w:t>
      </w:r>
    </w:p>
    <w:p w14:paraId="60BE1E1D" w14:textId="77777777" w:rsidR="009C5AB6" w:rsidRPr="007E6972" w:rsidRDefault="009C5AB6" w:rsidP="009C5AB6">
      <w:pPr>
        <w:pStyle w:val="Text1"/>
        <w:ind w:left="0"/>
        <w:rPr>
          <w:noProof/>
        </w:rPr>
      </w:pPr>
      <w:r w:rsidRPr="007E6972">
        <w:rPr>
          <w:noProof/>
        </w:rPr>
        <w:t xml:space="preserve">Navrhované odporúčanie vychádza z článku 292 Zmluvy o fungovaní Európskej únie (ZFEÚ), ktorý predstavuje procesný právny základ, v spojení s článkom 153 ods. 1 písm. j) ZFEÚ, ktorý predstavuje hmotnoprávny základ. </w:t>
      </w:r>
    </w:p>
    <w:p w14:paraId="78962988" w14:textId="77777777" w:rsidR="008D1A6E" w:rsidRPr="007E6972" w:rsidRDefault="009C5AB6" w:rsidP="008D1A6E">
      <w:pPr>
        <w:pStyle w:val="Text1"/>
        <w:ind w:left="0"/>
        <w:rPr>
          <w:noProof/>
        </w:rPr>
      </w:pPr>
      <w:r w:rsidRPr="007E6972">
        <w:rPr>
          <w:noProof/>
        </w:rPr>
        <w:t>Článok 153 ods. 1 písm. j) umožňuje Únii podporovať a dopĺňať činnosti členských štátov v oblasti boja proti sociálnemu vylúčeniu. Vylúčenie z bývania a bezdomovectvo sa v EÚ považujú za najzávažnejšie formy sociálneho vylúčenia. Návrh prispeje k tomuto cieľu bojom proti vylúčeniu z bývania a bezdomovectvu a zároveň sa ním zabezpečí účinný prístup k podporným a základným službám a opatreniam, čím sa umožní jednotlivcom žiť dôstojný život.</w:t>
      </w:r>
    </w:p>
    <w:p w14:paraId="33C42EEF" w14:textId="77777777" w:rsidR="009C5AB6" w:rsidRPr="007E6972" w:rsidRDefault="00A74EF6" w:rsidP="009C5AB6">
      <w:pPr>
        <w:pStyle w:val="Text1"/>
        <w:ind w:left="0"/>
        <w:rPr>
          <w:noProof/>
        </w:rPr>
      </w:pPr>
      <w:r w:rsidRPr="007E6972">
        <w:rPr>
          <w:noProof/>
        </w:rPr>
        <w:t xml:space="preserve">Článok 153 ods. 1 písm. j) je obmedzený článkom 153 ods. 2 písm. a), ktorým sa umožňujú len opatrenia určené na podporu spolupráce medzi členskými štátmi, pričom sa ním vylučuje akákoľvek harmonizácia zákonov a iných právnych predpisov. </w:t>
      </w:r>
    </w:p>
    <w:p w14:paraId="0849494A" w14:textId="77777777" w:rsidR="004058F1" w:rsidRPr="007E6972" w:rsidRDefault="009C5AB6" w:rsidP="004058F1">
      <w:pPr>
        <w:pStyle w:val="Text1"/>
        <w:ind w:left="0"/>
        <w:rPr>
          <w:noProof/>
        </w:rPr>
      </w:pPr>
      <w:r w:rsidRPr="007E6972">
        <w:rPr>
          <w:noProof/>
        </w:rPr>
        <w:t>Podľa článku 153 ods. 4 sa navyše ustanoveniami prijatými podľa článku 153, ako je to v prípade navrhovaného odporúčania: i) nesmie dotknúť právo členských štátov definovať základné zásady svojich systémov sociálnej ochrany a ii) nesmie sa významnou mierou ovplyvňovať finančná rovnováha týchto systémov.</w:t>
      </w:r>
    </w:p>
    <w:p w14:paraId="7E8D53C7" w14:textId="77777777" w:rsidR="00C578AE" w:rsidRPr="007E6972" w:rsidRDefault="00C578AE" w:rsidP="004058F1">
      <w:pPr>
        <w:pStyle w:val="Text1"/>
        <w:ind w:left="0"/>
        <w:rPr>
          <w:rFonts w:eastAsia="Arial Unicode MS"/>
          <w:noProof/>
          <w:u w:color="000000"/>
          <w:bdr w:val="nil"/>
        </w:rPr>
      </w:pPr>
      <w:r w:rsidRPr="007E6972">
        <w:rPr>
          <w:noProof/>
          <w:u w:color="000000"/>
          <w:bdr w:val="nil"/>
        </w:rPr>
        <w:t>•</w:t>
      </w:r>
      <w:r w:rsidRPr="007E6972">
        <w:rPr>
          <w:noProof/>
        </w:rPr>
        <w:tab/>
      </w:r>
      <w:r w:rsidRPr="007E6972">
        <w:rPr>
          <w:b/>
          <w:noProof/>
          <w:u w:color="000000"/>
          <w:bdr w:val="nil"/>
        </w:rPr>
        <w:t>Subsidiarita (v prípade inej ako výlučnej právomoci)</w:t>
      </w:r>
      <w:r w:rsidRPr="007E6972">
        <w:rPr>
          <w:noProof/>
          <w:u w:color="000000"/>
          <w:bdr w:val="nil"/>
        </w:rPr>
        <w:t xml:space="preserve"> </w:t>
      </w:r>
    </w:p>
    <w:p w14:paraId="0ED3E678" w14:textId="77777777" w:rsidR="00816551" w:rsidRPr="007E6972" w:rsidRDefault="00972E9D" w:rsidP="00816551">
      <w:pPr>
        <w:pBdr>
          <w:top w:val="nil"/>
          <w:left w:val="nil"/>
          <w:bottom w:val="nil"/>
          <w:right w:val="nil"/>
          <w:between w:val="nil"/>
          <w:bar w:val="nil"/>
        </w:pBdr>
        <w:spacing w:before="0" w:after="240"/>
        <w:rPr>
          <w:noProof/>
        </w:rPr>
      </w:pPr>
      <w:r w:rsidRPr="007E6972">
        <w:rPr>
          <w:noProof/>
        </w:rPr>
        <w:t>Hoci zodpovednosť za politiku bývania nesú predovšetkým členské štáty, vylúčenie z bývania a bezdomovectvo sú spoločnými výzvami v celej Únii,</w:t>
      </w:r>
      <w:r w:rsidRPr="007E6972">
        <w:rPr>
          <w:noProof/>
          <w:color w:val="000000" w:themeColor="text1"/>
        </w:rPr>
        <w:t xml:space="preserve"> ktoré sú spôsobené spoločnými štrukturálnymi trendmi a na ktoré je vhodné reagovať koordinovane, medziodvetvovo a zdieľaním najlepších postupov</w:t>
      </w:r>
      <w:r w:rsidRPr="007E6972">
        <w:rPr>
          <w:noProof/>
        </w:rPr>
        <w:t xml:space="preserve">. Sú úzko prepojené s cieľmi Únie v oblasti sociálneho začlenenia, zamestnanosti, zdravia, rovnosti, hospodárskeho rozvoja a územnej súdržnosti. </w:t>
      </w:r>
    </w:p>
    <w:p w14:paraId="723D2FBB" w14:textId="77777777" w:rsidR="00FC1E37" w:rsidRPr="007E6972" w:rsidRDefault="00972E9D" w:rsidP="00972E9D">
      <w:pPr>
        <w:pBdr>
          <w:top w:val="nil"/>
          <w:left w:val="nil"/>
          <w:bottom w:val="nil"/>
          <w:right w:val="nil"/>
          <w:between w:val="nil"/>
          <w:bar w:val="nil"/>
        </w:pBdr>
        <w:spacing w:before="0" w:after="240"/>
        <w:rPr>
          <w:rFonts w:eastAsia="Arial Unicode MS"/>
          <w:noProof/>
          <w:color w:val="000000" w:themeColor="text1"/>
        </w:rPr>
      </w:pPr>
      <w:r w:rsidRPr="007E6972">
        <w:rPr>
          <w:noProof/>
        </w:rPr>
        <w:lastRenderedPageBreak/>
        <w:t xml:space="preserve">Rastúci rozdiel medzi nákladmi na bývanie a príjmami oslabuje vzdelávaciu a pracovnú mobilitu, obmedzuje prístup do oblastí s vysokou produktivitou a spôsobuje nedostatok pracovnej sily v odvetviach základných a nízko platených služieb. Ak náklady na bývanie prevyšujú mzdy, pracovníci sú nútení obmedziť výdavky, predĺžiť čas dochádzania do zamestnania alebo sa presťahovať, čím všetkým sa znižuje celková hospodárska efektívnosť a produktivita. Nerovným prístupom k vyhovujúcemu bývaniu sa prehlbuje existujúca nerovnosť príležitostí a vedie to k sociálnemu vylúčeniu. </w:t>
      </w:r>
    </w:p>
    <w:p w14:paraId="305D043B" w14:textId="77777777" w:rsidR="00882838" w:rsidRPr="007E6972" w:rsidRDefault="00972E9D" w:rsidP="00882838">
      <w:pPr>
        <w:pBdr>
          <w:top w:val="nil"/>
          <w:left w:val="nil"/>
          <w:bottom w:val="nil"/>
          <w:right w:val="nil"/>
          <w:between w:val="nil"/>
          <w:bar w:val="nil"/>
        </w:pBdr>
        <w:spacing w:before="0" w:after="240"/>
        <w:rPr>
          <w:rFonts w:eastAsia="Arial Unicode MS"/>
          <w:noProof/>
          <w:color w:val="000000" w:themeColor="text1"/>
        </w:rPr>
      </w:pPr>
      <w:r w:rsidRPr="007E6972">
        <w:rPr>
          <w:noProof/>
          <w:color w:val="000000" w:themeColor="text1"/>
        </w:rPr>
        <w:t xml:space="preserve">Členské štáty majú najlepšie predpoklady na navrhovanie a realizáciu politík prispôsobených ich vnútroštátnym okolnostiam. Opatrenia na úrovni Únie však prinášajú pridanú hodnotu tým, že sa v rámci nich poskytujú politické usmernenia a najlepšie postupy, uľahčuje sa vzájomné učenie, podporujú sa prístupy založené na dôkazoch a porovnateľnosť údajov </w:t>
      </w:r>
      <w:r w:rsidRPr="007E6972">
        <w:rPr>
          <w:noProof/>
        </w:rPr>
        <w:t xml:space="preserve">a zlepšuje sa prístup k financiám. </w:t>
      </w:r>
      <w:r w:rsidRPr="007E6972">
        <w:rPr>
          <w:noProof/>
          <w:color w:val="000000" w:themeColor="text1"/>
        </w:rPr>
        <w:t>Takýmito opatreniami sa potvrdzuje politický záväzok Únie zabezpečiť rovnaké príležitosti a dôstojný život pre všetkých a podporuje sa zvyšovanie sociálnej konvergencie členských štátov.</w:t>
      </w:r>
    </w:p>
    <w:p w14:paraId="7B782977" w14:textId="77777777" w:rsidR="00B25110" w:rsidRPr="007E6972" w:rsidRDefault="00972E9D" w:rsidP="00972E9D">
      <w:pPr>
        <w:pBdr>
          <w:top w:val="nil"/>
          <w:left w:val="nil"/>
          <w:bottom w:val="nil"/>
          <w:right w:val="nil"/>
          <w:between w:val="nil"/>
          <w:bar w:val="nil"/>
        </w:pBdr>
        <w:spacing w:before="0" w:after="240"/>
        <w:rPr>
          <w:rFonts w:eastAsia="Arial Unicode MS"/>
          <w:noProof/>
        </w:rPr>
      </w:pPr>
      <w:r w:rsidRPr="007E6972">
        <w:rPr>
          <w:noProof/>
        </w:rPr>
        <w:t>Ukončením vylúčenia z bývania a bezdomovectva by sa prispelo k dosiahnutiu cieľov OSN v oblasti udržateľného rozvoja zahrnutých do Agendy 2030 pre udržateľný rozvoj, najmä cieľa udržateľného rozvoja 11.1 týkajúceho sa prístupu k vyhovujúcemu, bezpečnému a cenovo dostupnému bývaniu a základným službám pre všetkých. Zároveň by sa tým podporilo uplatňovanie zásad Európskeho piliera sociálnych práv a realizácia cieľov Lisabonskej deklarácie o európskej platforme na boj proti bezdomovectvu. Politikami a opatreniami stanovenými v navrhovanom odporúčaní sa okrem toho doplní a podporí účinné vykonávanie Európskeho plánu pre cenovo dostupné bývanie so zameraním na ochranu tých, ktorých kríza bývania zasiahla najviac. Navrhovaným odporúčaním Rady by sa členským štátom poskytol komplexný referenčný rámec, ktorý by ich usmerňoval pri dosahovaní uvedených cieľov.</w:t>
      </w:r>
    </w:p>
    <w:p w14:paraId="4BDBB8DC"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 xml:space="preserve">Proporcionalita </w:t>
      </w:r>
    </w:p>
    <w:p w14:paraId="474FA8DD" w14:textId="77777777" w:rsidR="006A7D5F" w:rsidRPr="007E6972" w:rsidRDefault="001C7747" w:rsidP="006A7D5F">
      <w:pPr>
        <w:pBdr>
          <w:top w:val="nil"/>
          <w:left w:val="nil"/>
          <w:bottom w:val="nil"/>
          <w:right w:val="nil"/>
          <w:between w:val="nil"/>
          <w:bar w:val="nil"/>
        </w:pBdr>
        <w:spacing w:before="0" w:after="240"/>
        <w:rPr>
          <w:rFonts w:eastAsia="Arial Unicode MS"/>
          <w:noProof/>
          <w:color w:val="000000" w:themeColor="text1"/>
        </w:rPr>
      </w:pPr>
      <w:r w:rsidRPr="007E6972">
        <w:rPr>
          <w:noProof/>
          <w:color w:val="000000" w:themeColor="text1"/>
        </w:rPr>
        <w:t xml:space="preserve">Opatrenia navrhované v tomto odporúčaní sú primerané sledovaným cieľom. Odporúčaním sa neukladajú záväzné povinnosti ani sa neharmonizujú vnútroštátne právne predpisy. Poskytujú sa v ňom flexibilné usmernenia, určujú sa účinné postupy a nabáda sa k postupnému zosúladeniu s dohodnutými zásadami. Preto sa ním neprekračuje rámec nevyhnutný na dosiahnutie jeho cieľov, pričom odporúčanie je primerané riešeným výzvam. </w:t>
      </w:r>
    </w:p>
    <w:p w14:paraId="560DF110" w14:textId="77777777" w:rsidR="006F00C1" w:rsidRPr="007E6972" w:rsidRDefault="006A7D5F" w:rsidP="006A7D5F">
      <w:pPr>
        <w:pBdr>
          <w:top w:val="nil"/>
          <w:left w:val="nil"/>
          <w:bottom w:val="nil"/>
          <w:right w:val="nil"/>
          <w:between w:val="nil"/>
          <w:bar w:val="nil"/>
        </w:pBdr>
        <w:spacing w:before="0" w:after="240"/>
        <w:rPr>
          <w:rFonts w:eastAsia="Arial Unicode MS"/>
          <w:noProof/>
          <w:color w:val="000000" w:themeColor="text1"/>
        </w:rPr>
      </w:pPr>
      <w:r w:rsidRPr="007E6972">
        <w:rPr>
          <w:noProof/>
          <w:color w:val="000000" w:themeColor="text1"/>
        </w:rPr>
        <w:t>Návrhom sa podporuje ďalší rozvoj politiky bývania pre osoby v situácii neistoty v bývaní, prístup k starostlivosti a iným existujúcim službám a záchranným sociálnym sieťam v členských štátoch a dopĺňa sa úsilie členských štátov v boji proti sociálnemu vylúčeniu znevýhodnených osôb. V navrhovanom odporúčaní sa rešpektujú postupy členských štátov a rozmanitosť ich systémov sociálnej ochrany. Uznáva sa v ňom, že rôzne národné, regionálne alebo miestne situácie by mohli viesť k rozdielom v spôsobe vykonávania odporúčania, a členským štátom sa umožňuje využiť odporúčanie v závislosti od ich osobitného kontextu. Proporcionalita zohrávala kľúčovú úlohu aj pri usmerňovaní výberu nástroja.</w:t>
      </w:r>
    </w:p>
    <w:p w14:paraId="6FE5D74A"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Výber nástroja</w:t>
      </w:r>
    </w:p>
    <w:p w14:paraId="5F8121F9" w14:textId="77777777" w:rsidR="001531DB" w:rsidRPr="007E6972" w:rsidRDefault="001531DB" w:rsidP="001531DB">
      <w:pPr>
        <w:pBdr>
          <w:top w:val="nil"/>
          <w:left w:val="nil"/>
          <w:bottom w:val="nil"/>
          <w:right w:val="nil"/>
          <w:between w:val="nil"/>
          <w:bar w:val="nil"/>
        </w:pBdr>
        <w:spacing w:before="0" w:after="240"/>
        <w:rPr>
          <w:rFonts w:eastAsia="Arial Unicode MS"/>
          <w:noProof/>
        </w:rPr>
      </w:pPr>
      <w:r w:rsidRPr="007E6972">
        <w:rPr>
          <w:noProof/>
        </w:rPr>
        <w:t xml:space="preserve">Nástrojom je návrh odporúčania Rady, ktorým sa dodržiavajú zásady subsidiarity a proporcionality. Vychádza z existujúceho práva Únie a je v súlade s typom dostupných nástrojov na prijatie krokov v oblasti sociálnej politiky na úrovni Únie. Návrh ako právny nástroj signalizuje záväzok členských štátov prijať opatrenia, ktoré sú v ňom stanovené, </w:t>
      </w:r>
      <w:r w:rsidRPr="007E6972">
        <w:rPr>
          <w:noProof/>
        </w:rPr>
        <w:lastRenderedPageBreak/>
        <w:t xml:space="preserve">a poskytuje pevný politický základ pre spoluprácu na úrovni Únie v tejto oblasti, pričom sa ním plne rešpektujú právomoci členských štátov. </w:t>
      </w:r>
    </w:p>
    <w:p w14:paraId="78014377" w14:textId="77777777" w:rsidR="00C578AE" w:rsidRPr="007E6972" w:rsidRDefault="00C578AE">
      <w:pPr>
        <w:pStyle w:val="ManualHeading1"/>
        <w:rPr>
          <w:noProof/>
        </w:rPr>
      </w:pPr>
      <w:r w:rsidRPr="007E6972">
        <w:rPr>
          <w:noProof/>
        </w:rPr>
        <w:t>3.</w:t>
      </w:r>
      <w:r w:rsidRPr="007E6972">
        <w:rPr>
          <w:noProof/>
        </w:rPr>
        <w:tab/>
        <w:t xml:space="preserve">VÝSLEDKY HODNOTENÍ </w:t>
      </w:r>
      <w:r w:rsidRPr="007E6972">
        <w:rPr>
          <w:i/>
          <w:iCs/>
          <w:noProof/>
        </w:rPr>
        <w:t>EX POST</w:t>
      </w:r>
      <w:r w:rsidRPr="007E6972">
        <w:rPr>
          <w:noProof/>
        </w:rPr>
        <w:t>, KONZULTÁCIÍ SO ZAINTERESOVANÝMI STRANAMI A POSÚDENÍ VPLYVU</w:t>
      </w:r>
    </w:p>
    <w:p w14:paraId="63862FA7"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 xml:space="preserve">Hodnotenia </w:t>
      </w:r>
      <w:r w:rsidRPr="007E6972">
        <w:rPr>
          <w:i/>
          <w:iCs/>
          <w:noProof/>
          <w:u w:color="000000"/>
          <w:bdr w:val="nil"/>
        </w:rPr>
        <w:t>ex post</w:t>
      </w:r>
      <w:r w:rsidRPr="007E6972">
        <w:rPr>
          <w:noProof/>
          <w:u w:color="000000"/>
          <w:bdr w:val="nil"/>
        </w:rPr>
        <w:t>/kontroly vhodnosti existujúcich právnych predpisov</w:t>
      </w:r>
    </w:p>
    <w:p w14:paraId="2DDF0A96" w14:textId="77777777" w:rsidR="00C578AE" w:rsidRPr="007E6972" w:rsidRDefault="0001056A">
      <w:pPr>
        <w:pBdr>
          <w:top w:val="nil"/>
          <w:left w:val="nil"/>
          <w:bottom w:val="nil"/>
          <w:right w:val="nil"/>
          <w:between w:val="nil"/>
          <w:bar w:val="nil"/>
        </w:pBdr>
        <w:spacing w:before="0" w:after="240"/>
        <w:rPr>
          <w:rFonts w:eastAsia="Arial Unicode MS"/>
          <w:noProof/>
        </w:rPr>
      </w:pPr>
      <w:r w:rsidRPr="007E6972">
        <w:rPr>
          <w:noProof/>
        </w:rPr>
        <w:t>Neuplatňuje sa.</w:t>
      </w:r>
    </w:p>
    <w:p w14:paraId="60A5EC10"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Konzultácie so zainteresovanými stranami</w:t>
      </w:r>
    </w:p>
    <w:p w14:paraId="585E1E44" w14:textId="77777777" w:rsidR="00ED7DBC" w:rsidRPr="007E6972" w:rsidRDefault="005E319F" w:rsidP="00842964">
      <w:pPr>
        <w:pBdr>
          <w:top w:val="nil"/>
          <w:left w:val="nil"/>
          <w:bottom w:val="nil"/>
          <w:right w:val="nil"/>
          <w:between w:val="nil"/>
          <w:bar w:val="nil"/>
        </w:pBdr>
        <w:spacing w:before="0" w:after="240"/>
        <w:rPr>
          <w:rFonts w:eastAsia="Arial Unicode MS"/>
          <w:noProof/>
        </w:rPr>
      </w:pPr>
      <w:r w:rsidRPr="007E6972">
        <w:rPr>
          <w:noProof/>
        </w:rPr>
        <w:t xml:space="preserve">Pre tento typ iniciatívy sa nevyžaduje verejná konzultácia. </w:t>
      </w:r>
    </w:p>
    <w:p w14:paraId="2DBC0B98" w14:textId="77777777" w:rsidR="00A35230" w:rsidRPr="007E6972" w:rsidRDefault="00A91635" w:rsidP="00842964">
      <w:pPr>
        <w:pBdr>
          <w:top w:val="nil"/>
          <w:left w:val="nil"/>
          <w:bottom w:val="nil"/>
          <w:right w:val="nil"/>
          <w:between w:val="nil"/>
          <w:bar w:val="nil"/>
        </w:pBdr>
        <w:spacing w:before="0" w:after="240"/>
        <w:rPr>
          <w:rFonts w:eastAsia="Arial Unicode MS"/>
          <w:noProof/>
        </w:rPr>
      </w:pPr>
      <w:r w:rsidRPr="007E6972">
        <w:rPr>
          <w:noProof/>
        </w:rPr>
        <w:t xml:space="preserve">Na účely poskytnutia spätnej väzby bola od 12. marca 2026 do 9. apríla 2026 uverejnená výzva na predkladanie podkladov. V spätnej väzbe sa ako prierezový problém ukázal nedostatok cenovo dostupného a sociálneho bývania, pričom prispievatelia sa zasadzovali za udržateľné verejné investície, rozšírenie neziskového a družstevného bývania a intenzívnejšie využívanie fondov EÚ. Prispievatelia vyjadrujú silnú podporu prístupom zameraným na bývanie ako modelu založenému na dôkazoch a zároveň vyzývajú na jeho systémové rozšírenie na vnútroštátnej úrovni. Respondenti zdôrazňujú potrebu integrovaných prístupov zameraných na človeka, pri ktorých sa bývanie spája so zdravotnými, sociálnymi a vzdelávacími službami a so službami zamestnanosti. Prevencia prostredníctvom systémov včasného varovania, opatrení na ochranu pred vysťahovaním, mediácie týkajúcej sa nájomného a podpory pri zadlženosti sa považuje za nedostatočne financovanú a málo rozvinutú. Prispievatelia takisto vyzývajú na harmonizovaný zber údajov s využitím klasifikácie ETHOS a na intenzívnejšie monitorovanie na úrovni EÚ, a to aj prostredníctvom európskeho semestra. Zdôrazňuje sa aj neprimeraný vplyv na zraniteľné skupiny – Rómov, osoby so zdravotným postihnutím, LGBTIQ+ osoby, ženy a osamelé matky, deti, mladých ľudí opúšťajúcich starostlivosť, migrantov a mnohopočetné rodiny. </w:t>
      </w:r>
    </w:p>
    <w:p w14:paraId="2215877C" w14:textId="77777777" w:rsidR="005E319F" w:rsidRPr="007E6972" w:rsidRDefault="005E319F" w:rsidP="00842964">
      <w:pPr>
        <w:pBdr>
          <w:top w:val="nil"/>
          <w:left w:val="nil"/>
          <w:bottom w:val="nil"/>
          <w:right w:val="nil"/>
          <w:between w:val="nil"/>
          <w:bar w:val="nil"/>
        </w:pBdr>
        <w:spacing w:before="0" w:after="240"/>
        <w:rPr>
          <w:noProof/>
        </w:rPr>
      </w:pPr>
      <w:bookmarkStart w:id="2" w:name="_Hlk220931112"/>
      <w:r w:rsidRPr="007E6972">
        <w:rPr>
          <w:noProof/>
        </w:rPr>
        <w:t xml:space="preserve">V období od 25. júla do 24. októbra 2025 uskutočnila Komisia verejnú konzultáciu o stratégii EÚ v oblasti boja proti chudobe, ktorá prispela k formovaniu obsahu tohto návrhu. Tento návrh je súčasťou balíka stratégie EÚ v oblasti boja proti chudobe. V septembri a októbri 2025 sa uskutočnili cielené konzultácie s ľuďmi žijúcimi v chudobe v súvislosti s vypracúvaním stratégie EÚ v oblasti boja proti chudobe. </w:t>
      </w:r>
    </w:p>
    <w:p w14:paraId="2EFB5B8B" w14:textId="77777777" w:rsidR="001D3E76" w:rsidRPr="007E6972" w:rsidRDefault="0088755E" w:rsidP="001D3E76">
      <w:pPr>
        <w:pBdr>
          <w:top w:val="nil"/>
          <w:left w:val="nil"/>
          <w:bottom w:val="nil"/>
          <w:right w:val="nil"/>
          <w:between w:val="nil"/>
          <w:bar w:val="nil"/>
        </w:pBdr>
        <w:spacing w:before="0" w:after="240"/>
        <w:rPr>
          <w:noProof/>
        </w:rPr>
      </w:pPr>
      <w:r w:rsidRPr="007E6972">
        <w:rPr>
          <w:noProof/>
        </w:rPr>
        <w:t>Tento návrh zároveň vychádza z výsledkov verejnej konzultácie, ktorú Komisia uskutočnila v rámci vypracúvania Európskeho plánu pre cenovo dostupné bývanie a ktorá sa konala od 11. júla do 17. októbra 2025. Táto konzultácia obsahovala otázky, ktorých cieľom bolo zistiť názory účastníkov na zabezpečenie cenovo dostupného a prístupného bývania pre ľudí v zraniteľných situáciách, ľudí, ktorým hrozí diskriminácia, alebo pre ľudí bez domova. Táto konzultácia bola súčasťou dialógu o cenovo dostupnom bývaní, ktorý Komisia začala v rámci prípravy plánu, a získalo sa ňou viac ako 13 000 odpovedí.</w:t>
      </w:r>
    </w:p>
    <w:p w14:paraId="7BF39F83" w14:textId="270C84BE" w:rsidR="005E319F" w:rsidRPr="007E6972" w:rsidRDefault="005E319F" w:rsidP="005E319F">
      <w:pPr>
        <w:pBdr>
          <w:top w:val="nil"/>
          <w:left w:val="nil"/>
          <w:bottom w:val="nil"/>
          <w:right w:val="nil"/>
          <w:between w:val="nil"/>
          <w:bar w:val="nil"/>
        </w:pBdr>
        <w:spacing w:before="0" w:after="240"/>
        <w:rPr>
          <w:rFonts w:eastAsia="Arial Unicode MS"/>
          <w:noProof/>
        </w:rPr>
      </w:pPr>
      <w:r w:rsidRPr="007E6972">
        <w:rPr>
          <w:noProof/>
        </w:rPr>
        <w:t xml:space="preserve">Obsah tohto návrhu sa konzultoval s európskou platformou na boj proti bezdomovectvu prostredníctvom písomnej konzultácie v januári 2026. Platforma zahŕňa všetky relevantné zainteresované strany, ktoré sú zodpovedné za boj proti bezdomovectvu – Európsku komisiu, Európsky parlament, členské štáty, Výbor regiónov, Európsky hospodársky a sociálny výbor, sociálnych partnerov a príslušné európske. </w:t>
      </w:r>
    </w:p>
    <w:bookmarkEnd w:id="2"/>
    <w:p w14:paraId="4C3B5163" w14:textId="77777777" w:rsidR="00C578AE" w:rsidRPr="007E6972" w:rsidRDefault="00C578AE">
      <w:pPr>
        <w:pStyle w:val="ManualHeading2"/>
        <w:rPr>
          <w:rFonts w:eastAsia="Arial Unicode MS"/>
          <w:noProof/>
          <w:u w:color="000000"/>
          <w:bdr w:val="nil"/>
        </w:rPr>
      </w:pPr>
      <w:r w:rsidRPr="007E6972">
        <w:rPr>
          <w:noProof/>
          <w:u w:color="000000"/>
          <w:bdr w:val="nil"/>
        </w:rPr>
        <w:lastRenderedPageBreak/>
        <w:t>•</w:t>
      </w:r>
      <w:r w:rsidRPr="007E6972">
        <w:rPr>
          <w:noProof/>
        </w:rPr>
        <w:tab/>
      </w:r>
      <w:r w:rsidRPr="007E6972">
        <w:rPr>
          <w:noProof/>
          <w:u w:color="000000"/>
          <w:bdr w:val="nil"/>
        </w:rPr>
        <w:t>Získavanie a využívanie expertízy</w:t>
      </w:r>
    </w:p>
    <w:p w14:paraId="1AAE12EA" w14:textId="77777777" w:rsidR="0002616A" w:rsidRPr="007E6972" w:rsidRDefault="0002616A" w:rsidP="0002616A">
      <w:pPr>
        <w:pBdr>
          <w:top w:val="nil"/>
          <w:left w:val="nil"/>
          <w:bottom w:val="nil"/>
          <w:right w:val="nil"/>
          <w:between w:val="nil"/>
          <w:bar w:val="nil"/>
        </w:pBdr>
        <w:spacing w:before="0" w:after="240"/>
        <w:rPr>
          <w:b/>
          <w:bCs/>
          <w:noProof/>
        </w:rPr>
      </w:pPr>
      <w:r w:rsidRPr="007E6972">
        <w:rPr>
          <w:noProof/>
        </w:rPr>
        <w:t xml:space="preserve">Dôkazy, o ktoré sa táto iniciatíva opiera, vychádzajú z </w:t>
      </w:r>
      <w:r w:rsidRPr="007E6972">
        <w:rPr>
          <w:b/>
          <w:noProof/>
        </w:rPr>
        <w:t xml:space="preserve">práce vykonávanej v rámci európskej platformy na boj proti bezdomovectvu od roku 2021. </w:t>
      </w:r>
    </w:p>
    <w:p w14:paraId="23186D95" w14:textId="77777777" w:rsidR="001866C4" w:rsidRPr="007E6972" w:rsidRDefault="0002616A" w:rsidP="0002616A">
      <w:pPr>
        <w:pBdr>
          <w:top w:val="nil"/>
          <w:left w:val="nil"/>
          <w:bottom w:val="nil"/>
          <w:right w:val="nil"/>
          <w:between w:val="nil"/>
          <w:bar w:val="nil"/>
        </w:pBdr>
        <w:spacing w:before="0" w:after="240"/>
        <w:rPr>
          <w:noProof/>
        </w:rPr>
      </w:pPr>
      <w:r w:rsidRPr="007E6972">
        <w:rPr>
          <w:noProof/>
        </w:rPr>
        <w:t>V rámci pracovnej oblasti platformy zameranej na vzájomné učenie bolo zadaných niekoľko štúdií</w:t>
      </w:r>
      <w:r w:rsidRPr="007E6972">
        <w:rPr>
          <w:rStyle w:val="FootnoteReference"/>
          <w:noProof/>
        </w:rPr>
        <w:footnoteReference w:id="7"/>
      </w:r>
      <w:r w:rsidRPr="007E6972">
        <w:rPr>
          <w:noProof/>
        </w:rPr>
        <w:t xml:space="preserve"> s cieľom poskytnúť podklady členským štátom a podporiť ich v úsilí o vypracovanie a vykonávanie národných stratégií boja proti vylúčeniu z bývania a bezdomovectvu. Z týchto štúdií vyplýva, že riešenie bezdomovectva si vyžaduje prechod od núdzových riešení k riešeniam zameraným na bývanie – poskytnutie okamžitého, stabilného bývania s prispôsobenou podporou. Týmto prístupom sa prerušujú nákladné cykly dočasných prístreškov a zdôrazňuje sa cenovo dostupné bývanie ako kľúčové preventívne opatrenie. </w:t>
      </w:r>
    </w:p>
    <w:p w14:paraId="7B30A70C" w14:textId="77777777" w:rsidR="0002616A" w:rsidRPr="007E6972" w:rsidRDefault="00FD4AC3" w:rsidP="0002616A">
      <w:pPr>
        <w:pBdr>
          <w:top w:val="nil"/>
          <w:left w:val="nil"/>
          <w:bottom w:val="nil"/>
          <w:right w:val="nil"/>
          <w:between w:val="nil"/>
          <w:bar w:val="nil"/>
        </w:pBdr>
        <w:spacing w:before="0" w:after="240"/>
        <w:rPr>
          <w:noProof/>
        </w:rPr>
      </w:pPr>
      <w:r w:rsidRPr="007E6972">
        <w:rPr>
          <w:noProof/>
        </w:rPr>
        <w:t>Súbor nástrojov OECD na boj proti bezdomovectvu</w:t>
      </w:r>
      <w:r w:rsidRPr="007E6972">
        <w:rPr>
          <w:rStyle w:val="FootnoteReference"/>
          <w:noProof/>
        </w:rPr>
        <w:footnoteReference w:id="8"/>
      </w:r>
      <w:r w:rsidRPr="007E6972">
        <w:rPr>
          <w:noProof/>
        </w:rPr>
        <w:t xml:space="preserve"> poskytuje stratégie na znižovanie bezdomovectva prostredníctvom preventívnych a reaktívnych opatrení s cieľom vytvoriť účinné, dlhodobé riešenia a kladie dôraz na politiky založené na údajoch, integrovanú podporu, stabilitu bývania, prístupy šité na mieru a medziodvetvovú spoluprácu. Cieľom monitorovacieho rámca OECD</w:t>
      </w:r>
      <w:r w:rsidRPr="007E6972">
        <w:rPr>
          <w:rStyle w:val="FootnoteReference"/>
          <w:noProof/>
        </w:rPr>
        <w:footnoteReference w:id="9"/>
      </w:r>
      <w:r w:rsidRPr="007E6972">
        <w:rPr>
          <w:noProof/>
        </w:rPr>
        <w:t xml:space="preserve"> je zlepšiť chápanie a sledovanie bezdomovectva stanovením konzistentných medzinárodných noriem pre zber a analýzu údajov. Zdôrazňuje sa v ňom význam používania komplexných, porovnateľných ukazovateľov, ktoré odrážajú mnohostrannú povahu bezdomovectva. </w:t>
      </w:r>
    </w:p>
    <w:p w14:paraId="148560DD" w14:textId="77777777" w:rsidR="001C6EBB" w:rsidRPr="007E6972" w:rsidRDefault="001C6EBB" w:rsidP="001C6EBB">
      <w:pPr>
        <w:rPr>
          <w:noProof/>
        </w:rPr>
      </w:pPr>
      <w:r w:rsidRPr="007E6972">
        <w:rPr>
          <w:noProof/>
        </w:rPr>
        <w:t>V rámci pilotného projektu European Homelessness Count</w:t>
      </w:r>
      <w:r w:rsidRPr="007E6972">
        <w:rPr>
          <w:rStyle w:val="FootnoteReference"/>
          <w:noProof/>
        </w:rPr>
        <w:footnoteReference w:id="10"/>
      </w:r>
      <w:r w:rsidRPr="007E6972">
        <w:rPr>
          <w:noProof/>
        </w:rPr>
        <w:t xml:space="preserve"> (Európske sčítanie ľudí bez domova) sa vypracovala a otestovala porovnateľná metodika sčítavania a profilovania ľudí bez domova v celej EÚ. Pri projekte sa využíva harmonizovaný prístup založený na vymedzení ETHOS Light</w:t>
      </w:r>
      <w:r w:rsidRPr="007E6972">
        <w:rPr>
          <w:rStyle w:val="FootnoteReference"/>
          <w:noProof/>
        </w:rPr>
        <w:footnoteReference w:id="11"/>
      </w:r>
      <w:r w:rsidRPr="007E6972">
        <w:rPr>
          <w:noProof/>
        </w:rPr>
        <w:t>.</w:t>
      </w:r>
    </w:p>
    <w:p w14:paraId="5BE1A82B" w14:textId="77777777" w:rsidR="00BE49FF" w:rsidRPr="007E6972" w:rsidRDefault="0002616A" w:rsidP="00557312">
      <w:pPr>
        <w:rPr>
          <w:noProof/>
          <w:szCs w:val="24"/>
        </w:rPr>
      </w:pPr>
      <w:r w:rsidRPr="007E6972">
        <w:rPr>
          <w:noProof/>
        </w:rPr>
        <w:t>V záujme rozsiahlej analýzy prepojenia medzi chudobou a vylúčením z bývania sa</w:t>
      </w:r>
      <w:r w:rsidRPr="007E6972">
        <w:rPr>
          <w:b/>
          <w:noProof/>
        </w:rPr>
        <w:t xml:space="preserve"> </w:t>
      </w:r>
      <w:r w:rsidRPr="007E6972">
        <w:rPr>
          <w:noProof/>
        </w:rPr>
        <w:t>v správe Európskej siete pre analýzu sociálnej politiky</w:t>
      </w:r>
      <w:r w:rsidRPr="007E6972">
        <w:rPr>
          <w:rStyle w:val="FootnoteReference"/>
          <w:noProof/>
        </w:rPr>
        <w:footnoteReference w:id="12"/>
      </w:r>
      <w:r w:rsidRPr="007E6972">
        <w:rPr>
          <w:noProof/>
        </w:rPr>
        <w:t xml:space="preserve"> uvádza porovnávacia analýza priesečníka bezdomovectva a politík boja proti chudobe v EÚ. </w:t>
      </w:r>
    </w:p>
    <w:p w14:paraId="7AFD6810"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Posúdenie vplyvu</w:t>
      </w:r>
    </w:p>
    <w:p w14:paraId="668E23F9" w14:textId="77777777" w:rsidR="0096681E" w:rsidRPr="007E6972" w:rsidRDefault="004F5935" w:rsidP="0096681E">
      <w:pPr>
        <w:pBdr>
          <w:top w:val="nil"/>
          <w:left w:val="nil"/>
          <w:bottom w:val="nil"/>
          <w:right w:val="nil"/>
          <w:between w:val="nil"/>
          <w:bar w:val="nil"/>
        </w:pBdr>
        <w:spacing w:before="0" w:after="240"/>
        <w:rPr>
          <w:rFonts w:eastAsia="Arial Unicode MS"/>
          <w:noProof/>
        </w:rPr>
      </w:pPr>
      <w:r w:rsidRPr="007E6972">
        <w:rPr>
          <w:noProof/>
        </w:rPr>
        <w:t xml:space="preserve">Posúdenie vplyvu sa neplánuje, pretože zvolený nástroj – odporúčanie Rady – je nezáväzný a možnosť vykonávania bude na členských štátoch. Návrh odporúčania Rady je podložený </w:t>
      </w:r>
      <w:r w:rsidRPr="007E6972">
        <w:rPr>
          <w:noProof/>
        </w:rPr>
        <w:lastRenderedPageBreak/>
        <w:t>pracovným dokumentom útvarov Komisie, ktorý je priložený k stratégii v oblasti boja proti chudobe.</w:t>
      </w:r>
    </w:p>
    <w:p w14:paraId="7606F287" w14:textId="77777777" w:rsidR="00C578AE" w:rsidRPr="007E6972" w:rsidRDefault="0096681E">
      <w:pPr>
        <w:pBdr>
          <w:top w:val="nil"/>
          <w:left w:val="nil"/>
          <w:bottom w:val="nil"/>
          <w:right w:val="nil"/>
          <w:between w:val="nil"/>
          <w:bar w:val="nil"/>
        </w:pBdr>
        <w:spacing w:before="0" w:after="240"/>
        <w:rPr>
          <w:rFonts w:eastAsia="Arial Unicode MS"/>
          <w:noProof/>
        </w:rPr>
      </w:pPr>
      <w:r w:rsidRPr="007E6972">
        <w:rPr>
          <w:noProof/>
        </w:rPr>
        <w:t>Vplyv odporúčania nebude závisieť len od toho, ako členské štáty vykonávajú opatrenia. Dôležité sú aj vnútroštátne okolnosti, ako je makroekonomická situácia, koncepcia systémov sociálnej ochrany a sociálnych služieb a fungovanie systémov bývania, ktoré sťažujú oddelenie konkrétneho vplyvu návrhu od iných faktorov.</w:t>
      </w:r>
    </w:p>
    <w:p w14:paraId="0393148A"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Základné práva</w:t>
      </w:r>
    </w:p>
    <w:p w14:paraId="3C87B066" w14:textId="77777777" w:rsidR="00196672" w:rsidRPr="007E6972" w:rsidRDefault="00196672" w:rsidP="00196672">
      <w:pPr>
        <w:pBdr>
          <w:top w:val="nil"/>
          <w:left w:val="nil"/>
          <w:bottom w:val="nil"/>
          <w:right w:val="nil"/>
          <w:between w:val="nil"/>
          <w:bar w:val="nil"/>
        </w:pBdr>
        <w:spacing w:before="0" w:after="240"/>
        <w:rPr>
          <w:rFonts w:eastAsia="Arial Unicode MS"/>
          <w:noProof/>
        </w:rPr>
      </w:pPr>
      <w:bookmarkStart w:id="5" w:name="_Hlk220930317"/>
      <w:r w:rsidRPr="007E6972">
        <w:rPr>
          <w:noProof/>
        </w:rPr>
        <w:t xml:space="preserve">Návrh prispeje k ochrane práva na ľudskú dôstojnosť (článok 1 Charty základných práv Európskej únie), na dávky sociálneho zabezpečenia a sociálne služby, na sociálnu pomoc a pomoc pri bývaní a na dôstojnú existenciu všetkých osôb, ktoré nemajú dostatok prostriedkov (článok 34 charty). </w:t>
      </w:r>
    </w:p>
    <w:bookmarkEnd w:id="5"/>
    <w:p w14:paraId="3C8710B9" w14:textId="77777777" w:rsidR="00C578AE" w:rsidRPr="007E6972" w:rsidRDefault="00C578AE">
      <w:pPr>
        <w:pStyle w:val="ManualHeading1"/>
        <w:rPr>
          <w:noProof/>
        </w:rPr>
      </w:pPr>
      <w:r w:rsidRPr="007E6972">
        <w:rPr>
          <w:noProof/>
        </w:rPr>
        <w:t>4.</w:t>
      </w:r>
      <w:r w:rsidRPr="007E6972">
        <w:rPr>
          <w:noProof/>
        </w:rPr>
        <w:tab/>
        <w:t>VPLYV NA ROZPOČET</w:t>
      </w:r>
    </w:p>
    <w:p w14:paraId="2499509E" w14:textId="77777777" w:rsidR="00143377" w:rsidRPr="007E6972" w:rsidRDefault="002A4F74" w:rsidP="00143377">
      <w:pPr>
        <w:pBdr>
          <w:top w:val="nil"/>
          <w:left w:val="nil"/>
          <w:bottom w:val="nil"/>
          <w:right w:val="nil"/>
          <w:between w:val="nil"/>
          <w:bar w:val="nil"/>
        </w:pBdr>
        <w:spacing w:before="0" w:after="240"/>
        <w:rPr>
          <w:rFonts w:eastAsia="Arial Unicode MS"/>
          <w:noProof/>
        </w:rPr>
      </w:pPr>
      <w:bookmarkStart w:id="6" w:name="_Hlk220930254"/>
      <w:r w:rsidRPr="007E6972">
        <w:rPr>
          <w:noProof/>
        </w:rPr>
        <w:t xml:space="preserve">Toto odporúčanie nemá priamy vplyv na rozpočet Únie. Členské štáty sa ním vyzývajú, aby efektívne využívali existujúce vnútroštátne zdroje a relevantné nástroje financovania z prostriedkov Únie vrátane ESF+, EFRR, Erasmus+, InvestEU a Mechanizmu na podporu obnovy a odolnosti, a to v súlade s ich príslušnými pravidlami a nástrojmi v rámci budúceho VFR. </w:t>
      </w:r>
    </w:p>
    <w:bookmarkEnd w:id="6"/>
    <w:p w14:paraId="28B674D9" w14:textId="77777777" w:rsidR="00C578AE" w:rsidRPr="007E6972" w:rsidRDefault="00C578AE">
      <w:pPr>
        <w:pStyle w:val="ManualHeading1"/>
        <w:rPr>
          <w:noProof/>
        </w:rPr>
      </w:pPr>
      <w:r w:rsidRPr="007E6972">
        <w:rPr>
          <w:noProof/>
        </w:rPr>
        <w:t>5.</w:t>
      </w:r>
      <w:r w:rsidRPr="007E6972">
        <w:rPr>
          <w:noProof/>
        </w:rPr>
        <w:tab/>
        <w:t>ĎALŠIE PRVKY</w:t>
      </w:r>
    </w:p>
    <w:p w14:paraId="7AAD6C30"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Plány vykonávania, spôsob monitorovania, hodnotenia a podávania správ</w:t>
      </w:r>
    </w:p>
    <w:p w14:paraId="6A1C78F4" w14:textId="264D4212" w:rsidR="00DF4092" w:rsidRPr="007E6972" w:rsidRDefault="008D0F94" w:rsidP="008D0F94">
      <w:pPr>
        <w:pBdr>
          <w:top w:val="nil"/>
          <w:left w:val="nil"/>
          <w:bottom w:val="nil"/>
          <w:right w:val="nil"/>
          <w:between w:val="nil"/>
          <w:bar w:val="nil"/>
        </w:pBdr>
        <w:spacing w:before="0" w:after="240"/>
        <w:rPr>
          <w:rFonts w:eastAsia="Arial Unicode MS"/>
          <w:noProof/>
        </w:rPr>
      </w:pPr>
      <w:bookmarkStart w:id="7" w:name="_Hlk220930174"/>
      <w:r w:rsidRPr="007E6972">
        <w:rPr>
          <w:noProof/>
        </w:rPr>
        <w:t xml:space="preserve">Pokrok pri vykonávaní tohto odporúčania sa bude monitorovať prostredníctvom týchto existujúcich rámcov na úrovni EÚ: </w:t>
      </w:r>
    </w:p>
    <w:p w14:paraId="61590ADF" w14:textId="77777777" w:rsidR="007F24D3" w:rsidRPr="007E6972" w:rsidRDefault="00512759" w:rsidP="00695221">
      <w:pPr>
        <w:pStyle w:val="Tiret1"/>
        <w:numPr>
          <w:ilvl w:val="0"/>
          <w:numId w:val="5"/>
        </w:numPr>
        <w:rPr>
          <w:noProof/>
        </w:rPr>
      </w:pPr>
      <w:r w:rsidRPr="007E6972">
        <w:rPr>
          <w:noProof/>
        </w:rPr>
        <w:t>európska platforma na boj proti bezdomovectvu poskytne podnety od širšej odbornej komunity a zainteresovaných strán vrátane organizácií zastupujúcich ľudí bez domova,</w:t>
      </w:r>
    </w:p>
    <w:p w14:paraId="3002EBDF" w14:textId="77777777" w:rsidR="00A658C6" w:rsidRPr="007E6972" w:rsidRDefault="00512759" w:rsidP="004723B1">
      <w:pPr>
        <w:pStyle w:val="Tiret1"/>
        <w:rPr>
          <w:noProof/>
        </w:rPr>
      </w:pPr>
      <w:r w:rsidRPr="007E6972">
        <w:rPr>
          <w:noProof/>
        </w:rPr>
        <w:t xml:space="preserve">Výbor pre sociálnu ochranu poskytne potrebné politické usmernenia a podnety od členských štátov, </w:t>
      </w:r>
    </w:p>
    <w:p w14:paraId="7B1FA233" w14:textId="77777777" w:rsidR="00A658C6" w:rsidRPr="007E6972" w:rsidRDefault="00512759" w:rsidP="004723B1">
      <w:pPr>
        <w:pStyle w:val="Tiret1"/>
        <w:rPr>
          <w:noProof/>
        </w:rPr>
      </w:pPr>
      <w:r w:rsidRPr="007E6972">
        <w:rPr>
          <w:noProof/>
        </w:rPr>
        <w:t xml:space="preserve">európsky semester bude obsahovať analýzu a posúdenie sociálnych a hospodárskych politík súvisiacich s vylúčením z bývania a bezdomovectvom. </w:t>
      </w:r>
    </w:p>
    <w:p w14:paraId="079E76B7" w14:textId="77777777" w:rsidR="00D85CF7" w:rsidRPr="007E6972" w:rsidRDefault="00026DCC" w:rsidP="0097585B">
      <w:pPr>
        <w:pBdr>
          <w:top w:val="nil"/>
          <w:left w:val="nil"/>
          <w:bottom w:val="nil"/>
          <w:right w:val="nil"/>
          <w:between w:val="nil"/>
          <w:bar w:val="nil"/>
        </w:pBdr>
        <w:spacing w:before="0" w:after="240"/>
        <w:rPr>
          <w:rFonts w:eastAsia="Arial Unicode MS"/>
          <w:noProof/>
        </w:rPr>
      </w:pPr>
      <w:r w:rsidRPr="007E6972">
        <w:rPr>
          <w:noProof/>
        </w:rPr>
        <w:t xml:space="preserve">Pokrok sa bude posudzovať na základe dostupných oficiálnych štatistických údajov Eurostatu </w:t>
      </w:r>
      <w:r w:rsidRPr="007E6972">
        <w:rPr>
          <w:rStyle w:val="CommentReference"/>
          <w:noProof/>
          <w:sz w:val="24"/>
        </w:rPr>
        <w:t>a na základe</w:t>
      </w:r>
      <w:r w:rsidRPr="007E6972">
        <w:rPr>
          <w:noProof/>
        </w:rPr>
        <w:t xml:space="preserve"> zlepšených, komplexných a porovnateľných údajov, ktoré má navrhované odporúčanie podporiť. Členským štátom sa odporúča, aby každých päť rokov predložili Komisii správu o výsledkoch svojich vnútroštátnych monitorovacích činností a o pokroku dosiahnutom pri vykonávaní tohto odporúčania.</w:t>
      </w:r>
    </w:p>
    <w:bookmarkEnd w:id="7"/>
    <w:p w14:paraId="653D0B71"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Vysvetľujúce dokumenty (v prípade smerníc)</w:t>
      </w:r>
    </w:p>
    <w:p w14:paraId="71ECDA65" w14:textId="77777777" w:rsidR="00C578AE" w:rsidRPr="007E6972" w:rsidRDefault="00A3082A">
      <w:pPr>
        <w:pBdr>
          <w:top w:val="nil"/>
          <w:left w:val="nil"/>
          <w:bottom w:val="nil"/>
          <w:right w:val="nil"/>
          <w:between w:val="nil"/>
          <w:bar w:val="nil"/>
        </w:pBdr>
        <w:spacing w:before="0" w:after="240"/>
        <w:rPr>
          <w:rFonts w:eastAsia="Arial Unicode MS"/>
          <w:noProof/>
        </w:rPr>
      </w:pPr>
      <w:r w:rsidRPr="007E6972">
        <w:rPr>
          <w:noProof/>
        </w:rPr>
        <w:t>Neuplatňuje sa.</w:t>
      </w:r>
    </w:p>
    <w:p w14:paraId="2683478F" w14:textId="77777777" w:rsidR="00C578AE" w:rsidRPr="007E6972" w:rsidRDefault="00C578AE">
      <w:pPr>
        <w:pStyle w:val="ManualHeading2"/>
        <w:rPr>
          <w:rFonts w:eastAsia="Arial Unicode MS"/>
          <w:noProof/>
          <w:u w:color="000000"/>
          <w:bdr w:val="nil"/>
        </w:rPr>
      </w:pPr>
      <w:r w:rsidRPr="007E6972">
        <w:rPr>
          <w:noProof/>
          <w:u w:color="000000"/>
          <w:bdr w:val="nil"/>
        </w:rPr>
        <w:t>•</w:t>
      </w:r>
      <w:r w:rsidRPr="007E6972">
        <w:rPr>
          <w:noProof/>
        </w:rPr>
        <w:tab/>
      </w:r>
      <w:r w:rsidRPr="007E6972">
        <w:rPr>
          <w:noProof/>
          <w:u w:color="000000"/>
          <w:bdr w:val="nil"/>
        </w:rPr>
        <w:t>Podrobné vysvetlenie konkrétnych ustanovení návrhu</w:t>
      </w:r>
    </w:p>
    <w:p w14:paraId="155CFDF6" w14:textId="77777777" w:rsidR="00F46AC7" w:rsidRPr="007E6972" w:rsidRDefault="00F46AC7" w:rsidP="00F46AC7">
      <w:pPr>
        <w:rPr>
          <w:noProof/>
        </w:rPr>
      </w:pPr>
      <w:r w:rsidRPr="007E6972">
        <w:rPr>
          <w:noProof/>
        </w:rPr>
        <w:t xml:space="preserve">V bode 1 sa uvádzajú ciele tohto odporúčania. </w:t>
      </w:r>
    </w:p>
    <w:p w14:paraId="2B878502" w14:textId="77777777" w:rsidR="00F46AC7" w:rsidRPr="007E6972" w:rsidRDefault="00F46AC7" w:rsidP="00F46AC7">
      <w:pPr>
        <w:rPr>
          <w:noProof/>
        </w:rPr>
      </w:pPr>
      <w:r w:rsidRPr="007E6972">
        <w:rPr>
          <w:noProof/>
        </w:rPr>
        <w:t>Bod 2 obsahuje vymedzenie pojmov, ktoré sa majú používať na účely odporúčania.</w:t>
      </w:r>
    </w:p>
    <w:p w14:paraId="090671E0" w14:textId="77777777" w:rsidR="00F97180" w:rsidRPr="007E6972" w:rsidRDefault="00A3315F" w:rsidP="00F422C3">
      <w:pPr>
        <w:rPr>
          <w:noProof/>
        </w:rPr>
      </w:pPr>
      <w:r w:rsidRPr="007E6972">
        <w:rPr>
          <w:noProof/>
        </w:rPr>
        <w:lastRenderedPageBreak/>
        <w:t>Jadrom odporúčania je časť o prierezových odporúčaniach, v ktorej sa členským štátom odporúča, aby revidovali alebo prijali vnútroštátne rámce na boj proti vylúčeniu z bývania prostredníctvom politík zameraných na človeka a na bývanie. Ďalej sa v nej odporúča stanoviť jasné a časovo ohraničené ciele týkajúce sa zabezpečenia núdzového prístrešia pre všetkých ľudí, ktorí spia na ulici, a rýchleho presunu osôb z dočasného bývania do bezpečného dlhodobého ubytovania.</w:t>
      </w:r>
    </w:p>
    <w:p w14:paraId="574B512D" w14:textId="77777777" w:rsidR="00C67C87" w:rsidRPr="007E6972" w:rsidRDefault="001171F9" w:rsidP="00416159">
      <w:pPr>
        <w:rPr>
          <w:noProof/>
        </w:rPr>
      </w:pPr>
      <w:r w:rsidRPr="007E6972">
        <w:rPr>
          <w:noProof/>
        </w:rPr>
        <w:t>Časť o identifikácii osôb ohrozených vylúčením z bývania sa týka zberu údajov, stanovenia kritérií oprávnenosti v rámci relevantných služieb, systémov včasného varovania na identifikáciu ohrozených domácností a cielenej terénnej práce, pokiaľ ide o nedostatočne započítané skupiny.</w:t>
      </w:r>
    </w:p>
    <w:p w14:paraId="7F760B07" w14:textId="77777777" w:rsidR="00416159" w:rsidRPr="007E6972" w:rsidRDefault="000E01BD" w:rsidP="00416159">
      <w:pPr>
        <w:rPr>
          <w:noProof/>
        </w:rPr>
      </w:pPr>
      <w:r w:rsidRPr="007E6972">
        <w:rPr>
          <w:noProof/>
        </w:rPr>
        <w:t>Časť o predchádzaní vylúčeniu z bývania sa týka udržania vyhovujúceho bývania, prístupu k informáciám, primeraného posúdenia príjmu, ochrany pred vysťahovaním, ochrany detí, osôb opúšťajúcich starostlivosť, včasnej intervencie pre deti a mladých ľudí, starších osôb a prechodov medzi inštitúciami.</w:t>
      </w:r>
    </w:p>
    <w:p w14:paraId="6E920A05" w14:textId="77777777" w:rsidR="00410BB1" w:rsidRPr="007E6972" w:rsidRDefault="00587BA5" w:rsidP="00410BB1">
      <w:pPr>
        <w:rPr>
          <w:noProof/>
        </w:rPr>
      </w:pPr>
      <w:r w:rsidRPr="007E6972">
        <w:rPr>
          <w:noProof/>
        </w:rPr>
        <w:t>Časť o poskytovaní podpory ľuďom bez domova sa týka podporných systémov a služieb, zachovania celistvosti rodiny, koordinácie medzi službami, aktivácie na trhu práce, finančného začlenenia, prístupu k bývaniu, kapacity útulkov v súlade s potrebami, vzájomnej podpory a boja proti diskriminácii.</w:t>
      </w:r>
    </w:p>
    <w:p w14:paraId="73975308" w14:textId="77777777" w:rsidR="00410BB1" w:rsidRPr="007E6972" w:rsidRDefault="004A12EE" w:rsidP="00410BB1">
      <w:pPr>
        <w:rPr>
          <w:noProof/>
        </w:rPr>
      </w:pPr>
      <w:r w:rsidRPr="007E6972">
        <w:rPr>
          <w:noProof/>
        </w:rPr>
        <w:t>V časti o prístupe k vyhovujúcim a bezpečným riešeniam v oblasti bývania sa uvádzajú prístupy zamerané na bývanie, podporné služby zamerané na človeka, poskytovanie sociálneho a cenovo dostupného bývania, finančná podpora a stimuly pre prístup k bývaniu, poskytovanie podpory mladým ľuďom (vrátane študentov) a podporovanie miestne orientovaných politík a prispôsobenia bývania.</w:t>
      </w:r>
    </w:p>
    <w:p w14:paraId="0F59456F" w14:textId="77777777" w:rsidR="00D51DF8" w:rsidRPr="007E6972" w:rsidRDefault="00A0531C" w:rsidP="00EE121A">
      <w:pPr>
        <w:rPr>
          <w:noProof/>
        </w:rPr>
      </w:pPr>
      <w:r w:rsidRPr="007E6972">
        <w:rPr>
          <w:noProof/>
        </w:rPr>
        <w:t>V časti o monitorovaní, hodnotení a riadení sa členským štátom odporúča, aby zaviedli mechanizmy monitorovania a hodnotenia s cieľom zabezpečiť účinné politické reakcie. Členským štátom sa v nej takisto odporúča, aby zaviedli spoľahlivý rámec riadenia zahŕňajúci všetky zainteresované strany, v rámci ktorého sa budú využívať finančné prostriedky EÚ a bude sa podporovať európska platforma na boj proti bezdomovectvu.</w:t>
      </w:r>
    </w:p>
    <w:p w14:paraId="6EC9599C" w14:textId="77777777" w:rsidR="00ED7527" w:rsidRPr="007E6972" w:rsidRDefault="00ED7527">
      <w:pPr>
        <w:spacing w:before="0" w:after="200" w:line="276" w:lineRule="auto"/>
        <w:jc w:val="left"/>
        <w:rPr>
          <w:noProof/>
        </w:rPr>
      </w:pPr>
      <w:r w:rsidRPr="007E6972">
        <w:rPr>
          <w:noProof/>
        </w:rPr>
        <w:br w:type="page"/>
      </w:r>
    </w:p>
    <w:p w14:paraId="24953F8A" w14:textId="02CD4BA4" w:rsidR="00532C9D" w:rsidRPr="007E6972" w:rsidRDefault="00034BC6" w:rsidP="00034BC6">
      <w:pPr>
        <w:pStyle w:val="Rfrenceinterinstitutionnelle"/>
        <w:rPr>
          <w:noProof/>
        </w:rPr>
      </w:pPr>
      <w:r>
        <w:rPr>
          <w:noProof/>
        </w:rPr>
        <w:lastRenderedPageBreak/>
        <w:t>2026/0105 (NLE)</w:t>
      </w:r>
    </w:p>
    <w:p w14:paraId="3D7FAEE8" w14:textId="3822DF3A" w:rsidR="00C578AE" w:rsidRPr="007E6972" w:rsidRDefault="00034BC6" w:rsidP="00034BC6">
      <w:pPr>
        <w:pStyle w:val="Statut"/>
        <w:rPr>
          <w:noProof/>
        </w:rPr>
      </w:pPr>
      <w:r w:rsidRPr="007E6972">
        <w:rPr>
          <w:noProof/>
        </w:rPr>
        <w:t>Návrh</w:t>
      </w:r>
    </w:p>
    <w:p w14:paraId="6665D039" w14:textId="57469808" w:rsidR="00C578AE" w:rsidRPr="007E6972" w:rsidRDefault="00034BC6" w:rsidP="00034BC6">
      <w:pPr>
        <w:pStyle w:val="Typedudocument"/>
        <w:rPr>
          <w:noProof/>
        </w:rPr>
      </w:pPr>
      <w:r w:rsidRPr="007E6972">
        <w:rPr>
          <w:noProof/>
        </w:rPr>
        <w:t>ODPORÚČANIE RADY</w:t>
      </w:r>
    </w:p>
    <w:p w14:paraId="6AF201A8" w14:textId="131874E5" w:rsidR="00C578AE" w:rsidRPr="007E6972" w:rsidRDefault="00034BC6" w:rsidP="00034BC6">
      <w:pPr>
        <w:pStyle w:val="Titreobjet"/>
        <w:rPr>
          <w:noProof/>
        </w:rPr>
      </w:pPr>
      <w:r w:rsidRPr="007E6972">
        <w:rPr>
          <w:noProof/>
        </w:rPr>
        <w:t>týkajúce sa boja proti vylúčeniu z bývania</w:t>
      </w:r>
    </w:p>
    <w:p w14:paraId="613679E6" w14:textId="77777777" w:rsidR="00C578AE" w:rsidRPr="007E6972" w:rsidRDefault="00C578AE">
      <w:pPr>
        <w:pStyle w:val="Institutionquiagit"/>
        <w:rPr>
          <w:noProof/>
        </w:rPr>
      </w:pPr>
      <w:r w:rsidRPr="007E6972">
        <w:rPr>
          <w:noProof/>
        </w:rPr>
        <w:t>RADA EURÓPSKEJ ÚNIE,</w:t>
      </w:r>
    </w:p>
    <w:p w14:paraId="01EF4DBE" w14:textId="77777777" w:rsidR="00C578AE" w:rsidRPr="007E6972" w:rsidRDefault="00C578AE">
      <w:pPr>
        <w:rPr>
          <w:noProof/>
        </w:rPr>
      </w:pPr>
      <w:r w:rsidRPr="007E6972">
        <w:rPr>
          <w:noProof/>
        </w:rPr>
        <w:t>so zreteľom na Zmluvu o fungovaní Európskej únie, a najmä na jej článok 292 v spojení s článkom 153 ods. 1 písm. j),</w:t>
      </w:r>
    </w:p>
    <w:p w14:paraId="548615B0" w14:textId="77777777" w:rsidR="00C578AE" w:rsidRPr="007E6972" w:rsidRDefault="00C578AE">
      <w:pPr>
        <w:rPr>
          <w:noProof/>
        </w:rPr>
      </w:pPr>
      <w:r w:rsidRPr="007E6972">
        <w:rPr>
          <w:noProof/>
        </w:rPr>
        <w:t>so zreteľom na návrh Európskej komisie,</w:t>
      </w:r>
    </w:p>
    <w:p w14:paraId="36FAEC76" w14:textId="77777777" w:rsidR="00120777" w:rsidRPr="007E6972" w:rsidRDefault="00120777">
      <w:pPr>
        <w:rPr>
          <w:noProof/>
        </w:rPr>
      </w:pPr>
    </w:p>
    <w:p w14:paraId="534E4E72" w14:textId="77777777" w:rsidR="00C578AE" w:rsidRPr="007E6972" w:rsidRDefault="00C578AE">
      <w:pPr>
        <w:rPr>
          <w:noProof/>
        </w:rPr>
      </w:pPr>
      <w:r w:rsidRPr="007E6972">
        <w:rPr>
          <w:noProof/>
        </w:rPr>
        <w:t>keďže:</w:t>
      </w:r>
    </w:p>
    <w:p w14:paraId="7E24549C" w14:textId="77777777" w:rsidR="000A7BDC" w:rsidRPr="007E6972" w:rsidRDefault="000A7BDC">
      <w:pPr>
        <w:rPr>
          <w:noProof/>
        </w:rPr>
      </w:pPr>
    </w:p>
    <w:p w14:paraId="52CEE5C6" w14:textId="77777777" w:rsidR="001E431A" w:rsidRPr="007E6972" w:rsidRDefault="00796E41" w:rsidP="00796E41">
      <w:pPr>
        <w:pStyle w:val="ManualConsidrant"/>
        <w:rPr>
          <w:noProof/>
          <w:color w:val="333333"/>
        </w:rPr>
      </w:pPr>
      <w:r w:rsidRPr="007E6972">
        <w:rPr>
          <w:noProof/>
        </w:rPr>
        <w:t>(1)</w:t>
      </w:r>
      <w:r w:rsidRPr="007E6972">
        <w:rPr>
          <w:noProof/>
        </w:rPr>
        <w:tab/>
        <w:t>Podľa článku 3 ods. 3 Zmluvy o Európskej únii bojuje Únia proti sociálnemu vylúčeniu a diskriminácii a podporuje sociálnu spravodlivosť a ochranu. Podľa článku 151 Zmluvy o fungovaní Európskej únie (ZFEÚ) majú Únia a členské štáty za cieľ okrem iného podporovať zamestnanosť, zlepšovať životné a pracovné podmienky, zabezpečovať primeranú sociálnu ochranu a bojovať proti vylúčeniu</w:t>
      </w:r>
      <w:r w:rsidRPr="007E6972">
        <w:rPr>
          <w:noProof/>
          <w:color w:val="333333"/>
          <w:shd w:val="clear" w:color="auto" w:fill="FFFFFF"/>
        </w:rPr>
        <w:t xml:space="preserve">. </w:t>
      </w:r>
    </w:p>
    <w:p w14:paraId="6651B591" w14:textId="77777777" w:rsidR="001E431A" w:rsidRPr="007E6972" w:rsidRDefault="00796E41" w:rsidP="00796E41">
      <w:pPr>
        <w:pStyle w:val="ManualConsidrant"/>
        <w:rPr>
          <w:noProof/>
        </w:rPr>
      </w:pPr>
      <w:r w:rsidRPr="007E6972">
        <w:rPr>
          <w:noProof/>
        </w:rPr>
        <w:t>(2)</w:t>
      </w:r>
      <w:r w:rsidRPr="007E6972">
        <w:rPr>
          <w:noProof/>
        </w:rPr>
        <w:tab/>
        <w:t xml:space="preserve">V článku 34 Charty základných práv Európskej únie sa stanovuje uznanie a rešpektovanie práva na sociálnu pomoc a pomoc pri bývaní s cieľom zabezpečiť dôstojnú existenciu všetkých osôb, ktoré nemajú dostatok prostriedkov, v súlade s právom Únie a vnútroštátnymi právnymi predpismi a praxou. </w:t>
      </w:r>
    </w:p>
    <w:p w14:paraId="67AF774E" w14:textId="77777777" w:rsidR="001E431A" w:rsidRPr="007E6972" w:rsidRDefault="00796E41" w:rsidP="00796E41">
      <w:pPr>
        <w:pStyle w:val="ManualConsidrant"/>
        <w:rPr>
          <w:noProof/>
        </w:rPr>
      </w:pPr>
      <w:r w:rsidRPr="007E6972">
        <w:rPr>
          <w:noProof/>
        </w:rPr>
        <w:t>(3)</w:t>
      </w:r>
      <w:r w:rsidRPr="007E6972">
        <w:rPr>
          <w:noProof/>
        </w:rPr>
        <w:tab/>
        <w:t>V článku 31 Európskej sociálnej charty (revidovanej)</w:t>
      </w:r>
      <w:r w:rsidRPr="007E6972">
        <w:rPr>
          <w:rStyle w:val="FootnoteReference"/>
          <w:noProof/>
        </w:rPr>
        <w:footnoteReference w:id="13"/>
      </w:r>
      <w:r w:rsidRPr="007E6972">
        <w:rPr>
          <w:noProof/>
        </w:rPr>
        <w:t xml:space="preserve"> sa potvrdzuje záväzok všetkých zmluvných strán podporovať prístup k bývaniu na vyhovujúcej úrovni, predchádzať bezdomovectvu a znižovať ho s cieľom jeho postupného odstránenia a sprístupniť cenu bývania tým, ktorí sú bez dostatočných zdrojov. </w:t>
      </w:r>
    </w:p>
    <w:p w14:paraId="5180E04C" w14:textId="7CEC663B" w:rsidR="001E431A" w:rsidRPr="007E6972" w:rsidRDefault="00796E41" w:rsidP="00796E41">
      <w:pPr>
        <w:pStyle w:val="ManualConsidrant"/>
        <w:rPr>
          <w:noProof/>
        </w:rPr>
      </w:pPr>
      <w:r w:rsidRPr="007E6972">
        <w:rPr>
          <w:noProof/>
        </w:rPr>
        <w:t>(4)</w:t>
      </w:r>
      <w:r w:rsidRPr="007E6972">
        <w:rPr>
          <w:noProof/>
        </w:rPr>
        <w:tab/>
        <w:t>Európsky parlament, Rada Európskej únie a Komisia vyhlásili v novembri 2017 Európsky pilier sociálnych práv</w:t>
      </w:r>
      <w:r w:rsidRPr="007E6972">
        <w:rPr>
          <w:rStyle w:val="FootnoteReference"/>
          <w:noProof/>
        </w:rPr>
        <w:footnoteReference w:id="14"/>
      </w:r>
      <w:r w:rsidRPr="007E6972">
        <w:rPr>
          <w:noProof/>
        </w:rPr>
        <w:t xml:space="preserve">. V jeho zásade 19 sa stanovuje právo na prístup k sociálnemu bývaniu a ku kvalitnej pomoci pri bývaní a na ochranu pred núteným vysťahovaním pre osoby v núdzi. Zároveň sa v nej uvádza, že ľuďom bez domova treba poskytnúť vyhovujúce prístrešie a služby, aby sa podporilo ich sociálne začlenenie. </w:t>
      </w:r>
    </w:p>
    <w:p w14:paraId="5829B234" w14:textId="77777777" w:rsidR="0047239E" w:rsidRPr="007E6972" w:rsidRDefault="00796E41" w:rsidP="00796E41">
      <w:pPr>
        <w:pStyle w:val="ManualConsidrant"/>
        <w:rPr>
          <w:noProof/>
        </w:rPr>
      </w:pPr>
      <w:r w:rsidRPr="007E6972">
        <w:rPr>
          <w:noProof/>
        </w:rPr>
        <w:t>(5)</w:t>
      </w:r>
      <w:r w:rsidRPr="007E6972">
        <w:rPr>
          <w:noProof/>
        </w:rPr>
        <w:tab/>
        <w:t>V odporúčaní Rady (EÚ) 2021/1004, ktorým sa zriaďuje Európska záruka pre deti</w:t>
      </w:r>
      <w:r w:rsidRPr="007E6972">
        <w:rPr>
          <w:rStyle w:val="FootnoteReference"/>
          <w:noProof/>
        </w:rPr>
        <w:footnoteReference w:id="15"/>
      </w:r>
      <w:r w:rsidRPr="007E6972">
        <w:rPr>
          <w:noProof/>
        </w:rPr>
        <w:t>, sa členské štáty vyzývajú, aby okrem iného zabezpečili účinný prístup k vyhovujúcemu bývaniu pre deti v núdzi, pričom osobitná pozornosť sa má venovať predchádzaniu bezdomovectvu detí a rodín a jeho riešeniu. V odporúčaní Rady (2023/C41/01) o primeranom minimálnom príjme zaručujúcom aktívne začleňovanie</w:t>
      </w:r>
      <w:r w:rsidRPr="007E6972">
        <w:rPr>
          <w:rStyle w:val="FootnoteReference"/>
          <w:noProof/>
        </w:rPr>
        <w:footnoteReference w:id="16"/>
      </w:r>
      <w:r w:rsidRPr="007E6972">
        <w:rPr>
          <w:noProof/>
        </w:rPr>
        <w:t xml:space="preserve"> </w:t>
      </w:r>
      <w:r w:rsidRPr="007E6972">
        <w:rPr>
          <w:noProof/>
        </w:rPr>
        <w:lastRenderedPageBreak/>
        <w:t>sa vyzýva na prijatie komplexných stratégií, v ktorých sa spájajú primeraná podpora príjmu, inkluzívne trhy práce a prístup k podporným a základným službám vrátane bývania. V odporúčaní Rady (C/2023/1344) týkajúcom sa vypracovania rámcových podmienok sociálneho hospodárstva</w:t>
      </w:r>
      <w:r w:rsidRPr="007E6972">
        <w:rPr>
          <w:rStyle w:val="FootnoteReference"/>
          <w:noProof/>
        </w:rPr>
        <w:footnoteReference w:id="17"/>
      </w:r>
      <w:r w:rsidRPr="007E6972">
        <w:rPr>
          <w:noProof/>
        </w:rPr>
        <w:t xml:space="preserve"> sa členské štáty vyzývajú, aby uznali a podporovali úlohu sociálneho hospodárstva pri poskytovaní prístupných a vysokokvalitných sociálnych služieb a služieb starostlivosti a bývania, a to aj so zreteľom na znevýhodnené skupiny, v úzkej spolupráci s verejne dostupnými sociálnymi službami. </w:t>
      </w:r>
    </w:p>
    <w:p w14:paraId="52A652A0" w14:textId="77777777" w:rsidR="00E83759" w:rsidRPr="007E6972" w:rsidRDefault="00796E41" w:rsidP="00796E41">
      <w:pPr>
        <w:pStyle w:val="ManualConsidrant"/>
        <w:rPr>
          <w:noProof/>
        </w:rPr>
      </w:pPr>
      <w:r w:rsidRPr="007E6972">
        <w:rPr>
          <w:noProof/>
        </w:rPr>
        <w:t>(6)</w:t>
      </w:r>
      <w:r w:rsidRPr="007E6972">
        <w:rPr>
          <w:noProof/>
        </w:rPr>
        <w:tab/>
        <w:t>V odporúčaní Rady (2021/C 93/01) o rovnosti, začleňovaní a účasti Rómov</w:t>
      </w:r>
      <w:r w:rsidRPr="007E6972">
        <w:rPr>
          <w:rStyle w:val="FootnoteReference"/>
          <w:noProof/>
        </w:rPr>
        <w:footnoteReference w:id="18"/>
      </w:r>
      <w:r w:rsidRPr="007E6972">
        <w:rPr>
          <w:noProof/>
        </w:rPr>
        <w:t xml:space="preserve"> sa členské štáty vyzývajú, aby zabezpečili rovnaké zaobchádzanie s Rómami, čo sa okrem iného týka prístupu k primeranému nesegregovanému bývaniu a základným službám</w:t>
      </w:r>
      <w:r w:rsidRPr="007E6972">
        <w:rPr>
          <w:rStyle w:val="FootnoteReference"/>
          <w:noProof/>
        </w:rPr>
        <w:footnoteReference w:id="19"/>
      </w:r>
      <w:r w:rsidRPr="007E6972">
        <w:rPr>
          <w:noProof/>
        </w:rPr>
        <w:t xml:space="preserve">. V Stratégii pre rovnosť LGBTIQ+ osôb na roky 2026 – 2030 sa zdôrazňuje, že diskriminácia a nedostatočná spoločenská akceptácia prispievajú k vysokej miere chudoby a bezdomovectva medzi LGBTIQ+ osobami. V oznámení s názvom </w:t>
      </w:r>
      <w:r w:rsidRPr="007E6972">
        <w:rPr>
          <w:i/>
          <w:iCs/>
          <w:noProof/>
        </w:rPr>
        <w:t>Enhancing the strategy for the rights of persons with disabilities until 2030</w:t>
      </w:r>
      <w:r w:rsidRPr="007E6972">
        <w:rPr>
          <w:noProof/>
        </w:rPr>
        <w:t xml:space="preserve"> (Posilnenie stratégie v oblasti práv osôb so zdravotným postihnutím do roku 2030) vyzýva Komisia na zabezpečenie prístupu k cenovo dostupnému a prístupnému bývaniu pre osoby so zdravotným postihnutím.</w:t>
      </w:r>
    </w:p>
    <w:p w14:paraId="51BCA6E1" w14:textId="141AE065" w:rsidR="00F678A4" w:rsidRPr="007E6972" w:rsidRDefault="00796E41" w:rsidP="00796E41">
      <w:pPr>
        <w:pStyle w:val="ManualConsidrant"/>
        <w:rPr>
          <w:noProof/>
        </w:rPr>
      </w:pPr>
      <w:r w:rsidRPr="007E6972">
        <w:rPr>
          <w:noProof/>
        </w:rPr>
        <w:t>(7)</w:t>
      </w:r>
      <w:r w:rsidRPr="007E6972">
        <w:rPr>
          <w:noProof/>
        </w:rPr>
        <w:tab/>
        <w:t>V odporúčaní Rady (2022/C 476/01) týkajúcom sa prístupu k cenovo dostupnej, vysokokvalitnej dlhodobej starostlivosti</w:t>
      </w:r>
      <w:r w:rsidRPr="007E6972">
        <w:rPr>
          <w:rStyle w:val="FootnoteReference"/>
          <w:noProof/>
        </w:rPr>
        <w:footnoteReference w:id="20"/>
      </w:r>
      <w:r w:rsidRPr="007E6972">
        <w:rPr>
          <w:noProof/>
        </w:rPr>
        <w:t xml:space="preserve"> sa členské štáty vyzývajú, aby rozšírili služby formálnej dlhodobej starostlivosti, a to najmä domácu a komunitnú starostlivosť. Bývanie, ktoré je prispôsobené potrebám jednotlivcov, pokiaľ ide o meniace sa potreby v oblasti starostlivosti, je základným predpokladom starnutia na mieste, ktoré umožňuje poskytovanie domácej starostlivosti a pomáha predchádzať zbytočnému využívaniu rezidenčnej starostlivosti. </w:t>
      </w:r>
    </w:p>
    <w:p w14:paraId="4D5AEF03" w14:textId="3FCF6157" w:rsidR="00673163" w:rsidRPr="007E6972" w:rsidRDefault="00796E41" w:rsidP="00796E41">
      <w:pPr>
        <w:pStyle w:val="ManualConsidrant"/>
        <w:rPr>
          <w:noProof/>
        </w:rPr>
      </w:pPr>
      <w:r w:rsidRPr="007E6972">
        <w:rPr>
          <w:noProof/>
        </w:rPr>
        <w:t>(8)</w:t>
      </w:r>
      <w:r w:rsidRPr="007E6972">
        <w:rPr>
          <w:noProof/>
        </w:rPr>
        <w:tab/>
        <w:t>V článku 16 ods. 2 smernice Európskeho parlamentu a Rady 2014/92/EÚ o porovnateľnosti poplatkov za platobné účty, o presune platobných účtov a o prístupe k platobným účtom so základnými funkciami</w:t>
      </w:r>
      <w:r w:rsidRPr="007E6972">
        <w:rPr>
          <w:rStyle w:val="FootnoteReference"/>
          <w:noProof/>
        </w:rPr>
        <w:footnoteReference w:id="21"/>
      </w:r>
      <w:r w:rsidRPr="007E6972">
        <w:rPr>
          <w:noProof/>
        </w:rPr>
        <w:t xml:space="preserve"> („smernica o platobných účtoch“) sa uvádza, že členské štáty zabezpečia, aby spotrebitelia, ktorí majú riadny pobyt v Únii, vrátane spotrebiteľov bez stálej adresy, mali právo na zriadenie a používanie platobného účtu so základnými funkciami u úverových inštitúcií nachádzajúcich sa na ich území. Toto právo sa uplatňuje bez ohľadu na miesto pobytu spotrebiteľa. </w:t>
      </w:r>
    </w:p>
    <w:p w14:paraId="349027CC" w14:textId="77777777" w:rsidR="001E431A" w:rsidRPr="007E6972" w:rsidRDefault="00796E41" w:rsidP="00796E41">
      <w:pPr>
        <w:pStyle w:val="ManualConsidrant"/>
        <w:rPr>
          <w:noProof/>
        </w:rPr>
      </w:pPr>
      <w:r w:rsidRPr="007E6972">
        <w:rPr>
          <w:noProof/>
        </w:rPr>
        <w:t>(9)</w:t>
      </w:r>
      <w:r w:rsidRPr="007E6972">
        <w:rPr>
          <w:noProof/>
        </w:rPr>
        <w:tab/>
        <w:t>Lisabonská deklarácia o európskej platforme na boj proti bezdomovectvu</w:t>
      </w:r>
      <w:r w:rsidRPr="007E6972">
        <w:rPr>
          <w:rStyle w:val="FootnoteReference"/>
          <w:noProof/>
        </w:rPr>
        <w:footnoteReference w:id="22"/>
      </w:r>
      <w:r w:rsidRPr="007E6972">
        <w:rPr>
          <w:noProof/>
        </w:rPr>
        <w:t xml:space="preserve"> bola prijatá 21. júna 2021 inštitúciami EÚ, členskými štátmi, sociálnymi partnermi a organizáciami občianskej spoločnosti. Zaväzuje všetkých signatárov usilovať sa o ukončenie bezdomovectva v Európskej únii do roku 2030 a spustiť európsku platformu na boj proti bezdomovectvu s cieľom podporovať navrhovanie a vykonávanie integrovaných prístupov zameraných na človeka a na bývanie. </w:t>
      </w:r>
    </w:p>
    <w:p w14:paraId="1953918E" w14:textId="55A7F890" w:rsidR="001E431A" w:rsidRPr="007E6972" w:rsidRDefault="00796E41" w:rsidP="00796E41">
      <w:pPr>
        <w:pStyle w:val="ManualConsidrant"/>
        <w:rPr>
          <w:noProof/>
        </w:rPr>
      </w:pPr>
      <w:r w:rsidRPr="007E6972">
        <w:rPr>
          <w:noProof/>
        </w:rPr>
        <w:lastRenderedPageBreak/>
        <w:t>(10)</w:t>
      </w:r>
      <w:r w:rsidRPr="007E6972">
        <w:rPr>
          <w:noProof/>
        </w:rPr>
        <w:tab/>
        <w:t>V „Deklarácii z La Hulpe“</w:t>
      </w:r>
      <w:r w:rsidRPr="007E6972">
        <w:rPr>
          <w:rStyle w:val="FootnoteReference"/>
          <w:noProof/>
        </w:rPr>
        <w:footnoteReference w:id="23"/>
      </w:r>
      <w:r w:rsidRPr="007E6972">
        <w:rPr>
          <w:noProof/>
        </w:rPr>
        <w:t xml:space="preserve">, ktorá bola prijatá 16. apríla 2024 na konferencii na vysokej úrovni o Európskom pilieri sociálnych práv, sa uznáva, že bezdomovectvo zostáva problémom v mnohých členských štátoch, a vyzýva sa na pokračovanie v opatreniach zameraných na prístupné, efektívne, ekologické a cenovo dostupné sociálne bývanie s cieľom uspokojiť potreby všetkých ľudí v oblasti bývania, odstrániť bezdomovectvo a presadiť prístup „bývanie na prvom mieste“. V deklarácii sa takisto uznáva význam európskej platformy na boj proti bezdomovectvu. </w:t>
      </w:r>
    </w:p>
    <w:p w14:paraId="3603C343" w14:textId="62D3E52B" w:rsidR="00363634" w:rsidRPr="007E6972" w:rsidRDefault="00796E41" w:rsidP="00796E41">
      <w:pPr>
        <w:pStyle w:val="ManualConsidrant"/>
        <w:rPr>
          <w:noProof/>
        </w:rPr>
      </w:pPr>
      <w:r w:rsidRPr="007E6972">
        <w:rPr>
          <w:noProof/>
        </w:rPr>
        <w:t>(11)</w:t>
      </w:r>
      <w:r w:rsidRPr="007E6972">
        <w:rPr>
          <w:noProof/>
        </w:rPr>
        <w:tab/>
        <w:t>Európsky parlament v uznesení prijatom 24. novembra 2020</w:t>
      </w:r>
      <w:r w:rsidRPr="007E6972">
        <w:rPr>
          <w:rStyle w:val="FootnoteReference"/>
          <w:noProof/>
        </w:rPr>
        <w:footnoteReference w:id="24"/>
      </w:r>
      <w:r w:rsidRPr="007E6972">
        <w:rPr>
          <w:noProof/>
        </w:rPr>
        <w:t xml:space="preserve"> zdôraznil, že bývanie je základným ľudským právom, a vyzval Komisiu a členské štáty, aby prijali ráznejšie opatrenia na ukončenie bezdomovectva v EÚ do roku 2030. V uznesení prijatom 10. marca 2026</w:t>
      </w:r>
      <w:r w:rsidRPr="007E6972">
        <w:rPr>
          <w:rStyle w:val="FootnoteReference"/>
          <w:noProof/>
        </w:rPr>
        <w:footnoteReference w:id="25"/>
      </w:r>
      <w:r w:rsidRPr="007E6972">
        <w:rPr>
          <w:noProof/>
        </w:rPr>
        <w:t xml:space="preserve"> poukázal Európsky parlament na potrebu európskeho prístupu a riešení na zabezpečenie dostupnosti dôstojného a cenovo dostupného bývania a vyzval členské štáty, aby vypracovali a realizovali stratégie zamerané na bývanie s cieľom znížiť počet prípadov bezdomovectva. V uznesení sa zároveň vyzýva Komisia, aby poskytla politickú podporu na riešenie problému bezdomovectva a monitorovala pokrok v tejto oblasti. </w:t>
      </w:r>
    </w:p>
    <w:p w14:paraId="4966B08A" w14:textId="77777777" w:rsidR="00891B98" w:rsidRPr="007E6972" w:rsidRDefault="00796E41" w:rsidP="00796E41">
      <w:pPr>
        <w:pStyle w:val="ManualConsidrant"/>
        <w:rPr>
          <w:noProof/>
        </w:rPr>
      </w:pPr>
      <w:r w:rsidRPr="007E6972">
        <w:rPr>
          <w:noProof/>
        </w:rPr>
        <w:t>(12)</w:t>
      </w:r>
      <w:r w:rsidRPr="007E6972">
        <w:rPr>
          <w:noProof/>
        </w:rPr>
        <w:tab/>
        <w:t>Vo vykonávacom nariadení Komisie (EÚ) 2017/543 z 22. marca 2017</w:t>
      </w:r>
      <w:r w:rsidRPr="007E6972">
        <w:rPr>
          <w:rStyle w:val="FootnoteReference"/>
          <w:noProof/>
        </w:rPr>
        <w:footnoteReference w:id="26"/>
      </w:r>
      <w:r w:rsidRPr="007E6972">
        <w:rPr>
          <w:noProof/>
        </w:rPr>
        <w:t xml:space="preserve">, ktorým sa stanovujú pravidlá uplatňovania nariadenia Európskeho parlamentu a Rady (ES) č. 763/2008 o sčítaní obyvateľov, domov a bytov, pokiaľ ide o technické špecifikácie tém a ich členení, sa stanovujú štatistické definície v súvislosti s bezdomovectvom. </w:t>
      </w:r>
      <w:r w:rsidRPr="007E6972">
        <w:rPr>
          <w:noProof/>
        </w:rPr>
        <w:tab/>
      </w:r>
    </w:p>
    <w:p w14:paraId="038F77C0" w14:textId="77777777" w:rsidR="001E431A" w:rsidRPr="007E6972" w:rsidRDefault="00BD74F3" w:rsidP="00CB4896">
      <w:pPr>
        <w:pStyle w:val="ManualConsidrant"/>
        <w:rPr>
          <w:noProof/>
        </w:rPr>
      </w:pPr>
      <w:r w:rsidRPr="007E6972">
        <w:rPr>
          <w:noProof/>
        </w:rPr>
        <w:t>(13)</w:t>
      </w:r>
      <w:r w:rsidRPr="007E6972">
        <w:rPr>
          <w:noProof/>
        </w:rPr>
        <w:tab/>
        <w:t>Európsky výbor regiónov v stanovisku k odstráneniu bezdomovectva v Európskej únii</w:t>
      </w:r>
      <w:r w:rsidRPr="007E6972">
        <w:rPr>
          <w:rStyle w:val="FootnoteReference"/>
          <w:noProof/>
        </w:rPr>
        <w:footnoteReference w:id="27"/>
      </w:r>
      <w:r w:rsidRPr="007E6972">
        <w:rPr>
          <w:noProof/>
        </w:rPr>
        <w:t>, ktoré prijal 2. decembra 2021, privítal spustenie platformy a zdôraznil štyri dôležité oblasti jej činnosti, a to vzájomné učenie, podporu prístupu k finančným prostriedkom, zber údajov a monitorovanie politiky a identifikáciu sľubných inovácií a pomoc pri ich rozširovaní.</w:t>
      </w:r>
    </w:p>
    <w:p w14:paraId="31F1BD85" w14:textId="77777777" w:rsidR="001E431A" w:rsidRPr="007E6972" w:rsidRDefault="00796E41" w:rsidP="00796E41">
      <w:pPr>
        <w:pStyle w:val="ManualConsidrant"/>
        <w:rPr>
          <w:noProof/>
        </w:rPr>
      </w:pPr>
      <w:r w:rsidRPr="007E6972">
        <w:rPr>
          <w:noProof/>
        </w:rPr>
        <w:t>(14)</w:t>
      </w:r>
      <w:r w:rsidRPr="007E6972">
        <w:rPr>
          <w:noProof/>
        </w:rPr>
        <w:tab/>
        <w:t>Európsky hospodársky a sociálny výbor v stanovisku k vytvoreniu rámca EÚ pre vnútroštátne stratégie na pomoc bezdomovcom na základe zásady „bývanie ako prvé“</w:t>
      </w:r>
      <w:r w:rsidRPr="007E6972">
        <w:rPr>
          <w:rStyle w:val="FootnoteReference"/>
          <w:noProof/>
        </w:rPr>
        <w:footnoteReference w:id="28"/>
      </w:r>
      <w:r w:rsidRPr="007E6972">
        <w:rPr>
          <w:noProof/>
        </w:rPr>
        <w:t>, prijatom 13. decembra 2023, vyzval na vypracovanie stratégie EÚ v oblasti bezdomovectva, ktorá by umožnila zahrnúť národné politiky v oblasti boja proti bezdomovectvu do európskeho semestra. Výbor takisto navrhol, aby sa táto stratégia opierala o odporúčanie Rady týkajúce sa bezdomovectva.</w:t>
      </w:r>
      <w:r w:rsidRPr="007E6972">
        <w:rPr>
          <w:noProof/>
        </w:rPr>
        <w:tab/>
      </w:r>
    </w:p>
    <w:p w14:paraId="220056B5" w14:textId="77777777" w:rsidR="008C32C0" w:rsidRPr="007E6972" w:rsidRDefault="00796E41" w:rsidP="00796E41">
      <w:pPr>
        <w:pStyle w:val="ManualConsidrant"/>
        <w:rPr>
          <w:noProof/>
        </w:rPr>
      </w:pPr>
      <w:r w:rsidRPr="007E6972">
        <w:rPr>
          <w:noProof/>
        </w:rPr>
        <w:t>(15)</w:t>
      </w:r>
      <w:r w:rsidRPr="007E6972">
        <w:rPr>
          <w:noProof/>
        </w:rPr>
        <w:tab/>
        <w:t>V spoločnej správe o zamestnanosti z roku 2026</w:t>
      </w:r>
      <w:r w:rsidRPr="007E6972">
        <w:rPr>
          <w:rStyle w:val="FootnoteReference"/>
          <w:noProof/>
        </w:rPr>
        <w:footnoteReference w:id="29"/>
      </w:r>
      <w:r w:rsidRPr="007E6972">
        <w:rPr>
          <w:noProof/>
        </w:rPr>
        <w:t xml:space="preserve"> sa uvádza, že členské štáty by mali podľa potreby prijať opatrenia na podporu prístupu ku kvalitnému a k cenovo dostupnému bývaniu, sociálnemu bývaniu alebo pomoci pri bývaní, opatrenia na </w:t>
      </w:r>
      <w:r w:rsidRPr="007E6972">
        <w:rPr>
          <w:noProof/>
        </w:rPr>
        <w:lastRenderedPageBreak/>
        <w:t xml:space="preserve">predchádzanie bezdomovectvu ako najextrémnejšej forme chudoby a jeho riešenie, opatrenia na riešenie sociálneho vylúčenia prostredníctvom integrovaných strategických prístupov zameraných na človeka a na bývanie a opatrenia na podporu obnovy bytového a sociálneho bývania. </w:t>
      </w:r>
    </w:p>
    <w:p w14:paraId="020B2ADC" w14:textId="77777777" w:rsidR="00632944" w:rsidRPr="007E6972" w:rsidRDefault="00A31C0A" w:rsidP="00796E41">
      <w:pPr>
        <w:pStyle w:val="ManualConsidrant"/>
        <w:rPr>
          <w:noProof/>
        </w:rPr>
      </w:pPr>
      <w:r w:rsidRPr="007E6972">
        <w:rPr>
          <w:noProof/>
        </w:rPr>
        <w:t>(16)</w:t>
      </w:r>
      <w:r w:rsidRPr="007E6972">
        <w:rPr>
          <w:noProof/>
        </w:rPr>
        <w:tab/>
        <w:t>V Európskom pláne pre cenovo dostupné bývanie</w:t>
      </w:r>
      <w:r w:rsidRPr="007E6972">
        <w:rPr>
          <w:rStyle w:val="FootnoteReference"/>
          <w:noProof/>
        </w:rPr>
        <w:footnoteReference w:id="30"/>
      </w:r>
      <w:r w:rsidRPr="007E6972">
        <w:rPr>
          <w:noProof/>
        </w:rPr>
        <w:t xml:space="preserve"> prijatom 16. decembra 2025 sa uznáva, že niektoré sociálne skupiny sú neúmerne zasiahnuté rastúcimi nákladmi na bývanie a obmedzeným prístupom k sociálnemu a cenovo dostupnému bývaniu a že bezdomovectvo je pretrvávajúcou a zložitou výzvou, ku ktorej treba pristupovať s riešeniami zameranými na bývanie, ako je prístup „bývanie na prvom mieste“, sprevádzanými integrovanými prístupmi k boju proti chudobe a vylúčeniu. </w:t>
      </w:r>
    </w:p>
    <w:p w14:paraId="0177E9E1" w14:textId="77777777" w:rsidR="00F057B5" w:rsidRPr="007E6972" w:rsidRDefault="00796E41" w:rsidP="00796E41">
      <w:pPr>
        <w:pStyle w:val="ManualConsidrant"/>
        <w:rPr>
          <w:noProof/>
        </w:rPr>
      </w:pPr>
      <w:r w:rsidRPr="007E6972">
        <w:rPr>
          <w:noProof/>
        </w:rPr>
        <w:t>(17)</w:t>
      </w:r>
      <w:r w:rsidRPr="007E6972">
        <w:rPr>
          <w:noProof/>
        </w:rPr>
        <w:tab/>
        <w:t xml:space="preserve">Bezdomovectvo zostáva najextrémnejším a najviditeľnejším prejavom chudoby a sociálneho vylúčenia v Európskej únii. Zasahuje jednotlivcov i rodiny vo všetkých členských štátoch a narúša zásady dôstojnosti, rovnosti a sociálnej spravodlivosti, na ktorých je Únia založená. </w:t>
      </w:r>
      <w:r w:rsidRPr="007E6972">
        <w:rPr>
          <w:rStyle w:val="normaltextrun"/>
          <w:noProof/>
        </w:rPr>
        <w:t xml:space="preserve">Napriek doterajšiemu úsiliu </w:t>
      </w:r>
      <w:r w:rsidRPr="007E6972">
        <w:rPr>
          <w:noProof/>
        </w:rPr>
        <w:t>bezdomovectvo vo viacerých členských štátoch narastá a podľa odhadov mu čelí viac ako milión ľudí</w:t>
      </w:r>
      <w:r w:rsidRPr="007E6972">
        <w:rPr>
          <w:rStyle w:val="FootnoteReference"/>
          <w:noProof/>
        </w:rPr>
        <w:footnoteReference w:id="31"/>
      </w:r>
      <w:r w:rsidRPr="007E6972">
        <w:rPr>
          <w:noProof/>
        </w:rPr>
        <w:t>.</w:t>
      </w:r>
    </w:p>
    <w:p w14:paraId="705419CE" w14:textId="77777777" w:rsidR="00DA674D" w:rsidRPr="007E6972" w:rsidRDefault="00796E41" w:rsidP="00796E41">
      <w:pPr>
        <w:pStyle w:val="ManualConsidrant"/>
        <w:rPr>
          <w:noProof/>
        </w:rPr>
      </w:pPr>
      <w:r w:rsidRPr="007E6972">
        <w:rPr>
          <w:noProof/>
        </w:rPr>
        <w:t>(18)</w:t>
      </w:r>
      <w:r w:rsidRPr="007E6972">
        <w:rPr>
          <w:noProof/>
        </w:rPr>
        <w:tab/>
        <w:t xml:space="preserve">Vylúčenie z bývania označuje neschopnosť jednotlivca alebo domácnosti získať alebo udržať si dôstojné, stabilné bývanie, ktoré spĺňa základné normy bezpečnosti, právnej istoty a cenovej dostupnosti. Bezdomovectvo je jeho najviditeľnejšou a najextrémnejšou formou a týka sa ľudí, ktorí prespávajú na ulici a v núdzovom a dočasnom ubytovaní pre ľudí bez domova. Vylúčenie z bývania je však širšie a týka sa osôb, ktoré majú strechu nad hlavou, ale žijú v nevyhovujúcich a/alebo neistých podmienkach. K neistému bývaniu dochádza vtedy, keď jednotlivci čelia hrozbe vysťahovania, domácemu násiliu alebo majú nestabilné nájomné zmluvy. Nevyhovujúce bývanie znamená bývanie, keď jednotlivci obývajú obydlia na nevyhovujúcej úrovni, v ktorých chýba základné vybavenie (napríklad vnútorné splachovacie toalety alebo umývacie zariadenia). Tieto obydlia môžu byť vo veľmi zlom stave, môžu byť výrazne preplnené alebo neprispôsobené ľuďom s dodatočnými potrebami (napríklad starším ľuďom, osobám so zdravotným postihnutím a osobám s potrebou dlhodobej starostlivosti). </w:t>
      </w:r>
    </w:p>
    <w:p w14:paraId="656EE618" w14:textId="77777777" w:rsidR="00FC7435" w:rsidRPr="007E6972" w:rsidRDefault="00796E41" w:rsidP="00796E41">
      <w:pPr>
        <w:pStyle w:val="ManualConsidrant"/>
        <w:rPr>
          <w:noProof/>
        </w:rPr>
      </w:pPr>
      <w:r w:rsidRPr="007E6972">
        <w:rPr>
          <w:noProof/>
        </w:rPr>
        <w:t>(19)</w:t>
      </w:r>
      <w:r w:rsidRPr="007E6972">
        <w:rPr>
          <w:noProof/>
        </w:rPr>
        <w:tab/>
        <w:t>Bývanie je kľúčovým sociálnym determinantom zdravia a sociálneho začlenenia a absencia bývania alebo bývanie na nízkej úrovni môže mať negatívny vplyv na zdravie, blahobyt, zamestnanosť a možnosti vzdelávania jednotlivcov a komunít.</w:t>
      </w:r>
    </w:p>
    <w:p w14:paraId="6A7E13E3" w14:textId="77777777" w:rsidR="00EF6534" w:rsidRPr="007E6972" w:rsidRDefault="00796E41" w:rsidP="00796E41">
      <w:pPr>
        <w:pStyle w:val="ManualConsidrant"/>
        <w:rPr>
          <w:noProof/>
        </w:rPr>
      </w:pPr>
      <w:r w:rsidRPr="007E6972">
        <w:rPr>
          <w:noProof/>
        </w:rPr>
        <w:t>(20)</w:t>
      </w:r>
      <w:r w:rsidRPr="007E6972">
        <w:rPr>
          <w:noProof/>
        </w:rPr>
        <w:tab/>
        <w:t xml:space="preserve">Vylúčenie z bývania a bezdomovectvo sú spôsobené zložitou interakciou štrukturálnych, inštitucionálnych a osobných faktorov. Patrí medzi ne chudoba, nezamestnanosť, nedostatok sociálneho a cenovo dostupného bývania, diskriminácia, zlé duševné a fyzické zdravie, zneužívanie návykových látok a domáce násilie. </w:t>
      </w:r>
    </w:p>
    <w:p w14:paraId="01CDDE42" w14:textId="77777777" w:rsidR="001E431A" w:rsidRPr="007E6972" w:rsidRDefault="00796E41" w:rsidP="00796E41">
      <w:pPr>
        <w:pStyle w:val="ManualConsidrant"/>
        <w:rPr>
          <w:noProof/>
        </w:rPr>
      </w:pPr>
      <w:r w:rsidRPr="007E6972">
        <w:rPr>
          <w:noProof/>
        </w:rPr>
        <w:t>(21)</w:t>
      </w:r>
      <w:r w:rsidRPr="007E6972">
        <w:rPr>
          <w:noProof/>
        </w:rPr>
        <w:tab/>
        <w:t>V roku 2024 uviedlo takmer 6 % ľudí v Únii vo veku 16 rokov alebo viac, ktorí si v posledných piatich rokoch hľadali bývanie, že sa aspoň raz cítili diskriminovaní. Podiel tých, ktorí sa cítili diskriminovaní, bol dvakrát vyšší u ľudí, ktorí boli ohrození chudobou alebo sociálnym vylúčením (10 %), v porovnaní s tými, ktorí ohrození neboli (5 %). Približne 17 % obyvateľov Únie žilo v roku 2024 v preplnených domácnostiach.</w:t>
      </w:r>
    </w:p>
    <w:p w14:paraId="51D447F1" w14:textId="77777777" w:rsidR="0045596F" w:rsidRPr="007E6972" w:rsidRDefault="00796E41" w:rsidP="00796E41">
      <w:pPr>
        <w:pStyle w:val="ManualConsidrant"/>
        <w:rPr>
          <w:noProof/>
        </w:rPr>
      </w:pPr>
      <w:r w:rsidRPr="007E6972">
        <w:rPr>
          <w:noProof/>
        </w:rPr>
        <w:t>(22)</w:t>
      </w:r>
      <w:r w:rsidRPr="007E6972">
        <w:rPr>
          <w:noProof/>
        </w:rPr>
        <w:tab/>
        <w:t xml:space="preserve">Nedostatok sociálneho a cenovo dostupného bývania je hlavnou prekážkou v boji proti vylúčeniu z bývania a bezdomovectvu. V rokoch 2013 až 2024 sa ceny obytných </w:t>
      </w:r>
      <w:r w:rsidRPr="007E6972">
        <w:rPr>
          <w:noProof/>
        </w:rPr>
        <w:lastRenderedPageBreak/>
        <w:t xml:space="preserve">nehnuteľností v nominálnom vyjadrení zvýšili v celej Únii o viac ako 60 %, pričom rástli rýchlejšie než príjmy domácností, a v niekoľkých členských štátoch sa nominálne ceny zvýšili v priemere až o viac ako 220 %. Zároveň sa priemerné nájomné zvýšilo zhruba o 20 %, pričom nové nájomné zmluvy sú vo všeobecnosti výrazne drahšie než tie staršie, a to najmä v mestských a turistických oblastiach. Náklady na bývanie vrátane nákladov na vodu, elektrinu, plyn a iné palivá sa v porovnaní s priemerom Únie zvýšili v 17 členských štátoch, pričom v niektorých členských štátoch sa zvýšili až o viac ako 80 % nad priemer EÚ a v ďalších 10 členských štátoch sa znížili. </w:t>
      </w:r>
    </w:p>
    <w:p w14:paraId="57D8CAB5" w14:textId="77777777" w:rsidR="00480528" w:rsidRPr="007E6972" w:rsidRDefault="00796E41" w:rsidP="00796E41">
      <w:pPr>
        <w:pStyle w:val="ManualConsidrant"/>
        <w:rPr>
          <w:noProof/>
        </w:rPr>
      </w:pPr>
      <w:r w:rsidRPr="007E6972">
        <w:rPr>
          <w:noProof/>
        </w:rPr>
        <w:t>(23)</w:t>
      </w:r>
      <w:r w:rsidRPr="007E6972">
        <w:rPr>
          <w:noProof/>
        </w:rPr>
        <w:tab/>
        <w:t>Investície do ponuky bývania za posledné desaťročie výrazne klesli. V dôsledku vysokých stavebných nákladov, nedostatočných inovácií, nedostatku kvalifikovanej pracovnej sily a nadmernej byrokracie nedokáže ponuka držať krok s rastúcim dopytom. Ceny stavebných prác v Únii konkrétne v rokoch 2010 až 2024 vzrástli o 56 %, pričom v niektorých členských štátoch sa zvýšili o viac ako 170 %. Povolenia na výstavbu obytných budov (počet obydlí) klesli v rokoch 2021 až 2024 o 22 % a existujúci bytový fond sa nevyužíva naplno, pričom približne 20 % obydlí v celej EÚ zostáva prázdnych alebo nedostatočne obývaných</w:t>
      </w:r>
      <w:r w:rsidRPr="007E6972">
        <w:rPr>
          <w:b/>
          <w:noProof/>
        </w:rPr>
        <w:t xml:space="preserve"> </w:t>
      </w:r>
      <w:r w:rsidRPr="007E6972">
        <w:rPr>
          <w:noProof/>
        </w:rPr>
        <w:t>(vrátane sezónnych alebo sekundárnych miest pobytu a obytných jednotiek zakúpených ako investície a nevyužívaných ako primárne miesta pobytu)</w:t>
      </w:r>
    </w:p>
    <w:p w14:paraId="32E570A6" w14:textId="699F9E93" w:rsidR="00317495" w:rsidRPr="007E6972" w:rsidRDefault="00796E41" w:rsidP="00796E41">
      <w:pPr>
        <w:pStyle w:val="ManualConsidrant"/>
        <w:rPr>
          <w:noProof/>
        </w:rPr>
      </w:pPr>
      <w:r w:rsidRPr="007E6972">
        <w:rPr>
          <w:noProof/>
        </w:rPr>
        <w:t>(24)</w:t>
      </w:r>
      <w:r w:rsidRPr="007E6972">
        <w:rPr>
          <w:noProof/>
        </w:rPr>
        <w:tab/>
        <w:t>V tejto súvislosti je zvýšenie ponuky sociálneho a cenovo dostupného bývania kľúčové pre riešenie problému vylúčenia z bývania. Potrebné sú najmä nové investície na podporu výstavby nových obydlí, obnovy a podľa možnosti efektívnejšieho využívania existujúcich nedostatočne obývaných a neobývaných obydlí (20 %), a to aj stimulovaním prenájmu nehnuteľností v súkromnom vlastníctve a zmenou využitia existujúceho bytového fondu, napr. kancelárskych budov. Revízia pravidiel štátnej pomoci pre služby všeobecného hospodárskeho záujmu ako súčasť Európskeho plánu pre cenovo dostupné bývanie a nariadenie o strednodobom preskúmaní finančných prostriedkov v rámci politiky súdržnosti EÚ</w:t>
      </w:r>
      <w:r w:rsidRPr="007E6972">
        <w:rPr>
          <w:rStyle w:val="FootnoteReference"/>
          <w:noProof/>
        </w:rPr>
        <w:footnoteReference w:id="32"/>
      </w:r>
      <w:r w:rsidRPr="007E6972">
        <w:rPr>
          <w:noProof/>
        </w:rPr>
        <w:t xml:space="preserve"> prispievajú k vytvoreniu rámca umožňujúceho investície do sociálneho a cenovo dostupného bývania (k marcu 2026 prerozdelili členské štáty a regióny v rámci strednodobého preskúmania najmenej asi 3,3 miliardy EUR na cenovo dostupné a udržateľné bývanie). Na podporu ďalšieho preprogramovania do rokov 2029 – 2030 sú naďalej k dispozícii strednodobé regulačné flexibility a možnosť vyššej miery spolufinancovania Úniou pre investície do bývania. </w:t>
      </w:r>
    </w:p>
    <w:p w14:paraId="271F638D" w14:textId="77777777" w:rsidR="00C20F02" w:rsidRPr="007E6972" w:rsidRDefault="00796E41" w:rsidP="00796E41">
      <w:pPr>
        <w:pStyle w:val="ManualConsidrant"/>
        <w:rPr>
          <w:noProof/>
        </w:rPr>
      </w:pPr>
      <w:r w:rsidRPr="007E6972">
        <w:rPr>
          <w:noProof/>
        </w:rPr>
        <w:t>(25)</w:t>
      </w:r>
      <w:r w:rsidRPr="007E6972">
        <w:rPr>
          <w:noProof/>
        </w:rPr>
        <w:tab/>
        <w:t>V súlade so zásadami Nového európskeho Bauhausu by sa prístup k vyhovujúcemu, udržateľnému, cenovo dostupnému a ku kvalitnému bývaniu mal považovať za súčasť širšieho sociálneho a územného ekosystému, ktorý podporuje začlenenie, komunitný život, pracovnú mobilitu, prístup k vzdelávaniu a odbornej príprave, zdravie, dlhodobú starostlivosť, nezávislý život a sociálnu súdržnosť. Politiky bývania sú účinnejšie a vytvárajú pridanú sociálnu hodnotu, ak sa kombinujú s miestne orientovanými opatreniami, komunitnou infraštruktúrou a službami a sú koncipované tak, aby podporovali inkluzívne a udržateľné štvrte, ktoré spĺňajú potreby obyvateľov.</w:t>
      </w:r>
    </w:p>
    <w:p w14:paraId="7A3AEA7E" w14:textId="77777777" w:rsidR="00C20F02" w:rsidRPr="007E6972" w:rsidRDefault="00796E41" w:rsidP="00796E41">
      <w:pPr>
        <w:pStyle w:val="ManualConsidrant"/>
        <w:rPr>
          <w:noProof/>
        </w:rPr>
      </w:pPr>
      <w:r w:rsidRPr="007E6972">
        <w:rPr>
          <w:noProof/>
        </w:rPr>
        <w:t>(26)</w:t>
      </w:r>
      <w:r w:rsidRPr="007E6972">
        <w:rPr>
          <w:noProof/>
        </w:rPr>
        <w:tab/>
        <w:t xml:space="preserve">Na rozšírenie ponuky a cenovej dostupnosti môžu členské štáty využiť rôzne modely bývania vrátane sociálneho a obecného bývania, nákladového nájomného bývania a bývania s obmedzeným ziskom, bytových družstiev, sociálnych nájomných agentúr </w:t>
      </w:r>
      <w:r w:rsidRPr="007E6972">
        <w:rPr>
          <w:noProof/>
        </w:rPr>
        <w:lastRenderedPageBreak/>
        <w:t>a iných neziskových modelov alebo modelov založených na verejnom záujme. Týmito modelmi, často poskytovanými organizáciami sociálneho hospodárstva, sa môže prispieť k dlhodobej cenovej dostupnosti, môže sa znížiť riziko špekulácií a môže sa pomôcť využívať existujúce obydlia, pozemky a investície. Inovatívne koncepcie spolužitia vrátane medzigeneračného bývania, spoločného bývania a zdieľania priestorov môžu takisto pomôcť riešiť sociálnu izoláciu, nedostatočné obsadenie budov a nedostatok miestneho bývania. Vzájomné učenie môže pomôcť identifikovať úspešné modely, ktoré sa už realizujú v iných členských štátoch.</w:t>
      </w:r>
    </w:p>
    <w:p w14:paraId="4142CE8C" w14:textId="77777777" w:rsidR="00C20F02" w:rsidRPr="007E6972" w:rsidRDefault="00796E41" w:rsidP="00796E41">
      <w:pPr>
        <w:pStyle w:val="ManualConsidrant"/>
        <w:rPr>
          <w:noProof/>
        </w:rPr>
      </w:pPr>
      <w:r w:rsidRPr="007E6972">
        <w:rPr>
          <w:noProof/>
        </w:rPr>
        <w:t>(27)</w:t>
      </w:r>
      <w:r w:rsidRPr="007E6972">
        <w:rPr>
          <w:noProof/>
        </w:rPr>
        <w:tab/>
        <w:t>Zvyšovanie ponuky sociálneho a cenovo dostupného bývania si vyžaduje stabilné riadenie a investičné rámce vrátane verejno-súkromných partnerstiev a spoluprácu medzi verejnými orgánmi, organizáciami sociálneho hospodárstva, poskytovateľmi sociálneho a cenovo dostupného bývania, vzdelávacími inštitúciami, zamestnávateľmi, finančnými inštitúciami a ďalšími zainteresovanými stranami. Zmiešané financovanie, revolvingové fondy, verejné záruky, dlhodobý prenájom pozemkov vo verejnom vlastníctve a iné mechanizmy financovania vo verejnom záujme môžu pomôcť zmobilizovať trpezlivý kapitál a podporiť dlhodobú cenovú dostupnosť. Okrem toho môžu členské štáty presadzovať a podporovať inovatívne a inkluzívne projekty bývania zdola nahor, v rámci ktorých budúci obyvatelia spoločne plánujú a financujú svoj projekt bývania.</w:t>
      </w:r>
    </w:p>
    <w:p w14:paraId="3AFAA48E" w14:textId="77777777" w:rsidR="000C56F0" w:rsidRPr="007E6972" w:rsidRDefault="00796E41" w:rsidP="00796E41">
      <w:pPr>
        <w:pStyle w:val="ManualConsidrant"/>
        <w:rPr>
          <w:noProof/>
        </w:rPr>
      </w:pPr>
      <w:r w:rsidRPr="007E6972">
        <w:rPr>
          <w:noProof/>
        </w:rPr>
        <w:t>(28)</w:t>
      </w:r>
      <w:r w:rsidRPr="007E6972">
        <w:rPr>
          <w:noProof/>
        </w:rPr>
        <w:tab/>
        <w:t>Vylúčenie z bývania a bezdomovectvo môžu neúmerne zasahovať určité skupiny obyvateľstva, pričom rozsah a zloženie dotknutých skupín sa výrazne líšia v závislosti od národných/regionálnych okolností. Určité osoby a skupiny môžu čeliť osobitným nevýhodám v prístupe k bývaniu a vyššiemu riziku vylúčenia z bývania alebo bezdomovectva. Patria sem mladí ľudia (napríklad študenti, ktorí si nemôžu dovoliť študentské bývanie alebo k nemu nemajú prístup, alebo osoby opúšťajúce ústavnú alebo alternatívnu starostlivosť), nezamestnaní, zraniteľné rodiny s deťmi (vrátane slobodných rodičov), obete rodovo motivovaného násilia a osoby, ktoré ho prežili</w:t>
      </w:r>
      <w:r w:rsidRPr="007E6972">
        <w:rPr>
          <w:i/>
          <w:noProof/>
        </w:rPr>
        <w:t>,</w:t>
      </w:r>
      <w:r w:rsidRPr="007E6972">
        <w:rPr>
          <w:noProof/>
        </w:rPr>
        <w:t xml:space="preserve"> osoby so zdravotným postihnutím alebo s potrebou dlhodobej starostlivosti, starší ľudia v situácii neistoty v bývaní, osoby rómskeho pôvodu, osoby s migrantským pôvodom, osoby patriace k rasovým alebo etnickým menšinám a LGBTIQ+ osoby.</w:t>
      </w:r>
    </w:p>
    <w:p w14:paraId="3C87B14E" w14:textId="77777777" w:rsidR="00F057B5" w:rsidRPr="007E6972" w:rsidRDefault="00796E41" w:rsidP="00796E41">
      <w:pPr>
        <w:pStyle w:val="ManualConsidrant"/>
        <w:rPr>
          <w:noProof/>
        </w:rPr>
      </w:pPr>
      <w:r w:rsidRPr="007E6972">
        <w:rPr>
          <w:noProof/>
        </w:rPr>
        <w:t>(29)</w:t>
      </w:r>
      <w:r w:rsidRPr="007E6972">
        <w:rPr>
          <w:noProof/>
        </w:rPr>
        <w:tab/>
        <w:t xml:space="preserve">Predchádzanie vylúčeniu z bývania a bezdomovectvu v kombinácii s prístupom k vyhovujúcemu a bezpečnému bývaniu a komplexným podporným službám zameraným na človeka je najúčinnejším prístupom k ukončeniu bezdomovectva. Členské štáty by sa preto mali vyzvať, aby zaviedli účinné preventívne politiky, ktoré by zahŕňali všeobecné preventívne opatrenia, intervencie orientované smerom nahor so zameraním na vysokorizikové skupiny obyvateľstva, opatrenia na predchádzanie kríze pre osoby a domácnosti, ktorým hrozí bezdomovectvo, a prevenciu formou intervencií v núdzovej fáze s cieľom zabezpečiť núdzový prístup k dočasnému ubytovaniu. </w:t>
      </w:r>
    </w:p>
    <w:p w14:paraId="3CA9CF62" w14:textId="77777777" w:rsidR="00F057B5" w:rsidRPr="007E6972" w:rsidRDefault="00796E41" w:rsidP="00796E41">
      <w:pPr>
        <w:pStyle w:val="ManualConsidrant"/>
        <w:rPr>
          <w:noProof/>
        </w:rPr>
      </w:pPr>
      <w:r w:rsidRPr="007E6972">
        <w:rPr>
          <w:noProof/>
        </w:rPr>
        <w:t>(30)</w:t>
      </w:r>
      <w:r w:rsidRPr="007E6972">
        <w:rPr>
          <w:noProof/>
        </w:rPr>
        <w:tab/>
        <w:t xml:space="preserve">Nástroje včasnej intervencie, ako je mediácia v prípade nedoplatkov na nájomnom a hypotékach, dlhové poradenstvo, právna pomoc týkajúca sa práv nájomcov a prenajímateľov, systémy včasného varovania a krátkodobá finančná podpora, nie sú vo všetkých členských štátoch dôsledne dostupné, pričom posilnenie týchto mechanizmov je nevyhnutné na účinné predchádzanie vylúčeniu z bývania. </w:t>
      </w:r>
    </w:p>
    <w:p w14:paraId="5985B878" w14:textId="661F3903" w:rsidR="00563C94" w:rsidRPr="007E6972" w:rsidRDefault="00796E41" w:rsidP="00796E41">
      <w:pPr>
        <w:pStyle w:val="ManualConsidrant"/>
        <w:rPr>
          <w:noProof/>
        </w:rPr>
      </w:pPr>
      <w:r w:rsidRPr="007E6972">
        <w:rPr>
          <w:noProof/>
        </w:rPr>
        <w:t>(31)</w:t>
      </w:r>
      <w:r w:rsidRPr="007E6972">
        <w:rPr>
          <w:noProof/>
        </w:rPr>
        <w:tab/>
        <w:t xml:space="preserve">Predchádzanie nútenému a svojvoľnému vysťahovaniu a podpora počas sťahovania si vyžadujú spravodlivý právny rámec pre bezpečnosť nájomníkov a práva prenajímateľov. Spoluprácou s miestnymi orgánmi, so sociálnymi službami </w:t>
      </w:r>
      <w:r w:rsidRPr="007E6972">
        <w:rPr>
          <w:noProof/>
        </w:rPr>
        <w:lastRenderedPageBreak/>
        <w:t xml:space="preserve">a s možnosťami mediácie vrátane sociálnych nájomných agentúr sa môže znížiť nestabilita bývania a uľahčiť prechod do nového prostredia. </w:t>
      </w:r>
    </w:p>
    <w:p w14:paraId="7A02B393" w14:textId="77777777" w:rsidR="00F057B5" w:rsidRPr="007E6972" w:rsidRDefault="00796E41" w:rsidP="00796E41">
      <w:pPr>
        <w:pStyle w:val="ManualConsidrant"/>
        <w:rPr>
          <w:noProof/>
        </w:rPr>
      </w:pPr>
      <w:r w:rsidRPr="007E6972">
        <w:rPr>
          <w:noProof/>
        </w:rPr>
        <w:t>(32)</w:t>
      </w:r>
      <w:r w:rsidRPr="007E6972">
        <w:rPr>
          <w:noProof/>
        </w:rPr>
        <w:tab/>
        <w:t xml:space="preserve">Prístupy zamerané na bývanie vrátane modelu „bývanie na prvom mieste“, pri ktorých sa rýchly prístup k trvalému bývaniu spája s individualizovanými a integrovanými podpornými službami, preukázali udržateľné pozitívne výsledky pri predchádzaní vylúčeniu z bývania a bezdomovectvu a ich znižovaní, ako aj pri presadzovaní sociálnej a ekonomickej integrácie. </w:t>
      </w:r>
    </w:p>
    <w:p w14:paraId="54B00264" w14:textId="77777777" w:rsidR="001C56C6" w:rsidRPr="007E6972" w:rsidRDefault="00796E41" w:rsidP="00796E41">
      <w:pPr>
        <w:pStyle w:val="ManualConsidrant"/>
        <w:rPr>
          <w:noProof/>
          <w:sz w:val="22"/>
        </w:rPr>
      </w:pPr>
      <w:r w:rsidRPr="007E6972">
        <w:rPr>
          <w:noProof/>
        </w:rPr>
        <w:t>(33)</w:t>
      </w:r>
      <w:r w:rsidRPr="007E6972">
        <w:rPr>
          <w:noProof/>
        </w:rPr>
        <w:tab/>
        <w:t xml:space="preserve">Administratívne požiadavky na prístup k pomoci vrátane povinnosti predložiť doklad o trvalom pobyte môžu vytvárať prekážky pre ľudí bez domova alebo vylúčených z bývania. Odstránením alebo prípadnou úpravou takýchto požiadaviek sa môže zlepšiť využívanie dostupnej podpory a môže to pomôcť riešiť základné príčiny vylúčenia z bývania. </w:t>
      </w:r>
    </w:p>
    <w:p w14:paraId="7F58970F" w14:textId="77777777" w:rsidR="001C56C6" w:rsidRPr="007E6972" w:rsidRDefault="00796E41" w:rsidP="00796E41">
      <w:pPr>
        <w:pStyle w:val="ManualConsidrant"/>
        <w:rPr>
          <w:noProof/>
        </w:rPr>
      </w:pPr>
      <w:r w:rsidRPr="007E6972">
        <w:rPr>
          <w:noProof/>
        </w:rPr>
        <w:t>(34)</w:t>
      </w:r>
      <w:r w:rsidRPr="007E6972">
        <w:rPr>
          <w:noProof/>
        </w:rPr>
        <w:tab/>
        <w:t>Rastúce náklady na bývanie a obmedzený prístup k sociálnemu a cenovo dostupnému bývaniu bránia mobilite na trhu práce, pretože pre jednotlivcov nemusí byť možné presťahovať sa do oblastí, kde sú dostupné pracovné príležitosti. To môže ovplyvniť konkurencieschopnosť a hospodársky rast. Riešenie cenovej dostupnosti a dostupnosti bývania má zásadný význam pre podporu účasti na trhu práce a zabezpečenie efektívneho fungovania trhov práce.</w:t>
      </w:r>
    </w:p>
    <w:p w14:paraId="04A80766" w14:textId="77777777" w:rsidR="00891B98" w:rsidRPr="007E6972" w:rsidRDefault="00796E41" w:rsidP="00891B98">
      <w:pPr>
        <w:pStyle w:val="ManualConsidrant"/>
        <w:rPr>
          <w:noProof/>
        </w:rPr>
      </w:pPr>
      <w:r w:rsidRPr="007E6972">
        <w:rPr>
          <w:noProof/>
        </w:rPr>
        <w:t>(35)</w:t>
      </w:r>
      <w:r w:rsidRPr="007E6972">
        <w:rPr>
          <w:noProof/>
        </w:rPr>
        <w:tab/>
        <w:t xml:space="preserve">Rozdiely v definíciách, systémoch monitorovania a metodikách zberu údajov používaných v jednotlivých členských štátoch obmedzujú dostupnosť porovnateľných údajov o bezdomovectve na úrovni Únie. </w:t>
      </w:r>
    </w:p>
    <w:p w14:paraId="3D308BBA" w14:textId="56DB1C61" w:rsidR="00D31666" w:rsidRPr="007E6972" w:rsidRDefault="00796E41" w:rsidP="00796E41">
      <w:pPr>
        <w:pStyle w:val="ManualConsidrant"/>
        <w:rPr>
          <w:noProof/>
        </w:rPr>
      </w:pPr>
      <w:r w:rsidRPr="007E6972">
        <w:rPr>
          <w:noProof/>
        </w:rPr>
        <w:t>(36)</w:t>
      </w:r>
      <w:r w:rsidRPr="007E6972">
        <w:rPr>
          <w:noProof/>
        </w:rPr>
        <w:tab/>
        <w:t xml:space="preserve">Spoľahlivé, komplexné a pravidelne zbierané údaje a štatistické dôkazy o vylúčení z bývania a bezdomovectve sú kľúčové pre účinnú tvorbu, monitorovanie a hodnotenie politík, čo pomáha posudzovať pokrok bez zvyšovania administratívnej záťaže. </w:t>
      </w:r>
    </w:p>
    <w:p w14:paraId="0A6D36D7" w14:textId="77777777" w:rsidR="00F057B5" w:rsidRPr="007E6972" w:rsidRDefault="00796E41" w:rsidP="00796E41">
      <w:pPr>
        <w:pStyle w:val="ManualConsidrant"/>
        <w:rPr>
          <w:noProof/>
        </w:rPr>
      </w:pPr>
      <w:r w:rsidRPr="007E6972">
        <w:rPr>
          <w:noProof/>
        </w:rPr>
        <w:t>(37)</w:t>
      </w:r>
      <w:r w:rsidRPr="007E6972">
        <w:rPr>
          <w:noProof/>
        </w:rPr>
        <w:tab/>
        <w:t>Riešenie problému vylúčenia z bývania a bezdomovectva si vyžaduje medziodvetvovú koordináciu a viacúrovňové riadenie, ktoré zahŕňa Európsku úniu, národné, regionálne a miestne orgány spolu s občianskou spoločnosťou, organizáciami sociálneho hospodárstva, poskytovateľmi bývania a ľuďmi so skúsenosťami s bezdomovectvom.</w:t>
      </w:r>
    </w:p>
    <w:p w14:paraId="1ADD8889" w14:textId="77777777" w:rsidR="00B01222" w:rsidRPr="007E6972" w:rsidRDefault="00796E41" w:rsidP="00796E41">
      <w:pPr>
        <w:pStyle w:val="ManualConsidrant"/>
        <w:rPr>
          <w:noProof/>
        </w:rPr>
      </w:pPr>
      <w:r w:rsidRPr="007E6972">
        <w:rPr>
          <w:noProof/>
        </w:rPr>
        <w:t>(38)</w:t>
      </w:r>
      <w:r w:rsidRPr="007E6972">
        <w:rPr>
          <w:noProof/>
        </w:rPr>
        <w:tab/>
        <w:t>Partnerstvami s organizáciami, ktoré poskytujú podporu ľuďom bez domova a osobám, ktoré širším spôsobom čelia vylúčeniu z bývania, sa môže posilniť úsilie verejnosti ponúkať služby, ktoré podporujú sociálne začlenenie a vytvárajú stabilné riešenia v oblasti bývania pre konkrétne cieľové skupiny. Organizácie sociálneho hospodárstva môžu poskytovaním ďalších služieb, ako je napríklad pracovná integrácia, pomôcť zabezpečiť prechod do stabilného života.</w:t>
      </w:r>
    </w:p>
    <w:p w14:paraId="3FCBAC9D" w14:textId="77777777" w:rsidR="00F057B5" w:rsidRPr="007E6972" w:rsidRDefault="00796E41" w:rsidP="00796E41">
      <w:pPr>
        <w:pStyle w:val="ManualConsidrant"/>
        <w:rPr>
          <w:noProof/>
        </w:rPr>
      </w:pPr>
      <w:r w:rsidRPr="007E6972">
        <w:rPr>
          <w:noProof/>
        </w:rPr>
        <w:t>(39)</w:t>
      </w:r>
      <w:r w:rsidRPr="007E6972">
        <w:rPr>
          <w:noProof/>
        </w:rPr>
        <w:tab/>
        <w:t xml:space="preserve">Účinné opatrenia na predchádzanie vylúčeniu z bývania a jeho zníženie si vyžadujú primerané a stabilné financovanie, ako aj účinné využívanie a koordináciu dostupných finančných zdrojov Únie, národných, regionálnych a miestnych finančných zdrojov, a to v súlade s právomocami a rozpočtovými rámcami členských štátov. </w:t>
      </w:r>
    </w:p>
    <w:p w14:paraId="03A9C966" w14:textId="77777777" w:rsidR="00F057B5" w:rsidRPr="007E6972" w:rsidRDefault="00796E41" w:rsidP="00796E41">
      <w:pPr>
        <w:pStyle w:val="ManualConsidrant"/>
        <w:rPr>
          <w:noProof/>
        </w:rPr>
      </w:pPr>
      <w:r w:rsidRPr="007E6972">
        <w:rPr>
          <w:noProof/>
        </w:rPr>
        <w:t>(40)</w:t>
      </w:r>
      <w:r w:rsidRPr="007E6972">
        <w:rPr>
          <w:noProof/>
        </w:rPr>
        <w:tab/>
        <w:t xml:space="preserve">Európska platforma na boj proti bezdomovectvu je vytvorený rámec spolupráce na úrovni EÚ v oblasti bezdomovectva a vylúčenia z bývania. Poskytuje kolaboratívne fórum na budovanie poznatkov, vzájomné učenie a spoluprácu medzi členskými štátmi a zainteresovanými stranami, čím prispieva k tvorbe politiky založenej na dôkazoch a k posilneniu implementačnej kapacity. Ide o zavedený rámec riadenia na úrovni EÚ v oblasti bezdomovectva a vylúčenia z bývania. </w:t>
      </w:r>
    </w:p>
    <w:p w14:paraId="239FF0AC" w14:textId="77777777" w:rsidR="00316B78" w:rsidRPr="007E6972" w:rsidRDefault="00796E41" w:rsidP="00796E41">
      <w:pPr>
        <w:pStyle w:val="ManualConsidrant"/>
        <w:rPr>
          <w:noProof/>
        </w:rPr>
      </w:pPr>
      <w:r w:rsidRPr="007E6972">
        <w:rPr>
          <w:noProof/>
        </w:rPr>
        <w:t>(41)</w:t>
      </w:r>
      <w:r w:rsidRPr="007E6972">
        <w:rPr>
          <w:noProof/>
        </w:rPr>
        <w:tab/>
        <w:t>Signatári Lisabonskej deklarácie o európskej platforme na boj proti bezdomovectvu sa zaviazali, že sa budú usilovať o ukončenie bezdomovectva do roku 2030, aby:</w:t>
      </w:r>
    </w:p>
    <w:p w14:paraId="49E0CD2D" w14:textId="77777777" w:rsidR="00316B78" w:rsidRPr="007E6972" w:rsidRDefault="00796E41" w:rsidP="00796E41">
      <w:pPr>
        <w:pStyle w:val="Point1"/>
        <w:rPr>
          <w:noProof/>
        </w:rPr>
      </w:pPr>
      <w:r w:rsidRPr="007E6972">
        <w:rPr>
          <w:noProof/>
        </w:rPr>
        <w:lastRenderedPageBreak/>
        <w:t>i)</w:t>
      </w:r>
      <w:r w:rsidRPr="007E6972">
        <w:rPr>
          <w:noProof/>
        </w:rPr>
        <w:tab/>
        <w:t>nikto neprespával na ulici z dôvodu nedostatku dostupného, bezpečného a vhodného núdzového ubytovania;</w:t>
      </w:r>
    </w:p>
    <w:p w14:paraId="502C1741" w14:textId="77777777" w:rsidR="00316B78" w:rsidRPr="007E6972" w:rsidRDefault="00796E41" w:rsidP="00796E41">
      <w:pPr>
        <w:pStyle w:val="Point1"/>
        <w:rPr>
          <w:noProof/>
        </w:rPr>
      </w:pPr>
      <w:r w:rsidRPr="007E6972">
        <w:rPr>
          <w:noProof/>
        </w:rPr>
        <w:t>ii)</w:t>
      </w:r>
      <w:r w:rsidRPr="007E6972">
        <w:rPr>
          <w:noProof/>
        </w:rPr>
        <w:tab/>
        <w:t xml:space="preserve">nikto nežil v núdzovom alebo prechodnom ubytovaní dlhšie, než je to nevyhnutné na úspešný prechod na trvalé bývanie; </w:t>
      </w:r>
    </w:p>
    <w:p w14:paraId="468505A2" w14:textId="77777777" w:rsidR="00316B78" w:rsidRPr="007E6972" w:rsidRDefault="00796E41" w:rsidP="00796E41">
      <w:pPr>
        <w:pStyle w:val="Point1"/>
        <w:rPr>
          <w:noProof/>
        </w:rPr>
      </w:pPr>
      <w:r w:rsidRPr="007E6972">
        <w:rPr>
          <w:noProof/>
        </w:rPr>
        <w:t>iii)</w:t>
      </w:r>
      <w:r w:rsidRPr="007E6972">
        <w:rPr>
          <w:noProof/>
        </w:rPr>
        <w:tab/>
        <w:t xml:space="preserve">nikoho neprepustili zo žiadneho zariadenia (napr. väzenia, nemocnice, zariadenia starostlivosti) bez ponuky vhodného ubytovania; </w:t>
      </w:r>
    </w:p>
    <w:p w14:paraId="7835FCB4" w14:textId="77777777" w:rsidR="00316B78" w:rsidRPr="007E6972" w:rsidRDefault="00796E41" w:rsidP="00796E41">
      <w:pPr>
        <w:pStyle w:val="Point1"/>
        <w:rPr>
          <w:noProof/>
        </w:rPr>
      </w:pPr>
      <w:r w:rsidRPr="007E6972">
        <w:rPr>
          <w:noProof/>
        </w:rPr>
        <w:t>iv)</w:t>
      </w:r>
      <w:r w:rsidRPr="007E6972">
        <w:rPr>
          <w:noProof/>
        </w:rPr>
        <w:tab/>
        <w:t>pokiaľ je to možné, sa zabránilo nútenému vysťahovaniu a nikto nebol vysťahovaný bez toho, aby mu bola v prípade potreby poskytnutá pomoc pri hľadaní vhodného riešenia v oblasti bývania;</w:t>
      </w:r>
    </w:p>
    <w:p w14:paraId="4A2C71F6" w14:textId="2EDC8B7B" w:rsidR="00316B78" w:rsidRPr="007E6972" w:rsidRDefault="00796E41" w:rsidP="00796E41">
      <w:pPr>
        <w:pStyle w:val="Point1"/>
        <w:rPr>
          <w:noProof/>
        </w:rPr>
      </w:pPr>
      <w:r w:rsidRPr="007E6972">
        <w:rPr>
          <w:noProof/>
        </w:rPr>
        <w:t>v)</w:t>
      </w:r>
      <w:r w:rsidRPr="007E6972">
        <w:rPr>
          <w:noProof/>
        </w:rPr>
        <w:tab/>
        <w:t xml:space="preserve">nikto nebol diskriminovaný z dôvodu bezdomovectva. </w:t>
      </w:r>
    </w:p>
    <w:p w14:paraId="261CCBDA" w14:textId="77777777" w:rsidR="00D244BF" w:rsidRPr="007E6972" w:rsidRDefault="00796E41" w:rsidP="00796E41">
      <w:pPr>
        <w:pStyle w:val="ManualConsidrant"/>
        <w:rPr>
          <w:noProof/>
        </w:rPr>
      </w:pPr>
      <w:r w:rsidRPr="007E6972">
        <w:rPr>
          <w:noProof/>
        </w:rPr>
        <w:t>(42)</w:t>
      </w:r>
      <w:r w:rsidRPr="007E6972">
        <w:rPr>
          <w:noProof/>
        </w:rPr>
        <w:tab/>
        <w:t xml:space="preserve">„ETHOS“, Európska typológia bezdomovectva a vylúčenia z bývania, bola vypracovaná ako rámec na zlepšenie chápania a sledovania bezdomovectva v Európe a na poskytnutie spoločného „jazyka“ pre nadnárodnú výmenu informácií o bezdomovectve. Klasifikácia ETHOS zahŕňa všetky životné situácie, ktoré predstavujú formy bezdomovectva a vylúčenia z bývania, a to: </w:t>
      </w:r>
    </w:p>
    <w:p w14:paraId="39C529BC" w14:textId="77777777" w:rsidR="00D244BF" w:rsidRPr="007E6972" w:rsidRDefault="00D244BF" w:rsidP="00695221">
      <w:pPr>
        <w:pStyle w:val="Tiret1"/>
        <w:numPr>
          <w:ilvl w:val="0"/>
          <w:numId w:val="6"/>
        </w:numPr>
        <w:ind w:left="1620"/>
        <w:rPr>
          <w:noProof/>
        </w:rPr>
      </w:pPr>
      <w:r w:rsidRPr="007E6972">
        <w:rPr>
          <w:noProof/>
        </w:rPr>
        <w:t>stav bez prístrešia (bez akéhokoľvek prístrešia, spanie na ulici),</w:t>
      </w:r>
    </w:p>
    <w:p w14:paraId="5BDEEC55" w14:textId="77777777" w:rsidR="00D244BF" w:rsidRPr="007E6972" w:rsidRDefault="00D244BF" w:rsidP="00695221">
      <w:pPr>
        <w:pStyle w:val="Tiret1"/>
        <w:numPr>
          <w:ilvl w:val="0"/>
          <w:numId w:val="6"/>
        </w:numPr>
        <w:ind w:left="1620"/>
        <w:rPr>
          <w:noProof/>
        </w:rPr>
      </w:pPr>
      <w:r w:rsidRPr="007E6972">
        <w:rPr>
          <w:noProof/>
        </w:rPr>
        <w:t>stav bez bývania (s miestom na spanie, ale len dočasne v zariadeniach alebo prístreškoch),</w:t>
      </w:r>
    </w:p>
    <w:p w14:paraId="121D6D52" w14:textId="77777777" w:rsidR="00753294" w:rsidRPr="007E6972" w:rsidRDefault="00D244BF" w:rsidP="00695221">
      <w:pPr>
        <w:pStyle w:val="Tiret1"/>
        <w:numPr>
          <w:ilvl w:val="0"/>
          <w:numId w:val="6"/>
        </w:numPr>
        <w:ind w:left="1620"/>
        <w:rPr>
          <w:noProof/>
        </w:rPr>
      </w:pPr>
      <w:r w:rsidRPr="007E6972">
        <w:rPr>
          <w:noProof/>
        </w:rPr>
        <w:t>neisté bývanie (ohrozenie vážnym vylúčením z dôvodu neistého nájmu, vysťahovania, domáceho násilia, dočasného bývania u rodiny/priateľov),</w:t>
      </w:r>
    </w:p>
    <w:p w14:paraId="0DF7A09C" w14:textId="77777777" w:rsidR="00D244BF" w:rsidRPr="007E6972" w:rsidRDefault="00D244BF" w:rsidP="00695221">
      <w:pPr>
        <w:pStyle w:val="Tiret1"/>
        <w:numPr>
          <w:ilvl w:val="0"/>
          <w:numId w:val="6"/>
        </w:numPr>
        <w:ind w:left="1620"/>
        <w:rPr>
          <w:noProof/>
        </w:rPr>
      </w:pPr>
      <w:r w:rsidRPr="007E6972">
        <w:rPr>
          <w:noProof/>
        </w:rPr>
        <w:t>bývanie v nevyhovujúcich podmienkach (v dočasných alebo nekonvenčných objektoch, v nevhodnom bývaní, v extrémne preplnenom obydlí).</w:t>
      </w:r>
    </w:p>
    <w:p w14:paraId="6FD92E87" w14:textId="77777777" w:rsidR="00CC4570" w:rsidRPr="007E6972" w:rsidRDefault="00CC4570" w:rsidP="004723B1">
      <w:pPr>
        <w:rPr>
          <w:noProof/>
        </w:rPr>
      </w:pPr>
    </w:p>
    <w:p w14:paraId="3078420C" w14:textId="77777777" w:rsidR="00FD6375" w:rsidRPr="007E6972" w:rsidRDefault="00C578AE" w:rsidP="00FD6375">
      <w:pPr>
        <w:pStyle w:val="Formuledadoption"/>
        <w:rPr>
          <w:noProof/>
        </w:rPr>
      </w:pPr>
      <w:r w:rsidRPr="007E6972">
        <w:rPr>
          <w:noProof/>
        </w:rPr>
        <w:t>PRIJALA TOTO ODPORÚČANIE</w:t>
      </w:r>
    </w:p>
    <w:p w14:paraId="5A9786FC" w14:textId="3B150547" w:rsidR="00701068" w:rsidRPr="007E6972" w:rsidRDefault="002A69B8" w:rsidP="00701068">
      <w:pPr>
        <w:pStyle w:val="Titrearticle"/>
        <w:jc w:val="both"/>
        <w:rPr>
          <w:i w:val="0"/>
          <w:iCs/>
          <w:noProof/>
        </w:rPr>
      </w:pPr>
      <w:r w:rsidRPr="007E6972">
        <w:rPr>
          <w:i w:val="0"/>
          <w:noProof/>
        </w:rPr>
        <w:t>PREDMET ÚPRAVY</w:t>
      </w:r>
    </w:p>
    <w:p w14:paraId="02225116" w14:textId="7D1776EB" w:rsidR="00B23935" w:rsidRPr="007E6972" w:rsidRDefault="007E6972" w:rsidP="007E6972">
      <w:pPr>
        <w:pStyle w:val="Point0"/>
        <w:rPr>
          <w:noProof/>
        </w:rPr>
      </w:pPr>
      <w:r>
        <w:rPr>
          <w:noProof/>
        </w:rPr>
        <w:t>1.</w:t>
      </w:r>
      <w:r>
        <w:rPr>
          <w:noProof/>
        </w:rPr>
        <w:tab/>
      </w:r>
      <w:r w:rsidR="00FA001B" w:rsidRPr="007E6972">
        <w:rPr>
          <w:noProof/>
        </w:rPr>
        <w:t>V tomto odporúčaní sa uvádzajú usmernenia týkajúce sa boja proti sociálnemu vylúčeniu, a najmä:</w:t>
      </w:r>
    </w:p>
    <w:p w14:paraId="798D5CCE" w14:textId="77777777" w:rsidR="001865CC" w:rsidRPr="007E6972" w:rsidRDefault="00B23935" w:rsidP="00D6392D">
      <w:pPr>
        <w:pStyle w:val="Point0"/>
        <w:ind w:left="1440" w:hanging="720"/>
        <w:rPr>
          <w:noProof/>
        </w:rPr>
      </w:pPr>
      <w:r w:rsidRPr="007E6972">
        <w:rPr>
          <w:noProof/>
        </w:rPr>
        <w:t>a)</w:t>
      </w:r>
      <w:r w:rsidRPr="007E6972">
        <w:rPr>
          <w:noProof/>
        </w:rPr>
        <w:tab/>
        <w:t xml:space="preserve">o podpore členských štátov pri predchádzaní vylúčeniu z bývania zraniteľných osôb v neistej bytovej situácii, alebo ohrozených takýmito situáciami, ako aj ľudí bez domova, a pri riešení tohto vylúčenia; </w:t>
      </w:r>
    </w:p>
    <w:p w14:paraId="3F2E444C" w14:textId="77777777" w:rsidR="008C122D" w:rsidRPr="007E6972" w:rsidRDefault="001865CC" w:rsidP="00F422C3">
      <w:pPr>
        <w:pStyle w:val="Point0"/>
        <w:ind w:left="1440" w:hanging="720"/>
        <w:rPr>
          <w:noProof/>
        </w:rPr>
      </w:pPr>
      <w:r w:rsidRPr="007E6972">
        <w:rPr>
          <w:noProof/>
        </w:rPr>
        <w:t xml:space="preserve">b) </w:t>
      </w:r>
      <w:r w:rsidRPr="007E6972">
        <w:rPr>
          <w:noProof/>
        </w:rPr>
        <w:tab/>
        <w:t>o podpore navrhovania, vykonávania a zlepšovania národných, regionálnych a/alebo miestnych strategických rámcov založených na integrovaných politikách zameraných na človeka a bývanie.</w:t>
      </w:r>
    </w:p>
    <w:p w14:paraId="6CFEF2F2" w14:textId="77777777" w:rsidR="008F4693" w:rsidRPr="007E6972" w:rsidRDefault="008F4693" w:rsidP="004723B1">
      <w:pPr>
        <w:rPr>
          <w:noProof/>
        </w:rPr>
      </w:pPr>
    </w:p>
    <w:p w14:paraId="0BBB17DE" w14:textId="77777777" w:rsidR="008C122D" w:rsidRPr="007E6972" w:rsidRDefault="008C122D" w:rsidP="004723B1">
      <w:pPr>
        <w:rPr>
          <w:noProof/>
        </w:rPr>
      </w:pPr>
      <w:r w:rsidRPr="007E6972">
        <w:rPr>
          <w:noProof/>
        </w:rPr>
        <w:t>VYMEDZENIE POJMOV</w:t>
      </w:r>
    </w:p>
    <w:p w14:paraId="238F4D22" w14:textId="49477868" w:rsidR="00AA2DB5" w:rsidRPr="007E6972" w:rsidRDefault="007E6972" w:rsidP="007E6972">
      <w:pPr>
        <w:pStyle w:val="Point0"/>
        <w:rPr>
          <w:noProof/>
        </w:rPr>
      </w:pPr>
      <w:r>
        <w:rPr>
          <w:noProof/>
        </w:rPr>
        <w:t>2.</w:t>
      </w:r>
      <w:r>
        <w:rPr>
          <w:noProof/>
        </w:rPr>
        <w:tab/>
      </w:r>
      <w:r w:rsidR="002D1E9C" w:rsidRPr="007E6972">
        <w:rPr>
          <w:noProof/>
        </w:rPr>
        <w:t>Na účely tohto odporúčania sa uplatňuje toto vymedzenie pojmov:</w:t>
      </w:r>
    </w:p>
    <w:p w14:paraId="4B8ECEA4" w14:textId="77777777" w:rsidR="00BD74F3" w:rsidRPr="007E6972" w:rsidRDefault="00796E41">
      <w:pPr>
        <w:pStyle w:val="Point1"/>
        <w:rPr>
          <w:noProof/>
        </w:rPr>
      </w:pPr>
      <w:r w:rsidRPr="007E6972">
        <w:rPr>
          <w:noProof/>
        </w:rPr>
        <w:t>a)</w:t>
      </w:r>
      <w:r w:rsidRPr="007E6972">
        <w:rPr>
          <w:noProof/>
        </w:rPr>
        <w:tab/>
        <w:t>„vylúčenie z bývania“ sú situácie, v ktorých jednotlivci alebo domácnosti nemajú prístup k vyhovujúcemu a/alebo bezpečnému bývaniu. Zahŕňajú najmä ľudí bez domova (t. j. bez prístrešia alebo bez bývania) a tých, ktorí nedobrovoľne žijú v neistej bytovej situácii, napríklad v nevhodnom alebo neistom bývaní;</w:t>
      </w:r>
    </w:p>
    <w:p w14:paraId="409A59BF" w14:textId="5D866370" w:rsidR="00325095" w:rsidRPr="007E6972" w:rsidRDefault="00796E41">
      <w:pPr>
        <w:pStyle w:val="Point1"/>
        <w:rPr>
          <w:noProof/>
        </w:rPr>
      </w:pPr>
      <w:r w:rsidRPr="007E6972">
        <w:rPr>
          <w:noProof/>
        </w:rPr>
        <w:lastRenderedPageBreak/>
        <w:t>b)</w:t>
      </w:r>
      <w:r w:rsidRPr="007E6972">
        <w:rPr>
          <w:noProof/>
        </w:rPr>
        <w:tab/>
        <w:t>„núdzové ubytovanie“ je ubytovanie, ako napríklad nocľahárne, ktorého primárnym účelom je riešiť naliehavú potrebu útulk</w:t>
      </w:r>
      <w:r w:rsidR="00034BC6" w:rsidRPr="007E6972">
        <w:rPr>
          <w:noProof/>
        </w:rPr>
        <w:t>u</w:t>
      </w:r>
      <w:r w:rsidRPr="007E6972">
        <w:rPr>
          <w:noProof/>
        </w:rPr>
        <w:t xml:space="preserve"> a prístupu k základnému vybaveniu;</w:t>
      </w:r>
    </w:p>
    <w:p w14:paraId="7C71CB00" w14:textId="77777777" w:rsidR="00325095" w:rsidRPr="007E6972" w:rsidRDefault="00796E41">
      <w:pPr>
        <w:pStyle w:val="Point1"/>
        <w:rPr>
          <w:noProof/>
        </w:rPr>
      </w:pPr>
      <w:r w:rsidRPr="007E6972">
        <w:rPr>
          <w:noProof/>
        </w:rPr>
        <w:t>c)</w:t>
      </w:r>
      <w:r w:rsidRPr="007E6972">
        <w:rPr>
          <w:noProof/>
        </w:rPr>
        <w:tab/>
        <w:t xml:space="preserve">„dočasné ubytovanie“ je časovo obmedzené bývanie, ktoré sa poskytuje, kým sa hľadá trvalé bývanie; </w:t>
      </w:r>
    </w:p>
    <w:p w14:paraId="3485BE4E" w14:textId="77777777" w:rsidR="004D1A18" w:rsidRPr="007E6972" w:rsidRDefault="00796E41" w:rsidP="00275B3F">
      <w:pPr>
        <w:pStyle w:val="Point1"/>
        <w:ind w:left="1420" w:hanging="570"/>
        <w:rPr>
          <w:noProof/>
        </w:rPr>
      </w:pPr>
      <w:r w:rsidRPr="007E6972">
        <w:rPr>
          <w:noProof/>
        </w:rPr>
        <w:t>d)</w:t>
      </w:r>
      <w:r w:rsidRPr="007E6972">
        <w:rPr>
          <w:noProof/>
        </w:rPr>
        <w:tab/>
        <w:t xml:space="preserve">„prístupy zamerané na bývanie“ sú modely politiky a poskytovania služieb, ktoré uprednostňujú poskytovanie rýchleho prístupu k vyhovujúcemu, cenovo dostupnému a trvalému bývaniu, v prípade potreby doplnené integrovanými podpornými službami zameranými na človeka, ktoré majú za cieľ stabilitu bývania a sociálne začlenenie, ako je napríklad Housing First (bývanie na prvom mieste). </w:t>
      </w:r>
    </w:p>
    <w:p w14:paraId="09E28131" w14:textId="77777777" w:rsidR="008F4693" w:rsidRPr="007E6972" w:rsidRDefault="008F4693">
      <w:pPr>
        <w:rPr>
          <w:noProof/>
        </w:rPr>
      </w:pPr>
    </w:p>
    <w:p w14:paraId="5182F9E2" w14:textId="77777777" w:rsidR="007D6675" w:rsidRPr="007E6972" w:rsidRDefault="00AB7D32">
      <w:pPr>
        <w:rPr>
          <w:noProof/>
        </w:rPr>
      </w:pPr>
      <w:r w:rsidRPr="007E6972">
        <w:rPr>
          <w:noProof/>
        </w:rPr>
        <w:t>PRIEREZOVÉ ODPORÚČANIA</w:t>
      </w:r>
    </w:p>
    <w:p w14:paraId="28B93F13" w14:textId="6199E684" w:rsidR="006D6435" w:rsidRPr="007E6972" w:rsidRDefault="007E6972" w:rsidP="007E6972">
      <w:pPr>
        <w:pStyle w:val="Point0"/>
        <w:rPr>
          <w:noProof/>
        </w:rPr>
      </w:pPr>
      <w:r>
        <w:rPr>
          <w:noProof/>
        </w:rPr>
        <w:t>3.</w:t>
      </w:r>
      <w:r>
        <w:rPr>
          <w:noProof/>
        </w:rPr>
        <w:tab/>
      </w:r>
      <w:r w:rsidR="006D6435" w:rsidRPr="007E6972">
        <w:rPr>
          <w:noProof/>
        </w:rPr>
        <w:t xml:space="preserve">Členským štátom sa odporúča: </w:t>
      </w:r>
    </w:p>
    <w:p w14:paraId="65B58BEC" w14:textId="4BCB49AC" w:rsidR="000F5594" w:rsidRPr="007E6972" w:rsidRDefault="007E6972" w:rsidP="007E6972">
      <w:pPr>
        <w:pStyle w:val="Point1"/>
        <w:rPr>
          <w:noProof/>
        </w:rPr>
      </w:pPr>
      <w:r>
        <w:rPr>
          <w:noProof/>
        </w:rPr>
        <w:t>a)</w:t>
      </w:r>
      <w:r>
        <w:rPr>
          <w:noProof/>
        </w:rPr>
        <w:tab/>
      </w:r>
      <w:r w:rsidR="008203C4" w:rsidRPr="007E6972">
        <w:rPr>
          <w:noProof/>
        </w:rPr>
        <w:t>prijať alebo zrevidovať strategické rámce boja proti vylúčeniu z bývania a bezdomovectvu na základe politík zameraných na človeka a bývanie a integrovaných politík v súlade s týmto odporúčaním s cieľom posilniť úsilie o odstránenie bezdomovectva v Európskej únii. Malo by sa to uskutočniť so zapojením a účasťou regionálnych a miestnych orgánov a pri rešpektovaní rozdelenia právomocí v rámci členských štátov;</w:t>
      </w:r>
    </w:p>
    <w:p w14:paraId="00C5DCA4" w14:textId="1DE2F376" w:rsidR="00FA6BF7" w:rsidRPr="007E6972" w:rsidRDefault="007E6972" w:rsidP="007E6972">
      <w:pPr>
        <w:pStyle w:val="Point1"/>
        <w:rPr>
          <w:noProof/>
        </w:rPr>
      </w:pPr>
      <w:r>
        <w:rPr>
          <w:noProof/>
        </w:rPr>
        <w:t>b)</w:t>
      </w:r>
      <w:r>
        <w:rPr>
          <w:noProof/>
        </w:rPr>
        <w:tab/>
      </w:r>
      <w:r w:rsidR="000E7DA0" w:rsidRPr="007E6972">
        <w:rPr>
          <w:noProof/>
        </w:rPr>
        <w:t xml:space="preserve">vymedziť, s ohľadom na vnútroštátny kontext, neistú bytovú situáciu, najmä s prihliadnutím na riziko chudoby alebo sociálneho vylúčenia; </w:t>
      </w:r>
    </w:p>
    <w:p w14:paraId="41AE3560" w14:textId="2EE44679" w:rsidR="00EC63E7" w:rsidRPr="007E6972" w:rsidRDefault="007E6972" w:rsidP="007E6972">
      <w:pPr>
        <w:pStyle w:val="Point1"/>
        <w:rPr>
          <w:noProof/>
        </w:rPr>
      </w:pPr>
      <w:r>
        <w:rPr>
          <w:noProof/>
        </w:rPr>
        <w:t>c)</w:t>
      </w:r>
      <w:r>
        <w:rPr>
          <w:noProof/>
        </w:rPr>
        <w:tab/>
      </w:r>
      <w:r w:rsidR="004D69DB" w:rsidRPr="007E6972">
        <w:rPr>
          <w:noProof/>
        </w:rPr>
        <w:t>vypracovať prispôsobené opatrenia na boj proti vylúčeniu z bývania a bezdomovectvu a prijať prístup zameraný na človeka, ktorý bude v relevantných prípadoch vychádzať zo zásad Nového európskeho Bauhausu vrátane participatívneho, inkluzívneho a miestne orientovaného dizajnu, spolu s poskytovaním integrovaných služieb, ako je sociálna pomoc, zdravotná starostlivosť, dlhodobá starostlivosť a aktivácia na trhu práce, v kombinácii s pomocou pri bývaní;</w:t>
      </w:r>
    </w:p>
    <w:p w14:paraId="53428DC0" w14:textId="1BA08408" w:rsidR="000762ED" w:rsidRPr="007E6972" w:rsidRDefault="007E6972" w:rsidP="007E6972">
      <w:pPr>
        <w:pStyle w:val="Point1"/>
        <w:rPr>
          <w:noProof/>
        </w:rPr>
      </w:pPr>
      <w:r>
        <w:rPr>
          <w:noProof/>
        </w:rPr>
        <w:t>d)</w:t>
      </w:r>
      <w:r>
        <w:rPr>
          <w:noProof/>
        </w:rPr>
        <w:tab/>
      </w:r>
      <w:r w:rsidR="00DE6932" w:rsidRPr="007E6972">
        <w:rPr>
          <w:noProof/>
        </w:rPr>
        <w:t xml:space="preserve">stanoviť relevantné, časovo ohraničené, dosiahnuteľné a merateľné ciele vrátane: </w:t>
      </w:r>
    </w:p>
    <w:p w14:paraId="3B44D6F1" w14:textId="77777777" w:rsidR="00DF4C1E" w:rsidRPr="007E6972" w:rsidRDefault="009F6432" w:rsidP="00F422C3">
      <w:pPr>
        <w:pStyle w:val="Text1"/>
        <w:ind w:left="1440"/>
        <w:rPr>
          <w:noProof/>
        </w:rPr>
      </w:pPr>
      <w:r w:rsidRPr="007E6972">
        <w:rPr>
          <w:noProof/>
        </w:rPr>
        <w:t>i)</w:t>
      </w:r>
      <w:r w:rsidRPr="007E6972">
        <w:rPr>
          <w:noProof/>
        </w:rPr>
        <w:tab/>
        <w:t>každá osoba, ktorá prespáva na ulici (osoby zažívajúce „primárne bezdomovectvo“</w:t>
      </w:r>
      <w:r w:rsidRPr="007E6972">
        <w:rPr>
          <w:rStyle w:val="FootnoteReference"/>
          <w:noProof/>
        </w:rPr>
        <w:footnoteReference w:id="33"/>
      </w:r>
      <w:r w:rsidRPr="007E6972">
        <w:rPr>
          <w:noProof/>
        </w:rPr>
        <w:t>, ktoré spia na ulici bez toho, aby našli útočisko v akomkoľvek obydlí), dostane ponuku núdzového ubytovania;</w:t>
      </w:r>
    </w:p>
    <w:p w14:paraId="5AF6AD5F" w14:textId="0895CDB3" w:rsidR="00EB3EC4" w:rsidRPr="007E6972" w:rsidRDefault="009F6432" w:rsidP="00F422C3">
      <w:pPr>
        <w:pStyle w:val="Text1"/>
        <w:ind w:left="1440"/>
        <w:rPr>
          <w:noProof/>
        </w:rPr>
      </w:pPr>
      <w:r w:rsidRPr="007E6972">
        <w:rPr>
          <w:noProof/>
        </w:rPr>
        <w:t>ii)</w:t>
      </w:r>
      <w:r w:rsidRPr="007E6972">
        <w:rPr>
          <w:noProof/>
        </w:rPr>
        <w:tab/>
        <w:t xml:space="preserve">ľudia žijúci v núdzovom alebo dočasnom ubytovaní (osoby zažívajúce „sekundárne bezdomovectvo“) dostávajú účinnú podporu, aby mali čo najskôr prístup k dlhodobým a bezpečným riešeniam v oblasti bývania. </w:t>
      </w:r>
    </w:p>
    <w:p w14:paraId="4465FCD6" w14:textId="77777777" w:rsidR="008C122D" w:rsidRPr="007E6972" w:rsidRDefault="008C122D" w:rsidP="00F422C3">
      <w:pPr>
        <w:pStyle w:val="Text1"/>
        <w:ind w:left="1440"/>
        <w:rPr>
          <w:noProof/>
        </w:rPr>
      </w:pPr>
    </w:p>
    <w:p w14:paraId="17A18A17" w14:textId="77777777" w:rsidR="006D3FDD" w:rsidRPr="007E6972" w:rsidRDefault="006D3FDD" w:rsidP="00C45313">
      <w:pPr>
        <w:rPr>
          <w:noProof/>
        </w:rPr>
      </w:pPr>
    </w:p>
    <w:p w14:paraId="2B3B60DC" w14:textId="77777777" w:rsidR="00C45313" w:rsidRPr="007E6972" w:rsidRDefault="00C45313" w:rsidP="00C45313">
      <w:pPr>
        <w:rPr>
          <w:noProof/>
        </w:rPr>
      </w:pPr>
      <w:r w:rsidRPr="007E6972">
        <w:rPr>
          <w:noProof/>
        </w:rPr>
        <w:t>IDENTIFIKÁCIA OSÔB, KTORÉ ČELIA VYLÚČENIU Z BÝVANIA ALEBO KTORÝM TAKÉTO VYLÚČENIE HROZÍ</w:t>
      </w:r>
    </w:p>
    <w:p w14:paraId="1FFF9CDC" w14:textId="22FC20BF" w:rsidR="00C45313" w:rsidRPr="007E6972" w:rsidRDefault="007E6972" w:rsidP="007E6972">
      <w:pPr>
        <w:pStyle w:val="Point0"/>
        <w:rPr>
          <w:noProof/>
        </w:rPr>
      </w:pPr>
      <w:r>
        <w:rPr>
          <w:noProof/>
        </w:rPr>
        <w:lastRenderedPageBreak/>
        <w:t>4.</w:t>
      </w:r>
      <w:r>
        <w:rPr>
          <w:noProof/>
        </w:rPr>
        <w:tab/>
      </w:r>
      <w:r w:rsidR="00C45313" w:rsidRPr="007E6972">
        <w:rPr>
          <w:noProof/>
        </w:rPr>
        <w:t xml:space="preserve">Členským štátom sa odporúča: </w:t>
      </w:r>
    </w:p>
    <w:p w14:paraId="2C315B98" w14:textId="7C92B3B3" w:rsidR="00C45313" w:rsidRPr="007E6972" w:rsidRDefault="007E6972" w:rsidP="007E6972">
      <w:pPr>
        <w:pStyle w:val="Point1"/>
        <w:rPr>
          <w:noProof/>
        </w:rPr>
      </w:pPr>
      <w:r>
        <w:rPr>
          <w:noProof/>
        </w:rPr>
        <w:t>a)</w:t>
      </w:r>
      <w:r>
        <w:rPr>
          <w:noProof/>
        </w:rPr>
        <w:tab/>
      </w:r>
      <w:r w:rsidR="00806818" w:rsidRPr="007E6972">
        <w:rPr>
          <w:noProof/>
        </w:rPr>
        <w:t>posilniť zber údajov o ťažko dostupných skupinách vrátane ľudí bez domova a bez toho, aby došlo k nadmernej administratívnej záťaži, vypracovať pravidelné, komplexné, porovnateľné a rozčlenené štatistiky o vylúčení z bývania a bezdomovectve na národnej a miestnej úrovni;</w:t>
      </w:r>
    </w:p>
    <w:p w14:paraId="7C93AE7B" w14:textId="76A5F428" w:rsidR="00C45313" w:rsidRPr="007E6972" w:rsidRDefault="007E6972" w:rsidP="007E6972">
      <w:pPr>
        <w:pStyle w:val="Point1"/>
        <w:rPr>
          <w:noProof/>
        </w:rPr>
      </w:pPr>
      <w:r>
        <w:rPr>
          <w:noProof/>
        </w:rPr>
        <w:t>b)</w:t>
      </w:r>
      <w:r>
        <w:rPr>
          <w:noProof/>
        </w:rPr>
        <w:tab/>
      </w:r>
      <w:r w:rsidR="00226E48" w:rsidRPr="007E6972">
        <w:rPr>
          <w:noProof/>
        </w:rPr>
        <w:t>zosúladiť kritériá na identifikáciu ľudí, ktorí sú vylúčení z bývania alebo ktorým takéto vylúčenie hrozí, v rámci príslušných služieb, ako sú sociálne služby, služby v oblasti zamestnanosti, vzdelávania, spravodlivosti a ochrany detí, a vybudovať rýchlu, účinnú a včasnú výmenu informácií medzi týmito službami;</w:t>
      </w:r>
    </w:p>
    <w:p w14:paraId="4899A3D6" w14:textId="33B70055" w:rsidR="00C45313" w:rsidRPr="007E6972" w:rsidRDefault="007E6972" w:rsidP="007E6972">
      <w:pPr>
        <w:pStyle w:val="Point1"/>
        <w:rPr>
          <w:noProof/>
        </w:rPr>
      </w:pPr>
      <w:r>
        <w:rPr>
          <w:noProof/>
        </w:rPr>
        <w:t>c)</w:t>
      </w:r>
      <w:r>
        <w:rPr>
          <w:noProof/>
        </w:rPr>
        <w:tab/>
      </w:r>
      <w:r w:rsidR="003A0A56" w:rsidRPr="007E6972">
        <w:rPr>
          <w:noProof/>
        </w:rPr>
        <w:t xml:space="preserve">na základe zozbieraných údajov a zosúladených kritérií na identifikáciu vylúčenia z bývania zaviesť systémy včasného varovania na identifikáciu domácností ohrozených vylúčením z bývania, čím sa zabezpečí včasný dosah a podpora prevencie; </w:t>
      </w:r>
      <w:bookmarkStart w:id="10" w:name="_Hlk227938618"/>
      <w:r w:rsidR="003A0A56" w:rsidRPr="007E6972">
        <w:rPr>
          <w:noProof/>
        </w:rPr>
        <w:t>kvantifikovať a posúdiť potreby bývania ľudí bez domova a osôb v neistej bytovej situácii; vypracovať prispôsobené stratégie identifikácie osôb, ktoré sú často nedostatočné započítané alebo skryté.</w:t>
      </w:r>
      <w:bookmarkEnd w:id="10"/>
    </w:p>
    <w:p w14:paraId="492F2C06" w14:textId="77777777" w:rsidR="00600F3F" w:rsidRPr="007E6972" w:rsidRDefault="00600F3F" w:rsidP="00600F3F">
      <w:pPr>
        <w:pStyle w:val="Text1"/>
        <w:rPr>
          <w:noProof/>
        </w:rPr>
      </w:pPr>
    </w:p>
    <w:p w14:paraId="31B8AF82" w14:textId="77777777" w:rsidR="001E6681" w:rsidRPr="007E6972" w:rsidRDefault="008C122D" w:rsidP="00275B3F">
      <w:pPr>
        <w:pStyle w:val="Titrearticle"/>
        <w:spacing w:before="240"/>
        <w:jc w:val="both"/>
        <w:rPr>
          <w:noProof/>
        </w:rPr>
      </w:pPr>
      <w:r w:rsidRPr="007E6972">
        <w:rPr>
          <w:i w:val="0"/>
          <w:noProof/>
        </w:rPr>
        <w:t xml:space="preserve">PREDCHÁDZANIE VYLÚČENIU Z BÝVANIA </w:t>
      </w:r>
    </w:p>
    <w:p w14:paraId="1531D317" w14:textId="26CB6B28" w:rsidR="005B411C" w:rsidRPr="007E6972" w:rsidRDefault="007E6972" w:rsidP="007E6972">
      <w:pPr>
        <w:pStyle w:val="Point0"/>
        <w:rPr>
          <w:noProof/>
        </w:rPr>
      </w:pPr>
      <w:r>
        <w:rPr>
          <w:noProof/>
        </w:rPr>
        <w:t>5.</w:t>
      </w:r>
      <w:r>
        <w:rPr>
          <w:noProof/>
        </w:rPr>
        <w:tab/>
      </w:r>
      <w:r w:rsidR="00282B18" w:rsidRPr="007E6972">
        <w:rPr>
          <w:noProof/>
        </w:rPr>
        <w:t xml:space="preserve">Členským štátom sa odporúča: </w:t>
      </w:r>
    </w:p>
    <w:p w14:paraId="337BCA0F" w14:textId="7BDB9F7A" w:rsidR="008C122D" w:rsidRPr="007E6972" w:rsidRDefault="007E6972" w:rsidP="007E6972">
      <w:pPr>
        <w:pStyle w:val="Point1"/>
        <w:rPr>
          <w:noProof/>
        </w:rPr>
      </w:pPr>
      <w:r>
        <w:rPr>
          <w:noProof/>
        </w:rPr>
        <w:t>a)</w:t>
      </w:r>
      <w:r>
        <w:rPr>
          <w:noProof/>
        </w:rPr>
        <w:tab/>
      </w:r>
      <w:r w:rsidR="00BD181F" w:rsidRPr="007E6972">
        <w:rPr>
          <w:noProof/>
        </w:rPr>
        <w:t>podporovať vo svojich strategických rámcoch osoby, ktorým hrozí vylúčenie z bývania, aby si mohli udržať vyhovujúce bývanie, a to prostredníctvom cielených opatrení vrátane poradenstva zameraného na dlhy a bývanie, systémov včasného varovania, pomoci v oblasti prenájmu v núdzových situáciách, mediácie a iných zmierňujúcich opatrení. zabezpečiť dostupnosť prispôsobeného bývania pre osoby so zdravotným postihnutím alebo s potrebou dlhodobej starostlivosti a zároveň zabrániť neprimeranej záťaži pre odvetvie výstavby a obnovy;</w:t>
      </w:r>
    </w:p>
    <w:p w14:paraId="2F037DD6" w14:textId="71BDDB0C" w:rsidR="008C122D" w:rsidRPr="007E6972" w:rsidRDefault="007E6972" w:rsidP="007E6972">
      <w:pPr>
        <w:pStyle w:val="Point1"/>
        <w:rPr>
          <w:noProof/>
        </w:rPr>
      </w:pPr>
      <w:r>
        <w:rPr>
          <w:noProof/>
        </w:rPr>
        <w:t>b)</w:t>
      </w:r>
      <w:r>
        <w:rPr>
          <w:noProof/>
        </w:rPr>
        <w:tab/>
      </w:r>
      <w:r w:rsidR="6D56711B" w:rsidRPr="007E6972">
        <w:rPr>
          <w:noProof/>
        </w:rPr>
        <w:t>zabezpečiť včasný a účinný prístup k informáciám o dostupnom bývaní, sociálnych opatreniach a opatreniach podpory príjmu a vykonávať osvetovú činnosť s cieľom zvýšiť uplatňovanie nárokov;</w:t>
      </w:r>
    </w:p>
    <w:p w14:paraId="33FF5329" w14:textId="04DBBB72" w:rsidR="008C122D" w:rsidRPr="007E6972" w:rsidRDefault="007E6972" w:rsidP="007E6972">
      <w:pPr>
        <w:pStyle w:val="Point1"/>
        <w:rPr>
          <w:noProof/>
        </w:rPr>
      </w:pPr>
      <w:r>
        <w:rPr>
          <w:noProof/>
        </w:rPr>
        <w:t>c)</w:t>
      </w:r>
      <w:r>
        <w:rPr>
          <w:noProof/>
        </w:rPr>
        <w:tab/>
      </w:r>
      <w:r w:rsidR="00D82679" w:rsidRPr="007E6972">
        <w:rPr>
          <w:noProof/>
        </w:rPr>
        <w:t xml:space="preserve">pravidelne posudzovať primeranosť podpory príjmu vrátane príspevkov na bývanie, minimálneho príjmu a prídavkov na deti vo vzťahu k nákladom na bývanie, pričom sa uplatňujú mechanizmy úprav, ktoré reagujú na vývoj nákladov. Toto posúdenie by malo slúžiť aj ako dôkaz na zabránenie vytváraniu pascí chudoby, keď sa sociálna podpora stáva demotivačným faktorom pri hľadaní práce; </w:t>
      </w:r>
    </w:p>
    <w:p w14:paraId="65260C42" w14:textId="5DDFCA25" w:rsidR="008C122D" w:rsidRPr="007E6972" w:rsidRDefault="007E6972" w:rsidP="007E6972">
      <w:pPr>
        <w:pStyle w:val="Point1"/>
        <w:rPr>
          <w:noProof/>
        </w:rPr>
      </w:pPr>
      <w:r>
        <w:rPr>
          <w:noProof/>
        </w:rPr>
        <w:t>d)</w:t>
      </w:r>
      <w:r>
        <w:rPr>
          <w:noProof/>
        </w:rPr>
        <w:tab/>
      </w:r>
      <w:r w:rsidR="00AE4812" w:rsidRPr="007E6972">
        <w:rPr>
          <w:noProof/>
        </w:rPr>
        <w:t xml:space="preserve">posilniť predchádzanie nútenému a svojvoľnému vysťahovaniu, a ochranu pred ním, najmä v prípade rodín s deťmi, s osobitným dôrazom na domácnosti s jedným rodičom. Členské štáty by mali zabezpečiť transparentné a včasné postupy rešpektujúce proporcionalitu, riadny proces a účinné prostriedky nápravy a zároveň rešpektovať práva prenajímateľov; </w:t>
      </w:r>
    </w:p>
    <w:p w14:paraId="7FB11AF0" w14:textId="69DA0AC5" w:rsidR="008C122D" w:rsidRPr="007E6972" w:rsidRDefault="007E6972" w:rsidP="007E6972">
      <w:pPr>
        <w:pStyle w:val="Point1"/>
        <w:rPr>
          <w:noProof/>
        </w:rPr>
      </w:pPr>
      <w:r>
        <w:rPr>
          <w:noProof/>
        </w:rPr>
        <w:t>e)</w:t>
      </w:r>
      <w:r>
        <w:rPr>
          <w:noProof/>
        </w:rPr>
        <w:tab/>
      </w:r>
      <w:r w:rsidR="00E05D79" w:rsidRPr="007E6972">
        <w:rPr>
          <w:noProof/>
        </w:rPr>
        <w:t xml:space="preserve">zabezpečiť, aby žiadnemu dieťaťu nechýbalo vyhovujúce bývanie, pričom sa v prípade potreby zaručí včasné a vhodné alternatívne ubytovanie a zároveň sa zachová celistvosť rodiny v najlepšom záujme dieťaťa; </w:t>
      </w:r>
    </w:p>
    <w:p w14:paraId="486356A8" w14:textId="51844C1F" w:rsidR="008C122D" w:rsidRPr="007E6972" w:rsidRDefault="007E6972" w:rsidP="007E6972">
      <w:pPr>
        <w:pStyle w:val="Point1"/>
        <w:rPr>
          <w:noProof/>
        </w:rPr>
      </w:pPr>
      <w:r>
        <w:rPr>
          <w:noProof/>
        </w:rPr>
        <w:lastRenderedPageBreak/>
        <w:t>f)</w:t>
      </w:r>
      <w:r>
        <w:rPr>
          <w:noProof/>
        </w:rPr>
        <w:tab/>
      </w:r>
      <w:r w:rsidR="000A2C84" w:rsidRPr="007E6972">
        <w:rPr>
          <w:noProof/>
        </w:rPr>
        <w:t xml:space="preserve">zabezpečiť, aby žiadna maloletá osoba alebo mladý človek neopustila inštitucionálnu starostlivosť alebo starostlivosť v rodinnom prostredí bez vyhovujúceho bývania a podporných služieb. Mal by sa uľahčiť prístup k finančnej podpore alebo stimulom pre tých, ktorí nemajú ručiteľov alebo finančné prostriedky na kaucie, napríklad prostredníctvom organizácií sociálneho hospodárstva, ktoré uľahčujú prístup k mikrofinancovaniu; </w:t>
      </w:r>
    </w:p>
    <w:p w14:paraId="26005369" w14:textId="7A7EBC57" w:rsidR="008C122D" w:rsidRPr="007E6972" w:rsidRDefault="007E6972" w:rsidP="007E6972">
      <w:pPr>
        <w:pStyle w:val="Point1"/>
        <w:rPr>
          <w:noProof/>
        </w:rPr>
      </w:pPr>
      <w:r>
        <w:rPr>
          <w:noProof/>
        </w:rPr>
        <w:t>g)</w:t>
      </w:r>
      <w:r>
        <w:rPr>
          <w:noProof/>
        </w:rPr>
        <w:tab/>
      </w:r>
      <w:r w:rsidR="009B797C" w:rsidRPr="007E6972">
        <w:rPr>
          <w:noProof/>
        </w:rPr>
        <w:t>zaviesť včasné preventívne poradenstvo vo vzdelávacích inštitúciách, v pracovnom alebo mládežníckom inštitucionálnom prostredí s cieľom pomôcť odhaliť ťažkosti, uľahčiť vhodné nasmerovanie na príslušné služby a zabrániť vylúčeniu detí a mladých ľudí z bývania;</w:t>
      </w:r>
    </w:p>
    <w:p w14:paraId="758C9797" w14:textId="39FF8242" w:rsidR="008C122D" w:rsidRPr="007E6972" w:rsidRDefault="007E6972" w:rsidP="007E6972">
      <w:pPr>
        <w:pStyle w:val="Point1"/>
        <w:rPr>
          <w:noProof/>
        </w:rPr>
      </w:pPr>
      <w:r>
        <w:rPr>
          <w:noProof/>
        </w:rPr>
        <w:t>h)</w:t>
      </w:r>
      <w:r>
        <w:rPr>
          <w:noProof/>
        </w:rPr>
        <w:tab/>
      </w:r>
      <w:r w:rsidR="00F82707" w:rsidRPr="007E6972">
        <w:rPr>
          <w:noProof/>
        </w:rPr>
        <w:t>sprístupniť poradenstvo a sociálnu podporu starším osobám v neistej bytovej situácii s cieľom zabrániť vylúčeniu z bývania;</w:t>
      </w:r>
    </w:p>
    <w:p w14:paraId="2DA081C1" w14:textId="674DE1AE" w:rsidR="00AC4234" w:rsidRPr="007E6972" w:rsidRDefault="007E6972" w:rsidP="007E6972">
      <w:pPr>
        <w:pStyle w:val="Point1"/>
        <w:rPr>
          <w:noProof/>
        </w:rPr>
      </w:pPr>
      <w:r>
        <w:rPr>
          <w:noProof/>
        </w:rPr>
        <w:t>i)</w:t>
      </w:r>
      <w:r>
        <w:rPr>
          <w:noProof/>
        </w:rPr>
        <w:tab/>
      </w:r>
      <w:r w:rsidR="00AC4234" w:rsidRPr="007E6972">
        <w:rPr>
          <w:noProof/>
        </w:rPr>
        <w:t>zabezpečiť rovnaké zaobchádzanie s ľuďmi ohrozenými diskrimináciou, pokiaľ ide o prístup k vyhovujúcemu bývaniu a základným službám;</w:t>
      </w:r>
    </w:p>
    <w:p w14:paraId="019E935F" w14:textId="709DD456" w:rsidR="008C122D" w:rsidRPr="007E6972" w:rsidRDefault="007E6972" w:rsidP="007E6972">
      <w:pPr>
        <w:pStyle w:val="Point1"/>
        <w:rPr>
          <w:noProof/>
        </w:rPr>
      </w:pPr>
      <w:r>
        <w:rPr>
          <w:noProof/>
        </w:rPr>
        <w:t>j)</w:t>
      </w:r>
      <w:r>
        <w:rPr>
          <w:noProof/>
        </w:rPr>
        <w:tab/>
      </w:r>
      <w:r w:rsidR="009C52E7" w:rsidRPr="007E6972">
        <w:rPr>
          <w:noProof/>
        </w:rPr>
        <w:t xml:space="preserve">poskytovať včasnú a personalizovanú podporu ľuďom, ktorí odchádzajú z ústavov, ako sú väzenské zariadenia, nemocnice a zariadenia starostlivosti, s cieľom zabezpečiť dlhodobé bývanie. </w:t>
      </w:r>
    </w:p>
    <w:p w14:paraId="3B885736" w14:textId="77777777" w:rsidR="00A67EC1" w:rsidRPr="007E6972" w:rsidRDefault="00A67EC1" w:rsidP="00F422C3">
      <w:pPr>
        <w:pStyle w:val="Point0"/>
        <w:ind w:left="709" w:hanging="709"/>
        <w:rPr>
          <w:noProof/>
        </w:rPr>
      </w:pPr>
    </w:p>
    <w:p w14:paraId="78869931" w14:textId="77777777" w:rsidR="008C122D" w:rsidRPr="007E6972" w:rsidRDefault="008C122D" w:rsidP="004723B1">
      <w:pPr>
        <w:rPr>
          <w:noProof/>
        </w:rPr>
      </w:pPr>
      <w:r w:rsidRPr="007E6972">
        <w:rPr>
          <w:noProof/>
        </w:rPr>
        <w:t xml:space="preserve">PODPORA ĽUDÍ BEZ DOMOVA </w:t>
      </w:r>
    </w:p>
    <w:p w14:paraId="5EAFEBA7" w14:textId="77777777" w:rsidR="005A474B" w:rsidRPr="007E6972" w:rsidRDefault="005A474B" w:rsidP="004723B1">
      <w:pPr>
        <w:rPr>
          <w:noProof/>
        </w:rPr>
      </w:pPr>
    </w:p>
    <w:p w14:paraId="1DF05371" w14:textId="4FB6D269" w:rsidR="008C122D" w:rsidRPr="007E6972" w:rsidRDefault="007E6972" w:rsidP="007E6972">
      <w:pPr>
        <w:pStyle w:val="Point0"/>
        <w:rPr>
          <w:noProof/>
        </w:rPr>
      </w:pPr>
      <w:r>
        <w:rPr>
          <w:noProof/>
        </w:rPr>
        <w:t>6.</w:t>
      </w:r>
      <w:r>
        <w:rPr>
          <w:noProof/>
        </w:rPr>
        <w:tab/>
      </w:r>
      <w:r w:rsidR="00EB5471" w:rsidRPr="007E6972">
        <w:rPr>
          <w:noProof/>
        </w:rPr>
        <w:t>S cieľom skrátiť čas, počas ktorého sú ľudia bez domova alebo sa musia využívať núdzové alebo dočasné ubytovanie, sa členským štátom odporúča, aby poskytovali integrovanú a dostupnú podporu zameranú na človeka prostredníctvom:</w:t>
      </w:r>
    </w:p>
    <w:p w14:paraId="27BDCD80" w14:textId="77777777" w:rsidR="008C122D" w:rsidRPr="007E6972" w:rsidRDefault="00796E41" w:rsidP="00796E41">
      <w:pPr>
        <w:pStyle w:val="Point1"/>
        <w:rPr>
          <w:noProof/>
        </w:rPr>
      </w:pPr>
      <w:r w:rsidRPr="007E6972">
        <w:rPr>
          <w:noProof/>
        </w:rPr>
        <w:t>a)</w:t>
      </w:r>
      <w:r w:rsidRPr="007E6972">
        <w:rPr>
          <w:noProof/>
        </w:rPr>
        <w:tab/>
        <w:t xml:space="preserve">prístupných a inkluzívnych systémov podpory vrátane napríklad posúdenia individuálnych potrieb, prispôsobených plánov podpory a sledovania prípadov v najzložitejších situáciách; terénnych a komunitných multidisciplinárnych tímov zahŕňajúcich zdravotníckych pracovníkov a pracovníkov v oblasti poskytovania inej starostlivosti, ako aj sociálnych pracovníkov; </w:t>
      </w:r>
    </w:p>
    <w:p w14:paraId="37816ADD" w14:textId="77777777" w:rsidR="004E1334" w:rsidRPr="007E6972" w:rsidRDefault="00796E41" w:rsidP="00796E41">
      <w:pPr>
        <w:pStyle w:val="Point1"/>
        <w:rPr>
          <w:noProof/>
        </w:rPr>
      </w:pPr>
      <w:r w:rsidRPr="007E6972">
        <w:rPr>
          <w:noProof/>
        </w:rPr>
        <w:t>b)</w:t>
      </w:r>
      <w:r w:rsidRPr="007E6972">
        <w:rPr>
          <w:noProof/>
        </w:rPr>
        <w:tab/>
        <w:t xml:space="preserve">noriem zabezpečujúcich konzistentné a vysokokvalitné podporné služby vrátane osobitnej podpory pre deti; </w:t>
      </w:r>
    </w:p>
    <w:p w14:paraId="7AED5F12" w14:textId="77777777" w:rsidR="008C122D" w:rsidRPr="007E6972" w:rsidRDefault="004E1334" w:rsidP="00796E41">
      <w:pPr>
        <w:pStyle w:val="Point1"/>
        <w:rPr>
          <w:noProof/>
        </w:rPr>
      </w:pPr>
      <w:r w:rsidRPr="007E6972">
        <w:rPr>
          <w:noProof/>
        </w:rPr>
        <w:t>c)</w:t>
      </w:r>
      <w:r w:rsidRPr="007E6972">
        <w:rPr>
          <w:noProof/>
        </w:rPr>
        <w:tab/>
        <w:t>prístupu jednotného kontaktného miesta s včasným a zjednodušeným postúpením príslušným agentúram sociálneho zabezpečenia, ako aj prostredníctvom sociálnej pomoci a ľahko dostupných sociálnych a zdravotníckych služieb;</w:t>
      </w:r>
    </w:p>
    <w:p w14:paraId="7F653DFB" w14:textId="4904003A" w:rsidR="008C122D" w:rsidRPr="007E6972" w:rsidRDefault="00796E41" w:rsidP="00796E41">
      <w:pPr>
        <w:pStyle w:val="Point1"/>
        <w:rPr>
          <w:noProof/>
        </w:rPr>
      </w:pPr>
      <w:r w:rsidRPr="007E6972">
        <w:rPr>
          <w:noProof/>
        </w:rPr>
        <w:t>d)</w:t>
      </w:r>
      <w:r w:rsidRPr="007E6972">
        <w:rPr>
          <w:noProof/>
        </w:rPr>
        <w:tab/>
        <w:t xml:space="preserve">podporných systémov, ktoré pomáhajú predchádzať zbytočnému rozdeleniu rodiny v najlepšom záujme dieťaťa a zabezpečujú, aby žiadne dieťa nezostalo bez prístrešia alebo v útulkoch, dočasnom ubytovaní alebo v iných situáciách bez bývania; </w:t>
      </w:r>
    </w:p>
    <w:p w14:paraId="6A07BD8B" w14:textId="77777777" w:rsidR="006E2640" w:rsidRPr="007E6972" w:rsidRDefault="00796E41" w:rsidP="00796E41">
      <w:pPr>
        <w:pStyle w:val="Point1"/>
        <w:rPr>
          <w:noProof/>
        </w:rPr>
      </w:pPr>
      <w:r w:rsidRPr="007E6972">
        <w:rPr>
          <w:noProof/>
        </w:rPr>
        <w:t>e)</w:t>
      </w:r>
      <w:r w:rsidRPr="007E6972">
        <w:rPr>
          <w:noProof/>
        </w:rPr>
        <w:tab/>
        <w:t xml:space="preserve">aktívnej podpory zamestnanosti, a to aj uľahčením registrácie v službách zamestnanosti, a rozvoja personalizovaných ciest k zamestnaniu, sociálnej podpory a podpory udržania pracovných miest, ako aj podpory pre zamestnávateľov; </w:t>
      </w:r>
      <w:r w:rsidRPr="007E6972">
        <w:rPr>
          <w:noProof/>
        </w:rPr>
        <w:tab/>
      </w:r>
    </w:p>
    <w:p w14:paraId="45FF64F9" w14:textId="6D5ACCD3" w:rsidR="008C122D" w:rsidRPr="007E6972" w:rsidRDefault="006E2640" w:rsidP="00796E41">
      <w:pPr>
        <w:pStyle w:val="Point1"/>
        <w:rPr>
          <w:noProof/>
        </w:rPr>
      </w:pPr>
      <w:r w:rsidRPr="007E6972">
        <w:rPr>
          <w:noProof/>
        </w:rPr>
        <w:lastRenderedPageBreak/>
        <w:t>f)</w:t>
      </w:r>
      <w:r w:rsidRPr="007E6972">
        <w:rPr>
          <w:noProof/>
        </w:rPr>
        <w:tab/>
        <w:t>zabezpečenia toho, aby ľudia bez domova boli informovaní o svojich právach podľa právnych predpisov Únie</w:t>
      </w:r>
      <w:r w:rsidRPr="007E6972">
        <w:rPr>
          <w:rStyle w:val="FootnoteReference"/>
          <w:noProof/>
        </w:rPr>
        <w:footnoteReference w:id="34"/>
      </w:r>
      <w:r w:rsidRPr="007E6972">
        <w:rPr>
          <w:noProof/>
        </w:rPr>
        <w:t xml:space="preserve"> na zriadenie a používanie platobného účtu so základnými funkciami v úverových inštitúciách nachádzajúcich sa na mieste ich pohybu bez ohľadu na to, či majú trvalú adresu; </w:t>
      </w:r>
    </w:p>
    <w:p w14:paraId="71D17860" w14:textId="77777777" w:rsidR="00051117" w:rsidRPr="007E6972" w:rsidRDefault="00796E41" w:rsidP="00796E41">
      <w:pPr>
        <w:pStyle w:val="Point1"/>
        <w:rPr>
          <w:noProof/>
        </w:rPr>
      </w:pPr>
      <w:r w:rsidRPr="007E6972">
        <w:rPr>
          <w:noProof/>
        </w:rPr>
        <w:t>g)</w:t>
      </w:r>
      <w:r w:rsidRPr="007E6972">
        <w:rPr>
          <w:noProof/>
        </w:rPr>
        <w:tab/>
        <w:t xml:space="preserve">rozšírenia prístupu k stabilným riešeniam v oblasti bývania pre ľudí bez domova, najmä rodiny s deťmi, prostredníctvom spolupráce s poskytovateľmi bývania, so sociálnymi nájomnými agentúrami a s inkluzívnymi mechanizmami prideľovania bývania a prostredníctvom družstevných a komunitných modelov sprevádzaných vhodnými podpornými službami; </w:t>
      </w:r>
    </w:p>
    <w:p w14:paraId="0C03E580" w14:textId="77777777" w:rsidR="0010722C" w:rsidRPr="007E6972" w:rsidRDefault="009D6B66" w:rsidP="00F422C3">
      <w:pPr>
        <w:pStyle w:val="Point0"/>
        <w:ind w:left="1417" w:hanging="566"/>
        <w:rPr>
          <w:noProof/>
        </w:rPr>
      </w:pPr>
      <w:r w:rsidRPr="007E6972">
        <w:rPr>
          <w:noProof/>
        </w:rPr>
        <w:t xml:space="preserve">h) </w:t>
      </w:r>
      <w:r w:rsidRPr="007E6972">
        <w:rPr>
          <w:noProof/>
        </w:rPr>
        <w:tab/>
        <w:t xml:space="preserve">zabezpečenia, aby núdzové a dočasné ubytovanie vrátane rodovo segregovaného ubytovania bolo dostupné, bezpečné, prístupné a dostatočné na uspokojenie potrieb všetkých ľudí bez domova vrátane obetí domáceho a sexuálneho násilia, a zároveň ich podporou pri prechode na stabilné bývanie; </w:t>
      </w:r>
    </w:p>
    <w:p w14:paraId="0C882543" w14:textId="77777777" w:rsidR="06505AE6" w:rsidRPr="007E6972" w:rsidRDefault="0055310B" w:rsidP="00F422C3">
      <w:pPr>
        <w:pStyle w:val="Point0"/>
        <w:ind w:left="1417" w:hanging="566"/>
        <w:rPr>
          <w:noProof/>
        </w:rPr>
      </w:pPr>
      <w:r w:rsidRPr="007E6972">
        <w:rPr>
          <w:noProof/>
        </w:rPr>
        <w:t xml:space="preserve">i) </w:t>
      </w:r>
      <w:r w:rsidRPr="007E6972">
        <w:rPr>
          <w:noProof/>
        </w:rPr>
        <w:tab/>
        <w:t xml:space="preserve">uznania a podpory úlohy ľudí, ktorí zažili bezdomovectvo, pri zlepšovaní dôvery, prístupu a účinnosti opatrení podporných služieb uľahčujúcich prístup k sociálnemu začleneniu a bývaniu; </w:t>
      </w:r>
    </w:p>
    <w:p w14:paraId="5E0A32EF" w14:textId="77777777" w:rsidR="00DB3968" w:rsidRPr="007E6972" w:rsidRDefault="00396A35" w:rsidP="00F422C3">
      <w:pPr>
        <w:pStyle w:val="Point0"/>
        <w:ind w:left="1417" w:hanging="566"/>
        <w:rPr>
          <w:noProof/>
        </w:rPr>
      </w:pPr>
      <w:r w:rsidRPr="007E6972">
        <w:rPr>
          <w:noProof/>
        </w:rPr>
        <w:t>j)</w:t>
      </w:r>
      <w:r w:rsidRPr="007E6972">
        <w:rPr>
          <w:noProof/>
        </w:rPr>
        <w:tab/>
        <w:t xml:space="preserve">opatrení na predchádzanie stigmatizácii a diskriminačným praktikám v prístupe k bývaniu a ich riešenia, ako sú transparentné kritériá pre čakacie zoznamy na sociálne bývanie, školenie proti zaujatosti pre pracovníkov v oblasti bývania a podporné služby pre nájomníkov, ktorí čelia diskriminácii. </w:t>
      </w:r>
    </w:p>
    <w:p w14:paraId="4850F27C" w14:textId="77777777" w:rsidR="005A474B" w:rsidRPr="007E6972" w:rsidRDefault="005A474B" w:rsidP="00F422C3">
      <w:pPr>
        <w:pStyle w:val="Point0"/>
        <w:ind w:left="1417" w:hanging="566"/>
        <w:rPr>
          <w:noProof/>
        </w:rPr>
      </w:pPr>
    </w:p>
    <w:p w14:paraId="64735BF5" w14:textId="77777777" w:rsidR="005A474B" w:rsidRPr="007E6972" w:rsidRDefault="000266A0" w:rsidP="00AC509C">
      <w:pPr>
        <w:spacing w:before="240" w:after="160" w:line="278" w:lineRule="auto"/>
        <w:rPr>
          <w:noProof/>
        </w:rPr>
      </w:pPr>
      <w:r w:rsidRPr="007E6972">
        <w:rPr>
          <w:noProof/>
        </w:rPr>
        <w:t xml:space="preserve">PRÍSTUP K VYHOVUJÚCIM A BEZPEČNÝM RIEŠENIAM V OBLASTI BÝVANIA </w:t>
      </w:r>
    </w:p>
    <w:p w14:paraId="389BA8D6" w14:textId="063322F9" w:rsidR="00E94F3D" w:rsidRPr="007E6972" w:rsidRDefault="007E6972" w:rsidP="007E6972">
      <w:pPr>
        <w:pStyle w:val="Point0"/>
        <w:rPr>
          <w:noProof/>
        </w:rPr>
      </w:pPr>
      <w:r>
        <w:rPr>
          <w:noProof/>
        </w:rPr>
        <w:t>7.</w:t>
      </w:r>
      <w:r>
        <w:rPr>
          <w:noProof/>
        </w:rPr>
        <w:tab/>
      </w:r>
      <w:r w:rsidR="00043089" w:rsidRPr="007E6972">
        <w:rPr>
          <w:noProof/>
        </w:rPr>
        <w:t>Členským štátom sa odporúča, aby zvýšili ponuku sociálneho a cenovo dostupného bývania v reakcii na demografické potreby, miestny nedostatok a územné rozdiely, a to najmä:</w:t>
      </w:r>
    </w:p>
    <w:p w14:paraId="46A8E39F" w14:textId="71488A63" w:rsidR="00390B18" w:rsidRPr="007E6972" w:rsidRDefault="007E6972" w:rsidP="007E6972">
      <w:pPr>
        <w:pStyle w:val="Point1"/>
        <w:rPr>
          <w:noProof/>
        </w:rPr>
      </w:pPr>
      <w:r>
        <w:rPr>
          <w:noProof/>
        </w:rPr>
        <w:t>a)</w:t>
      </w:r>
      <w:r>
        <w:rPr>
          <w:noProof/>
        </w:rPr>
        <w:tab/>
      </w:r>
      <w:r w:rsidR="00F93BD7" w:rsidRPr="007E6972">
        <w:rPr>
          <w:noProof/>
        </w:rPr>
        <w:t>propagovaním podmienok dlhodobého prenájmu pre súkromných prenajímateľov a nájomcov prostredníctvom:</w:t>
      </w:r>
    </w:p>
    <w:p w14:paraId="58312859" w14:textId="77777777" w:rsidR="00F81B97" w:rsidRPr="007E6972" w:rsidRDefault="00A6476D" w:rsidP="00695221">
      <w:pPr>
        <w:pStyle w:val="Tiret2"/>
        <w:numPr>
          <w:ilvl w:val="0"/>
          <w:numId w:val="7"/>
        </w:numPr>
        <w:rPr>
          <w:noProof/>
        </w:rPr>
      </w:pPr>
      <w:r w:rsidRPr="007E6972">
        <w:rPr>
          <w:noProof/>
        </w:rPr>
        <w:t>zabezpečenia právneho rámca, ktorý uľahčí rozsiahle využívanie dlhodobých nájomných zmlúv,</w:t>
      </w:r>
    </w:p>
    <w:p w14:paraId="70E5B326" w14:textId="458B4ACA" w:rsidR="0064779E" w:rsidRPr="007E6972" w:rsidRDefault="00EE20B1" w:rsidP="00600F3F">
      <w:pPr>
        <w:pStyle w:val="Tiret2"/>
        <w:rPr>
          <w:noProof/>
        </w:rPr>
      </w:pPr>
      <w:r w:rsidRPr="007E6972">
        <w:rPr>
          <w:noProof/>
        </w:rPr>
        <w:t>vo vhodných prípadoch umožnenia cieleného využívania primeraných daňových a finančných stimulov pre prenajímateľov, aby ponúkali dlhodobé riešenia v oblasti bývania, najmä pre rodiny a mladých ľudí,</w:t>
      </w:r>
    </w:p>
    <w:p w14:paraId="3716AA52" w14:textId="0CC81A09" w:rsidR="00DC1683" w:rsidRPr="007E6972" w:rsidRDefault="00F93BD7" w:rsidP="00600F3F">
      <w:pPr>
        <w:pStyle w:val="Tiret2"/>
        <w:rPr>
          <w:noProof/>
        </w:rPr>
      </w:pPr>
      <w:r w:rsidRPr="007E6972">
        <w:rPr>
          <w:noProof/>
        </w:rPr>
        <w:t>zníženia právnej neistoty a skrátenia trvania konaní o vysťahovaní a</w:t>
      </w:r>
    </w:p>
    <w:p w14:paraId="7B90ECD1" w14:textId="1B355E05" w:rsidR="00E94F3D" w:rsidRPr="007E6972" w:rsidRDefault="003F3B90" w:rsidP="00600F3F">
      <w:pPr>
        <w:pStyle w:val="Tiret2"/>
        <w:rPr>
          <w:noProof/>
        </w:rPr>
      </w:pPr>
      <w:r w:rsidRPr="007E6972">
        <w:rPr>
          <w:noProof/>
        </w:rPr>
        <w:t>vyváženia dlhodobého nájomného bytového fondu využitého na účely krátkodobého prenájmu, ak je to riadne odôvodnené krízou v oblasti bývania;</w:t>
      </w:r>
    </w:p>
    <w:p w14:paraId="01DA16C0" w14:textId="74B9BF24" w:rsidR="00B847B6" w:rsidRPr="007E6972" w:rsidRDefault="007E6972" w:rsidP="007E6972">
      <w:pPr>
        <w:pStyle w:val="Point1"/>
        <w:rPr>
          <w:noProof/>
        </w:rPr>
      </w:pPr>
      <w:r>
        <w:rPr>
          <w:noProof/>
        </w:rPr>
        <w:t>b)</w:t>
      </w:r>
      <w:r>
        <w:rPr>
          <w:noProof/>
        </w:rPr>
        <w:tab/>
      </w:r>
      <w:r w:rsidR="00B847B6" w:rsidRPr="007E6972">
        <w:rPr>
          <w:noProof/>
        </w:rPr>
        <w:t xml:space="preserve">stimulovaním používania verejných aj súkromných investícií na novopostavené budovy, obnovu alebo zmenu účelu existujúcich budov s cieľom rozšíriť sociálny a cenovo dostupný bytový fond; </w:t>
      </w:r>
    </w:p>
    <w:p w14:paraId="26A76AF0" w14:textId="1B75E708" w:rsidR="00E94F3D" w:rsidRPr="007E6972" w:rsidRDefault="007E6972" w:rsidP="007E6972">
      <w:pPr>
        <w:pStyle w:val="Point1"/>
        <w:rPr>
          <w:noProof/>
        </w:rPr>
      </w:pPr>
      <w:r>
        <w:rPr>
          <w:noProof/>
        </w:rPr>
        <w:t>c)</w:t>
      </w:r>
      <w:r>
        <w:rPr>
          <w:noProof/>
        </w:rPr>
        <w:tab/>
      </w:r>
      <w:r w:rsidR="00043089" w:rsidRPr="007E6972">
        <w:rPr>
          <w:noProof/>
        </w:rPr>
        <w:t xml:space="preserve">umožnením a podporou modelov bývania zameraných na cenovú dostupnosť vrátane sociálneho a obecného bývania, bytových družstiev, bytových združení </w:t>
      </w:r>
      <w:r w:rsidR="00043089" w:rsidRPr="007E6972">
        <w:rPr>
          <w:noProof/>
        </w:rPr>
        <w:lastRenderedPageBreak/>
        <w:t>s obmedzeným ziskom, komunitných pozemkových trustov, ako aj iných sociálnych nájomných agentúr a iných prístupov s obmedzeným ziskom alebo neziskových prístupov;</w:t>
      </w:r>
    </w:p>
    <w:p w14:paraId="7FBE52F3" w14:textId="0B1BDE10" w:rsidR="00E94F3D" w:rsidRPr="007E6972" w:rsidRDefault="007E6972" w:rsidP="007E6972">
      <w:pPr>
        <w:pStyle w:val="Point1"/>
        <w:rPr>
          <w:noProof/>
        </w:rPr>
      </w:pPr>
      <w:r>
        <w:rPr>
          <w:noProof/>
        </w:rPr>
        <w:t>d)</w:t>
      </w:r>
      <w:r>
        <w:rPr>
          <w:noProof/>
        </w:rPr>
        <w:tab/>
      </w:r>
      <w:r w:rsidR="001D4D8D" w:rsidRPr="007E6972">
        <w:rPr>
          <w:noProof/>
        </w:rPr>
        <w:t xml:space="preserve">podporou a rozširovaním inovatívnych koncepcií spolužitia, ako sú spoločné obytné priestory, klastrové bývanie, spoločné bývanie a medzigeneračné podmienky bývania, v relevantných prípadoch aj so spoločnými zariadeniami a podpornými službami; a uľahčením modelov dočasného a prechodného bývania pre študentov a mladých ľudí, napríklad párovania študentov s obyvateľmi, ktorí žijú v nedostatočne využívaných obydliach; </w:t>
      </w:r>
    </w:p>
    <w:p w14:paraId="43813C59" w14:textId="4F35B0F8" w:rsidR="00E94F3D" w:rsidRPr="007E6972" w:rsidRDefault="007E6972" w:rsidP="007E6972">
      <w:pPr>
        <w:pStyle w:val="Point1"/>
        <w:rPr>
          <w:noProof/>
        </w:rPr>
      </w:pPr>
      <w:r>
        <w:rPr>
          <w:noProof/>
        </w:rPr>
        <w:t>e)</w:t>
      </w:r>
      <w:r>
        <w:rPr>
          <w:noProof/>
        </w:rPr>
        <w:tab/>
      </w:r>
      <w:r w:rsidR="00043089" w:rsidRPr="007E6972">
        <w:rPr>
          <w:noProof/>
        </w:rPr>
        <w:t>zefektívnením národných, regionálnych a miestnych postupov plánovania a vydávania povolení v záujme rýchlejšej výstavby bývania a zároveň presadzovaním sociálneho začlenenia a priestorovej súdržnosti a znížením administratívnych prekážok, ktoré majú vplyv na poskytovateľov stavebných služieb, pričom sa tam, kde je to potrebné, podporuje včasné poskytovanie nového sociálneho a cenovo dostupného bývania, a to aj využívaním a mobilizáciou pozemkov vo verejnom vlastníctve, pričom sa zabezpečí, aby boli dobre prepojené so základnými sociálno-ekonomickými službami a činnosťami;</w:t>
      </w:r>
    </w:p>
    <w:p w14:paraId="4FF4F6C7" w14:textId="5D11F97E" w:rsidR="00E94F3D" w:rsidRPr="007E6972" w:rsidRDefault="007E6972" w:rsidP="007E6972">
      <w:pPr>
        <w:pStyle w:val="Point1"/>
        <w:rPr>
          <w:noProof/>
        </w:rPr>
      </w:pPr>
      <w:r>
        <w:rPr>
          <w:noProof/>
        </w:rPr>
        <w:t>f)</w:t>
      </w:r>
      <w:r>
        <w:rPr>
          <w:noProof/>
        </w:rPr>
        <w:tab/>
      </w:r>
      <w:r w:rsidR="009674BA" w:rsidRPr="007E6972">
        <w:rPr>
          <w:noProof/>
        </w:rPr>
        <w:t>zvýšením efektívneho využívania existujúceho bytového fondu, najmä uľahčením zmeny účelu, obnovy a opätovného využívania existujúcich budov a mobilizáciou voľných obydlí a verejných nehnuteľností, čím sa v čo najväčšej miere obmedzí zbytočná demolácia;</w:t>
      </w:r>
    </w:p>
    <w:p w14:paraId="03ABFEF9" w14:textId="3A17CF54" w:rsidR="00043089" w:rsidRPr="007E6972" w:rsidRDefault="007E6972" w:rsidP="007E6972">
      <w:pPr>
        <w:pStyle w:val="Point1"/>
        <w:rPr>
          <w:noProof/>
        </w:rPr>
      </w:pPr>
      <w:r>
        <w:rPr>
          <w:noProof/>
        </w:rPr>
        <w:t>g)</w:t>
      </w:r>
      <w:r>
        <w:rPr>
          <w:noProof/>
        </w:rPr>
        <w:tab/>
      </w:r>
      <w:r w:rsidR="00DE32F8" w:rsidRPr="007E6972">
        <w:rPr>
          <w:noProof/>
        </w:rPr>
        <w:t>zlepšením dostupnosti útulkov a prechodného bývania a prístupu k nim, kým nebudú k dispozícii riešenia pre trvalé bývanie;</w:t>
      </w:r>
    </w:p>
    <w:p w14:paraId="3369514C" w14:textId="03F0E98B" w:rsidR="003F3B90" w:rsidRPr="007E6972" w:rsidRDefault="007E6972" w:rsidP="007E6972">
      <w:pPr>
        <w:pStyle w:val="Point1"/>
        <w:rPr>
          <w:noProof/>
        </w:rPr>
      </w:pPr>
      <w:r>
        <w:rPr>
          <w:noProof/>
        </w:rPr>
        <w:t>h)</w:t>
      </w:r>
      <w:r>
        <w:rPr>
          <w:noProof/>
        </w:rPr>
        <w:tab/>
      </w:r>
      <w:r w:rsidR="003F3B90" w:rsidRPr="007E6972">
        <w:rPr>
          <w:noProof/>
        </w:rPr>
        <w:t>vyčlenením stanoveného podielu nových projektov bývania na sociálne a cenovo dostupné bývanie, ktoré odráža miestne potreby v oblasti bývania.</w:t>
      </w:r>
    </w:p>
    <w:p w14:paraId="45C5F9DC" w14:textId="757CBB93" w:rsidR="00D57106" w:rsidRPr="007E6972" w:rsidRDefault="007E6972" w:rsidP="007E6972">
      <w:pPr>
        <w:pStyle w:val="Point0"/>
        <w:rPr>
          <w:noProof/>
        </w:rPr>
      </w:pPr>
      <w:r>
        <w:rPr>
          <w:noProof/>
        </w:rPr>
        <w:t>8.</w:t>
      </w:r>
      <w:r>
        <w:rPr>
          <w:noProof/>
        </w:rPr>
        <w:tab/>
      </w:r>
      <w:r w:rsidR="008C2A86" w:rsidRPr="007E6972">
        <w:rPr>
          <w:noProof/>
        </w:rPr>
        <w:t>Okrem úsilia o zvýšenie ponuky bývania sa členským štátom odporúča, aby vo svojich národných stratégiách zaviedli primerané, predvídateľné a udržateľné rámce financovania a investícií. Členským štátom sa takisto odporúča, aby v plnej miere využívali dostupné finančné prostriedky a nástroje EÚ vrátane nadchádzajúcej celoeurópskej investičnej platformy pre cenovo dostupné a udržateľné bývanie oznámenej v Európskom pláne pre cenovo dostupné bývanie</w:t>
      </w:r>
      <w:r w:rsidR="008C2A86" w:rsidRPr="007E6972">
        <w:rPr>
          <w:rStyle w:val="FootnoteReference"/>
          <w:noProof/>
        </w:rPr>
        <w:footnoteReference w:id="35"/>
      </w:r>
      <w:r w:rsidR="008C2A86" w:rsidRPr="007E6972">
        <w:rPr>
          <w:noProof/>
        </w:rPr>
        <w:t>. Tieto opatrenia môžu pomôcť optimalizovať využívanie národných zdrojov a zdrojov Únie a rozšíriť dlhodobé, inkluzívne a cenovo dostupné riešenia v oblasti bývania, a to aj prostredníctvom:</w:t>
      </w:r>
    </w:p>
    <w:p w14:paraId="570F500D" w14:textId="01EC8F4A" w:rsidR="0016707F" w:rsidRPr="007E6972" w:rsidRDefault="007E6972" w:rsidP="007E6972">
      <w:pPr>
        <w:pStyle w:val="Point1"/>
        <w:rPr>
          <w:noProof/>
        </w:rPr>
      </w:pPr>
      <w:r>
        <w:rPr>
          <w:noProof/>
        </w:rPr>
        <w:t>a)</w:t>
      </w:r>
      <w:r>
        <w:rPr>
          <w:noProof/>
        </w:rPr>
        <w:tab/>
      </w:r>
      <w:r w:rsidR="00F60005" w:rsidRPr="007E6972">
        <w:rPr>
          <w:noProof/>
        </w:rPr>
        <w:t>zosúladenia a koordinácie zdrojov v rámci politík v oblasti bývania, sociálneho začlenenia, zamestnanosti, vzdelávania, zdravia, dlhodobej starostlivosti, obnovy miest a renovácie s cieľom zvýšiť súdržnosť a vplyv politík;</w:t>
      </w:r>
    </w:p>
    <w:p w14:paraId="017EE87B" w14:textId="6911704D" w:rsidR="0016707F" w:rsidRPr="007E6972" w:rsidRDefault="007E6972" w:rsidP="007E6972">
      <w:pPr>
        <w:pStyle w:val="Point1"/>
        <w:rPr>
          <w:noProof/>
        </w:rPr>
      </w:pPr>
      <w:r>
        <w:rPr>
          <w:noProof/>
        </w:rPr>
        <w:t>b)</w:t>
      </w:r>
      <w:r>
        <w:rPr>
          <w:noProof/>
        </w:rPr>
        <w:tab/>
      </w:r>
      <w:r w:rsidR="0016707F" w:rsidRPr="007E6972">
        <w:rPr>
          <w:noProof/>
        </w:rPr>
        <w:t xml:space="preserve">zabezpečenia, aby verejne podporované opatrenia v prípade potreby zahŕňali jasné podmienky týkajúce sa cenovej dostupnosti, prístupnosti, udržateľnosti a inkluzívneho prideľovania bývania a prepojenia na komunitné služby; </w:t>
      </w:r>
    </w:p>
    <w:p w14:paraId="7CA95D6B" w14:textId="40C825EE" w:rsidR="00192F41" w:rsidRPr="007E6972" w:rsidRDefault="007E6972" w:rsidP="007E6972">
      <w:pPr>
        <w:pStyle w:val="Point1"/>
        <w:rPr>
          <w:noProof/>
        </w:rPr>
      </w:pPr>
      <w:r>
        <w:rPr>
          <w:noProof/>
        </w:rPr>
        <w:t>c)</w:t>
      </w:r>
      <w:r>
        <w:rPr>
          <w:noProof/>
        </w:rPr>
        <w:tab/>
      </w:r>
      <w:r w:rsidR="00F60005" w:rsidRPr="007E6972">
        <w:rPr>
          <w:noProof/>
        </w:rPr>
        <w:t xml:space="preserve">zavádzania inovatívnych modelov financovania, ako sú revolvingové fondy, kombinované financovanie a verejné záruky, s cieľom podporiť dlhodobú </w:t>
      </w:r>
      <w:r w:rsidR="00F60005" w:rsidRPr="007E6972">
        <w:rPr>
          <w:noProof/>
        </w:rPr>
        <w:lastRenderedPageBreak/>
        <w:t xml:space="preserve">cenovú dostupnosť ponuky bývania a mobilizovať verejný aj súkromný kapitál na cenovo dostupné a sociálne bývanie; </w:t>
      </w:r>
    </w:p>
    <w:p w14:paraId="0871CE8F" w14:textId="54D2E800" w:rsidR="00350FAC" w:rsidRPr="007E6972" w:rsidRDefault="007E6972" w:rsidP="007E6972">
      <w:pPr>
        <w:pStyle w:val="Point1"/>
        <w:rPr>
          <w:noProof/>
        </w:rPr>
      </w:pPr>
      <w:r>
        <w:rPr>
          <w:noProof/>
        </w:rPr>
        <w:t>d)</w:t>
      </w:r>
      <w:r>
        <w:rPr>
          <w:noProof/>
        </w:rPr>
        <w:tab/>
      </w:r>
      <w:r w:rsidR="00BE4FAC" w:rsidRPr="007E6972">
        <w:rPr>
          <w:noProof/>
        </w:rPr>
        <w:t xml:space="preserve">odrádzania od špekulatívneho správania na trhu s bývaním, a to aj navrhovaním účinných daňových politík a zlepšovaním transparentnosti trhu; </w:t>
      </w:r>
    </w:p>
    <w:p w14:paraId="110DE632" w14:textId="1A879407" w:rsidR="0016707F" w:rsidRPr="007E6972" w:rsidRDefault="007E6972" w:rsidP="007E6972">
      <w:pPr>
        <w:pStyle w:val="Point1"/>
        <w:rPr>
          <w:noProof/>
        </w:rPr>
      </w:pPr>
      <w:r>
        <w:rPr>
          <w:noProof/>
        </w:rPr>
        <w:t>e)</w:t>
      </w:r>
      <w:r>
        <w:rPr>
          <w:noProof/>
        </w:rPr>
        <w:tab/>
      </w:r>
      <w:r w:rsidR="0016707F" w:rsidRPr="007E6972">
        <w:rPr>
          <w:noProof/>
        </w:rPr>
        <w:t>podpory rozvoja projektov a technickej pomoci pre miestne a regionálne orgány, organizácie sociálneho hospodárstva a poskytovateľov bývania s obmedzeným ziskom alebo neziskových poskytovateľov bývania;</w:t>
      </w:r>
    </w:p>
    <w:p w14:paraId="5D44C003" w14:textId="44020CDA" w:rsidR="0011352D" w:rsidRPr="007E6972" w:rsidRDefault="007E6972" w:rsidP="007E6972">
      <w:pPr>
        <w:pStyle w:val="Point1"/>
        <w:rPr>
          <w:noProof/>
        </w:rPr>
      </w:pPr>
      <w:r>
        <w:rPr>
          <w:noProof/>
        </w:rPr>
        <w:t>f)</w:t>
      </w:r>
      <w:r>
        <w:rPr>
          <w:noProof/>
        </w:rPr>
        <w:tab/>
      </w:r>
      <w:r w:rsidR="0011352D" w:rsidRPr="007E6972">
        <w:rPr>
          <w:noProof/>
        </w:rPr>
        <w:t>propagovania verejno-súkromných partnerstiev, a to aj s miestnymi orgánmi, inštitúciami vysokoškolského vzdelávania, zamestnávateľmi, poskytovateľmi bývania a organizáciami sociálneho hospodárstva s cieľom zabezpečiť sociálne a cenovo dostupné bývanie vrátane projektov bývania pre študentov, ako aj pre stážistov, a bývania na zmiešané použitie;</w:t>
      </w:r>
    </w:p>
    <w:p w14:paraId="3187279B" w14:textId="4B09B4E1" w:rsidR="000C7595" w:rsidRPr="007E6972" w:rsidRDefault="007E6972" w:rsidP="007E6972">
      <w:pPr>
        <w:pStyle w:val="Point1"/>
        <w:rPr>
          <w:noProof/>
        </w:rPr>
      </w:pPr>
      <w:r>
        <w:rPr>
          <w:noProof/>
        </w:rPr>
        <w:t>g)</w:t>
      </w:r>
      <w:r>
        <w:rPr>
          <w:noProof/>
        </w:rPr>
        <w:tab/>
      </w:r>
      <w:r w:rsidR="00A710BF" w:rsidRPr="007E6972">
        <w:rPr>
          <w:noProof/>
        </w:rPr>
        <w:t>zvýšenia investícií na podporu výstavby a obnovy cenovo dostupného a sociálneho bývania, a to aj prostredníctvom využívania finančných nástrojov a kombinovaného financovania v rámci súčasnej politiky súdržnosti, pričom sa využijú flexibility ponúkané v rámci jej strednodobého preskúmania</w:t>
      </w:r>
      <w:r w:rsidR="00A710BF" w:rsidRPr="007E6972">
        <w:rPr>
          <w:rStyle w:val="FootnoteReference"/>
          <w:noProof/>
        </w:rPr>
        <w:footnoteReference w:id="36"/>
      </w:r>
      <w:r w:rsidR="00A710BF" w:rsidRPr="007E6972">
        <w:rPr>
          <w:noProof/>
        </w:rPr>
        <w:t>, s cieľom prerozdeliť finančné prostriedky EÚ na cenovo dostupné bývanie; a využitia revidovaných pravidiel štátnej pomoci v oblasti služieb všeobecného hospodárskeho záujmu</w:t>
      </w:r>
      <w:r w:rsidR="00A710BF" w:rsidRPr="007E6972">
        <w:rPr>
          <w:rStyle w:val="FootnoteReference"/>
          <w:noProof/>
        </w:rPr>
        <w:footnoteReference w:id="37"/>
      </w:r>
      <w:r w:rsidR="00A710BF" w:rsidRPr="007E6972">
        <w:rPr>
          <w:noProof/>
        </w:rPr>
        <w:t>, ktoré obsahujú osobitné kategórie pre sociálne aj cenovo dostupné bývanie.</w:t>
      </w:r>
    </w:p>
    <w:p w14:paraId="29072A18" w14:textId="2C4553CD" w:rsidR="00E94F3D" w:rsidRPr="007E6972" w:rsidRDefault="007E6972" w:rsidP="007E6972">
      <w:pPr>
        <w:pStyle w:val="Point0"/>
        <w:rPr>
          <w:noProof/>
        </w:rPr>
      </w:pPr>
      <w:r>
        <w:rPr>
          <w:noProof/>
        </w:rPr>
        <w:t>9.</w:t>
      </w:r>
      <w:r>
        <w:rPr>
          <w:noProof/>
        </w:rPr>
        <w:tab/>
      </w:r>
      <w:r w:rsidR="006C01B9" w:rsidRPr="007E6972">
        <w:rPr>
          <w:noProof/>
        </w:rPr>
        <w:t xml:space="preserve">Členským štátom sa odporúča, aby podporovali ľudí, ktorí sú vylúčení z bývania, pri prístupe k stabilnému bývaniu a jeho udržaní prostredníctvom: </w:t>
      </w:r>
    </w:p>
    <w:p w14:paraId="12E6AAD2" w14:textId="0F2A708E" w:rsidR="00E94F3D" w:rsidRPr="007E6972" w:rsidRDefault="007E6972" w:rsidP="007E6972">
      <w:pPr>
        <w:pStyle w:val="Point1"/>
        <w:rPr>
          <w:noProof/>
        </w:rPr>
      </w:pPr>
      <w:r>
        <w:rPr>
          <w:noProof/>
        </w:rPr>
        <w:t>a)</w:t>
      </w:r>
      <w:r>
        <w:rPr>
          <w:noProof/>
        </w:rPr>
        <w:tab/>
      </w:r>
      <w:r w:rsidR="008448D9" w:rsidRPr="007E6972">
        <w:rPr>
          <w:noProof/>
        </w:rPr>
        <w:t>podpory prístupu k trvalému bývaniu v súlade s prístupom zameraným na bývanie, trvalého financovania a medziodvetvovej koordinácie opatrení vrátane prístupu na trh práce a k iným službám;</w:t>
      </w:r>
    </w:p>
    <w:p w14:paraId="3633F46F" w14:textId="0A6205B2" w:rsidR="00752CC3" w:rsidRPr="007E6972" w:rsidRDefault="007E6972" w:rsidP="007E6972">
      <w:pPr>
        <w:pStyle w:val="Point1"/>
        <w:rPr>
          <w:noProof/>
        </w:rPr>
      </w:pPr>
      <w:r>
        <w:rPr>
          <w:noProof/>
        </w:rPr>
        <w:t>b)</w:t>
      </w:r>
      <w:r>
        <w:rPr>
          <w:noProof/>
        </w:rPr>
        <w:tab/>
      </w:r>
      <w:r w:rsidR="008B1F84" w:rsidRPr="007E6972">
        <w:rPr>
          <w:noProof/>
        </w:rPr>
        <w:t>zavedenia primeraných a vhodných integrovaných podporných služieb zameraných nielen na prechod na vyhovujúce a bezpečné bývanie, ale aj na jeho udržanie. Tieto služby by mali zahŕňať podporu pri hľadaní bývania, zvyšovanie úrovne zručností a rekvalifikáciu a podporu pri prístupe k zamestnaniu a jeho udržaní, finančnú a právnu pomoc, školenie v oblasti životných zručností a následnú podporu s cieľom zabrániť tomu, aby boli jednotlivci opäť vystavení vylúčeniu z bývania;</w:t>
      </w:r>
    </w:p>
    <w:p w14:paraId="02351E5E" w14:textId="543FB8A6" w:rsidR="00752CC3" w:rsidRPr="007E6972" w:rsidRDefault="007E6972" w:rsidP="007E6972">
      <w:pPr>
        <w:pStyle w:val="Point1"/>
        <w:rPr>
          <w:noProof/>
        </w:rPr>
      </w:pPr>
      <w:r>
        <w:rPr>
          <w:noProof/>
        </w:rPr>
        <w:t>c)</w:t>
      </w:r>
      <w:r>
        <w:rPr>
          <w:noProof/>
        </w:rPr>
        <w:tab/>
      </w:r>
      <w:r w:rsidR="00F964C7" w:rsidRPr="007E6972">
        <w:rPr>
          <w:noProof/>
        </w:rPr>
        <w:t>zvýšenia dostupnosti vyhovujúcich riešení v oblasti bývania pre ľudí, ktorí sú vylúčení z bývania, najmä rodičov s deťmi, a zabezpečenia, aby boli zohľadnení a uprednostňovaní v mechanizmoch prideľovania sociálneho bývania;</w:t>
      </w:r>
    </w:p>
    <w:p w14:paraId="4ADAC008" w14:textId="73581162" w:rsidR="00FD1DD0" w:rsidRPr="007E6972" w:rsidRDefault="007E6972" w:rsidP="007E6972">
      <w:pPr>
        <w:pStyle w:val="Point1"/>
        <w:rPr>
          <w:noProof/>
        </w:rPr>
      </w:pPr>
      <w:r>
        <w:rPr>
          <w:noProof/>
        </w:rPr>
        <w:t>d)</w:t>
      </w:r>
      <w:r>
        <w:rPr>
          <w:noProof/>
        </w:rPr>
        <w:tab/>
      </w:r>
      <w:r w:rsidR="005D5583" w:rsidRPr="007E6972">
        <w:rPr>
          <w:noProof/>
        </w:rPr>
        <w:t>poskytovania primeranej finančnej podpory, ako sú záruky na nájomné, nízkoúročené úvery a príspevky na bývanie, spolu s dostupným usmernením o tom, ako získať takúto podporu a dosiahnuť potrebnú finančnú gramotnosť.</w:t>
      </w:r>
    </w:p>
    <w:p w14:paraId="4505E27A" w14:textId="33F52DD3" w:rsidR="00C66376" w:rsidRPr="007E6972" w:rsidRDefault="007E6972" w:rsidP="007E6972">
      <w:pPr>
        <w:pStyle w:val="Point0"/>
        <w:rPr>
          <w:noProof/>
        </w:rPr>
      </w:pPr>
      <w:r>
        <w:rPr>
          <w:noProof/>
        </w:rPr>
        <w:lastRenderedPageBreak/>
        <w:t>10.</w:t>
      </w:r>
      <w:r>
        <w:rPr>
          <w:noProof/>
        </w:rPr>
        <w:tab/>
      </w:r>
      <w:r w:rsidR="0099240A" w:rsidRPr="007E6972">
        <w:rPr>
          <w:noProof/>
        </w:rPr>
        <w:t>Členským štátom sa odporúča, aby zaviedli cielené opatrenia na podporu mladých ľudí s nízkymi príjmami vrátane študentov, ktorí čelia vylúčeniu z bývania, ktoré môže pôsobiť ako prekážka prístupu k vysokoškolskému vzdelávaniu, odbornému vzdelávaniu a príprave, stážam alebo programom učňovskej prípravy a ich ukončenia. Tieto opatrenia by mohli zahŕňať:</w:t>
      </w:r>
    </w:p>
    <w:p w14:paraId="0DCE3E8F" w14:textId="4A065CBA" w:rsidR="00A07E37" w:rsidRPr="007E6972" w:rsidRDefault="007E6972" w:rsidP="007E6972">
      <w:pPr>
        <w:pStyle w:val="Point1"/>
        <w:rPr>
          <w:noProof/>
        </w:rPr>
      </w:pPr>
      <w:r>
        <w:rPr>
          <w:noProof/>
        </w:rPr>
        <w:t>a)</w:t>
      </w:r>
      <w:r>
        <w:rPr>
          <w:noProof/>
        </w:rPr>
        <w:tab/>
      </w:r>
      <w:r w:rsidR="0001514C" w:rsidRPr="007E6972">
        <w:rPr>
          <w:noProof/>
        </w:rPr>
        <w:t xml:space="preserve">vytváranie a využívanie účinných sietí prepájajúcich služby starostlivosti o mládež so všeobecnými službami sociálnej starostlivosti s cieľom pomôcť mladým ľuďom nájsť vyhovujúce riešenia v oblasti bývania, ktoré zodpovedajú ich rodinným a vzdelávacím potrebám, ako aj ich potrebám v oblasti zamestnanosti; </w:t>
      </w:r>
    </w:p>
    <w:p w14:paraId="3C42BE6E" w14:textId="5A9C801E" w:rsidR="006B753A" w:rsidRPr="007E6972" w:rsidRDefault="007E6972" w:rsidP="007E6972">
      <w:pPr>
        <w:pStyle w:val="Point1"/>
        <w:rPr>
          <w:noProof/>
        </w:rPr>
      </w:pPr>
      <w:r>
        <w:rPr>
          <w:noProof/>
        </w:rPr>
        <w:t>b)</w:t>
      </w:r>
      <w:r>
        <w:rPr>
          <w:noProof/>
        </w:rPr>
        <w:tab/>
      </w:r>
      <w:r w:rsidR="00BE68D5" w:rsidRPr="007E6972">
        <w:rPr>
          <w:noProof/>
        </w:rPr>
        <w:t>zvýšenie ponuky cenovo dostupného bývania pre študentov v blízkosti zariadení vzdelávania a odbornej prípravy, a to aj pre študentov zúčastňujúcich sa na výmenách v rámci študijnej mobility alebo na stáži v zahraničí;</w:t>
      </w:r>
    </w:p>
    <w:p w14:paraId="67904A90" w14:textId="4D43A593" w:rsidR="5EF9D2EA" w:rsidRPr="007E6972" w:rsidRDefault="007E6972" w:rsidP="007E6972">
      <w:pPr>
        <w:pStyle w:val="Point1"/>
        <w:rPr>
          <w:noProof/>
        </w:rPr>
      </w:pPr>
      <w:r>
        <w:rPr>
          <w:noProof/>
        </w:rPr>
        <w:t>c)</w:t>
      </w:r>
      <w:r>
        <w:rPr>
          <w:noProof/>
        </w:rPr>
        <w:tab/>
      </w:r>
      <w:r w:rsidR="0001514C" w:rsidRPr="007E6972">
        <w:rPr>
          <w:noProof/>
        </w:rPr>
        <w:t xml:space="preserve">poskytovanie dostupných usmernení a praktickej podpory s cieľom poskytovať poradenstvo a pomoc jednotlivcom, pokiaľ ide o nájomné práva a administratívne postupy, a to aj prostredníctvom poradenských centier vo vzdelávacích inštitúciách; </w:t>
      </w:r>
    </w:p>
    <w:p w14:paraId="258976E4" w14:textId="7DAF6E08" w:rsidR="007A38D4" w:rsidRPr="007E6972" w:rsidRDefault="007E6972" w:rsidP="007E6972">
      <w:pPr>
        <w:pStyle w:val="Point1"/>
        <w:rPr>
          <w:noProof/>
        </w:rPr>
      </w:pPr>
      <w:r>
        <w:rPr>
          <w:noProof/>
        </w:rPr>
        <w:t>d)</w:t>
      </w:r>
      <w:r>
        <w:rPr>
          <w:noProof/>
        </w:rPr>
        <w:tab/>
      </w:r>
      <w:r w:rsidR="008154CB" w:rsidRPr="007E6972">
        <w:rPr>
          <w:noProof/>
        </w:rPr>
        <w:t>poskytovanie fiškálnych stimulov alebo nízkoúročených úverov s cieľom pomôcť študentom a mladým ľuďom, ktorí disponujú obmedzenými finančnými prostriedkami, zabezpečiť si bývanie.</w:t>
      </w:r>
    </w:p>
    <w:p w14:paraId="25A2D6FB" w14:textId="6E5BCEF6" w:rsidR="00A84E1F" w:rsidRPr="007E6972" w:rsidRDefault="007E6972" w:rsidP="007E6972">
      <w:pPr>
        <w:pStyle w:val="Point0"/>
        <w:rPr>
          <w:noProof/>
        </w:rPr>
      </w:pPr>
      <w:r>
        <w:rPr>
          <w:noProof/>
        </w:rPr>
        <w:t>11.</w:t>
      </w:r>
      <w:r>
        <w:rPr>
          <w:noProof/>
        </w:rPr>
        <w:tab/>
      </w:r>
      <w:r w:rsidR="0051742C" w:rsidRPr="007E6972">
        <w:rPr>
          <w:noProof/>
        </w:rPr>
        <w:t xml:space="preserve">Členským štátom sa odporúča, aby vo svojich národných strategických rámcoch kombinovali politiky zamerané na človeka s miestne orientovanými politikami (ako je územné plánovanie a obnova miest, miestny hospodársky rozvoj a dopravné politiky) s cieľom zabrániť nesúladu medzi pracovnými príležitosťami a cenovo dostupným bývaním, najmä v oblastiach, kde sú voľné pracovné miesta. </w:t>
      </w:r>
    </w:p>
    <w:p w14:paraId="731E1FF7" w14:textId="41E225C9" w:rsidR="00A84E1F" w:rsidRPr="007E6972" w:rsidRDefault="007E6972" w:rsidP="007E6972">
      <w:pPr>
        <w:pStyle w:val="Point0"/>
        <w:rPr>
          <w:noProof/>
        </w:rPr>
      </w:pPr>
      <w:r>
        <w:rPr>
          <w:noProof/>
        </w:rPr>
        <w:t>12.</w:t>
      </w:r>
      <w:r>
        <w:rPr>
          <w:noProof/>
        </w:rPr>
        <w:tab/>
      </w:r>
      <w:r w:rsidR="00A84E1F" w:rsidRPr="007E6972">
        <w:rPr>
          <w:noProof/>
        </w:rPr>
        <w:t>Členským štátom sa odporúča, aby prijali opatrenia na podporu úprav bývania pre osoby so zdravotným postihnutím a/alebo starších ľudí s potrebou dlhodobej starostlivosti, najmä tých, ktorí sú ohrození chudobou. To by im malo umožniť žiť vo svojich domovoch čo najdlhšie a zabrániť vylúčeniu z bývania. Tieto opatrenia by mali byť navrhnuté tak, aby sa zabránilo neprimeranej záťaži súvisiacej s výstavbou a obnovou.</w:t>
      </w:r>
    </w:p>
    <w:p w14:paraId="65BD3D31" w14:textId="77777777" w:rsidR="008D7050" w:rsidRPr="007E6972" w:rsidRDefault="00397957" w:rsidP="00AC509C">
      <w:pPr>
        <w:spacing w:before="240" w:after="160"/>
        <w:ind w:left="720" w:hanging="720"/>
        <w:rPr>
          <w:noProof/>
        </w:rPr>
      </w:pPr>
      <w:r w:rsidRPr="007E6972">
        <w:rPr>
          <w:noProof/>
        </w:rPr>
        <w:t xml:space="preserve">MONITOROVANIE, HODNOTENIE A SPRÁVA A RIADENIE </w:t>
      </w:r>
      <w:r w:rsidRPr="007E6972">
        <w:rPr>
          <w:noProof/>
        </w:rPr>
        <w:tab/>
        <w:t xml:space="preserve"> </w:t>
      </w:r>
    </w:p>
    <w:p w14:paraId="27E16163" w14:textId="19286908" w:rsidR="00C0191B" w:rsidRPr="007E6972" w:rsidRDefault="007E6972" w:rsidP="007E6972">
      <w:pPr>
        <w:pStyle w:val="Point0"/>
        <w:rPr>
          <w:noProof/>
        </w:rPr>
      </w:pPr>
      <w:r>
        <w:rPr>
          <w:noProof/>
        </w:rPr>
        <w:t>13.</w:t>
      </w:r>
      <w:r>
        <w:rPr>
          <w:noProof/>
        </w:rPr>
        <w:tab/>
      </w:r>
      <w:r w:rsidR="006A74A8" w:rsidRPr="007E6972">
        <w:rPr>
          <w:noProof/>
        </w:rPr>
        <w:t xml:space="preserve">Členským štátom sa odporúča, aby: </w:t>
      </w:r>
      <w:r w:rsidR="006A74A8" w:rsidRPr="007E6972">
        <w:rPr>
          <w:noProof/>
        </w:rPr>
        <w:tab/>
      </w:r>
    </w:p>
    <w:p w14:paraId="0C61CB9D" w14:textId="46C263F3" w:rsidR="002A4C4C" w:rsidRPr="007E6972" w:rsidRDefault="007E6972" w:rsidP="007E6972">
      <w:pPr>
        <w:pStyle w:val="Point1"/>
        <w:rPr>
          <w:noProof/>
        </w:rPr>
      </w:pPr>
      <w:r>
        <w:rPr>
          <w:noProof/>
        </w:rPr>
        <w:t>a)</w:t>
      </w:r>
      <w:r>
        <w:rPr>
          <w:noProof/>
        </w:rPr>
        <w:tab/>
      </w:r>
      <w:r w:rsidR="00996482" w:rsidRPr="007E6972">
        <w:rPr>
          <w:noProof/>
        </w:rPr>
        <w:t>zaviedli cielené mechanizmy monitorovania a hodnotenia založené na ukazovateľoch výsledkov s cieľom posúdiť účinnosť svojich stratégií boja proti vylúčeniu z bývania a bezdomovectvu a v prípade potreby a bez zvýšenia administratívnej záťaže zabezpečili úpravy politiky;</w:t>
      </w:r>
    </w:p>
    <w:p w14:paraId="1ECD05CD" w14:textId="7366A81E" w:rsidR="00036415" w:rsidRPr="007E6972" w:rsidRDefault="007E6972" w:rsidP="007E6972">
      <w:pPr>
        <w:pStyle w:val="Point1"/>
        <w:rPr>
          <w:noProof/>
        </w:rPr>
      </w:pPr>
      <w:r>
        <w:rPr>
          <w:noProof/>
        </w:rPr>
        <w:t>b)</w:t>
      </w:r>
      <w:r>
        <w:rPr>
          <w:noProof/>
        </w:rPr>
        <w:tab/>
      </w:r>
      <w:r w:rsidR="00A85832" w:rsidRPr="007E6972">
        <w:rPr>
          <w:noProof/>
        </w:rPr>
        <w:t>každých päť rokov predložili Komisii správu o výsledkoch svojich národných monitorovacích činností a o pokroku dosiahnutom pri vykonávaní tohto odporúčania;</w:t>
      </w:r>
    </w:p>
    <w:p w14:paraId="3A64530E" w14:textId="6FCB6C5C" w:rsidR="00262C69" w:rsidRPr="007E6972" w:rsidRDefault="007E6972" w:rsidP="007E6972">
      <w:pPr>
        <w:pStyle w:val="Point1"/>
        <w:rPr>
          <w:noProof/>
        </w:rPr>
      </w:pPr>
      <w:r>
        <w:rPr>
          <w:noProof/>
        </w:rPr>
        <w:t>c)</w:t>
      </w:r>
      <w:r>
        <w:rPr>
          <w:noProof/>
        </w:rPr>
        <w:tab/>
      </w:r>
      <w:r w:rsidR="00FA6494" w:rsidRPr="007E6972">
        <w:rPr>
          <w:noProof/>
        </w:rPr>
        <w:t xml:space="preserve">zabezpečili účinné viacúrovňové riadenie a koordináciu medzi národnými, regionálnymi a miestnymi orgánmi, spoluprácu s príslušnými zainteresovanými stranami vrátane univerzít, poskytovateľov odborného vzdelávania a prípravy, miestnych zamestnávateľov, organizácií občianskej spoločnosti a sociálneho hospodárstva a poskytovateľov bývania; </w:t>
      </w:r>
    </w:p>
    <w:p w14:paraId="35D301CD" w14:textId="703F7603" w:rsidR="001E776B" w:rsidRPr="007E6972" w:rsidRDefault="007E6972" w:rsidP="007E6972">
      <w:pPr>
        <w:pStyle w:val="Point1"/>
        <w:rPr>
          <w:noProof/>
        </w:rPr>
      </w:pPr>
      <w:r>
        <w:rPr>
          <w:noProof/>
        </w:rPr>
        <w:lastRenderedPageBreak/>
        <w:t>d)</w:t>
      </w:r>
      <w:r>
        <w:rPr>
          <w:noProof/>
        </w:rPr>
        <w:tab/>
      </w:r>
      <w:r w:rsidR="005D1F00" w:rsidRPr="007E6972">
        <w:rPr>
          <w:noProof/>
        </w:rPr>
        <w:t xml:space="preserve">zjednodušili právne a administratívne rámce s cieľom znížiť administratívnu záťaž a zabezpečiť včasný a zjednodušený prístup k bývaniu a súvisiacim sociálnym, zdravotníckym, vzdelávacím, zamestnaneckým a komunitným podporným službám; </w:t>
      </w:r>
    </w:p>
    <w:p w14:paraId="7AF8D469" w14:textId="2E4DC851" w:rsidR="001A14DB" w:rsidRPr="007E6972" w:rsidRDefault="007E6972" w:rsidP="007E6972">
      <w:pPr>
        <w:pStyle w:val="Point1"/>
        <w:rPr>
          <w:noProof/>
        </w:rPr>
      </w:pPr>
      <w:r>
        <w:rPr>
          <w:noProof/>
        </w:rPr>
        <w:t>e)</w:t>
      </w:r>
      <w:r>
        <w:rPr>
          <w:noProof/>
        </w:rPr>
        <w:tab/>
      </w:r>
      <w:r w:rsidR="005D1F00" w:rsidRPr="007E6972">
        <w:rPr>
          <w:noProof/>
        </w:rPr>
        <w:t xml:space="preserve">posilnili kapacitu a kvalitu služieb určených na podporu ľudí, ktorí sú vylúčení z bývania, a to aj prostredníctvom odbornej prípravy, jasného rozdelenia povinností a primeraných zdrojov pre zamestnancov poskytujúcich tieto služby; </w:t>
      </w:r>
    </w:p>
    <w:p w14:paraId="36F9B02A" w14:textId="2EBF531C" w:rsidR="00E43826" w:rsidRPr="007E6972" w:rsidRDefault="007E6972" w:rsidP="007E6972">
      <w:pPr>
        <w:pStyle w:val="Point1"/>
        <w:rPr>
          <w:noProof/>
        </w:rPr>
      </w:pPr>
      <w:r>
        <w:rPr>
          <w:noProof/>
        </w:rPr>
        <w:t>f)</w:t>
      </w:r>
      <w:r>
        <w:rPr>
          <w:noProof/>
        </w:rPr>
        <w:tab/>
      </w:r>
      <w:r w:rsidR="00B0288F" w:rsidRPr="007E6972">
        <w:rPr>
          <w:noProof/>
        </w:rPr>
        <w:t xml:space="preserve">pri navrhovaní, vykonávaní a hodnotení politík na predchádzanie vylúčeniu z bývania a bezdomovectvu a na ich zníženie zabezpečili zmysluplné zapojenie osôb, ktoré zažili vylúčenie z bývania a bezdomovectvo, organizácií občianskej spoločnosti, najmä na miestnej úrovni, a organizácií sociálneho hospodárstva vrátane potravinových bánk; </w:t>
      </w:r>
    </w:p>
    <w:p w14:paraId="23E80404" w14:textId="29A44C4A" w:rsidR="00701068" w:rsidRPr="007E6972" w:rsidRDefault="007E6972" w:rsidP="007E6972">
      <w:pPr>
        <w:pStyle w:val="Point1"/>
        <w:rPr>
          <w:noProof/>
        </w:rPr>
      </w:pPr>
      <w:r>
        <w:rPr>
          <w:noProof/>
        </w:rPr>
        <w:t>g)</w:t>
      </w:r>
      <w:r>
        <w:rPr>
          <w:noProof/>
        </w:rPr>
        <w:tab/>
      </w:r>
      <w:r w:rsidR="00000AF8" w:rsidRPr="007E6972">
        <w:rPr>
          <w:noProof/>
        </w:rPr>
        <w:t xml:space="preserve">aktívne prispievali k európskej platforme na boj proti bezdomovectvu ako kľúčovému fóru pre koordináciu, výmenu a spoluprácu medzi zainteresovanými stranami, najmä prostredníctvom výmeny poznatkov, budovania dôkazov a uľahčovania prístupu k financovaniu, a to v úzkej súčinnosti s pracovnými okruhmi Európskej aliancie pre bývanie; </w:t>
      </w:r>
    </w:p>
    <w:p w14:paraId="16EECF3E" w14:textId="27B2DBBC" w:rsidR="00952544" w:rsidRPr="007E6972" w:rsidRDefault="007E6972" w:rsidP="007E6972">
      <w:pPr>
        <w:pStyle w:val="Point1"/>
        <w:rPr>
          <w:noProof/>
        </w:rPr>
      </w:pPr>
      <w:r>
        <w:rPr>
          <w:noProof/>
        </w:rPr>
        <w:t>h)</w:t>
      </w:r>
      <w:r>
        <w:rPr>
          <w:noProof/>
        </w:rPr>
        <w:tab/>
      </w:r>
      <w:r w:rsidR="001E5824" w:rsidRPr="007E6972">
        <w:rPr>
          <w:noProof/>
        </w:rPr>
        <w:t>pokračovali v spolupráci s ostatnými členskými štátmi, ako aj so súkromnými a verejnými zainteresovanými stranami na rôznych regionálnych úrovniach s cieľom podporiť výmenu poznatkov, propagovať vzájomné učenie, zabezpečiť konzistentné poskytovanie služieb, výmenu najlepších postupov, účinné navrhovanie a vykonávanie politík v oblasti vylúčenia z bývania;</w:t>
      </w:r>
    </w:p>
    <w:p w14:paraId="6291436E" w14:textId="1C81CC82" w:rsidR="008A2BBE" w:rsidRPr="007E6972" w:rsidRDefault="007E6972" w:rsidP="007E6972">
      <w:pPr>
        <w:pStyle w:val="Point1"/>
        <w:rPr>
          <w:noProof/>
        </w:rPr>
      </w:pPr>
      <w:r>
        <w:rPr>
          <w:noProof/>
        </w:rPr>
        <w:t>i)</w:t>
      </w:r>
      <w:r>
        <w:rPr>
          <w:noProof/>
        </w:rPr>
        <w:tab/>
      </w:r>
      <w:r w:rsidR="00796E11" w:rsidRPr="007E6972">
        <w:rPr>
          <w:noProof/>
        </w:rPr>
        <w:t xml:space="preserve">posilnili spoluprácu s poradnými orgánmi EÚ (Výbor regiónov a Európsky hospodársky a sociálny výbor) s cieľom zlepšiť vzájomné učenie, partnerské preskúmania a politické synergie súvisiace s vylúčením z bývania; </w:t>
      </w:r>
    </w:p>
    <w:p w14:paraId="79D4BEDB" w14:textId="44483193" w:rsidR="004723B1" w:rsidRPr="007E6972" w:rsidRDefault="007E6972" w:rsidP="007E6972">
      <w:pPr>
        <w:pStyle w:val="Point1"/>
        <w:rPr>
          <w:noProof/>
        </w:rPr>
      </w:pPr>
      <w:r>
        <w:rPr>
          <w:noProof/>
        </w:rPr>
        <w:t>j)</w:t>
      </w:r>
      <w:r>
        <w:rPr>
          <w:noProof/>
        </w:rPr>
        <w:tab/>
      </w:r>
      <w:r w:rsidR="00A42B4B" w:rsidRPr="007E6972">
        <w:rPr>
          <w:noProof/>
        </w:rPr>
        <w:t>podporovali zapojenie sociálnych partnerov a organizácií občianskej spoločnosti, ktoré zohrávajú kľúčovú úlohu v boji proti vylúčeniu z bývania, s cieľom zabezpečiť, aby politiky EÚ odrážali realitu v praxi, a to aj prostredníctvom zapojenia ľudí, ktorí zažili vylúčenie z bývania.</w:t>
      </w:r>
    </w:p>
    <w:p w14:paraId="71AAC6F9" w14:textId="77777777" w:rsidR="00C80E8D" w:rsidRPr="007E6972" w:rsidRDefault="00C80E8D" w:rsidP="00600F3F">
      <w:pPr>
        <w:rPr>
          <w:noProof/>
        </w:rPr>
      </w:pPr>
    </w:p>
    <w:p w14:paraId="3FA0428E" w14:textId="280A7241" w:rsidR="00C578AE" w:rsidRPr="007E6972" w:rsidRDefault="00034BC6" w:rsidP="00795009">
      <w:pPr>
        <w:pStyle w:val="Fait"/>
        <w:rPr>
          <w:noProof/>
        </w:rPr>
      </w:pPr>
      <w:r>
        <w:rPr>
          <w:noProof/>
        </w:rPr>
        <w:t>V Bruseli</w:t>
      </w:r>
    </w:p>
    <w:p w14:paraId="0226246C" w14:textId="77777777" w:rsidR="00C578AE" w:rsidRPr="007E6972" w:rsidRDefault="00C578AE" w:rsidP="00795009">
      <w:pPr>
        <w:pStyle w:val="Institutionquisigne"/>
        <w:rPr>
          <w:noProof/>
        </w:rPr>
      </w:pPr>
      <w:r w:rsidRPr="007E6972">
        <w:rPr>
          <w:noProof/>
        </w:rPr>
        <w:tab/>
        <w:t>Za Radu</w:t>
      </w:r>
    </w:p>
    <w:p w14:paraId="0C4FE6C1" w14:textId="77777777" w:rsidR="00FE2376" w:rsidRPr="007E6972" w:rsidRDefault="00C578AE" w:rsidP="00B23038">
      <w:pPr>
        <w:pStyle w:val="Personnequisigne"/>
        <w:rPr>
          <w:noProof/>
        </w:rPr>
      </w:pPr>
      <w:r w:rsidRPr="007E6972">
        <w:rPr>
          <w:noProof/>
        </w:rPr>
        <w:tab/>
        <w:t>predseda/predsedníčka</w:t>
      </w:r>
    </w:p>
    <w:sectPr w:rsidR="00FE2376" w:rsidRPr="007E6972" w:rsidSect="00140F12">
      <w:headerReference w:type="even" r:id="rId12"/>
      <w:footerReference w:type="even" r:id="rId13"/>
      <w:footerReference w:type="default" r:id="rId14"/>
      <w:headerReference w:type="first" r:id="rId15"/>
      <w:footerReference w:type="first" r:id="rId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B8C33" w14:textId="77777777" w:rsidR="00914B35" w:rsidRDefault="00914B35" w:rsidP="00C578AE">
      <w:pPr>
        <w:spacing w:before="0" w:after="0"/>
      </w:pPr>
      <w:r>
        <w:separator/>
      </w:r>
    </w:p>
  </w:endnote>
  <w:endnote w:type="continuationSeparator" w:id="0">
    <w:p w14:paraId="4B4BAE75" w14:textId="77777777" w:rsidR="00914B35" w:rsidRDefault="00914B35" w:rsidP="00C578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3986D" w14:textId="4D49C6B4" w:rsidR="00140F12" w:rsidRPr="00140F12" w:rsidRDefault="00140F12" w:rsidP="00140F12">
    <w:pPr>
      <w:pStyle w:val="Footer"/>
      <w:rPr>
        <w:rFonts w:ascii="Arial" w:hAnsi="Arial" w:cs="Arial"/>
        <w:b/>
        <w:sz w:val="48"/>
      </w:rPr>
    </w:pPr>
    <w:r w:rsidRPr="00140F12">
      <w:rPr>
        <w:rFonts w:ascii="Arial" w:hAnsi="Arial" w:cs="Arial"/>
        <w:b/>
        <w:sz w:val="48"/>
      </w:rPr>
      <w:t>SK</w:t>
    </w:r>
    <w:r w:rsidRPr="00140F12">
      <w:rPr>
        <w:rFonts w:ascii="Arial" w:hAnsi="Arial" w:cs="Arial"/>
        <w:b/>
        <w:sz w:val="48"/>
      </w:rPr>
      <w:tab/>
    </w:r>
    <w:r w:rsidRPr="00140F12">
      <w:rPr>
        <w:rFonts w:ascii="Arial" w:hAnsi="Arial" w:cs="Arial"/>
        <w:b/>
        <w:sz w:val="48"/>
      </w:rPr>
      <w:tab/>
    </w:r>
    <w:r w:rsidRPr="00140F12">
      <w:tab/>
    </w:r>
    <w:r w:rsidRPr="00140F12">
      <w:rPr>
        <w:rFonts w:ascii="Arial" w:hAnsi="Arial" w:cs="Arial"/>
        <w:b/>
        <w:sz w:val="48"/>
      </w:rPr>
      <w:t>SK</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34063" w14:textId="2F5581B6" w:rsidR="00140F12" w:rsidRPr="00140F12" w:rsidRDefault="00140F12" w:rsidP="00140F12">
    <w:pPr>
      <w:pStyle w:val="Footer"/>
      <w:rPr>
        <w:rFonts w:ascii="Arial" w:hAnsi="Arial" w:cs="Arial"/>
        <w:b/>
        <w:sz w:val="48"/>
      </w:rPr>
    </w:pPr>
    <w:r w:rsidRPr="00140F12">
      <w:rPr>
        <w:rFonts w:ascii="Arial" w:hAnsi="Arial" w:cs="Arial"/>
        <w:b/>
        <w:sz w:val="48"/>
      </w:rPr>
      <w:t>SK</w:t>
    </w:r>
    <w:r w:rsidRPr="00140F12">
      <w:rPr>
        <w:rFonts w:ascii="Arial" w:hAnsi="Arial" w:cs="Arial"/>
        <w:b/>
        <w:sz w:val="48"/>
      </w:rPr>
      <w:tab/>
    </w:r>
    <w:r w:rsidRPr="00140F12">
      <w:rPr>
        <w:rFonts w:ascii="Arial" w:hAnsi="Arial" w:cs="Arial"/>
        <w:b/>
        <w:sz w:val="48"/>
      </w:rPr>
      <w:tab/>
    </w:r>
    <w:r w:rsidRPr="00140F12">
      <w:tab/>
    </w:r>
    <w:r w:rsidRPr="00140F12">
      <w:rPr>
        <w:rFonts w:ascii="Arial" w:hAnsi="Arial" w:cs="Arial"/>
        <w:b/>
        <w:sz w:val="48"/>
      </w:rPr>
      <w:t>SK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CC24" w14:textId="77777777" w:rsidR="00140F12" w:rsidRDefault="00140F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93ACD" w14:textId="1E8DB97B" w:rsidR="00140F12" w:rsidRPr="00140F12" w:rsidRDefault="00140F12" w:rsidP="00140F12">
    <w:pPr>
      <w:pStyle w:val="Footer"/>
      <w:rPr>
        <w:rFonts w:ascii="Arial" w:hAnsi="Arial" w:cs="Arial"/>
        <w:b/>
        <w:sz w:val="48"/>
      </w:rPr>
    </w:pPr>
    <w:r w:rsidRPr="00140F12">
      <w:rPr>
        <w:rFonts w:ascii="Arial" w:hAnsi="Arial" w:cs="Arial"/>
        <w:b/>
        <w:sz w:val="48"/>
      </w:rPr>
      <w:t>SK</w:t>
    </w:r>
    <w:r w:rsidRPr="00140F12">
      <w:rPr>
        <w:rFonts w:ascii="Arial" w:hAnsi="Arial" w:cs="Arial"/>
        <w:b/>
        <w:sz w:val="48"/>
      </w:rPr>
      <w:tab/>
    </w:r>
    <w:r>
      <w:fldChar w:fldCharType="begin"/>
    </w:r>
    <w:r>
      <w:instrText xml:space="preserve"> PAGE  \* MERGEFORMAT </w:instrText>
    </w:r>
    <w:r>
      <w:fldChar w:fldCharType="separate"/>
    </w:r>
    <w:r w:rsidR="00795009">
      <w:rPr>
        <w:noProof/>
      </w:rPr>
      <w:t>30</w:t>
    </w:r>
    <w:r>
      <w:fldChar w:fldCharType="end"/>
    </w:r>
    <w:r>
      <w:tab/>
    </w:r>
    <w:r w:rsidRPr="00140F12">
      <w:tab/>
    </w:r>
    <w:r w:rsidRPr="00140F12">
      <w:rPr>
        <w:rFonts w:ascii="Arial" w:hAnsi="Arial" w:cs="Arial"/>
        <w:b/>
        <w:sz w:val="48"/>
      </w:rPr>
      <w:t>SK</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FE527" w14:textId="77777777" w:rsidR="00140F12" w:rsidRDefault="00140F12" w:rsidP="00140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9B46A" w14:textId="77777777" w:rsidR="00914B35" w:rsidRDefault="00914B35" w:rsidP="00C578AE">
      <w:pPr>
        <w:spacing w:before="0" w:after="0"/>
      </w:pPr>
      <w:r>
        <w:separator/>
      </w:r>
    </w:p>
  </w:footnote>
  <w:footnote w:type="continuationSeparator" w:id="0">
    <w:p w14:paraId="7ED400E7" w14:textId="77777777" w:rsidR="00914B35" w:rsidRDefault="00914B35" w:rsidP="00C578AE">
      <w:pPr>
        <w:spacing w:before="0" w:after="0"/>
      </w:pPr>
      <w:r>
        <w:continuationSeparator/>
      </w:r>
    </w:p>
  </w:footnote>
  <w:footnote w:id="1">
    <w:p w14:paraId="5CAE49DF" w14:textId="7ECCD8DB" w:rsidR="003F718C" w:rsidRPr="003F718C" w:rsidRDefault="003F718C" w:rsidP="007E6972">
      <w:pPr>
        <w:pStyle w:val="FootnoteText"/>
      </w:pPr>
      <w:r>
        <w:rPr>
          <w:rStyle w:val="FootnoteReference"/>
        </w:rPr>
        <w:footnoteRef/>
      </w:r>
      <w:r>
        <w:tab/>
        <w:t xml:space="preserve">Normami kvality bývania sa stanovujú minimálne požiadavky na to, aby sa obydlie mohlo považovať za obývateľné, bezpečné a vyhovujúce právnym predpisom. Týmito normami, často presadzovanými prostredníctvom miestnych predpisov o bývaní, sa vyžaduje, aby domy zabezpečovali štrukturálnu stabilitu, sanitáciu a požiarnu bezpečnosť. Právna istota sa vzťahuje na istotu držby. </w:t>
      </w:r>
    </w:p>
  </w:footnote>
  <w:footnote w:id="2">
    <w:p w14:paraId="2554E3C7" w14:textId="790A8F02" w:rsidR="00CB6B20" w:rsidRPr="00F422C3" w:rsidRDefault="00CB6B20" w:rsidP="007E6972">
      <w:pPr>
        <w:pStyle w:val="FootnoteText"/>
      </w:pPr>
      <w:r>
        <w:rPr>
          <w:rStyle w:val="FootnoteReference"/>
        </w:rPr>
        <w:footnoteRef/>
      </w:r>
      <w:r>
        <w:tab/>
        <w:t xml:space="preserve">Tieto kategórie sú súčasťou typológie „ETHOS“, Európskej typológie bezdomovectva a vylúčenia z bývania. Klasifikácia ETHOS bola vypracovaná ako rámec na zlepšenie chápania a sledovania bezdomovectva v Európe a na poskytnutie spoločného „jazyka“ pre nadnárodnú výmenu informácií o bezdomovectve. Táto klasifikácia zahŕňa všetky životné situácie, ktoré predstavujú formy bezdomovectva a vylúčenia z bývania. </w:t>
      </w:r>
    </w:p>
  </w:footnote>
  <w:footnote w:id="3">
    <w:p w14:paraId="44B3151F" w14:textId="2F09DCF6" w:rsidR="006D1C2D" w:rsidRPr="00F422C3" w:rsidRDefault="006D1C2D" w:rsidP="007E6972">
      <w:pPr>
        <w:pStyle w:val="FootnoteText"/>
      </w:pPr>
      <w:r>
        <w:rPr>
          <w:rStyle w:val="FootnoteReference"/>
        </w:rPr>
        <w:footnoteRef/>
      </w:r>
      <w:r>
        <w:tab/>
      </w:r>
      <w:hyperlink r:id="rId1" w:history="1">
        <w:r>
          <w:rPr>
            <w:rStyle w:val="Hyperlink"/>
            <w:i/>
            <w:iCs/>
          </w:rPr>
          <w:t>OECD Affordable Housing Database</w:t>
        </w:r>
        <w:r>
          <w:rPr>
            <w:rStyle w:val="Hyperlink"/>
          </w:rPr>
          <w:t xml:space="preserve"> (Databáza OECD pre cenovo dostupné bývanie) |</w:t>
        </w:r>
      </w:hyperlink>
      <w:hyperlink r:id="rId2" w:history="1">
        <w:r>
          <w:rPr>
            <w:rStyle w:val="Hyperlink"/>
          </w:rPr>
          <w:t xml:space="preserve"> OECD</w:t>
        </w:r>
      </w:hyperlink>
      <w:r>
        <w:t>.</w:t>
      </w:r>
    </w:p>
  </w:footnote>
  <w:footnote w:id="4">
    <w:p w14:paraId="253E1936" w14:textId="36FF3F5C" w:rsidR="00FE3E15" w:rsidRPr="00F422C3" w:rsidRDefault="00FE3E15" w:rsidP="007E6972">
      <w:pPr>
        <w:pStyle w:val="FootnoteText"/>
      </w:pPr>
      <w:r>
        <w:rPr>
          <w:rStyle w:val="FootnoteReference"/>
        </w:rPr>
        <w:footnoteRef/>
      </w:r>
      <w:r>
        <w:tab/>
        <w:t>EU-SILC je skratka pre štatistiku Európskej únie o príjmoch a životných podmienkach. Ide o harmonizovaný ročný prieskum (od roku 2003), ktorý sa vykonáva v členských štátoch EÚ a niektorých krajinách mimo EÚ s cieľom zhromaždiť porovnateľné, viacrozmerné, dlhodobé a prierezové mikroúdaje týkajúce sa príjmov, chudoby, sociálneho vylúčenia a podmienok bývania.</w:t>
      </w:r>
    </w:p>
  </w:footnote>
  <w:footnote w:id="5">
    <w:p w14:paraId="5A59E304" w14:textId="7B9F42A9" w:rsidR="00FE3E15" w:rsidRPr="00E06F6F" w:rsidRDefault="00FE3E15" w:rsidP="007E6972">
      <w:pPr>
        <w:pStyle w:val="FootnoteText"/>
      </w:pPr>
      <w:r>
        <w:rPr>
          <w:rStyle w:val="FootnoteReference"/>
        </w:rPr>
        <w:footnoteRef/>
      </w:r>
      <w:r>
        <w:tab/>
      </w:r>
      <w:hyperlink r:id="rId3" w:history="1">
        <w:r>
          <w:rPr>
            <w:rStyle w:val="Hyperlink"/>
          </w:rPr>
          <w:t>https://ec.europa.eu/eurostat/statistics-explained/SEPDF/cache/132338.pdf</w:t>
        </w:r>
      </w:hyperlink>
      <w:r>
        <w:t xml:space="preserve">. </w:t>
      </w:r>
    </w:p>
  </w:footnote>
  <w:footnote w:id="6">
    <w:p w14:paraId="4566E559" w14:textId="483364BD" w:rsidR="00DE3B8C" w:rsidRPr="003C23CC" w:rsidRDefault="00DE3B8C" w:rsidP="007E6972">
      <w:pPr>
        <w:pStyle w:val="FootnoteText"/>
      </w:pPr>
      <w:r>
        <w:rPr>
          <w:rStyle w:val="FootnoteReference"/>
        </w:rPr>
        <w:footnoteRef/>
      </w:r>
      <w:r>
        <w:tab/>
      </w:r>
      <w:hyperlink r:id="rId4" w:history="1">
        <w:r>
          <w:rPr>
            <w:rStyle w:val="Hyperlink"/>
          </w:rPr>
          <w:t>https://eur-lex.europa.eu/legal-content/SK/TXT/?uri=CELEX%3A52021DC0345</w:t>
        </w:r>
      </w:hyperlink>
      <w:r>
        <w:t xml:space="preserve">. </w:t>
      </w:r>
    </w:p>
  </w:footnote>
  <w:footnote w:id="7">
    <w:p w14:paraId="256993FB" w14:textId="564FDC12" w:rsidR="00AC17F8" w:rsidRPr="00F422C3" w:rsidRDefault="0002616A" w:rsidP="007E6972">
      <w:pPr>
        <w:pStyle w:val="FootnoteText"/>
      </w:pPr>
      <w:r>
        <w:rPr>
          <w:rStyle w:val="FootnoteReference"/>
        </w:rPr>
        <w:footnoteRef/>
      </w:r>
      <w:r>
        <w:tab/>
        <w:t xml:space="preserve">O'Sullivan, E., </w:t>
      </w:r>
      <w:r>
        <w:rPr>
          <w:i/>
          <w:iCs/>
        </w:rPr>
        <w:t>Key Elements in Homelessness Strategies to End Homelessness by 2030</w:t>
      </w:r>
      <w:r>
        <w:t xml:space="preserve"> (Kľúčové prvky v stratégiách na ukončenie bezdomovectva do roku 2030), School of Social Work and Social Policy, Trinity College Dublin, Írsko.</w:t>
      </w:r>
    </w:p>
    <w:p w14:paraId="5E5EB9AE" w14:textId="7E15BD64" w:rsidR="00741198" w:rsidRDefault="00AC17F8" w:rsidP="007E6972">
      <w:pPr>
        <w:pStyle w:val="FootnoteText"/>
      </w:pPr>
      <w:r>
        <w:t xml:space="preserve"> </w:t>
      </w:r>
      <w:r w:rsidR="007E6972">
        <w:tab/>
      </w:r>
      <w:r>
        <w:t xml:space="preserve">Mackie, P., </w:t>
      </w:r>
      <w:r>
        <w:rPr>
          <w:i/>
          <w:iCs/>
        </w:rPr>
        <w:t>Preventive Measures against Homelessness and Housing Exclusion</w:t>
      </w:r>
      <w:r>
        <w:t xml:space="preserve"> (Preventívne opatrenia proti bezdomovectvu a vylúčeniu z bývania), School of Geography and</w:t>
      </w:r>
    </w:p>
    <w:p w14:paraId="73063C92" w14:textId="251D39C9" w:rsidR="009A20E4" w:rsidRPr="00F422C3" w:rsidRDefault="009A20E4" w:rsidP="007E6972">
      <w:pPr>
        <w:pStyle w:val="FootnoteText"/>
      </w:pPr>
      <w:r>
        <w:t xml:space="preserve"> </w:t>
      </w:r>
      <w:r w:rsidR="007E6972">
        <w:tab/>
      </w:r>
      <w:r>
        <w:t>Planning, Cardiff University, Wales, Spojené kráľovstvo.</w:t>
      </w:r>
    </w:p>
    <w:p w14:paraId="514EB09D" w14:textId="294E4FBD" w:rsidR="00741198" w:rsidRDefault="00741198" w:rsidP="007E6972">
      <w:pPr>
        <w:pStyle w:val="FootnoteText"/>
      </w:pPr>
      <w:r>
        <w:t xml:space="preserve"> </w:t>
      </w:r>
      <w:r w:rsidR="007E6972">
        <w:tab/>
      </w:r>
      <w:r>
        <w:t xml:space="preserve">Pleace, N., </w:t>
      </w:r>
      <w:r>
        <w:rPr>
          <w:i/>
          <w:iCs/>
        </w:rPr>
        <w:t>Social and healthcare services for homeless people</w:t>
      </w:r>
      <w:r>
        <w:t xml:space="preserve"> (Sociálne a zdravotnícke služby pre ľudí bez domova), Centre for Housing Policy, School for</w:t>
      </w:r>
    </w:p>
    <w:p w14:paraId="52DA4F60" w14:textId="6D3EA9CF" w:rsidR="0002616A" w:rsidRPr="00F422C3" w:rsidRDefault="00A47748" w:rsidP="007E6972">
      <w:pPr>
        <w:pStyle w:val="FootnoteText"/>
      </w:pPr>
      <w:r>
        <w:t xml:space="preserve"> </w:t>
      </w:r>
      <w:r w:rsidR="007E6972">
        <w:tab/>
      </w:r>
      <w:r>
        <w:t>Business and Society, University of York, Spojené kráľovstvo.</w:t>
      </w:r>
    </w:p>
  </w:footnote>
  <w:footnote w:id="8">
    <w:p w14:paraId="1C23F5A3" w14:textId="71203A63" w:rsidR="00FD4AC3" w:rsidRPr="007E00BC" w:rsidRDefault="00FD4AC3" w:rsidP="007E6972">
      <w:pPr>
        <w:pStyle w:val="FootnoteText"/>
        <w:rPr>
          <w:b/>
          <w:bCs/>
        </w:rPr>
      </w:pPr>
      <w:r>
        <w:rPr>
          <w:rStyle w:val="FootnoteReference"/>
        </w:rPr>
        <w:footnoteRef/>
      </w:r>
      <w:r>
        <w:tab/>
      </w:r>
      <w:hyperlink r:id="rId5" w:history="1">
        <w:r>
          <w:rPr>
            <w:rStyle w:val="Hyperlink"/>
            <w:i/>
            <w:iCs/>
            <w:color w:val="auto"/>
          </w:rPr>
          <w:t>OECD Toolkit to Combat Homelessness</w:t>
        </w:r>
        <w:r>
          <w:rPr>
            <w:rStyle w:val="Hyperlink"/>
            <w:color w:val="auto"/>
          </w:rPr>
          <w:t xml:space="preserve"> (Súbor nástrojov OECD na boj proti bezdomovectvu) |</w:t>
        </w:r>
      </w:hyperlink>
      <w:hyperlink r:id="rId6" w:history="1">
        <w:r>
          <w:rPr>
            <w:rStyle w:val="Hyperlink"/>
            <w:color w:val="auto"/>
          </w:rPr>
          <w:t xml:space="preserve"> OECD</w:t>
        </w:r>
      </w:hyperlink>
      <w:r>
        <w:t xml:space="preserve">. </w:t>
      </w:r>
    </w:p>
  </w:footnote>
  <w:footnote w:id="9">
    <w:p w14:paraId="2A9326F0" w14:textId="73479906" w:rsidR="0002616A" w:rsidRPr="00AD7C37" w:rsidRDefault="0002616A" w:rsidP="007E6972">
      <w:pPr>
        <w:pStyle w:val="FootnoteText"/>
      </w:pPr>
      <w:r>
        <w:rPr>
          <w:rStyle w:val="FootnoteReference"/>
        </w:rPr>
        <w:footnoteRef/>
      </w:r>
      <w:r>
        <w:tab/>
      </w:r>
      <w:hyperlink r:id="rId7" w:history="1">
        <w:r>
          <w:rPr>
            <w:rStyle w:val="Hyperlink"/>
            <w:i/>
            <w:iCs/>
            <w:color w:val="auto"/>
          </w:rPr>
          <w:t>OECD Monitoring Framework to Measure Homelessness</w:t>
        </w:r>
        <w:r>
          <w:rPr>
            <w:rStyle w:val="Hyperlink"/>
            <w:color w:val="auto"/>
          </w:rPr>
          <w:t xml:space="preserve"> (Monitorovací rámec OECD na meranie</w:t>
        </w:r>
        <w:bookmarkStart w:id="3" w:name="_Hlt228794208"/>
        <w:bookmarkStart w:id="4" w:name="_Hlt228794209"/>
        <w:bookmarkEnd w:id="3"/>
        <w:bookmarkEnd w:id="4"/>
        <w:r>
          <w:rPr>
            <w:rStyle w:val="Hyperlink"/>
            <w:color w:val="auto"/>
          </w:rPr>
          <w:t xml:space="preserve"> bezdomovectva) |</w:t>
        </w:r>
      </w:hyperlink>
      <w:hyperlink r:id="rId8" w:history="1">
        <w:r>
          <w:rPr>
            <w:rStyle w:val="Hyperlink"/>
            <w:color w:val="auto"/>
          </w:rPr>
          <w:t xml:space="preserve"> OECD</w:t>
        </w:r>
      </w:hyperlink>
      <w:r>
        <w:t>.</w:t>
      </w:r>
    </w:p>
  </w:footnote>
  <w:footnote w:id="10">
    <w:p w14:paraId="6A498BEB" w14:textId="04D177DA" w:rsidR="001C6EBB" w:rsidRPr="001C48C5" w:rsidRDefault="001C6EBB" w:rsidP="007E6972">
      <w:pPr>
        <w:pStyle w:val="FootnoteText"/>
      </w:pPr>
      <w:r>
        <w:rPr>
          <w:rStyle w:val="FootnoteReference"/>
        </w:rPr>
        <w:footnoteRef/>
      </w:r>
      <w:r>
        <w:tab/>
      </w:r>
      <w:hyperlink r:id="rId9" w:history="1">
        <w:r>
          <w:rPr>
            <w:rStyle w:val="Hyperlink"/>
          </w:rPr>
          <w:t xml:space="preserve">KU Leuven EU – </w:t>
        </w:r>
        <w:r>
          <w:rPr>
            <w:rStyle w:val="Hyperlink"/>
            <w:i/>
            <w:iCs/>
          </w:rPr>
          <w:t>Homelessness Counts</w:t>
        </w:r>
        <w:r>
          <w:rPr>
            <w:rStyle w:val="Hyperlink"/>
          </w:rPr>
          <w:t xml:space="preserve"> (Sčítanie ľudí bez domova)</w:t>
        </w:r>
      </w:hyperlink>
      <w:r>
        <w:t>.</w:t>
      </w:r>
    </w:p>
  </w:footnote>
  <w:footnote w:id="11">
    <w:p w14:paraId="15201A41" w14:textId="6AE0BEEE" w:rsidR="001A7991" w:rsidRPr="00861469" w:rsidRDefault="001A7991" w:rsidP="007E6972">
      <w:pPr>
        <w:pStyle w:val="FootnoteText"/>
      </w:pPr>
      <w:r>
        <w:rPr>
          <w:rStyle w:val="FootnoteReference"/>
        </w:rPr>
        <w:footnoteRef/>
      </w:r>
      <w:r>
        <w:tab/>
        <w:t xml:space="preserve">ETHOS Light je zjednodušený, harmonizovaný európsky rámec používaný na meranie bezdomovectva a vylúčenia z bývania a určený na identifikáciu rôznych foriem bezdomovectva. </w:t>
      </w:r>
    </w:p>
  </w:footnote>
  <w:footnote w:id="12">
    <w:p w14:paraId="1432AD59" w14:textId="75C5FD31" w:rsidR="0002616A" w:rsidRPr="00AA7C7F" w:rsidRDefault="0002616A" w:rsidP="007E6972">
      <w:pPr>
        <w:pStyle w:val="FootnoteText"/>
        <w:rPr>
          <w:szCs w:val="24"/>
        </w:rPr>
      </w:pPr>
      <w:r>
        <w:rPr>
          <w:rStyle w:val="FootnoteReference"/>
        </w:rPr>
        <w:footnoteRef/>
      </w:r>
      <w:r>
        <w:tab/>
        <w:t xml:space="preserve">Baptista, I., Perista, P. a Marlier, E. (2025). </w:t>
      </w:r>
      <w:r>
        <w:rPr>
          <w:i/>
          <w:iCs/>
        </w:rPr>
        <w:t>The fight against homelessness and its links with anti-poverty policies across the European Union</w:t>
      </w:r>
      <w:r>
        <w:t xml:space="preserve"> (Boj proti bezdomovectvu a jeho prepojenie s politikami boja proti chudobe v Európskej únii). Európska sieť pre analýzu sociálnej politiky (ESPAN), Luxemburg: Úrad pre vydávanie publikácií Európskej únie, </w:t>
      </w:r>
      <w:hyperlink r:id="rId10" w:anchor="description" w:history="1">
        <w:r>
          <w:rPr>
            <w:rStyle w:val="Hyperlink"/>
          </w:rPr>
          <w:t>https://employment-social-affairs.ec.europa.eu/fight-against-homelessness-and-its-links-anti-poverty-policies-across-european-union_sk#description</w:t>
        </w:r>
      </w:hyperlink>
      <w:r>
        <w:t xml:space="preserve">. </w:t>
      </w:r>
    </w:p>
  </w:footnote>
  <w:footnote w:id="13">
    <w:p w14:paraId="7730D89D" w14:textId="31271626" w:rsidR="001E431A" w:rsidRPr="00F422C3" w:rsidRDefault="001E431A" w:rsidP="007E6972">
      <w:pPr>
        <w:pStyle w:val="FootnoteText"/>
      </w:pPr>
      <w:r>
        <w:rPr>
          <w:rStyle w:val="FootnoteReference"/>
        </w:rPr>
        <w:footnoteRef/>
      </w:r>
      <w:r>
        <w:tab/>
      </w:r>
      <w:hyperlink r:id="rId11" w:history="1">
        <w:r>
          <w:rPr>
            <w:rStyle w:val="Hyperlink"/>
          </w:rPr>
          <w:t>https://www.coe.int/en/web/conventions/full-list?module=treaty-detail&amp;treatynum=163</w:t>
        </w:r>
      </w:hyperlink>
      <w:r>
        <w:t xml:space="preserve">. </w:t>
      </w:r>
    </w:p>
  </w:footnote>
  <w:footnote w:id="14">
    <w:p w14:paraId="27F30276" w14:textId="44EAA8FE" w:rsidR="00DD3345" w:rsidRPr="00F422C3" w:rsidRDefault="00DD3345" w:rsidP="007E6972">
      <w:pPr>
        <w:pStyle w:val="FootnoteText"/>
      </w:pPr>
      <w:r>
        <w:rPr>
          <w:rStyle w:val="FootnoteReference"/>
        </w:rPr>
        <w:footnoteRef/>
      </w:r>
      <w:r>
        <w:tab/>
      </w:r>
      <w:hyperlink r:id="rId12" w:history="1">
        <w:r>
          <w:rPr>
            <w:rStyle w:val="Hyperlink"/>
          </w:rPr>
          <w:t>Vyhlásenie európskeho piliera sociálnych práv</w:t>
        </w:r>
      </w:hyperlink>
      <w:r>
        <w:t xml:space="preserve">. </w:t>
      </w:r>
    </w:p>
  </w:footnote>
  <w:footnote w:id="15">
    <w:p w14:paraId="30B2336C" w14:textId="7961EB4A" w:rsidR="001E431A" w:rsidRPr="00F422C3" w:rsidRDefault="001E431A" w:rsidP="007E6972">
      <w:pPr>
        <w:pStyle w:val="FootnoteText"/>
      </w:pPr>
      <w:r>
        <w:rPr>
          <w:rStyle w:val="FootnoteReference"/>
        </w:rPr>
        <w:footnoteRef/>
      </w:r>
      <w:r>
        <w:tab/>
      </w:r>
      <w:hyperlink r:id="rId13" w:history="1">
        <w:r>
          <w:rPr>
            <w:rStyle w:val="Hyperlink"/>
          </w:rPr>
          <w:t>Odporúčanie Rady 2021/1004 zo 14. júna 2021, ktorým sa zriaďuje Európska záruka pre deti</w:t>
        </w:r>
      </w:hyperlink>
      <w:r>
        <w:t xml:space="preserve">. </w:t>
      </w:r>
    </w:p>
  </w:footnote>
  <w:footnote w:id="16">
    <w:p w14:paraId="3F6B85CF" w14:textId="3C8C7FFA" w:rsidR="001E431A" w:rsidRPr="00F422C3" w:rsidRDefault="001E431A" w:rsidP="007E6972">
      <w:pPr>
        <w:pStyle w:val="FootnoteText"/>
      </w:pPr>
      <w:r>
        <w:rPr>
          <w:rStyle w:val="FootnoteReference"/>
        </w:rPr>
        <w:footnoteRef/>
      </w:r>
      <w:r>
        <w:tab/>
      </w:r>
      <w:hyperlink r:id="rId14" w:history="1">
        <w:r>
          <w:rPr>
            <w:rStyle w:val="Hyperlink"/>
          </w:rPr>
          <w:t>Odporúčanie Rady 2023/C 41/01 z 30. januára 2023 o primeranom minimálnom príjme zaručujúcom aktívne začleňovanie</w:t>
        </w:r>
      </w:hyperlink>
      <w:r>
        <w:t xml:space="preserve">. </w:t>
      </w:r>
    </w:p>
  </w:footnote>
  <w:footnote w:id="17">
    <w:p w14:paraId="1AF92C4B" w14:textId="22B02484" w:rsidR="002E6FA9" w:rsidRPr="00401D75" w:rsidRDefault="002E6FA9" w:rsidP="007E6972">
      <w:pPr>
        <w:pStyle w:val="FootnoteText"/>
        <w:rPr>
          <w:color w:val="0000FF" w:themeColor="hyperlink"/>
          <w:u w:val="single"/>
        </w:rPr>
      </w:pPr>
      <w:r>
        <w:rPr>
          <w:rStyle w:val="FootnoteReference"/>
        </w:rPr>
        <w:footnoteRef/>
      </w:r>
      <w:r>
        <w:tab/>
      </w:r>
      <w:hyperlink r:id="rId15" w:history="1">
        <w:r>
          <w:rPr>
            <w:rStyle w:val="Hyperlink"/>
          </w:rPr>
          <w:t>Odporúčanie Rady C/2023/1344 z 27. novembra 2023 týkajúce sa vypracovania rámcových podmienok sociálneho hospodárstva</w:t>
        </w:r>
      </w:hyperlink>
      <w:r>
        <w:t xml:space="preserve">. </w:t>
      </w:r>
    </w:p>
  </w:footnote>
  <w:footnote w:id="18">
    <w:p w14:paraId="642507C5" w14:textId="75166AAA" w:rsidR="00236F4C" w:rsidRPr="00F422C3" w:rsidRDefault="00236F4C" w:rsidP="007E6972">
      <w:pPr>
        <w:pStyle w:val="FootnoteText"/>
      </w:pPr>
      <w:r>
        <w:rPr>
          <w:rStyle w:val="FootnoteReference"/>
        </w:rPr>
        <w:footnoteRef/>
      </w:r>
      <w:r>
        <w:tab/>
      </w:r>
      <w:hyperlink r:id="rId16" w:history="1">
        <w:r>
          <w:rPr>
            <w:rStyle w:val="Hyperlink"/>
          </w:rPr>
          <w:t>Odporúčanie Rady 2021/C 93/01 z 12. marca 2021 o rovnosti, začleňovaní a účasti Rómov</w:t>
        </w:r>
      </w:hyperlink>
      <w:r>
        <w:t>.</w:t>
      </w:r>
    </w:p>
  </w:footnote>
  <w:footnote w:id="19">
    <w:p w14:paraId="7BA7F830" w14:textId="0578B0E5" w:rsidR="00DF4DB3" w:rsidRPr="00F422C3" w:rsidRDefault="00DF4DB3" w:rsidP="007E6972">
      <w:pPr>
        <w:pStyle w:val="FootnoteText"/>
      </w:pPr>
      <w:r>
        <w:rPr>
          <w:rStyle w:val="FootnoteReference"/>
        </w:rPr>
        <w:footnoteRef/>
      </w:r>
      <w:r>
        <w:tab/>
        <w:t xml:space="preserve">Doplnené </w:t>
      </w:r>
      <w:hyperlink r:id="rId17" w:history="1">
        <w:r>
          <w:rPr>
            <w:rStyle w:val="Hyperlink"/>
          </w:rPr>
          <w:t>oznámením Komisie Európskemu parlamentu a Rade:</w:t>
        </w:r>
      </w:hyperlink>
      <w:hyperlink r:id="rId18" w:history="1">
        <w:r>
          <w:rPr>
            <w:rStyle w:val="Hyperlink"/>
          </w:rPr>
          <w:t xml:space="preserve"> Únia rovnosti:</w:t>
        </w:r>
      </w:hyperlink>
      <w:hyperlink r:id="rId19" w:history="1">
        <w:r>
          <w:rPr>
            <w:rStyle w:val="Hyperlink"/>
          </w:rPr>
          <w:t xml:space="preserve"> strategický rámec EÚ pre rovnosť, začleňovanie a účasť Rómov (COM/2020/620 final)</w:t>
        </w:r>
      </w:hyperlink>
      <w:r>
        <w:t>.</w:t>
      </w:r>
    </w:p>
  </w:footnote>
  <w:footnote w:id="20">
    <w:p w14:paraId="75E951A7" w14:textId="7806FB95" w:rsidR="00560C1D" w:rsidRPr="00F422C3" w:rsidRDefault="00560C1D" w:rsidP="007E6972">
      <w:pPr>
        <w:pStyle w:val="FootnoteText"/>
      </w:pPr>
      <w:r>
        <w:rPr>
          <w:rStyle w:val="FootnoteReference"/>
        </w:rPr>
        <w:footnoteRef/>
      </w:r>
      <w:r>
        <w:tab/>
      </w:r>
      <w:hyperlink r:id="rId20" w:history="1">
        <w:r>
          <w:rPr>
            <w:rStyle w:val="Hyperlink"/>
          </w:rPr>
          <w:t>Odporúčanie Rady 2022/C 476/01 z 8. decembra 2022 týkajúce sa prístupu k cenovo dostupnej, vysokokvalitnej dlhodobej starostlivosti</w:t>
        </w:r>
      </w:hyperlink>
      <w:r>
        <w:t>.</w:t>
      </w:r>
    </w:p>
  </w:footnote>
  <w:footnote w:id="21">
    <w:p w14:paraId="12EE7C91" w14:textId="3EEE7ED6" w:rsidR="006523E8" w:rsidRPr="00F422C3" w:rsidRDefault="006523E8" w:rsidP="007E6972">
      <w:pPr>
        <w:pStyle w:val="FootnoteText"/>
      </w:pPr>
      <w:r>
        <w:rPr>
          <w:rStyle w:val="FootnoteReference"/>
        </w:rPr>
        <w:footnoteRef/>
      </w:r>
      <w:r>
        <w:tab/>
      </w:r>
      <w:hyperlink r:id="rId21" w:history="1">
        <w:r>
          <w:rPr>
            <w:rStyle w:val="Hyperlink"/>
          </w:rPr>
          <w:t>Smernica Európskeho parlamentu a Rady 2014/92/EÚ z 23. júla 2014 o porovnateľnosti poplatkov za platobné účty, o presune platobných účtov a o prístupe k platobným účtom so základnými funkciami</w:t>
        </w:r>
      </w:hyperlink>
      <w:r>
        <w:t>.</w:t>
      </w:r>
    </w:p>
  </w:footnote>
  <w:footnote w:id="22">
    <w:p w14:paraId="622D74C1" w14:textId="77777777" w:rsidR="006F75AA" w:rsidRPr="00F422C3" w:rsidRDefault="006F75AA" w:rsidP="007E6972">
      <w:pPr>
        <w:pStyle w:val="FootnoteText"/>
      </w:pPr>
      <w:r>
        <w:rPr>
          <w:rStyle w:val="FootnoteReference"/>
        </w:rPr>
        <w:footnoteRef/>
      </w:r>
      <w:r>
        <w:tab/>
        <w:t xml:space="preserve"> Lisabonská deklarácia o európskej platforme na boj proti bezdomovectvu (21. júna 2021, Lisabon, Portugalsko).</w:t>
      </w:r>
    </w:p>
  </w:footnote>
  <w:footnote w:id="23">
    <w:p w14:paraId="04E50528" w14:textId="7A482D49" w:rsidR="00DE2B74" w:rsidRDefault="00427712" w:rsidP="007E6972">
      <w:pPr>
        <w:pStyle w:val="FootnoteText"/>
      </w:pPr>
      <w:r>
        <w:rPr>
          <w:rStyle w:val="FootnoteReference"/>
        </w:rPr>
        <w:footnoteRef/>
      </w:r>
      <w:r>
        <w:tab/>
        <w:t>Deklarácia z La Hulpe o budúcnosti Európskeho piliera sociálnych práv (16. apríla 2024, La Hulpe,</w:t>
      </w:r>
    </w:p>
    <w:p w14:paraId="6103785E" w14:textId="5A7595F2" w:rsidR="00427712" w:rsidRPr="00532C9D" w:rsidRDefault="00DE2B74" w:rsidP="007E6972">
      <w:pPr>
        <w:pStyle w:val="FootnoteText"/>
      </w:pPr>
      <w:r>
        <w:t xml:space="preserve"> </w:t>
      </w:r>
      <w:r w:rsidR="007E6972">
        <w:tab/>
      </w:r>
      <w:r>
        <w:t>Belgicko).</w:t>
      </w:r>
    </w:p>
  </w:footnote>
  <w:footnote w:id="24">
    <w:p w14:paraId="5D2D87C3" w14:textId="42EB6787" w:rsidR="001E431A" w:rsidRPr="00532C9D" w:rsidRDefault="001E431A" w:rsidP="007E6972">
      <w:pPr>
        <w:pStyle w:val="FootnoteText"/>
      </w:pPr>
      <w:r>
        <w:rPr>
          <w:rStyle w:val="FootnoteReference"/>
        </w:rPr>
        <w:footnoteRef/>
      </w:r>
      <w:r>
        <w:tab/>
      </w:r>
      <w:hyperlink r:id="rId22" w:history="1">
        <w:r>
          <w:rPr>
            <w:rStyle w:val="Hyperlink"/>
          </w:rPr>
          <w:t>https://www.europarl.europa.eu/doceo/document/TA-9-2020-0314_SK.html</w:t>
        </w:r>
      </w:hyperlink>
      <w:r>
        <w:t xml:space="preserve">. </w:t>
      </w:r>
    </w:p>
  </w:footnote>
  <w:footnote w:id="25">
    <w:p w14:paraId="36BE26F9" w14:textId="6C065561" w:rsidR="00AD7368" w:rsidRPr="00532C9D" w:rsidRDefault="00AD7368" w:rsidP="007E6972">
      <w:pPr>
        <w:pStyle w:val="FootnoteText"/>
      </w:pPr>
      <w:r>
        <w:rPr>
          <w:rStyle w:val="FootnoteReference"/>
        </w:rPr>
        <w:footnoteRef/>
      </w:r>
      <w:r>
        <w:tab/>
      </w:r>
      <w:hyperlink r:id="rId23" w:history="1">
        <w:r>
          <w:rPr>
            <w:rStyle w:val="Hyperlink"/>
          </w:rPr>
          <w:t>https://www.europarl.europa.eu/doceo/document/TA-10-2026-0064_SK.html</w:t>
        </w:r>
      </w:hyperlink>
      <w:r>
        <w:t xml:space="preserve">. </w:t>
      </w:r>
    </w:p>
  </w:footnote>
  <w:footnote w:id="26">
    <w:p w14:paraId="26749925" w14:textId="515E8644" w:rsidR="005C3815" w:rsidRPr="00AA7C7F" w:rsidRDefault="005C3815" w:rsidP="007E6972">
      <w:pPr>
        <w:pStyle w:val="FootnoteText"/>
        <w:rPr>
          <w:color w:val="0000FF" w:themeColor="hyperlink"/>
          <w:u w:val="single"/>
        </w:rPr>
      </w:pPr>
      <w:r>
        <w:rPr>
          <w:rStyle w:val="FootnoteReference"/>
        </w:rPr>
        <w:footnoteRef/>
      </w:r>
      <w:r>
        <w:tab/>
      </w:r>
      <w:hyperlink r:id="rId24" w:history="1">
        <w:r>
          <w:rPr>
            <w:rStyle w:val="Hyperlink"/>
          </w:rPr>
          <w:t>Vykonávacie nariadenie Komisie 2017/543 z 22. marca 2017, ktorým sa stanovujú pravidlá uplatňovania nariadenia Európskeho parlamentu a Rady (ES) č. 763/2008 o sčítaní obyvateľov, domov a bytov, pokiaľ ide o technické špecifikácie tém a ich členení</w:t>
        </w:r>
      </w:hyperlink>
      <w:r>
        <w:t>.</w:t>
      </w:r>
    </w:p>
  </w:footnote>
  <w:footnote w:id="27">
    <w:p w14:paraId="14F59F7E" w14:textId="74AA1A82" w:rsidR="001E431A" w:rsidRPr="00AA7C7F" w:rsidRDefault="0037784D" w:rsidP="007E6972">
      <w:pPr>
        <w:pStyle w:val="FootnoteText"/>
        <w:rPr>
          <w:color w:val="0000FF" w:themeColor="hyperlink"/>
          <w:u w:val="single"/>
        </w:rPr>
      </w:pPr>
      <w:r>
        <w:rPr>
          <w:rStyle w:val="FootnoteReference"/>
        </w:rPr>
        <w:footnoteRef/>
      </w:r>
      <w:r>
        <w:tab/>
      </w:r>
      <w:hyperlink r:id="rId25" w:history="1">
        <w:r>
          <w:rPr>
            <w:rStyle w:val="Hyperlink"/>
          </w:rPr>
          <w:t>Stanovisko Výboru regiónov COR 2021/03911 – Odstránenie bezdomovectva v Európskej únii:</w:t>
        </w:r>
      </w:hyperlink>
      <w:hyperlink r:id="rId26" w:history="1">
        <w:r>
          <w:rPr>
            <w:rStyle w:val="Hyperlink"/>
          </w:rPr>
          <w:t xml:space="preserve"> miestne a regionálne hľadisko</w:t>
        </w:r>
      </w:hyperlink>
      <w:r>
        <w:t>.</w:t>
      </w:r>
    </w:p>
  </w:footnote>
  <w:footnote w:id="28">
    <w:p w14:paraId="13491126" w14:textId="5D14A4E5" w:rsidR="001E431A" w:rsidRPr="00AA7C7F" w:rsidRDefault="0037784D" w:rsidP="007E6972">
      <w:pPr>
        <w:pStyle w:val="FootnoteText"/>
        <w:rPr>
          <w:color w:val="0000FF" w:themeColor="hyperlink"/>
          <w:u w:val="single"/>
        </w:rPr>
      </w:pPr>
      <w:r>
        <w:rPr>
          <w:rStyle w:val="FootnoteReference"/>
        </w:rPr>
        <w:footnoteRef/>
      </w:r>
      <w:r>
        <w:tab/>
      </w:r>
      <w:hyperlink r:id="rId27" w:history="1">
        <w:r>
          <w:rPr>
            <w:rStyle w:val="Hyperlink"/>
          </w:rPr>
          <w:t>Stanovisko Európskeho hospodárskeho a sociálneho výboru EESC 2023/01741 – Vytvoriť rámec EÚ pre vnútroštátne stratégie na pomoc bezdomovcom na základe zásady „bývanie ako prvé“</w:t>
        </w:r>
      </w:hyperlink>
      <w:r>
        <w:t xml:space="preserve">. </w:t>
      </w:r>
    </w:p>
  </w:footnote>
  <w:footnote w:id="29">
    <w:p w14:paraId="44F8BE1D" w14:textId="2DAF9B7B" w:rsidR="00B942D0" w:rsidRPr="00AA7C7F" w:rsidRDefault="00B942D0" w:rsidP="007E6972">
      <w:pPr>
        <w:pStyle w:val="FootnoteText"/>
        <w:rPr>
          <w:color w:val="0000FF" w:themeColor="hyperlink"/>
          <w:u w:val="single"/>
        </w:rPr>
      </w:pPr>
      <w:r>
        <w:rPr>
          <w:rStyle w:val="FootnoteReference"/>
        </w:rPr>
        <w:footnoteRef/>
      </w:r>
      <w:r>
        <w:tab/>
        <w:t>Európska komisia: Generálne riaditeľstvo pre zamestnanosť, sociálne záležitosti a začlenenie, </w:t>
      </w:r>
      <w:hyperlink r:id="rId28" w:history="1">
        <w:r>
          <w:rPr>
            <w:rStyle w:val="Hyperlink"/>
            <w:i/>
            <w:iCs/>
          </w:rPr>
          <w:t>Joint employment report 2026 – As adopted by the EPSCO Council on 9 March 2026</w:t>
        </w:r>
        <w:r>
          <w:rPr>
            <w:rStyle w:val="Hyperlink"/>
          </w:rPr>
          <w:t xml:space="preserve"> (Spoločná správa o zamestnanosti z roku 2026 – v znení prijatom Radou EPSCO 9. marca 2026)</w:t>
        </w:r>
      </w:hyperlink>
      <w:r>
        <w:t>, Úrad pre vydávanie publikácií Európskej únie.</w:t>
      </w:r>
    </w:p>
  </w:footnote>
  <w:footnote w:id="30">
    <w:p w14:paraId="208E9D93" w14:textId="226BD2F7" w:rsidR="00F326F8" w:rsidRPr="00AA7C7F" w:rsidRDefault="004723B1" w:rsidP="007E6972">
      <w:pPr>
        <w:pStyle w:val="FootnoteText"/>
        <w:rPr>
          <w:color w:val="0000FF" w:themeColor="hyperlink"/>
          <w:u w:val="single"/>
        </w:rPr>
      </w:pPr>
      <w:r>
        <w:rPr>
          <w:rStyle w:val="FootnoteReference"/>
        </w:rPr>
        <w:footnoteRef/>
      </w:r>
      <w:r>
        <w:tab/>
      </w:r>
      <w:hyperlink r:id="rId29" w:history="1">
        <w:r>
          <w:rPr>
            <w:rStyle w:val="Hyperlink"/>
          </w:rPr>
          <w:t>Oznámenie Komisie Európskemu parlamentu, Rade, Európskemu hospodárskemu a sociálnemu výboru</w:t>
        </w:r>
        <w:bookmarkStart w:id="8" w:name="_Hlt228804738"/>
        <w:bookmarkStart w:id="9" w:name="_Hlt228804739"/>
        <w:bookmarkEnd w:id="8"/>
        <w:bookmarkEnd w:id="9"/>
        <w:r>
          <w:rPr>
            <w:rStyle w:val="Hyperlink"/>
          </w:rPr>
          <w:t xml:space="preserve"> a Výboru regiónov (COM/2025/1025 final):</w:t>
        </w:r>
      </w:hyperlink>
      <w:hyperlink r:id="rId30" w:history="1">
        <w:r>
          <w:rPr>
            <w:rStyle w:val="Hyperlink"/>
          </w:rPr>
          <w:t xml:space="preserve"> Európsky plán pre cenovo dostupné bývanie</w:t>
        </w:r>
      </w:hyperlink>
      <w:r>
        <w:t>.</w:t>
      </w:r>
    </w:p>
  </w:footnote>
  <w:footnote w:id="31">
    <w:p w14:paraId="1A3FC6F4" w14:textId="24288665" w:rsidR="00B75119" w:rsidRPr="00B75119" w:rsidRDefault="00B75119" w:rsidP="007E6972">
      <w:pPr>
        <w:pStyle w:val="FootnoteText"/>
      </w:pPr>
      <w:r>
        <w:rPr>
          <w:rStyle w:val="FootnoteReference"/>
        </w:rPr>
        <w:footnoteRef/>
      </w:r>
      <w:r>
        <w:tab/>
      </w:r>
      <w:hyperlink r:id="rId31" w:history="1">
        <w:r>
          <w:rPr>
            <w:rStyle w:val="Hyperlink"/>
            <w:i/>
            <w:iCs/>
          </w:rPr>
          <w:t>OECD Affordable Housing Database</w:t>
        </w:r>
        <w:r>
          <w:rPr>
            <w:rStyle w:val="Hyperlink"/>
          </w:rPr>
          <w:t xml:space="preserve"> (Databáza OECD pre cenovo dostupné bývanie) |</w:t>
        </w:r>
      </w:hyperlink>
      <w:hyperlink r:id="rId32" w:history="1">
        <w:r>
          <w:rPr>
            <w:rStyle w:val="Hyperlink"/>
          </w:rPr>
          <w:t xml:space="preserve"> OECD</w:t>
        </w:r>
      </w:hyperlink>
      <w:r>
        <w:t>.</w:t>
      </w:r>
    </w:p>
  </w:footnote>
  <w:footnote w:id="32">
    <w:p w14:paraId="301FAF4F" w14:textId="7940C936" w:rsidR="00463873" w:rsidRPr="00AA7C7F" w:rsidRDefault="00463873" w:rsidP="007E6972">
      <w:pPr>
        <w:pStyle w:val="FootnoteText"/>
        <w:rPr>
          <w:color w:val="0000FF" w:themeColor="hyperlink"/>
          <w:u w:val="single"/>
        </w:rPr>
      </w:pPr>
      <w:r>
        <w:rPr>
          <w:rStyle w:val="FootnoteReference"/>
        </w:rPr>
        <w:footnoteRef/>
      </w:r>
      <w:r>
        <w:tab/>
      </w:r>
      <w:hyperlink r:id="rId33" w:history="1">
        <w:r>
          <w:rPr>
            <w:rStyle w:val="Hyperlink"/>
          </w:rPr>
          <w:t>Nariadenie Európskeho parlamentu a Rady 2025/1914 z 18. septembra 2025, ktorým sa menia nariadenia (EÚ) 2021/1058 a (EÚ) 2021/1056, pokiaľ ide o osobitné opatrenia na riešenie strategických výziev v rámci strednodobého preskúmania</w:t>
        </w:r>
      </w:hyperlink>
      <w:r>
        <w:t>.</w:t>
      </w:r>
    </w:p>
  </w:footnote>
  <w:footnote w:id="33">
    <w:p w14:paraId="516BBF8D" w14:textId="12CD32AD" w:rsidR="00891B98" w:rsidRPr="00AA7C7F" w:rsidRDefault="00891B98" w:rsidP="007E6972">
      <w:pPr>
        <w:pStyle w:val="FootnoteText"/>
        <w:rPr>
          <w:color w:val="0000FF" w:themeColor="hyperlink"/>
          <w:u w:val="single"/>
        </w:rPr>
      </w:pPr>
      <w:r>
        <w:rPr>
          <w:rStyle w:val="FootnoteReference"/>
        </w:rPr>
        <w:footnoteRef/>
      </w:r>
      <w:r>
        <w:tab/>
      </w:r>
      <w:hyperlink r:id="rId34" w:history="1">
        <w:r>
          <w:rPr>
            <w:rStyle w:val="Hyperlink"/>
          </w:rPr>
          <w:t>Vykonávacie nariadenie Komisie 2017/543 z 22. marca 2017, ktorým sa stanovujú pravidlá uplatňovania nariadenia Európskeho parlamentu a Rady (ES) č. 763/2008 o sčítaní obyvateľov, domov a bytov, pokiaľ ide o technické špecifikácie tém a ich členení</w:t>
        </w:r>
      </w:hyperlink>
      <w:r>
        <w:t>.</w:t>
      </w:r>
    </w:p>
  </w:footnote>
  <w:footnote w:id="34">
    <w:p w14:paraId="2DA05FB6" w14:textId="22FC7A0C" w:rsidR="00C82328" w:rsidRPr="00F422C3" w:rsidRDefault="00C82328" w:rsidP="007E6972">
      <w:pPr>
        <w:pStyle w:val="FootnoteText"/>
      </w:pPr>
      <w:r>
        <w:rPr>
          <w:rStyle w:val="FootnoteReference"/>
        </w:rPr>
        <w:footnoteRef/>
      </w:r>
      <w:r>
        <w:tab/>
      </w:r>
      <w:hyperlink r:id="rId35" w:history="1">
        <w:r>
          <w:rPr>
            <w:rStyle w:val="Hyperlink"/>
          </w:rPr>
          <w:t>Smernica Európskeho parlamentu a Rady 2014/92/EÚ z 23. júla 2014 o porovnateľnosti poplatkov za platobné účty, o presune platobných účtov a o prístupe k platobným účtom so základnými funkciami</w:t>
        </w:r>
      </w:hyperlink>
      <w:r>
        <w:t>.</w:t>
      </w:r>
    </w:p>
  </w:footnote>
  <w:footnote w:id="35">
    <w:p w14:paraId="138A7674" w14:textId="17704D16" w:rsidR="002335CB" w:rsidRPr="00AA7C7F" w:rsidRDefault="002335CB" w:rsidP="007E6972">
      <w:pPr>
        <w:pStyle w:val="FootnoteText"/>
        <w:rPr>
          <w:color w:val="0000FF" w:themeColor="hyperlink"/>
          <w:u w:val="single"/>
        </w:rPr>
      </w:pPr>
      <w:r>
        <w:rPr>
          <w:rStyle w:val="FootnoteReference"/>
        </w:rPr>
        <w:footnoteRef/>
      </w:r>
      <w:r>
        <w:tab/>
      </w:r>
      <w:hyperlink r:id="rId36" w:history="1">
        <w:r>
          <w:rPr>
            <w:rStyle w:val="Hyperlink"/>
          </w:rPr>
          <w:t>Oznámenie Komisie Európskemu parlamentu, Rade, Európskemu hospodárskemu a sociálnemu výboru a Výboru regiónov [COM(2025) 1025 final]:</w:t>
        </w:r>
      </w:hyperlink>
      <w:hyperlink r:id="rId37" w:history="1">
        <w:r>
          <w:rPr>
            <w:rStyle w:val="Hyperlink"/>
          </w:rPr>
          <w:t xml:space="preserve"> Európsky plán pre cenovo dostupné bývanie</w:t>
        </w:r>
      </w:hyperlink>
      <w:r>
        <w:t>.</w:t>
      </w:r>
    </w:p>
  </w:footnote>
  <w:footnote w:id="36">
    <w:p w14:paraId="224E0B69" w14:textId="143814F9" w:rsidR="00A95F5E" w:rsidRPr="00AA7C7F" w:rsidRDefault="00A95F5E" w:rsidP="007E6972">
      <w:pPr>
        <w:pStyle w:val="FootnoteText"/>
        <w:rPr>
          <w:color w:val="0000FF" w:themeColor="hyperlink"/>
          <w:u w:val="single"/>
        </w:rPr>
      </w:pPr>
      <w:r>
        <w:rPr>
          <w:rStyle w:val="FootnoteReference"/>
        </w:rPr>
        <w:footnoteRef/>
      </w:r>
      <w:r>
        <w:tab/>
      </w:r>
      <w:hyperlink r:id="rId38" w:history="1">
        <w:r>
          <w:rPr>
            <w:rStyle w:val="Hyperlink"/>
          </w:rPr>
          <w:t>Nariadenie Európskeho parlamentu a Rady 2025/1914 z 18. septembra 2025, ktorým sa menia nariadenia (EÚ) 2021/1058 a (EÚ) 2021/1056, pokiaľ ide o osobitné opatrenia na riešenie strategických výziev v rámci strednodobého preskúmania</w:t>
        </w:r>
      </w:hyperlink>
      <w:r>
        <w:t xml:space="preserve">. </w:t>
      </w:r>
    </w:p>
  </w:footnote>
  <w:footnote w:id="37">
    <w:p w14:paraId="3FAC6288" w14:textId="1E344F7F" w:rsidR="004B7380" w:rsidRPr="00AA7C7F" w:rsidRDefault="004B7380" w:rsidP="007E6972">
      <w:pPr>
        <w:pStyle w:val="FootnoteText"/>
        <w:rPr>
          <w:color w:val="0000FF" w:themeColor="hyperlink"/>
          <w:u w:val="single"/>
        </w:rPr>
      </w:pPr>
      <w:r>
        <w:rPr>
          <w:rStyle w:val="FootnoteReference"/>
        </w:rPr>
        <w:footnoteRef/>
      </w:r>
      <w:r>
        <w:tab/>
      </w:r>
      <w:hyperlink r:id="rId39" w:history="1">
        <w:r>
          <w:rPr>
            <w:rStyle w:val="Hyperlink"/>
          </w:rPr>
          <w:t>Rozhodnutie Komisie (EÚ) 2025/2630 zo 16. decembra 2025 o uplatňovaní článku 106 ods. 2 Zmluvy o fungovaní Európskej únie na štátnu pomoc vo forme náhrady za služby vo verejnom záujme udeľovanej niektorým podnikom povereným poskytovaním služieb všeobecného hospodárskeho záujmu a ktorým sa zrušuje rozhodnutie 2012/21/EÚ</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8E17E" w14:textId="77777777" w:rsidR="00140F12" w:rsidRDefault="00140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39A0E" w14:textId="77777777" w:rsidR="00140F12" w:rsidRDefault="00140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25EB7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5E47AA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136220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79AFE1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8"/>
    <w:lvlOverride w:ilvl="0">
      <w:startOverride w:val="1"/>
    </w:lvlOverride>
  </w:num>
  <w:num w:numId="6">
    <w:abstractNumId w:val="8"/>
    <w:lvlOverride w:ilvl="0">
      <w:startOverride w:val="1"/>
    </w:lvlOverride>
  </w:num>
  <w:num w:numId="7">
    <w:abstractNumId w:val="17"/>
    <w:lvlOverride w:ilvl="0">
      <w:startOverride w:val="1"/>
    </w:lvlOverride>
  </w:num>
  <w:num w:numId="8">
    <w:abstractNumId w:val="15"/>
  </w:num>
  <w:num w:numId="9">
    <w:abstractNumId w:val="8"/>
  </w:num>
  <w:num w:numId="10">
    <w:abstractNumId w:val="17"/>
  </w:num>
  <w:num w:numId="11">
    <w:abstractNumId w:val="7"/>
  </w:num>
  <w:num w:numId="12">
    <w:abstractNumId w:val="9"/>
  </w:num>
  <w:num w:numId="13">
    <w:abstractNumId w:val="10"/>
  </w:num>
  <w:num w:numId="14">
    <w:abstractNumId w:val="5"/>
  </w:num>
  <w:num w:numId="15">
    <w:abstractNumId w:val="16"/>
  </w:num>
  <w:num w:numId="16">
    <w:abstractNumId w:val="4"/>
  </w:num>
  <w:num w:numId="17">
    <w:abstractNumId w:val="11"/>
  </w:num>
  <w:num w:numId="18">
    <w:abstractNumId w:val="13"/>
  </w:num>
  <w:num w:numId="19">
    <w:abstractNumId w:val="14"/>
  </w:num>
  <w:num w:numId="20">
    <w:abstractNumId w:val="6"/>
  </w:num>
  <w:num w:numId="21">
    <w:abstractNumId w:val="12"/>
  </w:num>
  <w:num w:numId="22">
    <w:abstractNumId w:val="18"/>
  </w:num>
  <w:num w:numId="23">
    <w:abstractNumId w:val="15"/>
  </w:num>
  <w:num w:numId="24">
    <w:abstractNumId w:val="8"/>
  </w:num>
  <w:num w:numId="25">
    <w:abstractNumId w:val="17"/>
  </w:num>
  <w:num w:numId="26">
    <w:abstractNumId w:val="7"/>
  </w:num>
  <w:num w:numId="27">
    <w:abstractNumId w:val="9"/>
  </w:num>
  <w:num w:numId="28">
    <w:abstractNumId w:val="10"/>
  </w:num>
  <w:num w:numId="29">
    <w:abstractNumId w:val="5"/>
  </w:num>
  <w:num w:numId="30">
    <w:abstractNumId w:val="16"/>
  </w:num>
  <w:num w:numId="31">
    <w:abstractNumId w:val="4"/>
  </w:num>
  <w:num w:numId="32">
    <w:abstractNumId w:val="11"/>
  </w:num>
  <w:num w:numId="33">
    <w:abstractNumId w:val="13"/>
  </w:num>
  <w:num w:numId="34">
    <w:abstractNumId w:val="14"/>
  </w:num>
  <w:num w:numId="35">
    <w:abstractNumId w:val="6"/>
  </w:num>
  <w:num w:numId="36">
    <w:abstractNumId w:val="12"/>
  </w:num>
  <w:num w:numId="3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6-03 16:16:2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E3F0EFCB-4679-40DF-8494-AE5B907B065A"/>
    <w:docVar w:name="LW_COVERPAGE_TYPE" w:val="1"/>
    <w:docVar w:name="LW_CreatedUtc" w:val="2025-12-17T09:52:18.5367685Z"/>
    <w:docVar w:name="LW_CROSSREFERENCE" w:val="{SWD(2026) 770 final}"/>
    <w:docVar w:name="LW_DocType" w:val="COM"/>
    <w:docVar w:name="LW_EMISSION" w:val="6. 5. 2026"/>
    <w:docVar w:name="LW_EMISSION_ISODATE" w:val="2026-05-06"/>
    <w:docVar w:name="LW_EMISSION_LOCATION" w:val="BRX"/>
    <w:docVar w:name="LW_EMISSION_PREFIX" w:val="V Bruseli"/>
    <w:docVar w:name="LW_EMISSION_SUFFIX" w:val=" "/>
    <w:docVar w:name="LW_ID_DOCMODEL" w:val="SJ-022"/>
    <w:docVar w:name="LW_ID_DOCSIGNATURE" w:val="SJ-022"/>
    <w:docVar w:name="LW_ID_DOCSTRUCTURE" w:val="COM/PL/ORG"/>
    <w:docVar w:name="LW_ID_DOCTYPE" w:val="SJ-022"/>
    <w:docVar w:name="LW_ID_STATUT" w:val="SJ-022"/>
    <w:docVar w:name="LW_INSERT_EXP.MOTIFS.NEW" w:val="1"/>
    <w:docVar w:name="LW_INTERETEEE.CP" w:val="&lt;UNUSED&gt;"/>
    <w:docVar w:name="LW_LANGUE" w:val="SK"/>
    <w:docVar w:name="LW_LEVEL_OF_SENSITIVITY" w:val="Standard treatment"/>
    <w:docVar w:name="LW_NOM.INST" w:val="EURÓPSKA KOMISIA"/>
    <w:docVar w:name="LW_NOM.INST_JOINTDOC" w:val="&lt;EMPTY&gt;"/>
    <w:docVar w:name="LW_PART_NBR" w:val="1"/>
    <w:docVar w:name="LW_PART_NBR_TOTAL" w:val="1"/>
    <w:docVar w:name="LW_REF.II.NEW.CP" w:val="NLE"/>
    <w:docVar w:name="LW_REF.II.NEW.CP_NUMBER" w:val="0105"/>
    <w:docVar w:name="LW_REF.II.NEW.CP_YEAR" w:val="2026"/>
    <w:docVar w:name="LW_REF.INST.NEW" w:val="COM"/>
    <w:docVar w:name="LW_REF.INST.NEW_ADOPTED" w:val="final"/>
    <w:docVar w:name="LW_REF.INST.NEW_TEXT" w:val="(2026) 5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Návrh"/>
    <w:docVar w:name="LW_SUPERTITRE" w:val="&lt;UNUSED&gt;"/>
    <w:docVar w:name="LW_TITRE.OBJ.CP" w:val="týkajúce sa boja proti vylú\u269?eniu z bývania"/>
    <w:docVar w:name="LW_TYPE.DOC.CP" w:val="ODPORÚ\u268?ANIE RADY"/>
    <w:docVar w:name="LwApiVersions" w:val="LW4CoDe 1.24.5.0; LW 9.2, Build 20251112"/>
  </w:docVars>
  <w:rsids>
    <w:rsidRoot w:val="00C578AE"/>
    <w:rsid w:val="00000222"/>
    <w:rsid w:val="00000545"/>
    <w:rsid w:val="0000058D"/>
    <w:rsid w:val="00000615"/>
    <w:rsid w:val="00000726"/>
    <w:rsid w:val="000007E4"/>
    <w:rsid w:val="00000876"/>
    <w:rsid w:val="000009B7"/>
    <w:rsid w:val="000009BF"/>
    <w:rsid w:val="00000AF8"/>
    <w:rsid w:val="00000BDB"/>
    <w:rsid w:val="00000C25"/>
    <w:rsid w:val="00001104"/>
    <w:rsid w:val="00001130"/>
    <w:rsid w:val="000012C5"/>
    <w:rsid w:val="00001393"/>
    <w:rsid w:val="000014B3"/>
    <w:rsid w:val="000014CA"/>
    <w:rsid w:val="0000159D"/>
    <w:rsid w:val="00001851"/>
    <w:rsid w:val="00001E6E"/>
    <w:rsid w:val="00001FC1"/>
    <w:rsid w:val="0000232F"/>
    <w:rsid w:val="000024E6"/>
    <w:rsid w:val="00002740"/>
    <w:rsid w:val="000027C7"/>
    <w:rsid w:val="00002B5E"/>
    <w:rsid w:val="00002F7B"/>
    <w:rsid w:val="000031D2"/>
    <w:rsid w:val="0000392E"/>
    <w:rsid w:val="00003945"/>
    <w:rsid w:val="00003CCD"/>
    <w:rsid w:val="00003D71"/>
    <w:rsid w:val="00004027"/>
    <w:rsid w:val="00004283"/>
    <w:rsid w:val="00004487"/>
    <w:rsid w:val="00004511"/>
    <w:rsid w:val="000048E7"/>
    <w:rsid w:val="00004A8D"/>
    <w:rsid w:val="00004C15"/>
    <w:rsid w:val="00004D38"/>
    <w:rsid w:val="00004F3B"/>
    <w:rsid w:val="0000533B"/>
    <w:rsid w:val="00005B35"/>
    <w:rsid w:val="00005BA0"/>
    <w:rsid w:val="00005BC3"/>
    <w:rsid w:val="00005C77"/>
    <w:rsid w:val="00005D3E"/>
    <w:rsid w:val="00005EC9"/>
    <w:rsid w:val="0000602C"/>
    <w:rsid w:val="0000633A"/>
    <w:rsid w:val="00006472"/>
    <w:rsid w:val="000064C6"/>
    <w:rsid w:val="00006508"/>
    <w:rsid w:val="00006633"/>
    <w:rsid w:val="00006866"/>
    <w:rsid w:val="00006942"/>
    <w:rsid w:val="00006AAD"/>
    <w:rsid w:val="00006CAE"/>
    <w:rsid w:val="00006CC3"/>
    <w:rsid w:val="00006FD2"/>
    <w:rsid w:val="00006FD4"/>
    <w:rsid w:val="00007109"/>
    <w:rsid w:val="00007255"/>
    <w:rsid w:val="00007805"/>
    <w:rsid w:val="00007D32"/>
    <w:rsid w:val="0001002D"/>
    <w:rsid w:val="00010095"/>
    <w:rsid w:val="0001055A"/>
    <w:rsid w:val="0001056A"/>
    <w:rsid w:val="00010590"/>
    <w:rsid w:val="000106D5"/>
    <w:rsid w:val="00010811"/>
    <w:rsid w:val="00010CE3"/>
    <w:rsid w:val="00010CF0"/>
    <w:rsid w:val="00010EB1"/>
    <w:rsid w:val="00010FFB"/>
    <w:rsid w:val="00011583"/>
    <w:rsid w:val="0001164F"/>
    <w:rsid w:val="0001173F"/>
    <w:rsid w:val="000118D8"/>
    <w:rsid w:val="00011A64"/>
    <w:rsid w:val="00011A96"/>
    <w:rsid w:val="00011C05"/>
    <w:rsid w:val="00011DA2"/>
    <w:rsid w:val="000120AC"/>
    <w:rsid w:val="00012189"/>
    <w:rsid w:val="000122E1"/>
    <w:rsid w:val="000122EE"/>
    <w:rsid w:val="0001249D"/>
    <w:rsid w:val="000124A3"/>
    <w:rsid w:val="00012759"/>
    <w:rsid w:val="00012863"/>
    <w:rsid w:val="00012A9B"/>
    <w:rsid w:val="00012B49"/>
    <w:rsid w:val="00012CA7"/>
    <w:rsid w:val="00012E61"/>
    <w:rsid w:val="000130DE"/>
    <w:rsid w:val="00013597"/>
    <w:rsid w:val="000135BE"/>
    <w:rsid w:val="000137DA"/>
    <w:rsid w:val="0001384D"/>
    <w:rsid w:val="000138A6"/>
    <w:rsid w:val="00013AAA"/>
    <w:rsid w:val="00013B5C"/>
    <w:rsid w:val="00013D42"/>
    <w:rsid w:val="0001401D"/>
    <w:rsid w:val="00014139"/>
    <w:rsid w:val="00014196"/>
    <w:rsid w:val="00014337"/>
    <w:rsid w:val="00014369"/>
    <w:rsid w:val="0001478D"/>
    <w:rsid w:val="0001483B"/>
    <w:rsid w:val="0001485B"/>
    <w:rsid w:val="000148CC"/>
    <w:rsid w:val="00014B3F"/>
    <w:rsid w:val="00014B40"/>
    <w:rsid w:val="00014E75"/>
    <w:rsid w:val="00014E8A"/>
    <w:rsid w:val="00015035"/>
    <w:rsid w:val="0001514C"/>
    <w:rsid w:val="00015196"/>
    <w:rsid w:val="000151BD"/>
    <w:rsid w:val="00015211"/>
    <w:rsid w:val="000153CD"/>
    <w:rsid w:val="00015543"/>
    <w:rsid w:val="00015773"/>
    <w:rsid w:val="000157B0"/>
    <w:rsid w:val="00015A2B"/>
    <w:rsid w:val="00015A3E"/>
    <w:rsid w:val="00015BD0"/>
    <w:rsid w:val="00015BE7"/>
    <w:rsid w:val="00015CEC"/>
    <w:rsid w:val="00015D1D"/>
    <w:rsid w:val="00015D95"/>
    <w:rsid w:val="00016419"/>
    <w:rsid w:val="00016439"/>
    <w:rsid w:val="0001656E"/>
    <w:rsid w:val="000166BE"/>
    <w:rsid w:val="00016A77"/>
    <w:rsid w:val="00016D09"/>
    <w:rsid w:val="00016F59"/>
    <w:rsid w:val="00016FF2"/>
    <w:rsid w:val="0001709F"/>
    <w:rsid w:val="00017314"/>
    <w:rsid w:val="000176B8"/>
    <w:rsid w:val="000177F0"/>
    <w:rsid w:val="00017834"/>
    <w:rsid w:val="0001788B"/>
    <w:rsid w:val="00017C85"/>
    <w:rsid w:val="00017D13"/>
    <w:rsid w:val="00017D85"/>
    <w:rsid w:val="00017E5F"/>
    <w:rsid w:val="00020078"/>
    <w:rsid w:val="000200BA"/>
    <w:rsid w:val="000201AB"/>
    <w:rsid w:val="000202CA"/>
    <w:rsid w:val="00020583"/>
    <w:rsid w:val="00020619"/>
    <w:rsid w:val="000206C6"/>
    <w:rsid w:val="00020B30"/>
    <w:rsid w:val="00020E0B"/>
    <w:rsid w:val="00020E95"/>
    <w:rsid w:val="0002138D"/>
    <w:rsid w:val="0002146C"/>
    <w:rsid w:val="00021514"/>
    <w:rsid w:val="000216EA"/>
    <w:rsid w:val="0002193B"/>
    <w:rsid w:val="00021A37"/>
    <w:rsid w:val="00021B84"/>
    <w:rsid w:val="00021BAF"/>
    <w:rsid w:val="00021CAC"/>
    <w:rsid w:val="00022070"/>
    <w:rsid w:val="000220E0"/>
    <w:rsid w:val="000221CB"/>
    <w:rsid w:val="00022454"/>
    <w:rsid w:val="000224E0"/>
    <w:rsid w:val="00022963"/>
    <w:rsid w:val="00022C7F"/>
    <w:rsid w:val="00022D09"/>
    <w:rsid w:val="00022DD2"/>
    <w:rsid w:val="00022E33"/>
    <w:rsid w:val="00022E36"/>
    <w:rsid w:val="0002321C"/>
    <w:rsid w:val="00023229"/>
    <w:rsid w:val="000232E5"/>
    <w:rsid w:val="0002351C"/>
    <w:rsid w:val="0002384F"/>
    <w:rsid w:val="00023A07"/>
    <w:rsid w:val="00023A6C"/>
    <w:rsid w:val="00023B3C"/>
    <w:rsid w:val="00023B73"/>
    <w:rsid w:val="00023D93"/>
    <w:rsid w:val="00023E15"/>
    <w:rsid w:val="00023E3A"/>
    <w:rsid w:val="000242BC"/>
    <w:rsid w:val="000242DB"/>
    <w:rsid w:val="00024377"/>
    <w:rsid w:val="0002439E"/>
    <w:rsid w:val="00024621"/>
    <w:rsid w:val="0002462B"/>
    <w:rsid w:val="0002495B"/>
    <w:rsid w:val="00024E17"/>
    <w:rsid w:val="00025137"/>
    <w:rsid w:val="0002533F"/>
    <w:rsid w:val="000254D8"/>
    <w:rsid w:val="0002571F"/>
    <w:rsid w:val="00025A0B"/>
    <w:rsid w:val="00025B3F"/>
    <w:rsid w:val="00025BCB"/>
    <w:rsid w:val="00025C72"/>
    <w:rsid w:val="00025CC6"/>
    <w:rsid w:val="00025D41"/>
    <w:rsid w:val="00025F5A"/>
    <w:rsid w:val="00025F79"/>
    <w:rsid w:val="0002616A"/>
    <w:rsid w:val="0002623E"/>
    <w:rsid w:val="00026491"/>
    <w:rsid w:val="000266A0"/>
    <w:rsid w:val="000268EE"/>
    <w:rsid w:val="00026A96"/>
    <w:rsid w:val="00026B64"/>
    <w:rsid w:val="00026DCC"/>
    <w:rsid w:val="00027430"/>
    <w:rsid w:val="000274E6"/>
    <w:rsid w:val="000278C5"/>
    <w:rsid w:val="000279F6"/>
    <w:rsid w:val="00027CA7"/>
    <w:rsid w:val="00027F57"/>
    <w:rsid w:val="00030104"/>
    <w:rsid w:val="0003052D"/>
    <w:rsid w:val="0003054E"/>
    <w:rsid w:val="000305AB"/>
    <w:rsid w:val="000306C2"/>
    <w:rsid w:val="000306F0"/>
    <w:rsid w:val="00030A7B"/>
    <w:rsid w:val="0003144D"/>
    <w:rsid w:val="00031DBC"/>
    <w:rsid w:val="00031DD5"/>
    <w:rsid w:val="00031E3C"/>
    <w:rsid w:val="000321F8"/>
    <w:rsid w:val="00032263"/>
    <w:rsid w:val="000322F8"/>
    <w:rsid w:val="0003252F"/>
    <w:rsid w:val="00032589"/>
    <w:rsid w:val="00032639"/>
    <w:rsid w:val="00032E95"/>
    <w:rsid w:val="00033389"/>
    <w:rsid w:val="000335EE"/>
    <w:rsid w:val="00033888"/>
    <w:rsid w:val="00033913"/>
    <w:rsid w:val="00033F4E"/>
    <w:rsid w:val="00033F94"/>
    <w:rsid w:val="000340B4"/>
    <w:rsid w:val="000340F7"/>
    <w:rsid w:val="00034425"/>
    <w:rsid w:val="000344B9"/>
    <w:rsid w:val="000346DE"/>
    <w:rsid w:val="0003482A"/>
    <w:rsid w:val="0003484B"/>
    <w:rsid w:val="00034989"/>
    <w:rsid w:val="00034B36"/>
    <w:rsid w:val="00034B81"/>
    <w:rsid w:val="00034BC6"/>
    <w:rsid w:val="00034E39"/>
    <w:rsid w:val="000355E1"/>
    <w:rsid w:val="0003560F"/>
    <w:rsid w:val="00035830"/>
    <w:rsid w:val="00035917"/>
    <w:rsid w:val="00035961"/>
    <w:rsid w:val="00035963"/>
    <w:rsid w:val="00035A0F"/>
    <w:rsid w:val="00035A83"/>
    <w:rsid w:val="00035B0B"/>
    <w:rsid w:val="00035ED7"/>
    <w:rsid w:val="00035F51"/>
    <w:rsid w:val="00035FF4"/>
    <w:rsid w:val="00036415"/>
    <w:rsid w:val="000369E4"/>
    <w:rsid w:val="00036C18"/>
    <w:rsid w:val="00036FF4"/>
    <w:rsid w:val="00037273"/>
    <w:rsid w:val="000372CC"/>
    <w:rsid w:val="00037395"/>
    <w:rsid w:val="00037728"/>
    <w:rsid w:val="000378AF"/>
    <w:rsid w:val="00037B0E"/>
    <w:rsid w:val="00037B11"/>
    <w:rsid w:val="00037B81"/>
    <w:rsid w:val="00037DFC"/>
    <w:rsid w:val="00037E6E"/>
    <w:rsid w:val="00037EC6"/>
    <w:rsid w:val="00037FFD"/>
    <w:rsid w:val="00040042"/>
    <w:rsid w:val="000402C6"/>
    <w:rsid w:val="0004040E"/>
    <w:rsid w:val="0004047A"/>
    <w:rsid w:val="000405E3"/>
    <w:rsid w:val="00040773"/>
    <w:rsid w:val="0004081C"/>
    <w:rsid w:val="00040C82"/>
    <w:rsid w:val="00040D47"/>
    <w:rsid w:val="00040D94"/>
    <w:rsid w:val="00040EC2"/>
    <w:rsid w:val="00040EE9"/>
    <w:rsid w:val="000412AB"/>
    <w:rsid w:val="000412F1"/>
    <w:rsid w:val="000413A0"/>
    <w:rsid w:val="0004140F"/>
    <w:rsid w:val="000416EB"/>
    <w:rsid w:val="0004178D"/>
    <w:rsid w:val="00041948"/>
    <w:rsid w:val="000419FA"/>
    <w:rsid w:val="00041AE6"/>
    <w:rsid w:val="00041E5A"/>
    <w:rsid w:val="00041F19"/>
    <w:rsid w:val="00041F8C"/>
    <w:rsid w:val="00042085"/>
    <w:rsid w:val="00042104"/>
    <w:rsid w:val="00042441"/>
    <w:rsid w:val="00042445"/>
    <w:rsid w:val="000425D3"/>
    <w:rsid w:val="00042653"/>
    <w:rsid w:val="000428AF"/>
    <w:rsid w:val="000429E5"/>
    <w:rsid w:val="00042A43"/>
    <w:rsid w:val="00042CB0"/>
    <w:rsid w:val="00042E0F"/>
    <w:rsid w:val="00042E54"/>
    <w:rsid w:val="00042E66"/>
    <w:rsid w:val="00043089"/>
    <w:rsid w:val="00043347"/>
    <w:rsid w:val="0004334C"/>
    <w:rsid w:val="00043369"/>
    <w:rsid w:val="00043481"/>
    <w:rsid w:val="000436E4"/>
    <w:rsid w:val="0004388C"/>
    <w:rsid w:val="000438EC"/>
    <w:rsid w:val="00043B40"/>
    <w:rsid w:val="00043C3C"/>
    <w:rsid w:val="00043C8C"/>
    <w:rsid w:val="00043D7F"/>
    <w:rsid w:val="00044202"/>
    <w:rsid w:val="000445FA"/>
    <w:rsid w:val="00044650"/>
    <w:rsid w:val="00044701"/>
    <w:rsid w:val="0004495B"/>
    <w:rsid w:val="00044AF5"/>
    <w:rsid w:val="00044E52"/>
    <w:rsid w:val="00044E5A"/>
    <w:rsid w:val="00044E8D"/>
    <w:rsid w:val="00044F94"/>
    <w:rsid w:val="00045036"/>
    <w:rsid w:val="00045211"/>
    <w:rsid w:val="00045273"/>
    <w:rsid w:val="00045AF3"/>
    <w:rsid w:val="00045C0F"/>
    <w:rsid w:val="00045DE6"/>
    <w:rsid w:val="000460FE"/>
    <w:rsid w:val="0004640B"/>
    <w:rsid w:val="00046578"/>
    <w:rsid w:val="00046A5B"/>
    <w:rsid w:val="00046CFD"/>
    <w:rsid w:val="000470CF"/>
    <w:rsid w:val="000475EB"/>
    <w:rsid w:val="000479AD"/>
    <w:rsid w:val="00047B54"/>
    <w:rsid w:val="00047B79"/>
    <w:rsid w:val="00047DF3"/>
    <w:rsid w:val="00047F56"/>
    <w:rsid w:val="00047FC3"/>
    <w:rsid w:val="0005007C"/>
    <w:rsid w:val="0005008C"/>
    <w:rsid w:val="000502C5"/>
    <w:rsid w:val="0005042F"/>
    <w:rsid w:val="0005071A"/>
    <w:rsid w:val="00050968"/>
    <w:rsid w:val="00050B38"/>
    <w:rsid w:val="00050D47"/>
    <w:rsid w:val="00050F19"/>
    <w:rsid w:val="0005107D"/>
    <w:rsid w:val="00051117"/>
    <w:rsid w:val="0005116D"/>
    <w:rsid w:val="000511E4"/>
    <w:rsid w:val="0005139E"/>
    <w:rsid w:val="00051616"/>
    <w:rsid w:val="000519DA"/>
    <w:rsid w:val="00051AC9"/>
    <w:rsid w:val="00051C0E"/>
    <w:rsid w:val="000522B5"/>
    <w:rsid w:val="000526CF"/>
    <w:rsid w:val="000528B3"/>
    <w:rsid w:val="000529C4"/>
    <w:rsid w:val="00052B38"/>
    <w:rsid w:val="00052F93"/>
    <w:rsid w:val="0005322C"/>
    <w:rsid w:val="00053244"/>
    <w:rsid w:val="00053366"/>
    <w:rsid w:val="0005371D"/>
    <w:rsid w:val="0005382F"/>
    <w:rsid w:val="00053916"/>
    <w:rsid w:val="00053D66"/>
    <w:rsid w:val="00053E30"/>
    <w:rsid w:val="00053E85"/>
    <w:rsid w:val="00054036"/>
    <w:rsid w:val="00054127"/>
    <w:rsid w:val="000542D0"/>
    <w:rsid w:val="000547EB"/>
    <w:rsid w:val="00054A74"/>
    <w:rsid w:val="00054A9F"/>
    <w:rsid w:val="00054B64"/>
    <w:rsid w:val="00054EAC"/>
    <w:rsid w:val="00054EE9"/>
    <w:rsid w:val="00054F00"/>
    <w:rsid w:val="00054F4F"/>
    <w:rsid w:val="000553DF"/>
    <w:rsid w:val="0005553A"/>
    <w:rsid w:val="00055757"/>
    <w:rsid w:val="00055896"/>
    <w:rsid w:val="00055A57"/>
    <w:rsid w:val="00055B74"/>
    <w:rsid w:val="00055B9B"/>
    <w:rsid w:val="0005606E"/>
    <w:rsid w:val="00056089"/>
    <w:rsid w:val="00056093"/>
    <w:rsid w:val="00056463"/>
    <w:rsid w:val="00056711"/>
    <w:rsid w:val="00056713"/>
    <w:rsid w:val="000569AC"/>
    <w:rsid w:val="00056BB3"/>
    <w:rsid w:val="00056DF2"/>
    <w:rsid w:val="00056E08"/>
    <w:rsid w:val="00056F32"/>
    <w:rsid w:val="00057326"/>
    <w:rsid w:val="0005758A"/>
    <w:rsid w:val="00057673"/>
    <w:rsid w:val="000576F8"/>
    <w:rsid w:val="000577D6"/>
    <w:rsid w:val="00057DE2"/>
    <w:rsid w:val="00057E24"/>
    <w:rsid w:val="00057F3A"/>
    <w:rsid w:val="00060DE8"/>
    <w:rsid w:val="00060EF4"/>
    <w:rsid w:val="00060F65"/>
    <w:rsid w:val="00061173"/>
    <w:rsid w:val="000612DF"/>
    <w:rsid w:val="000614D7"/>
    <w:rsid w:val="0006174A"/>
    <w:rsid w:val="00061917"/>
    <w:rsid w:val="00061A14"/>
    <w:rsid w:val="00061BFF"/>
    <w:rsid w:val="00061D1F"/>
    <w:rsid w:val="00061DAC"/>
    <w:rsid w:val="00061E7B"/>
    <w:rsid w:val="000622C9"/>
    <w:rsid w:val="00062336"/>
    <w:rsid w:val="0006264F"/>
    <w:rsid w:val="00062A80"/>
    <w:rsid w:val="000631A7"/>
    <w:rsid w:val="000633CB"/>
    <w:rsid w:val="00063AF8"/>
    <w:rsid w:val="00063CFF"/>
    <w:rsid w:val="000646FB"/>
    <w:rsid w:val="00064801"/>
    <w:rsid w:val="00064E44"/>
    <w:rsid w:val="00064E94"/>
    <w:rsid w:val="00064F59"/>
    <w:rsid w:val="0006524D"/>
    <w:rsid w:val="000652BF"/>
    <w:rsid w:val="00065384"/>
    <w:rsid w:val="000658F3"/>
    <w:rsid w:val="00065AE3"/>
    <w:rsid w:val="00065BB9"/>
    <w:rsid w:val="000667B3"/>
    <w:rsid w:val="00066CDD"/>
    <w:rsid w:val="00066D2E"/>
    <w:rsid w:val="00066D66"/>
    <w:rsid w:val="00066DF5"/>
    <w:rsid w:val="000675C4"/>
    <w:rsid w:val="00067790"/>
    <w:rsid w:val="00067854"/>
    <w:rsid w:val="00067E70"/>
    <w:rsid w:val="00067E79"/>
    <w:rsid w:val="00070225"/>
    <w:rsid w:val="000703E2"/>
    <w:rsid w:val="0007055A"/>
    <w:rsid w:val="000706B0"/>
    <w:rsid w:val="00070972"/>
    <w:rsid w:val="000709E2"/>
    <w:rsid w:val="00070D68"/>
    <w:rsid w:val="00070DA7"/>
    <w:rsid w:val="00070E34"/>
    <w:rsid w:val="00070F80"/>
    <w:rsid w:val="0007116B"/>
    <w:rsid w:val="00071780"/>
    <w:rsid w:val="0007183D"/>
    <w:rsid w:val="00071842"/>
    <w:rsid w:val="00071C3F"/>
    <w:rsid w:val="00071EDA"/>
    <w:rsid w:val="000723B8"/>
    <w:rsid w:val="00072409"/>
    <w:rsid w:val="00072467"/>
    <w:rsid w:val="000724FD"/>
    <w:rsid w:val="0007278B"/>
    <w:rsid w:val="000729AD"/>
    <w:rsid w:val="00072BC3"/>
    <w:rsid w:val="0007302C"/>
    <w:rsid w:val="00073541"/>
    <w:rsid w:val="000735FC"/>
    <w:rsid w:val="00073669"/>
    <w:rsid w:val="000737DD"/>
    <w:rsid w:val="00073A52"/>
    <w:rsid w:val="00073DDE"/>
    <w:rsid w:val="00073E4C"/>
    <w:rsid w:val="00073FCA"/>
    <w:rsid w:val="0007454D"/>
    <w:rsid w:val="0007472B"/>
    <w:rsid w:val="000747EE"/>
    <w:rsid w:val="0007480F"/>
    <w:rsid w:val="000749A2"/>
    <w:rsid w:val="00074BE8"/>
    <w:rsid w:val="000750EA"/>
    <w:rsid w:val="0007537D"/>
    <w:rsid w:val="00075807"/>
    <w:rsid w:val="00075910"/>
    <w:rsid w:val="00075B82"/>
    <w:rsid w:val="00075BAA"/>
    <w:rsid w:val="00075D93"/>
    <w:rsid w:val="00075E3A"/>
    <w:rsid w:val="00075F50"/>
    <w:rsid w:val="0007609B"/>
    <w:rsid w:val="0007626F"/>
    <w:rsid w:val="000762ED"/>
    <w:rsid w:val="00076467"/>
    <w:rsid w:val="000764E1"/>
    <w:rsid w:val="0007653A"/>
    <w:rsid w:val="00076588"/>
    <w:rsid w:val="00076597"/>
    <w:rsid w:val="00076640"/>
    <w:rsid w:val="00076661"/>
    <w:rsid w:val="00076683"/>
    <w:rsid w:val="00076846"/>
    <w:rsid w:val="000768B2"/>
    <w:rsid w:val="00076A35"/>
    <w:rsid w:val="00076A9A"/>
    <w:rsid w:val="00076B20"/>
    <w:rsid w:val="00076BD6"/>
    <w:rsid w:val="00076ED8"/>
    <w:rsid w:val="00076EF8"/>
    <w:rsid w:val="00076F7F"/>
    <w:rsid w:val="0007734C"/>
    <w:rsid w:val="00077414"/>
    <w:rsid w:val="0007750B"/>
    <w:rsid w:val="000778DE"/>
    <w:rsid w:val="000779B7"/>
    <w:rsid w:val="00077A4F"/>
    <w:rsid w:val="00077B4F"/>
    <w:rsid w:val="00077BAA"/>
    <w:rsid w:val="00077BDF"/>
    <w:rsid w:val="00077D32"/>
    <w:rsid w:val="00080022"/>
    <w:rsid w:val="000803CC"/>
    <w:rsid w:val="00080543"/>
    <w:rsid w:val="000807B3"/>
    <w:rsid w:val="00080B2E"/>
    <w:rsid w:val="00080D1D"/>
    <w:rsid w:val="00080D2B"/>
    <w:rsid w:val="00080D7B"/>
    <w:rsid w:val="000811A1"/>
    <w:rsid w:val="0008122C"/>
    <w:rsid w:val="0008135E"/>
    <w:rsid w:val="0008145D"/>
    <w:rsid w:val="000814B5"/>
    <w:rsid w:val="0008189F"/>
    <w:rsid w:val="00081A9F"/>
    <w:rsid w:val="00081BB9"/>
    <w:rsid w:val="00081E69"/>
    <w:rsid w:val="0008205C"/>
    <w:rsid w:val="00082382"/>
    <w:rsid w:val="000823F0"/>
    <w:rsid w:val="00082431"/>
    <w:rsid w:val="0008243C"/>
    <w:rsid w:val="000829AB"/>
    <w:rsid w:val="00082D04"/>
    <w:rsid w:val="000831CF"/>
    <w:rsid w:val="00083787"/>
    <w:rsid w:val="000837BF"/>
    <w:rsid w:val="00083925"/>
    <w:rsid w:val="00083946"/>
    <w:rsid w:val="00083DB1"/>
    <w:rsid w:val="00084009"/>
    <w:rsid w:val="0008400C"/>
    <w:rsid w:val="00084234"/>
    <w:rsid w:val="000843A6"/>
    <w:rsid w:val="000844AA"/>
    <w:rsid w:val="000844C3"/>
    <w:rsid w:val="00084DD4"/>
    <w:rsid w:val="00084E53"/>
    <w:rsid w:val="0008527F"/>
    <w:rsid w:val="000852AA"/>
    <w:rsid w:val="00085349"/>
    <w:rsid w:val="000854FC"/>
    <w:rsid w:val="00085506"/>
    <w:rsid w:val="000856F1"/>
    <w:rsid w:val="00085804"/>
    <w:rsid w:val="00085867"/>
    <w:rsid w:val="000858AF"/>
    <w:rsid w:val="00085A36"/>
    <w:rsid w:val="00085A7D"/>
    <w:rsid w:val="00085AD4"/>
    <w:rsid w:val="00085B9B"/>
    <w:rsid w:val="00085D11"/>
    <w:rsid w:val="00085E8D"/>
    <w:rsid w:val="00085EBD"/>
    <w:rsid w:val="000860F7"/>
    <w:rsid w:val="00086431"/>
    <w:rsid w:val="0008673D"/>
    <w:rsid w:val="00086826"/>
    <w:rsid w:val="00086A21"/>
    <w:rsid w:val="00086E85"/>
    <w:rsid w:val="0008716A"/>
    <w:rsid w:val="00087208"/>
    <w:rsid w:val="00087252"/>
    <w:rsid w:val="000872C6"/>
    <w:rsid w:val="0008776E"/>
    <w:rsid w:val="00087DB3"/>
    <w:rsid w:val="00087EE9"/>
    <w:rsid w:val="000901D6"/>
    <w:rsid w:val="00090282"/>
    <w:rsid w:val="000902B4"/>
    <w:rsid w:val="0009035C"/>
    <w:rsid w:val="0009045C"/>
    <w:rsid w:val="00090470"/>
    <w:rsid w:val="00090A68"/>
    <w:rsid w:val="00090B69"/>
    <w:rsid w:val="00090B74"/>
    <w:rsid w:val="00090D99"/>
    <w:rsid w:val="00090DA4"/>
    <w:rsid w:val="00090DC6"/>
    <w:rsid w:val="00091023"/>
    <w:rsid w:val="00091026"/>
    <w:rsid w:val="0009106C"/>
    <w:rsid w:val="00091259"/>
    <w:rsid w:val="00091406"/>
    <w:rsid w:val="00091476"/>
    <w:rsid w:val="0009156D"/>
    <w:rsid w:val="000917EF"/>
    <w:rsid w:val="00091BC6"/>
    <w:rsid w:val="00091BE9"/>
    <w:rsid w:val="00091E41"/>
    <w:rsid w:val="00091F37"/>
    <w:rsid w:val="00092196"/>
    <w:rsid w:val="00092345"/>
    <w:rsid w:val="00092442"/>
    <w:rsid w:val="00092B9B"/>
    <w:rsid w:val="00092EC5"/>
    <w:rsid w:val="00093091"/>
    <w:rsid w:val="0009372E"/>
    <w:rsid w:val="000939D5"/>
    <w:rsid w:val="00093C81"/>
    <w:rsid w:val="00094119"/>
    <w:rsid w:val="000942CB"/>
    <w:rsid w:val="000942E6"/>
    <w:rsid w:val="00094611"/>
    <w:rsid w:val="000946A1"/>
    <w:rsid w:val="000946EB"/>
    <w:rsid w:val="0009472C"/>
    <w:rsid w:val="0009473A"/>
    <w:rsid w:val="000947E4"/>
    <w:rsid w:val="00094AB1"/>
    <w:rsid w:val="00094D29"/>
    <w:rsid w:val="00094E77"/>
    <w:rsid w:val="000950FB"/>
    <w:rsid w:val="0009514A"/>
    <w:rsid w:val="0009521E"/>
    <w:rsid w:val="0009534D"/>
    <w:rsid w:val="000958CD"/>
    <w:rsid w:val="00095994"/>
    <w:rsid w:val="00095D79"/>
    <w:rsid w:val="00095E3A"/>
    <w:rsid w:val="00095EC0"/>
    <w:rsid w:val="000962BD"/>
    <w:rsid w:val="000962DC"/>
    <w:rsid w:val="00096578"/>
    <w:rsid w:val="00096718"/>
    <w:rsid w:val="00096841"/>
    <w:rsid w:val="00096AFA"/>
    <w:rsid w:val="00096BDF"/>
    <w:rsid w:val="0009701B"/>
    <w:rsid w:val="000973AD"/>
    <w:rsid w:val="00097433"/>
    <w:rsid w:val="00097439"/>
    <w:rsid w:val="00097B0C"/>
    <w:rsid w:val="00097B25"/>
    <w:rsid w:val="00097CAA"/>
    <w:rsid w:val="00097D46"/>
    <w:rsid w:val="00097F2F"/>
    <w:rsid w:val="00097F82"/>
    <w:rsid w:val="000A00D4"/>
    <w:rsid w:val="000A00DF"/>
    <w:rsid w:val="000A00F6"/>
    <w:rsid w:val="000A01DE"/>
    <w:rsid w:val="000A0E52"/>
    <w:rsid w:val="000A0FB4"/>
    <w:rsid w:val="000A105C"/>
    <w:rsid w:val="000A1340"/>
    <w:rsid w:val="000A1CB2"/>
    <w:rsid w:val="000A1CE4"/>
    <w:rsid w:val="000A1D35"/>
    <w:rsid w:val="000A1DAA"/>
    <w:rsid w:val="000A20F1"/>
    <w:rsid w:val="000A2163"/>
    <w:rsid w:val="000A21F1"/>
    <w:rsid w:val="000A22C5"/>
    <w:rsid w:val="000A24FE"/>
    <w:rsid w:val="000A2B73"/>
    <w:rsid w:val="000A2C84"/>
    <w:rsid w:val="000A2D8E"/>
    <w:rsid w:val="000A2DAA"/>
    <w:rsid w:val="000A2EC4"/>
    <w:rsid w:val="000A33BB"/>
    <w:rsid w:val="000A372C"/>
    <w:rsid w:val="000A3A46"/>
    <w:rsid w:val="000A3E92"/>
    <w:rsid w:val="000A3FB0"/>
    <w:rsid w:val="000A414E"/>
    <w:rsid w:val="000A42EE"/>
    <w:rsid w:val="000A438E"/>
    <w:rsid w:val="000A44A1"/>
    <w:rsid w:val="000A45F0"/>
    <w:rsid w:val="000A4616"/>
    <w:rsid w:val="000A4C3E"/>
    <w:rsid w:val="000A4EDA"/>
    <w:rsid w:val="000A5212"/>
    <w:rsid w:val="000A526F"/>
    <w:rsid w:val="000A54B5"/>
    <w:rsid w:val="000A550C"/>
    <w:rsid w:val="000A5664"/>
    <w:rsid w:val="000A573C"/>
    <w:rsid w:val="000A5A69"/>
    <w:rsid w:val="000A60D4"/>
    <w:rsid w:val="000A6302"/>
    <w:rsid w:val="000A6344"/>
    <w:rsid w:val="000A671F"/>
    <w:rsid w:val="000A6E81"/>
    <w:rsid w:val="000A71E4"/>
    <w:rsid w:val="000A7378"/>
    <w:rsid w:val="000A7724"/>
    <w:rsid w:val="000A7BDC"/>
    <w:rsid w:val="000A7EB4"/>
    <w:rsid w:val="000A7FB4"/>
    <w:rsid w:val="000B0313"/>
    <w:rsid w:val="000B0899"/>
    <w:rsid w:val="000B0A39"/>
    <w:rsid w:val="000B0D23"/>
    <w:rsid w:val="000B0F0C"/>
    <w:rsid w:val="000B1559"/>
    <w:rsid w:val="000B1672"/>
    <w:rsid w:val="000B1788"/>
    <w:rsid w:val="000B1959"/>
    <w:rsid w:val="000B19E9"/>
    <w:rsid w:val="000B1CF2"/>
    <w:rsid w:val="000B1F93"/>
    <w:rsid w:val="000B25B7"/>
    <w:rsid w:val="000B266E"/>
    <w:rsid w:val="000B29DE"/>
    <w:rsid w:val="000B2D4D"/>
    <w:rsid w:val="000B2E31"/>
    <w:rsid w:val="000B2E82"/>
    <w:rsid w:val="000B2ED2"/>
    <w:rsid w:val="000B3315"/>
    <w:rsid w:val="000B353B"/>
    <w:rsid w:val="000B35EA"/>
    <w:rsid w:val="000B38BC"/>
    <w:rsid w:val="000B3C60"/>
    <w:rsid w:val="000B3D2A"/>
    <w:rsid w:val="000B3ED1"/>
    <w:rsid w:val="000B45F3"/>
    <w:rsid w:val="000B49BD"/>
    <w:rsid w:val="000B4A12"/>
    <w:rsid w:val="000B4A6B"/>
    <w:rsid w:val="000B4D18"/>
    <w:rsid w:val="000B4DB1"/>
    <w:rsid w:val="000B5193"/>
    <w:rsid w:val="000B52B8"/>
    <w:rsid w:val="000B530E"/>
    <w:rsid w:val="000B5571"/>
    <w:rsid w:val="000B587C"/>
    <w:rsid w:val="000B5C4D"/>
    <w:rsid w:val="000B5D10"/>
    <w:rsid w:val="000B5F0F"/>
    <w:rsid w:val="000B62B4"/>
    <w:rsid w:val="000B63D6"/>
    <w:rsid w:val="000B673E"/>
    <w:rsid w:val="000B69A2"/>
    <w:rsid w:val="000B69AA"/>
    <w:rsid w:val="000B69D9"/>
    <w:rsid w:val="000B6AE4"/>
    <w:rsid w:val="000B6B6A"/>
    <w:rsid w:val="000B6D0E"/>
    <w:rsid w:val="000B70E8"/>
    <w:rsid w:val="000B7390"/>
    <w:rsid w:val="000B766A"/>
    <w:rsid w:val="000B7781"/>
    <w:rsid w:val="000B7F2D"/>
    <w:rsid w:val="000C00F4"/>
    <w:rsid w:val="000C0113"/>
    <w:rsid w:val="000C013D"/>
    <w:rsid w:val="000C024A"/>
    <w:rsid w:val="000C03FD"/>
    <w:rsid w:val="000C04A4"/>
    <w:rsid w:val="000C0915"/>
    <w:rsid w:val="000C0929"/>
    <w:rsid w:val="000C09FE"/>
    <w:rsid w:val="000C0BB0"/>
    <w:rsid w:val="000C0DD2"/>
    <w:rsid w:val="000C0EA0"/>
    <w:rsid w:val="000C122A"/>
    <w:rsid w:val="000C1336"/>
    <w:rsid w:val="000C14BB"/>
    <w:rsid w:val="000C14BC"/>
    <w:rsid w:val="000C157C"/>
    <w:rsid w:val="000C15FA"/>
    <w:rsid w:val="000C1D48"/>
    <w:rsid w:val="000C1DC9"/>
    <w:rsid w:val="000C1F01"/>
    <w:rsid w:val="000C2059"/>
    <w:rsid w:val="000C2071"/>
    <w:rsid w:val="000C2293"/>
    <w:rsid w:val="000C2305"/>
    <w:rsid w:val="000C2362"/>
    <w:rsid w:val="000C2651"/>
    <w:rsid w:val="000C2CA4"/>
    <w:rsid w:val="000C2EC5"/>
    <w:rsid w:val="000C2FA5"/>
    <w:rsid w:val="000C302E"/>
    <w:rsid w:val="000C313A"/>
    <w:rsid w:val="000C327F"/>
    <w:rsid w:val="000C3560"/>
    <w:rsid w:val="000C3611"/>
    <w:rsid w:val="000C39FB"/>
    <w:rsid w:val="000C3B5C"/>
    <w:rsid w:val="000C3C08"/>
    <w:rsid w:val="000C3CC3"/>
    <w:rsid w:val="000C3E2D"/>
    <w:rsid w:val="000C3E5E"/>
    <w:rsid w:val="000C435F"/>
    <w:rsid w:val="000C46F5"/>
    <w:rsid w:val="000C4AEB"/>
    <w:rsid w:val="000C4CF6"/>
    <w:rsid w:val="000C4F0C"/>
    <w:rsid w:val="000C5306"/>
    <w:rsid w:val="000C53A2"/>
    <w:rsid w:val="000C53E6"/>
    <w:rsid w:val="000C5552"/>
    <w:rsid w:val="000C56F0"/>
    <w:rsid w:val="000C5972"/>
    <w:rsid w:val="000C5B56"/>
    <w:rsid w:val="000C5C73"/>
    <w:rsid w:val="000C5CF7"/>
    <w:rsid w:val="000C5F78"/>
    <w:rsid w:val="000C600D"/>
    <w:rsid w:val="000C6226"/>
    <w:rsid w:val="000C6313"/>
    <w:rsid w:val="000C63F7"/>
    <w:rsid w:val="000C644E"/>
    <w:rsid w:val="000C65D9"/>
    <w:rsid w:val="000C668E"/>
    <w:rsid w:val="000C6D9D"/>
    <w:rsid w:val="000C6F7A"/>
    <w:rsid w:val="000C6FBB"/>
    <w:rsid w:val="000C70A8"/>
    <w:rsid w:val="000C7210"/>
    <w:rsid w:val="000C7595"/>
    <w:rsid w:val="000C7720"/>
    <w:rsid w:val="000C7751"/>
    <w:rsid w:val="000C777D"/>
    <w:rsid w:val="000C7E54"/>
    <w:rsid w:val="000D0057"/>
    <w:rsid w:val="000D0129"/>
    <w:rsid w:val="000D0662"/>
    <w:rsid w:val="000D07CB"/>
    <w:rsid w:val="000D0BA7"/>
    <w:rsid w:val="000D0DE8"/>
    <w:rsid w:val="000D0E6B"/>
    <w:rsid w:val="000D17FE"/>
    <w:rsid w:val="000D1978"/>
    <w:rsid w:val="000D198E"/>
    <w:rsid w:val="000D1A43"/>
    <w:rsid w:val="000D1D12"/>
    <w:rsid w:val="000D226D"/>
    <w:rsid w:val="000D2683"/>
    <w:rsid w:val="000D2853"/>
    <w:rsid w:val="000D29AF"/>
    <w:rsid w:val="000D2AEF"/>
    <w:rsid w:val="000D2DD8"/>
    <w:rsid w:val="000D2F31"/>
    <w:rsid w:val="000D313A"/>
    <w:rsid w:val="000D329E"/>
    <w:rsid w:val="000D3B84"/>
    <w:rsid w:val="000D3EDD"/>
    <w:rsid w:val="000D4066"/>
    <w:rsid w:val="000D41B1"/>
    <w:rsid w:val="000D41C9"/>
    <w:rsid w:val="000D42EF"/>
    <w:rsid w:val="000D449E"/>
    <w:rsid w:val="000D4520"/>
    <w:rsid w:val="000D4832"/>
    <w:rsid w:val="000D4984"/>
    <w:rsid w:val="000D4A19"/>
    <w:rsid w:val="000D4BB7"/>
    <w:rsid w:val="000D4FBA"/>
    <w:rsid w:val="000D577B"/>
    <w:rsid w:val="000D5B84"/>
    <w:rsid w:val="000D6239"/>
    <w:rsid w:val="000D634E"/>
    <w:rsid w:val="000D63A3"/>
    <w:rsid w:val="000D64FA"/>
    <w:rsid w:val="000D657E"/>
    <w:rsid w:val="000D694D"/>
    <w:rsid w:val="000D6AD4"/>
    <w:rsid w:val="000D6C67"/>
    <w:rsid w:val="000D7813"/>
    <w:rsid w:val="000D79BC"/>
    <w:rsid w:val="000D7A4D"/>
    <w:rsid w:val="000D7B13"/>
    <w:rsid w:val="000D7EE5"/>
    <w:rsid w:val="000E0128"/>
    <w:rsid w:val="000E01BD"/>
    <w:rsid w:val="000E0203"/>
    <w:rsid w:val="000E0280"/>
    <w:rsid w:val="000E048C"/>
    <w:rsid w:val="000E060F"/>
    <w:rsid w:val="000E07D5"/>
    <w:rsid w:val="000E09FE"/>
    <w:rsid w:val="000E0ACA"/>
    <w:rsid w:val="000E0C3C"/>
    <w:rsid w:val="000E0D2D"/>
    <w:rsid w:val="000E10EB"/>
    <w:rsid w:val="000E132E"/>
    <w:rsid w:val="000E134E"/>
    <w:rsid w:val="000E140C"/>
    <w:rsid w:val="000E143E"/>
    <w:rsid w:val="000E17BC"/>
    <w:rsid w:val="000E1965"/>
    <w:rsid w:val="000E1967"/>
    <w:rsid w:val="000E1972"/>
    <w:rsid w:val="000E1B28"/>
    <w:rsid w:val="000E1BA7"/>
    <w:rsid w:val="000E1E84"/>
    <w:rsid w:val="000E1FE4"/>
    <w:rsid w:val="000E20E3"/>
    <w:rsid w:val="000E2158"/>
    <w:rsid w:val="000E223F"/>
    <w:rsid w:val="000E2356"/>
    <w:rsid w:val="000E2383"/>
    <w:rsid w:val="000E2724"/>
    <w:rsid w:val="000E2951"/>
    <w:rsid w:val="000E2A66"/>
    <w:rsid w:val="000E2D44"/>
    <w:rsid w:val="000E3285"/>
    <w:rsid w:val="000E3506"/>
    <w:rsid w:val="000E3606"/>
    <w:rsid w:val="000E36A6"/>
    <w:rsid w:val="000E3D7D"/>
    <w:rsid w:val="000E4099"/>
    <w:rsid w:val="000E4112"/>
    <w:rsid w:val="000E419E"/>
    <w:rsid w:val="000E41C6"/>
    <w:rsid w:val="000E4290"/>
    <w:rsid w:val="000E459E"/>
    <w:rsid w:val="000E466E"/>
    <w:rsid w:val="000E4CB0"/>
    <w:rsid w:val="000E4E77"/>
    <w:rsid w:val="000E4EC1"/>
    <w:rsid w:val="000E52AE"/>
    <w:rsid w:val="000E5819"/>
    <w:rsid w:val="000E5B18"/>
    <w:rsid w:val="000E5B83"/>
    <w:rsid w:val="000E5C78"/>
    <w:rsid w:val="000E6439"/>
    <w:rsid w:val="000E656A"/>
    <w:rsid w:val="000E66D1"/>
    <w:rsid w:val="000E66EF"/>
    <w:rsid w:val="000E66FD"/>
    <w:rsid w:val="000E6745"/>
    <w:rsid w:val="000E6883"/>
    <w:rsid w:val="000E696C"/>
    <w:rsid w:val="000E6AFC"/>
    <w:rsid w:val="000E6BED"/>
    <w:rsid w:val="000E6C8B"/>
    <w:rsid w:val="000E7055"/>
    <w:rsid w:val="000E713B"/>
    <w:rsid w:val="000E720F"/>
    <w:rsid w:val="000E73FD"/>
    <w:rsid w:val="000E7418"/>
    <w:rsid w:val="000E7495"/>
    <w:rsid w:val="000E7660"/>
    <w:rsid w:val="000E7810"/>
    <w:rsid w:val="000E7853"/>
    <w:rsid w:val="000E7948"/>
    <w:rsid w:val="000E7A8D"/>
    <w:rsid w:val="000E7DA0"/>
    <w:rsid w:val="000E7DB6"/>
    <w:rsid w:val="000F026E"/>
    <w:rsid w:val="000F0602"/>
    <w:rsid w:val="000F067E"/>
    <w:rsid w:val="000F07AC"/>
    <w:rsid w:val="000F0CB4"/>
    <w:rsid w:val="000F0D01"/>
    <w:rsid w:val="000F0F8B"/>
    <w:rsid w:val="000F0FE7"/>
    <w:rsid w:val="000F172A"/>
    <w:rsid w:val="000F1A6D"/>
    <w:rsid w:val="000F1D3F"/>
    <w:rsid w:val="000F1D42"/>
    <w:rsid w:val="000F1E19"/>
    <w:rsid w:val="000F2176"/>
    <w:rsid w:val="000F2288"/>
    <w:rsid w:val="000F26BE"/>
    <w:rsid w:val="000F26FE"/>
    <w:rsid w:val="000F278B"/>
    <w:rsid w:val="000F2915"/>
    <w:rsid w:val="000F2CCB"/>
    <w:rsid w:val="000F2CE0"/>
    <w:rsid w:val="000F2CF0"/>
    <w:rsid w:val="000F2E69"/>
    <w:rsid w:val="000F2EA2"/>
    <w:rsid w:val="000F339D"/>
    <w:rsid w:val="000F370E"/>
    <w:rsid w:val="000F3BA8"/>
    <w:rsid w:val="000F3C7C"/>
    <w:rsid w:val="000F3E17"/>
    <w:rsid w:val="000F3F54"/>
    <w:rsid w:val="000F4122"/>
    <w:rsid w:val="000F43F5"/>
    <w:rsid w:val="000F45EF"/>
    <w:rsid w:val="000F4C76"/>
    <w:rsid w:val="000F4F8A"/>
    <w:rsid w:val="000F50E2"/>
    <w:rsid w:val="000F524F"/>
    <w:rsid w:val="000F5353"/>
    <w:rsid w:val="000F555F"/>
    <w:rsid w:val="000F5594"/>
    <w:rsid w:val="000F55FA"/>
    <w:rsid w:val="000F566E"/>
    <w:rsid w:val="000F5903"/>
    <w:rsid w:val="000F5A3A"/>
    <w:rsid w:val="000F5C33"/>
    <w:rsid w:val="000F5D12"/>
    <w:rsid w:val="000F5D9F"/>
    <w:rsid w:val="000F5F63"/>
    <w:rsid w:val="000F6207"/>
    <w:rsid w:val="000F63B2"/>
    <w:rsid w:val="000F6487"/>
    <w:rsid w:val="000F65C5"/>
    <w:rsid w:val="000F668D"/>
    <w:rsid w:val="000F6905"/>
    <w:rsid w:val="000F6B11"/>
    <w:rsid w:val="000F6C7B"/>
    <w:rsid w:val="000F6FEF"/>
    <w:rsid w:val="000F701F"/>
    <w:rsid w:val="000F72AF"/>
    <w:rsid w:val="000F72C4"/>
    <w:rsid w:val="000F75EC"/>
    <w:rsid w:val="000F768E"/>
    <w:rsid w:val="000F77E4"/>
    <w:rsid w:val="000F77F7"/>
    <w:rsid w:val="000F7C68"/>
    <w:rsid w:val="000F7D23"/>
    <w:rsid w:val="000F7F84"/>
    <w:rsid w:val="00100259"/>
    <w:rsid w:val="001002CF"/>
    <w:rsid w:val="00100311"/>
    <w:rsid w:val="00100A01"/>
    <w:rsid w:val="00100E2F"/>
    <w:rsid w:val="00101013"/>
    <w:rsid w:val="00101846"/>
    <w:rsid w:val="001018C2"/>
    <w:rsid w:val="00101C78"/>
    <w:rsid w:val="00101CF8"/>
    <w:rsid w:val="00101DF5"/>
    <w:rsid w:val="00101EAC"/>
    <w:rsid w:val="00102505"/>
    <w:rsid w:val="001026F5"/>
    <w:rsid w:val="00102831"/>
    <w:rsid w:val="00102996"/>
    <w:rsid w:val="00102BC8"/>
    <w:rsid w:val="00102CDB"/>
    <w:rsid w:val="00102F92"/>
    <w:rsid w:val="00103245"/>
    <w:rsid w:val="0010326C"/>
    <w:rsid w:val="001033DF"/>
    <w:rsid w:val="00103604"/>
    <w:rsid w:val="0010370A"/>
    <w:rsid w:val="00103841"/>
    <w:rsid w:val="0010397D"/>
    <w:rsid w:val="00103A59"/>
    <w:rsid w:val="00103ABD"/>
    <w:rsid w:val="00103E87"/>
    <w:rsid w:val="00103F6B"/>
    <w:rsid w:val="00103FBB"/>
    <w:rsid w:val="001040CA"/>
    <w:rsid w:val="001040E3"/>
    <w:rsid w:val="001048B9"/>
    <w:rsid w:val="001048D3"/>
    <w:rsid w:val="00104FE4"/>
    <w:rsid w:val="00105085"/>
    <w:rsid w:val="00105310"/>
    <w:rsid w:val="001055C4"/>
    <w:rsid w:val="00105800"/>
    <w:rsid w:val="00105A5B"/>
    <w:rsid w:val="00105B1D"/>
    <w:rsid w:val="00105EE3"/>
    <w:rsid w:val="001061E8"/>
    <w:rsid w:val="001061F4"/>
    <w:rsid w:val="00106322"/>
    <w:rsid w:val="001065F5"/>
    <w:rsid w:val="0010663A"/>
    <w:rsid w:val="001066C2"/>
    <w:rsid w:val="001069EA"/>
    <w:rsid w:val="00106D31"/>
    <w:rsid w:val="00106DA2"/>
    <w:rsid w:val="00106E24"/>
    <w:rsid w:val="0010722C"/>
    <w:rsid w:val="001073B1"/>
    <w:rsid w:val="001074F4"/>
    <w:rsid w:val="0010759E"/>
    <w:rsid w:val="0010789F"/>
    <w:rsid w:val="001078C1"/>
    <w:rsid w:val="001079EE"/>
    <w:rsid w:val="00107C3D"/>
    <w:rsid w:val="00107EBE"/>
    <w:rsid w:val="001102C1"/>
    <w:rsid w:val="00110640"/>
    <w:rsid w:val="001109CB"/>
    <w:rsid w:val="00110C65"/>
    <w:rsid w:val="00110E79"/>
    <w:rsid w:val="001112A0"/>
    <w:rsid w:val="00111C44"/>
    <w:rsid w:val="00111F33"/>
    <w:rsid w:val="00112229"/>
    <w:rsid w:val="0011242E"/>
    <w:rsid w:val="0011289F"/>
    <w:rsid w:val="00112C08"/>
    <w:rsid w:val="00112D4F"/>
    <w:rsid w:val="00113149"/>
    <w:rsid w:val="0011317B"/>
    <w:rsid w:val="0011336C"/>
    <w:rsid w:val="0011352D"/>
    <w:rsid w:val="00113556"/>
    <w:rsid w:val="0011363F"/>
    <w:rsid w:val="00113776"/>
    <w:rsid w:val="00113876"/>
    <w:rsid w:val="00113BEC"/>
    <w:rsid w:val="00113BFA"/>
    <w:rsid w:val="00113CB1"/>
    <w:rsid w:val="00113F96"/>
    <w:rsid w:val="00114194"/>
    <w:rsid w:val="001143B3"/>
    <w:rsid w:val="0011457F"/>
    <w:rsid w:val="00114719"/>
    <w:rsid w:val="00114ABD"/>
    <w:rsid w:val="0011502C"/>
    <w:rsid w:val="00115136"/>
    <w:rsid w:val="001151F0"/>
    <w:rsid w:val="0011530B"/>
    <w:rsid w:val="001155E6"/>
    <w:rsid w:val="0011560D"/>
    <w:rsid w:val="001156DF"/>
    <w:rsid w:val="001157CF"/>
    <w:rsid w:val="0011584F"/>
    <w:rsid w:val="001158C9"/>
    <w:rsid w:val="00115B30"/>
    <w:rsid w:val="00115BFD"/>
    <w:rsid w:val="00115CBE"/>
    <w:rsid w:val="00115D4B"/>
    <w:rsid w:val="00115E7B"/>
    <w:rsid w:val="00115F0A"/>
    <w:rsid w:val="00115F33"/>
    <w:rsid w:val="00115FF1"/>
    <w:rsid w:val="001160C4"/>
    <w:rsid w:val="00116429"/>
    <w:rsid w:val="0011665C"/>
    <w:rsid w:val="001166DB"/>
    <w:rsid w:val="0011679A"/>
    <w:rsid w:val="001169DE"/>
    <w:rsid w:val="00116BD7"/>
    <w:rsid w:val="00116CB0"/>
    <w:rsid w:val="00116DF5"/>
    <w:rsid w:val="00116E75"/>
    <w:rsid w:val="001171B6"/>
    <w:rsid w:val="001171F9"/>
    <w:rsid w:val="001172C7"/>
    <w:rsid w:val="0011749B"/>
    <w:rsid w:val="00117660"/>
    <w:rsid w:val="00117863"/>
    <w:rsid w:val="00117868"/>
    <w:rsid w:val="00117A8A"/>
    <w:rsid w:val="00117B49"/>
    <w:rsid w:val="00117F31"/>
    <w:rsid w:val="00120100"/>
    <w:rsid w:val="001201BB"/>
    <w:rsid w:val="0012047C"/>
    <w:rsid w:val="001204D5"/>
    <w:rsid w:val="00120777"/>
    <w:rsid w:val="00120ABF"/>
    <w:rsid w:val="00120B45"/>
    <w:rsid w:val="00120B55"/>
    <w:rsid w:val="00120B9A"/>
    <w:rsid w:val="00120BED"/>
    <w:rsid w:val="00120C95"/>
    <w:rsid w:val="00120EDE"/>
    <w:rsid w:val="0012118B"/>
    <w:rsid w:val="001212AE"/>
    <w:rsid w:val="00121414"/>
    <w:rsid w:val="001218F8"/>
    <w:rsid w:val="0012200B"/>
    <w:rsid w:val="00122209"/>
    <w:rsid w:val="0012248E"/>
    <w:rsid w:val="001225FC"/>
    <w:rsid w:val="001226A4"/>
    <w:rsid w:val="001231D5"/>
    <w:rsid w:val="00123274"/>
    <w:rsid w:val="001233AC"/>
    <w:rsid w:val="001238EF"/>
    <w:rsid w:val="00123DB1"/>
    <w:rsid w:val="00123DB8"/>
    <w:rsid w:val="00123F32"/>
    <w:rsid w:val="001240A4"/>
    <w:rsid w:val="0012412F"/>
    <w:rsid w:val="00124407"/>
    <w:rsid w:val="0012460F"/>
    <w:rsid w:val="0012476C"/>
    <w:rsid w:val="00124829"/>
    <w:rsid w:val="0012487D"/>
    <w:rsid w:val="001248E1"/>
    <w:rsid w:val="00124E4A"/>
    <w:rsid w:val="00125285"/>
    <w:rsid w:val="001252D3"/>
    <w:rsid w:val="0012563A"/>
    <w:rsid w:val="0012572A"/>
    <w:rsid w:val="00125AE8"/>
    <w:rsid w:val="00125CD6"/>
    <w:rsid w:val="00125D8A"/>
    <w:rsid w:val="00125DDA"/>
    <w:rsid w:val="00125E67"/>
    <w:rsid w:val="00125FD6"/>
    <w:rsid w:val="00126075"/>
    <w:rsid w:val="00126098"/>
    <w:rsid w:val="00126126"/>
    <w:rsid w:val="00126224"/>
    <w:rsid w:val="001262D9"/>
    <w:rsid w:val="0012646D"/>
    <w:rsid w:val="00126494"/>
    <w:rsid w:val="0012670C"/>
    <w:rsid w:val="00126978"/>
    <w:rsid w:val="0012716A"/>
    <w:rsid w:val="001271D1"/>
    <w:rsid w:val="00127359"/>
    <w:rsid w:val="001275CC"/>
    <w:rsid w:val="0012768A"/>
    <w:rsid w:val="00127705"/>
    <w:rsid w:val="00127AD8"/>
    <w:rsid w:val="00127CEC"/>
    <w:rsid w:val="00127F1F"/>
    <w:rsid w:val="00130680"/>
    <w:rsid w:val="00130C84"/>
    <w:rsid w:val="00130CFF"/>
    <w:rsid w:val="00130E39"/>
    <w:rsid w:val="00130FA3"/>
    <w:rsid w:val="001313AA"/>
    <w:rsid w:val="001313FD"/>
    <w:rsid w:val="00131683"/>
    <w:rsid w:val="00131AD0"/>
    <w:rsid w:val="00131CD6"/>
    <w:rsid w:val="00131EE3"/>
    <w:rsid w:val="001321B1"/>
    <w:rsid w:val="001329D1"/>
    <w:rsid w:val="00132F5A"/>
    <w:rsid w:val="00133105"/>
    <w:rsid w:val="00133381"/>
    <w:rsid w:val="00133484"/>
    <w:rsid w:val="0013370A"/>
    <w:rsid w:val="00133749"/>
    <w:rsid w:val="0013376E"/>
    <w:rsid w:val="00133899"/>
    <w:rsid w:val="0013394A"/>
    <w:rsid w:val="00133D90"/>
    <w:rsid w:val="00133EA7"/>
    <w:rsid w:val="00134026"/>
    <w:rsid w:val="001344A9"/>
    <w:rsid w:val="001345ED"/>
    <w:rsid w:val="00134C4B"/>
    <w:rsid w:val="00134D23"/>
    <w:rsid w:val="00134D7E"/>
    <w:rsid w:val="00134E52"/>
    <w:rsid w:val="00135014"/>
    <w:rsid w:val="00135246"/>
    <w:rsid w:val="00135645"/>
    <w:rsid w:val="00135C93"/>
    <w:rsid w:val="00135F0D"/>
    <w:rsid w:val="00135F26"/>
    <w:rsid w:val="0013601C"/>
    <w:rsid w:val="00136B77"/>
    <w:rsid w:val="00136C83"/>
    <w:rsid w:val="00136E78"/>
    <w:rsid w:val="0013711C"/>
    <w:rsid w:val="001375DC"/>
    <w:rsid w:val="00137704"/>
    <w:rsid w:val="00137905"/>
    <w:rsid w:val="0013799D"/>
    <w:rsid w:val="00137ED6"/>
    <w:rsid w:val="0014018E"/>
    <w:rsid w:val="0014039C"/>
    <w:rsid w:val="00140988"/>
    <w:rsid w:val="00140C8C"/>
    <w:rsid w:val="00140F12"/>
    <w:rsid w:val="00141353"/>
    <w:rsid w:val="0014140A"/>
    <w:rsid w:val="00141418"/>
    <w:rsid w:val="001415BA"/>
    <w:rsid w:val="00141639"/>
    <w:rsid w:val="001418AA"/>
    <w:rsid w:val="0014195C"/>
    <w:rsid w:val="00141CA7"/>
    <w:rsid w:val="00141FD4"/>
    <w:rsid w:val="00142011"/>
    <w:rsid w:val="0014205E"/>
    <w:rsid w:val="00142231"/>
    <w:rsid w:val="00142627"/>
    <w:rsid w:val="001426B6"/>
    <w:rsid w:val="001429F5"/>
    <w:rsid w:val="00142A7E"/>
    <w:rsid w:val="00142BC0"/>
    <w:rsid w:val="00142C5B"/>
    <w:rsid w:val="00142CBE"/>
    <w:rsid w:val="00142E88"/>
    <w:rsid w:val="00142EF3"/>
    <w:rsid w:val="001432ED"/>
    <w:rsid w:val="00143377"/>
    <w:rsid w:val="00143696"/>
    <w:rsid w:val="001438EA"/>
    <w:rsid w:val="0014391C"/>
    <w:rsid w:val="001439AD"/>
    <w:rsid w:val="00143B0D"/>
    <w:rsid w:val="00143C0C"/>
    <w:rsid w:val="00143E0E"/>
    <w:rsid w:val="00144354"/>
    <w:rsid w:val="00144369"/>
    <w:rsid w:val="001443F4"/>
    <w:rsid w:val="00144865"/>
    <w:rsid w:val="00144A40"/>
    <w:rsid w:val="00144AE1"/>
    <w:rsid w:val="00144B25"/>
    <w:rsid w:val="00144BE6"/>
    <w:rsid w:val="00144FBB"/>
    <w:rsid w:val="00145022"/>
    <w:rsid w:val="0014591B"/>
    <w:rsid w:val="00145A0D"/>
    <w:rsid w:val="00145A43"/>
    <w:rsid w:val="00145CD8"/>
    <w:rsid w:val="001463C3"/>
    <w:rsid w:val="00146468"/>
    <w:rsid w:val="001467AB"/>
    <w:rsid w:val="001468E4"/>
    <w:rsid w:val="00146909"/>
    <w:rsid w:val="001469C2"/>
    <w:rsid w:val="00147061"/>
    <w:rsid w:val="0014735F"/>
    <w:rsid w:val="001474D3"/>
    <w:rsid w:val="001475F4"/>
    <w:rsid w:val="001476CB"/>
    <w:rsid w:val="00147881"/>
    <w:rsid w:val="001478EA"/>
    <w:rsid w:val="00147964"/>
    <w:rsid w:val="00147D99"/>
    <w:rsid w:val="0015059D"/>
    <w:rsid w:val="001507EB"/>
    <w:rsid w:val="001508FB"/>
    <w:rsid w:val="00150B01"/>
    <w:rsid w:val="00150E36"/>
    <w:rsid w:val="00150F5F"/>
    <w:rsid w:val="00150FA3"/>
    <w:rsid w:val="001510B0"/>
    <w:rsid w:val="001514E7"/>
    <w:rsid w:val="0015185D"/>
    <w:rsid w:val="00151901"/>
    <w:rsid w:val="00151A79"/>
    <w:rsid w:val="00151B41"/>
    <w:rsid w:val="00151B64"/>
    <w:rsid w:val="00151D34"/>
    <w:rsid w:val="00151E6B"/>
    <w:rsid w:val="00151F03"/>
    <w:rsid w:val="00152191"/>
    <w:rsid w:val="0015275A"/>
    <w:rsid w:val="0015279D"/>
    <w:rsid w:val="00152E8F"/>
    <w:rsid w:val="00153066"/>
    <w:rsid w:val="001531DB"/>
    <w:rsid w:val="001534FB"/>
    <w:rsid w:val="001539C9"/>
    <w:rsid w:val="00154796"/>
    <w:rsid w:val="0015487C"/>
    <w:rsid w:val="00154C8D"/>
    <w:rsid w:val="00154D33"/>
    <w:rsid w:val="0015506B"/>
    <w:rsid w:val="0015507A"/>
    <w:rsid w:val="001553BC"/>
    <w:rsid w:val="001557B0"/>
    <w:rsid w:val="00155AED"/>
    <w:rsid w:val="00155BE3"/>
    <w:rsid w:val="00155FF2"/>
    <w:rsid w:val="00156019"/>
    <w:rsid w:val="00156105"/>
    <w:rsid w:val="001563FF"/>
    <w:rsid w:val="001566DF"/>
    <w:rsid w:val="00156739"/>
    <w:rsid w:val="00156749"/>
    <w:rsid w:val="00156760"/>
    <w:rsid w:val="0015698F"/>
    <w:rsid w:val="00156BEC"/>
    <w:rsid w:val="00156D65"/>
    <w:rsid w:val="00156F5A"/>
    <w:rsid w:val="00157066"/>
    <w:rsid w:val="0015707F"/>
    <w:rsid w:val="00157CF9"/>
    <w:rsid w:val="00157F55"/>
    <w:rsid w:val="00157F8A"/>
    <w:rsid w:val="00160086"/>
    <w:rsid w:val="00160581"/>
    <w:rsid w:val="001605AC"/>
    <w:rsid w:val="00160646"/>
    <w:rsid w:val="00160899"/>
    <w:rsid w:val="00160948"/>
    <w:rsid w:val="00160980"/>
    <w:rsid w:val="00160BF3"/>
    <w:rsid w:val="00160D76"/>
    <w:rsid w:val="00160E13"/>
    <w:rsid w:val="00160FA7"/>
    <w:rsid w:val="001610C2"/>
    <w:rsid w:val="001612D8"/>
    <w:rsid w:val="00161DBE"/>
    <w:rsid w:val="00161EB7"/>
    <w:rsid w:val="00161EEE"/>
    <w:rsid w:val="00161FC1"/>
    <w:rsid w:val="00162584"/>
    <w:rsid w:val="00162C62"/>
    <w:rsid w:val="00162D7B"/>
    <w:rsid w:val="00162EA8"/>
    <w:rsid w:val="001631A1"/>
    <w:rsid w:val="001632DF"/>
    <w:rsid w:val="00163385"/>
    <w:rsid w:val="001636EF"/>
    <w:rsid w:val="0016393E"/>
    <w:rsid w:val="00163959"/>
    <w:rsid w:val="00163B0D"/>
    <w:rsid w:val="00163E44"/>
    <w:rsid w:val="001640FB"/>
    <w:rsid w:val="001646AC"/>
    <w:rsid w:val="001647C9"/>
    <w:rsid w:val="001647E5"/>
    <w:rsid w:val="00164CBE"/>
    <w:rsid w:val="001653A3"/>
    <w:rsid w:val="001654E5"/>
    <w:rsid w:val="001654EF"/>
    <w:rsid w:val="0016557A"/>
    <w:rsid w:val="001655D5"/>
    <w:rsid w:val="00165766"/>
    <w:rsid w:val="00165AA4"/>
    <w:rsid w:val="00165D29"/>
    <w:rsid w:val="00165DF2"/>
    <w:rsid w:val="001665A2"/>
    <w:rsid w:val="00166897"/>
    <w:rsid w:val="001668D3"/>
    <w:rsid w:val="001668EF"/>
    <w:rsid w:val="00166C3B"/>
    <w:rsid w:val="00166DA7"/>
    <w:rsid w:val="00166E93"/>
    <w:rsid w:val="0016707F"/>
    <w:rsid w:val="001670A3"/>
    <w:rsid w:val="001673C0"/>
    <w:rsid w:val="00167423"/>
    <w:rsid w:val="001675CF"/>
    <w:rsid w:val="00167661"/>
    <w:rsid w:val="0016772B"/>
    <w:rsid w:val="001677A7"/>
    <w:rsid w:val="0016785A"/>
    <w:rsid w:val="00167918"/>
    <w:rsid w:val="00167AE6"/>
    <w:rsid w:val="00167CDE"/>
    <w:rsid w:val="00170038"/>
    <w:rsid w:val="001701E7"/>
    <w:rsid w:val="0017028C"/>
    <w:rsid w:val="001702C3"/>
    <w:rsid w:val="00170488"/>
    <w:rsid w:val="001706E0"/>
    <w:rsid w:val="00170767"/>
    <w:rsid w:val="00170853"/>
    <w:rsid w:val="00170952"/>
    <w:rsid w:val="00170BB6"/>
    <w:rsid w:val="00170CEA"/>
    <w:rsid w:val="00170D80"/>
    <w:rsid w:val="001711C1"/>
    <w:rsid w:val="00171320"/>
    <w:rsid w:val="001717A9"/>
    <w:rsid w:val="0017189A"/>
    <w:rsid w:val="001719A1"/>
    <w:rsid w:val="00171A4C"/>
    <w:rsid w:val="00171C19"/>
    <w:rsid w:val="00171EAC"/>
    <w:rsid w:val="001721E7"/>
    <w:rsid w:val="0017221F"/>
    <w:rsid w:val="0017251B"/>
    <w:rsid w:val="00172544"/>
    <w:rsid w:val="0017279E"/>
    <w:rsid w:val="00172A58"/>
    <w:rsid w:val="00172A6A"/>
    <w:rsid w:val="00172AE4"/>
    <w:rsid w:val="00172BBF"/>
    <w:rsid w:val="00172D8B"/>
    <w:rsid w:val="00173156"/>
    <w:rsid w:val="00173724"/>
    <w:rsid w:val="001739D7"/>
    <w:rsid w:val="00173A04"/>
    <w:rsid w:val="00173A28"/>
    <w:rsid w:val="00174237"/>
    <w:rsid w:val="00174294"/>
    <w:rsid w:val="001742A1"/>
    <w:rsid w:val="0017431E"/>
    <w:rsid w:val="00174D1C"/>
    <w:rsid w:val="00174F89"/>
    <w:rsid w:val="00175110"/>
    <w:rsid w:val="00175298"/>
    <w:rsid w:val="001753EF"/>
    <w:rsid w:val="001754DE"/>
    <w:rsid w:val="00175524"/>
    <w:rsid w:val="001756A5"/>
    <w:rsid w:val="0017597F"/>
    <w:rsid w:val="00175AC7"/>
    <w:rsid w:val="00176208"/>
    <w:rsid w:val="001763C2"/>
    <w:rsid w:val="0017651E"/>
    <w:rsid w:val="0017666C"/>
    <w:rsid w:val="0017721D"/>
    <w:rsid w:val="001772A2"/>
    <w:rsid w:val="001772C0"/>
    <w:rsid w:val="001774FC"/>
    <w:rsid w:val="00177586"/>
    <w:rsid w:val="00177759"/>
    <w:rsid w:val="00177935"/>
    <w:rsid w:val="001779DB"/>
    <w:rsid w:val="00177A8E"/>
    <w:rsid w:val="00177A9E"/>
    <w:rsid w:val="00177AB9"/>
    <w:rsid w:val="00177AF1"/>
    <w:rsid w:val="00177C13"/>
    <w:rsid w:val="00177ECC"/>
    <w:rsid w:val="00177EEC"/>
    <w:rsid w:val="00177F6F"/>
    <w:rsid w:val="00180290"/>
    <w:rsid w:val="001803D9"/>
    <w:rsid w:val="001805EA"/>
    <w:rsid w:val="00180789"/>
    <w:rsid w:val="0018086F"/>
    <w:rsid w:val="00180AC2"/>
    <w:rsid w:val="001810BC"/>
    <w:rsid w:val="0018122A"/>
    <w:rsid w:val="00181541"/>
    <w:rsid w:val="00181542"/>
    <w:rsid w:val="00181607"/>
    <w:rsid w:val="00181818"/>
    <w:rsid w:val="00181C85"/>
    <w:rsid w:val="00181CB8"/>
    <w:rsid w:val="00181CF4"/>
    <w:rsid w:val="00181D10"/>
    <w:rsid w:val="00181D96"/>
    <w:rsid w:val="00182051"/>
    <w:rsid w:val="001820DC"/>
    <w:rsid w:val="0018214F"/>
    <w:rsid w:val="001821D3"/>
    <w:rsid w:val="0018233E"/>
    <w:rsid w:val="00182481"/>
    <w:rsid w:val="001824D8"/>
    <w:rsid w:val="00182DA5"/>
    <w:rsid w:val="00182EA1"/>
    <w:rsid w:val="0018357D"/>
    <w:rsid w:val="001837A4"/>
    <w:rsid w:val="00183C22"/>
    <w:rsid w:val="00183DDA"/>
    <w:rsid w:val="00183E43"/>
    <w:rsid w:val="0018415A"/>
    <w:rsid w:val="00184332"/>
    <w:rsid w:val="0018470F"/>
    <w:rsid w:val="00184829"/>
    <w:rsid w:val="00184CEB"/>
    <w:rsid w:val="00184E53"/>
    <w:rsid w:val="00184FE0"/>
    <w:rsid w:val="001850A7"/>
    <w:rsid w:val="00185224"/>
    <w:rsid w:val="00185396"/>
    <w:rsid w:val="00185687"/>
    <w:rsid w:val="00185763"/>
    <w:rsid w:val="00185860"/>
    <w:rsid w:val="001858DE"/>
    <w:rsid w:val="00185A03"/>
    <w:rsid w:val="00185B06"/>
    <w:rsid w:val="00185B6B"/>
    <w:rsid w:val="00185D99"/>
    <w:rsid w:val="00185FC3"/>
    <w:rsid w:val="001864C9"/>
    <w:rsid w:val="001865CC"/>
    <w:rsid w:val="001866C4"/>
    <w:rsid w:val="00186733"/>
    <w:rsid w:val="00186756"/>
    <w:rsid w:val="001868C6"/>
    <w:rsid w:val="00186C3E"/>
    <w:rsid w:val="00186F04"/>
    <w:rsid w:val="0018704C"/>
    <w:rsid w:val="001874E6"/>
    <w:rsid w:val="001874F9"/>
    <w:rsid w:val="0018754F"/>
    <w:rsid w:val="001876DA"/>
    <w:rsid w:val="00187B40"/>
    <w:rsid w:val="00187B51"/>
    <w:rsid w:val="00187B5B"/>
    <w:rsid w:val="00187DEF"/>
    <w:rsid w:val="0019003C"/>
    <w:rsid w:val="0019028C"/>
    <w:rsid w:val="001907F2"/>
    <w:rsid w:val="0019098B"/>
    <w:rsid w:val="001909A2"/>
    <w:rsid w:val="00190C2C"/>
    <w:rsid w:val="00190CC4"/>
    <w:rsid w:val="00190E94"/>
    <w:rsid w:val="0019108B"/>
    <w:rsid w:val="00191298"/>
    <w:rsid w:val="00191697"/>
    <w:rsid w:val="001923E2"/>
    <w:rsid w:val="00192645"/>
    <w:rsid w:val="0019264F"/>
    <w:rsid w:val="00192688"/>
    <w:rsid w:val="00192715"/>
    <w:rsid w:val="00192779"/>
    <w:rsid w:val="001927FC"/>
    <w:rsid w:val="00192A8E"/>
    <w:rsid w:val="00192D14"/>
    <w:rsid w:val="00192F41"/>
    <w:rsid w:val="0019305B"/>
    <w:rsid w:val="00193112"/>
    <w:rsid w:val="00193239"/>
    <w:rsid w:val="00193675"/>
    <w:rsid w:val="00193689"/>
    <w:rsid w:val="001937E1"/>
    <w:rsid w:val="00193882"/>
    <w:rsid w:val="00193EE1"/>
    <w:rsid w:val="00194094"/>
    <w:rsid w:val="0019415A"/>
    <w:rsid w:val="001943D5"/>
    <w:rsid w:val="001946E1"/>
    <w:rsid w:val="001948B5"/>
    <w:rsid w:val="00194930"/>
    <w:rsid w:val="00194CFA"/>
    <w:rsid w:val="0019588B"/>
    <w:rsid w:val="001959A7"/>
    <w:rsid w:val="00195EFE"/>
    <w:rsid w:val="00195F14"/>
    <w:rsid w:val="0019613F"/>
    <w:rsid w:val="00196230"/>
    <w:rsid w:val="00196256"/>
    <w:rsid w:val="00196596"/>
    <w:rsid w:val="0019662B"/>
    <w:rsid w:val="00196672"/>
    <w:rsid w:val="00196786"/>
    <w:rsid w:val="00197613"/>
    <w:rsid w:val="00197AA1"/>
    <w:rsid w:val="00197B8D"/>
    <w:rsid w:val="00197EB8"/>
    <w:rsid w:val="001A0372"/>
    <w:rsid w:val="001A038F"/>
    <w:rsid w:val="001A0459"/>
    <w:rsid w:val="001A045E"/>
    <w:rsid w:val="001A0565"/>
    <w:rsid w:val="001A0723"/>
    <w:rsid w:val="001A07D5"/>
    <w:rsid w:val="001A0DE7"/>
    <w:rsid w:val="001A11E8"/>
    <w:rsid w:val="001A12A8"/>
    <w:rsid w:val="001A14DB"/>
    <w:rsid w:val="001A1F73"/>
    <w:rsid w:val="001A2132"/>
    <w:rsid w:val="001A21E8"/>
    <w:rsid w:val="001A253D"/>
    <w:rsid w:val="001A26AA"/>
    <w:rsid w:val="001A279E"/>
    <w:rsid w:val="001A287A"/>
    <w:rsid w:val="001A28CC"/>
    <w:rsid w:val="001A2951"/>
    <w:rsid w:val="001A2F48"/>
    <w:rsid w:val="001A3138"/>
    <w:rsid w:val="001A3449"/>
    <w:rsid w:val="001A3484"/>
    <w:rsid w:val="001A3BA1"/>
    <w:rsid w:val="001A3CA8"/>
    <w:rsid w:val="001A3CEF"/>
    <w:rsid w:val="001A41F4"/>
    <w:rsid w:val="001A421B"/>
    <w:rsid w:val="001A434B"/>
    <w:rsid w:val="001A455F"/>
    <w:rsid w:val="001A46B2"/>
    <w:rsid w:val="001A47D7"/>
    <w:rsid w:val="001A4B2E"/>
    <w:rsid w:val="001A4BB6"/>
    <w:rsid w:val="001A4EDC"/>
    <w:rsid w:val="001A5095"/>
    <w:rsid w:val="001A526F"/>
    <w:rsid w:val="001A528F"/>
    <w:rsid w:val="001A5321"/>
    <w:rsid w:val="001A5356"/>
    <w:rsid w:val="001A58B5"/>
    <w:rsid w:val="001A59AF"/>
    <w:rsid w:val="001A5B78"/>
    <w:rsid w:val="001A5F36"/>
    <w:rsid w:val="001A5F88"/>
    <w:rsid w:val="001A6094"/>
    <w:rsid w:val="001A6133"/>
    <w:rsid w:val="001A61CC"/>
    <w:rsid w:val="001A664D"/>
    <w:rsid w:val="001A6B64"/>
    <w:rsid w:val="001A6DAB"/>
    <w:rsid w:val="001A7122"/>
    <w:rsid w:val="001A71F3"/>
    <w:rsid w:val="001A7201"/>
    <w:rsid w:val="001A72DF"/>
    <w:rsid w:val="001A735A"/>
    <w:rsid w:val="001A7541"/>
    <w:rsid w:val="001A759E"/>
    <w:rsid w:val="001A75D6"/>
    <w:rsid w:val="001A7795"/>
    <w:rsid w:val="001A7882"/>
    <w:rsid w:val="001A7893"/>
    <w:rsid w:val="001A7991"/>
    <w:rsid w:val="001A79A7"/>
    <w:rsid w:val="001A7B8E"/>
    <w:rsid w:val="001A7BE3"/>
    <w:rsid w:val="001A7D87"/>
    <w:rsid w:val="001B005B"/>
    <w:rsid w:val="001B0095"/>
    <w:rsid w:val="001B0431"/>
    <w:rsid w:val="001B07CD"/>
    <w:rsid w:val="001B0A70"/>
    <w:rsid w:val="001B1023"/>
    <w:rsid w:val="001B15D5"/>
    <w:rsid w:val="001B1635"/>
    <w:rsid w:val="001B1D72"/>
    <w:rsid w:val="001B1FCE"/>
    <w:rsid w:val="001B2254"/>
    <w:rsid w:val="001B2535"/>
    <w:rsid w:val="001B29B1"/>
    <w:rsid w:val="001B2A86"/>
    <w:rsid w:val="001B2B6A"/>
    <w:rsid w:val="001B2CA9"/>
    <w:rsid w:val="001B329A"/>
    <w:rsid w:val="001B3339"/>
    <w:rsid w:val="001B3483"/>
    <w:rsid w:val="001B3520"/>
    <w:rsid w:val="001B3574"/>
    <w:rsid w:val="001B3A78"/>
    <w:rsid w:val="001B3E65"/>
    <w:rsid w:val="001B3EF5"/>
    <w:rsid w:val="001B41B6"/>
    <w:rsid w:val="001B4275"/>
    <w:rsid w:val="001B42B3"/>
    <w:rsid w:val="001B4387"/>
    <w:rsid w:val="001B444A"/>
    <w:rsid w:val="001B4567"/>
    <w:rsid w:val="001B4884"/>
    <w:rsid w:val="001B488F"/>
    <w:rsid w:val="001B4960"/>
    <w:rsid w:val="001B4B70"/>
    <w:rsid w:val="001B4CC1"/>
    <w:rsid w:val="001B4D0D"/>
    <w:rsid w:val="001B4FF0"/>
    <w:rsid w:val="001B5004"/>
    <w:rsid w:val="001B5484"/>
    <w:rsid w:val="001B56E5"/>
    <w:rsid w:val="001B57CD"/>
    <w:rsid w:val="001B5CA2"/>
    <w:rsid w:val="001B5D0A"/>
    <w:rsid w:val="001B5ED4"/>
    <w:rsid w:val="001B6356"/>
    <w:rsid w:val="001B6591"/>
    <w:rsid w:val="001B665B"/>
    <w:rsid w:val="001B674D"/>
    <w:rsid w:val="001B6BF3"/>
    <w:rsid w:val="001B6CAA"/>
    <w:rsid w:val="001B6DF3"/>
    <w:rsid w:val="001B6F82"/>
    <w:rsid w:val="001B70B5"/>
    <w:rsid w:val="001B70E2"/>
    <w:rsid w:val="001B712A"/>
    <w:rsid w:val="001B71EE"/>
    <w:rsid w:val="001B75DA"/>
    <w:rsid w:val="001B7681"/>
    <w:rsid w:val="001B7848"/>
    <w:rsid w:val="001B7927"/>
    <w:rsid w:val="001B7954"/>
    <w:rsid w:val="001B79C6"/>
    <w:rsid w:val="001B7EE8"/>
    <w:rsid w:val="001B7F3E"/>
    <w:rsid w:val="001B7FC7"/>
    <w:rsid w:val="001C00A6"/>
    <w:rsid w:val="001C015C"/>
    <w:rsid w:val="001C07B6"/>
    <w:rsid w:val="001C0A14"/>
    <w:rsid w:val="001C0B05"/>
    <w:rsid w:val="001C0DB1"/>
    <w:rsid w:val="001C0F23"/>
    <w:rsid w:val="001C12C2"/>
    <w:rsid w:val="001C15AC"/>
    <w:rsid w:val="001C162A"/>
    <w:rsid w:val="001C2160"/>
    <w:rsid w:val="001C23D7"/>
    <w:rsid w:val="001C24A9"/>
    <w:rsid w:val="001C24C3"/>
    <w:rsid w:val="001C276F"/>
    <w:rsid w:val="001C2B02"/>
    <w:rsid w:val="001C2E1D"/>
    <w:rsid w:val="001C304E"/>
    <w:rsid w:val="001C30B9"/>
    <w:rsid w:val="001C3713"/>
    <w:rsid w:val="001C376C"/>
    <w:rsid w:val="001C37E3"/>
    <w:rsid w:val="001C384E"/>
    <w:rsid w:val="001C3958"/>
    <w:rsid w:val="001C3974"/>
    <w:rsid w:val="001C3B80"/>
    <w:rsid w:val="001C3CD6"/>
    <w:rsid w:val="001C3ECD"/>
    <w:rsid w:val="001C405E"/>
    <w:rsid w:val="001C41A7"/>
    <w:rsid w:val="001C4600"/>
    <w:rsid w:val="001C4654"/>
    <w:rsid w:val="001C4945"/>
    <w:rsid w:val="001C498E"/>
    <w:rsid w:val="001C4B30"/>
    <w:rsid w:val="001C4D6A"/>
    <w:rsid w:val="001C4DB7"/>
    <w:rsid w:val="001C4FE5"/>
    <w:rsid w:val="001C534B"/>
    <w:rsid w:val="001C56B1"/>
    <w:rsid w:val="001C56C6"/>
    <w:rsid w:val="001C575B"/>
    <w:rsid w:val="001C575F"/>
    <w:rsid w:val="001C5787"/>
    <w:rsid w:val="001C5F1C"/>
    <w:rsid w:val="001C6140"/>
    <w:rsid w:val="001C66F9"/>
    <w:rsid w:val="001C670F"/>
    <w:rsid w:val="001C6719"/>
    <w:rsid w:val="001C695D"/>
    <w:rsid w:val="001C698A"/>
    <w:rsid w:val="001C6A8A"/>
    <w:rsid w:val="001C6AA7"/>
    <w:rsid w:val="001C6AF0"/>
    <w:rsid w:val="001C6C38"/>
    <w:rsid w:val="001C6E53"/>
    <w:rsid w:val="001C6EBB"/>
    <w:rsid w:val="001C75D8"/>
    <w:rsid w:val="001C7747"/>
    <w:rsid w:val="001C7C47"/>
    <w:rsid w:val="001C7CD2"/>
    <w:rsid w:val="001D00ED"/>
    <w:rsid w:val="001D0212"/>
    <w:rsid w:val="001D03C3"/>
    <w:rsid w:val="001D0471"/>
    <w:rsid w:val="001D07B3"/>
    <w:rsid w:val="001D09A4"/>
    <w:rsid w:val="001D0D2C"/>
    <w:rsid w:val="001D1622"/>
    <w:rsid w:val="001D1917"/>
    <w:rsid w:val="001D1B6E"/>
    <w:rsid w:val="001D1E1F"/>
    <w:rsid w:val="001D1F75"/>
    <w:rsid w:val="001D21AD"/>
    <w:rsid w:val="001D2207"/>
    <w:rsid w:val="001D2621"/>
    <w:rsid w:val="001D26A8"/>
    <w:rsid w:val="001D274F"/>
    <w:rsid w:val="001D2771"/>
    <w:rsid w:val="001D27DC"/>
    <w:rsid w:val="001D2962"/>
    <w:rsid w:val="001D29F6"/>
    <w:rsid w:val="001D2C6B"/>
    <w:rsid w:val="001D2CD9"/>
    <w:rsid w:val="001D2CEA"/>
    <w:rsid w:val="001D2E54"/>
    <w:rsid w:val="001D2E9F"/>
    <w:rsid w:val="001D2EC7"/>
    <w:rsid w:val="001D3780"/>
    <w:rsid w:val="001D387A"/>
    <w:rsid w:val="001D3E76"/>
    <w:rsid w:val="001D44F5"/>
    <w:rsid w:val="001D4819"/>
    <w:rsid w:val="001D4906"/>
    <w:rsid w:val="001D49C0"/>
    <w:rsid w:val="001D4D8D"/>
    <w:rsid w:val="001D4F1E"/>
    <w:rsid w:val="001D4FFE"/>
    <w:rsid w:val="001D506A"/>
    <w:rsid w:val="001D54E5"/>
    <w:rsid w:val="001D5718"/>
    <w:rsid w:val="001D58AD"/>
    <w:rsid w:val="001D5C79"/>
    <w:rsid w:val="001D5CE0"/>
    <w:rsid w:val="001D5DD6"/>
    <w:rsid w:val="001D62F0"/>
    <w:rsid w:val="001D683D"/>
    <w:rsid w:val="001D6864"/>
    <w:rsid w:val="001D69F2"/>
    <w:rsid w:val="001D6B9F"/>
    <w:rsid w:val="001D6C00"/>
    <w:rsid w:val="001D7045"/>
    <w:rsid w:val="001D7267"/>
    <w:rsid w:val="001D73A7"/>
    <w:rsid w:val="001D7432"/>
    <w:rsid w:val="001D75D0"/>
    <w:rsid w:val="001D774F"/>
    <w:rsid w:val="001D784E"/>
    <w:rsid w:val="001D7A74"/>
    <w:rsid w:val="001D7CA7"/>
    <w:rsid w:val="001D7D97"/>
    <w:rsid w:val="001D7E60"/>
    <w:rsid w:val="001E011B"/>
    <w:rsid w:val="001E030C"/>
    <w:rsid w:val="001E0323"/>
    <w:rsid w:val="001E0A36"/>
    <w:rsid w:val="001E101C"/>
    <w:rsid w:val="001E153B"/>
    <w:rsid w:val="001E1694"/>
    <w:rsid w:val="001E179B"/>
    <w:rsid w:val="001E183B"/>
    <w:rsid w:val="001E191C"/>
    <w:rsid w:val="001E1A5C"/>
    <w:rsid w:val="001E1A88"/>
    <w:rsid w:val="001E1B03"/>
    <w:rsid w:val="001E1F5F"/>
    <w:rsid w:val="001E2291"/>
    <w:rsid w:val="001E2C31"/>
    <w:rsid w:val="001E2EA4"/>
    <w:rsid w:val="001E300D"/>
    <w:rsid w:val="001E303C"/>
    <w:rsid w:val="001E31D9"/>
    <w:rsid w:val="001E3727"/>
    <w:rsid w:val="001E3863"/>
    <w:rsid w:val="001E3E6E"/>
    <w:rsid w:val="001E41B2"/>
    <w:rsid w:val="001E42E5"/>
    <w:rsid w:val="001E431A"/>
    <w:rsid w:val="001E431C"/>
    <w:rsid w:val="001E4B8F"/>
    <w:rsid w:val="001E4D6A"/>
    <w:rsid w:val="001E4DE0"/>
    <w:rsid w:val="001E4E62"/>
    <w:rsid w:val="001E500A"/>
    <w:rsid w:val="001E501D"/>
    <w:rsid w:val="001E50C7"/>
    <w:rsid w:val="001E5472"/>
    <w:rsid w:val="001E560E"/>
    <w:rsid w:val="001E5824"/>
    <w:rsid w:val="001E5BA2"/>
    <w:rsid w:val="001E60E7"/>
    <w:rsid w:val="001E651B"/>
    <w:rsid w:val="001E65B0"/>
    <w:rsid w:val="001E6681"/>
    <w:rsid w:val="001E6776"/>
    <w:rsid w:val="001E6BA5"/>
    <w:rsid w:val="001E6C76"/>
    <w:rsid w:val="001E6C96"/>
    <w:rsid w:val="001E6CCB"/>
    <w:rsid w:val="001E6F94"/>
    <w:rsid w:val="001E717C"/>
    <w:rsid w:val="001E72D9"/>
    <w:rsid w:val="001E75C4"/>
    <w:rsid w:val="001E76BE"/>
    <w:rsid w:val="001E775F"/>
    <w:rsid w:val="001E776B"/>
    <w:rsid w:val="001E777C"/>
    <w:rsid w:val="001E779D"/>
    <w:rsid w:val="001E77A5"/>
    <w:rsid w:val="001E787D"/>
    <w:rsid w:val="001E7BAA"/>
    <w:rsid w:val="001E7DDF"/>
    <w:rsid w:val="001F02DC"/>
    <w:rsid w:val="001F03B8"/>
    <w:rsid w:val="001F04F7"/>
    <w:rsid w:val="001F050E"/>
    <w:rsid w:val="001F0C79"/>
    <w:rsid w:val="001F1202"/>
    <w:rsid w:val="001F1220"/>
    <w:rsid w:val="001F1301"/>
    <w:rsid w:val="001F1329"/>
    <w:rsid w:val="001F15C2"/>
    <w:rsid w:val="001F16B1"/>
    <w:rsid w:val="001F18CD"/>
    <w:rsid w:val="001F1E12"/>
    <w:rsid w:val="001F1F16"/>
    <w:rsid w:val="001F2208"/>
    <w:rsid w:val="001F27D0"/>
    <w:rsid w:val="001F28B0"/>
    <w:rsid w:val="001F2989"/>
    <w:rsid w:val="001F2AB6"/>
    <w:rsid w:val="001F2D0A"/>
    <w:rsid w:val="001F2DCF"/>
    <w:rsid w:val="001F2EB0"/>
    <w:rsid w:val="001F2ECE"/>
    <w:rsid w:val="001F2FA8"/>
    <w:rsid w:val="001F3053"/>
    <w:rsid w:val="001F308A"/>
    <w:rsid w:val="001F3189"/>
    <w:rsid w:val="001F3202"/>
    <w:rsid w:val="001F3340"/>
    <w:rsid w:val="001F3506"/>
    <w:rsid w:val="001F3799"/>
    <w:rsid w:val="001F387A"/>
    <w:rsid w:val="001F391F"/>
    <w:rsid w:val="001F3CC2"/>
    <w:rsid w:val="001F3CF2"/>
    <w:rsid w:val="001F3F3D"/>
    <w:rsid w:val="001F3FE5"/>
    <w:rsid w:val="001F407C"/>
    <w:rsid w:val="001F4160"/>
    <w:rsid w:val="001F41E6"/>
    <w:rsid w:val="001F4214"/>
    <w:rsid w:val="001F4346"/>
    <w:rsid w:val="001F43D1"/>
    <w:rsid w:val="001F47C1"/>
    <w:rsid w:val="001F4C29"/>
    <w:rsid w:val="001F4D2D"/>
    <w:rsid w:val="001F4D57"/>
    <w:rsid w:val="001F4DC2"/>
    <w:rsid w:val="001F4F7D"/>
    <w:rsid w:val="001F52E7"/>
    <w:rsid w:val="001F5597"/>
    <w:rsid w:val="001F55D8"/>
    <w:rsid w:val="001F55E4"/>
    <w:rsid w:val="001F565B"/>
    <w:rsid w:val="001F573D"/>
    <w:rsid w:val="001F579A"/>
    <w:rsid w:val="001F5855"/>
    <w:rsid w:val="001F5A14"/>
    <w:rsid w:val="001F5A45"/>
    <w:rsid w:val="001F5D5F"/>
    <w:rsid w:val="001F5E34"/>
    <w:rsid w:val="001F5E7D"/>
    <w:rsid w:val="001F61A0"/>
    <w:rsid w:val="001F62BB"/>
    <w:rsid w:val="001F62D4"/>
    <w:rsid w:val="001F6639"/>
    <w:rsid w:val="001F69D9"/>
    <w:rsid w:val="001F6B17"/>
    <w:rsid w:val="001F70B7"/>
    <w:rsid w:val="001F72F2"/>
    <w:rsid w:val="001F745A"/>
    <w:rsid w:val="001F7544"/>
    <w:rsid w:val="001F75F4"/>
    <w:rsid w:val="001F7768"/>
    <w:rsid w:val="001F78E6"/>
    <w:rsid w:val="001F7C16"/>
    <w:rsid w:val="001F7D18"/>
    <w:rsid w:val="001F7DED"/>
    <w:rsid w:val="001F7FCA"/>
    <w:rsid w:val="00200455"/>
    <w:rsid w:val="002009EE"/>
    <w:rsid w:val="00200C81"/>
    <w:rsid w:val="00200D8B"/>
    <w:rsid w:val="00200DA7"/>
    <w:rsid w:val="00200E68"/>
    <w:rsid w:val="00200F47"/>
    <w:rsid w:val="0020170C"/>
    <w:rsid w:val="00201864"/>
    <w:rsid w:val="00201AA3"/>
    <w:rsid w:val="00201C30"/>
    <w:rsid w:val="00201D77"/>
    <w:rsid w:val="0020232D"/>
    <w:rsid w:val="00202675"/>
    <w:rsid w:val="002027ED"/>
    <w:rsid w:val="00202D8D"/>
    <w:rsid w:val="00202D97"/>
    <w:rsid w:val="00203015"/>
    <w:rsid w:val="002032CD"/>
    <w:rsid w:val="00203363"/>
    <w:rsid w:val="00203386"/>
    <w:rsid w:val="00203807"/>
    <w:rsid w:val="00203AA8"/>
    <w:rsid w:val="00203EA2"/>
    <w:rsid w:val="00204099"/>
    <w:rsid w:val="00204136"/>
    <w:rsid w:val="002043B8"/>
    <w:rsid w:val="00204467"/>
    <w:rsid w:val="0020477C"/>
    <w:rsid w:val="002048B7"/>
    <w:rsid w:val="002051CF"/>
    <w:rsid w:val="00205252"/>
    <w:rsid w:val="00205334"/>
    <w:rsid w:val="00205342"/>
    <w:rsid w:val="002054A8"/>
    <w:rsid w:val="00205788"/>
    <w:rsid w:val="00205907"/>
    <w:rsid w:val="00205A9B"/>
    <w:rsid w:val="00205BA4"/>
    <w:rsid w:val="0020620C"/>
    <w:rsid w:val="002062E3"/>
    <w:rsid w:val="002063A8"/>
    <w:rsid w:val="0020699E"/>
    <w:rsid w:val="00206B16"/>
    <w:rsid w:val="00206C74"/>
    <w:rsid w:val="00206EA6"/>
    <w:rsid w:val="00206FA2"/>
    <w:rsid w:val="00207141"/>
    <w:rsid w:val="002075A9"/>
    <w:rsid w:val="0020771D"/>
    <w:rsid w:val="00207856"/>
    <w:rsid w:val="002079E5"/>
    <w:rsid w:val="00207F33"/>
    <w:rsid w:val="00210250"/>
    <w:rsid w:val="0021027B"/>
    <w:rsid w:val="002103B2"/>
    <w:rsid w:val="0021070E"/>
    <w:rsid w:val="002107DC"/>
    <w:rsid w:val="00210819"/>
    <w:rsid w:val="00210878"/>
    <w:rsid w:val="0021095E"/>
    <w:rsid w:val="002109AE"/>
    <w:rsid w:val="00210ABB"/>
    <w:rsid w:val="00210B00"/>
    <w:rsid w:val="00210B35"/>
    <w:rsid w:val="00210C8F"/>
    <w:rsid w:val="00210CC9"/>
    <w:rsid w:val="002110EC"/>
    <w:rsid w:val="002114B9"/>
    <w:rsid w:val="002115C1"/>
    <w:rsid w:val="0021187E"/>
    <w:rsid w:val="00211913"/>
    <w:rsid w:val="002119C6"/>
    <w:rsid w:val="00211D13"/>
    <w:rsid w:val="00211E0A"/>
    <w:rsid w:val="00211F5D"/>
    <w:rsid w:val="002123B7"/>
    <w:rsid w:val="00212827"/>
    <w:rsid w:val="00212893"/>
    <w:rsid w:val="0021296C"/>
    <w:rsid w:val="00212A69"/>
    <w:rsid w:val="00212C64"/>
    <w:rsid w:val="00212CC9"/>
    <w:rsid w:val="00212E38"/>
    <w:rsid w:val="002130D7"/>
    <w:rsid w:val="00213634"/>
    <w:rsid w:val="002137DB"/>
    <w:rsid w:val="00213882"/>
    <w:rsid w:val="00213CDB"/>
    <w:rsid w:val="0021419C"/>
    <w:rsid w:val="0021430D"/>
    <w:rsid w:val="00214311"/>
    <w:rsid w:val="0021468C"/>
    <w:rsid w:val="00214837"/>
    <w:rsid w:val="002148DF"/>
    <w:rsid w:val="00214A8C"/>
    <w:rsid w:val="00214B5A"/>
    <w:rsid w:val="00214D99"/>
    <w:rsid w:val="0021506E"/>
    <w:rsid w:val="002150C8"/>
    <w:rsid w:val="002150CB"/>
    <w:rsid w:val="002150E9"/>
    <w:rsid w:val="002151C3"/>
    <w:rsid w:val="00215971"/>
    <w:rsid w:val="00215A47"/>
    <w:rsid w:val="00215E22"/>
    <w:rsid w:val="00216045"/>
    <w:rsid w:val="00216090"/>
    <w:rsid w:val="002163BF"/>
    <w:rsid w:val="0021652F"/>
    <w:rsid w:val="002165A6"/>
    <w:rsid w:val="00216A24"/>
    <w:rsid w:val="00216A33"/>
    <w:rsid w:val="00216BED"/>
    <w:rsid w:val="00216C2B"/>
    <w:rsid w:val="00216D2A"/>
    <w:rsid w:val="00216E06"/>
    <w:rsid w:val="00216F56"/>
    <w:rsid w:val="00216F88"/>
    <w:rsid w:val="00216FC2"/>
    <w:rsid w:val="0021714D"/>
    <w:rsid w:val="00217196"/>
    <w:rsid w:val="002174B3"/>
    <w:rsid w:val="0021751E"/>
    <w:rsid w:val="00217523"/>
    <w:rsid w:val="00217616"/>
    <w:rsid w:val="00217918"/>
    <w:rsid w:val="00217DCE"/>
    <w:rsid w:val="00217DDB"/>
    <w:rsid w:val="00217E76"/>
    <w:rsid w:val="002200E5"/>
    <w:rsid w:val="002207B7"/>
    <w:rsid w:val="00220825"/>
    <w:rsid w:val="00220827"/>
    <w:rsid w:val="002209C2"/>
    <w:rsid w:val="00220CF8"/>
    <w:rsid w:val="0022101E"/>
    <w:rsid w:val="002211DB"/>
    <w:rsid w:val="00221279"/>
    <w:rsid w:val="002212BB"/>
    <w:rsid w:val="0022147C"/>
    <w:rsid w:val="00221ABA"/>
    <w:rsid w:val="00221BC5"/>
    <w:rsid w:val="00221BF0"/>
    <w:rsid w:val="00221D10"/>
    <w:rsid w:val="00221ECE"/>
    <w:rsid w:val="00221EE9"/>
    <w:rsid w:val="00221FB7"/>
    <w:rsid w:val="0022205D"/>
    <w:rsid w:val="0022232F"/>
    <w:rsid w:val="002224A1"/>
    <w:rsid w:val="00222525"/>
    <w:rsid w:val="00222AE6"/>
    <w:rsid w:val="002232A7"/>
    <w:rsid w:val="00223353"/>
    <w:rsid w:val="002233A7"/>
    <w:rsid w:val="002233E1"/>
    <w:rsid w:val="00223593"/>
    <w:rsid w:val="00223600"/>
    <w:rsid w:val="00223604"/>
    <w:rsid w:val="0022363A"/>
    <w:rsid w:val="00223C19"/>
    <w:rsid w:val="00223C27"/>
    <w:rsid w:val="002241C2"/>
    <w:rsid w:val="00224633"/>
    <w:rsid w:val="0022472D"/>
    <w:rsid w:val="00224859"/>
    <w:rsid w:val="00224BEF"/>
    <w:rsid w:val="00225171"/>
    <w:rsid w:val="002252EF"/>
    <w:rsid w:val="0022551D"/>
    <w:rsid w:val="00225737"/>
    <w:rsid w:val="0022575F"/>
    <w:rsid w:val="00225827"/>
    <w:rsid w:val="00225853"/>
    <w:rsid w:val="002258F3"/>
    <w:rsid w:val="00225DCF"/>
    <w:rsid w:val="00226041"/>
    <w:rsid w:val="0022604D"/>
    <w:rsid w:val="002261B6"/>
    <w:rsid w:val="002268E0"/>
    <w:rsid w:val="00226BD2"/>
    <w:rsid w:val="00226CCF"/>
    <w:rsid w:val="00226CD8"/>
    <w:rsid w:val="00226E48"/>
    <w:rsid w:val="00226EBC"/>
    <w:rsid w:val="00226EC6"/>
    <w:rsid w:val="0022731B"/>
    <w:rsid w:val="0022748F"/>
    <w:rsid w:val="0022766E"/>
    <w:rsid w:val="002276C8"/>
    <w:rsid w:val="00227983"/>
    <w:rsid w:val="002279EB"/>
    <w:rsid w:val="00227A33"/>
    <w:rsid w:val="00227AC6"/>
    <w:rsid w:val="00227B0A"/>
    <w:rsid w:val="00227EAB"/>
    <w:rsid w:val="002300F1"/>
    <w:rsid w:val="002301CA"/>
    <w:rsid w:val="002305F3"/>
    <w:rsid w:val="00230645"/>
    <w:rsid w:val="0023066A"/>
    <w:rsid w:val="00230899"/>
    <w:rsid w:val="00230C67"/>
    <w:rsid w:val="00230D6A"/>
    <w:rsid w:val="002312EE"/>
    <w:rsid w:val="002316EF"/>
    <w:rsid w:val="002318C1"/>
    <w:rsid w:val="002318D0"/>
    <w:rsid w:val="00231A91"/>
    <w:rsid w:val="00231BD1"/>
    <w:rsid w:val="00231F30"/>
    <w:rsid w:val="00231F9D"/>
    <w:rsid w:val="0023215D"/>
    <w:rsid w:val="0023242C"/>
    <w:rsid w:val="0023265E"/>
    <w:rsid w:val="00232733"/>
    <w:rsid w:val="00232824"/>
    <w:rsid w:val="002329BB"/>
    <w:rsid w:val="00232A8E"/>
    <w:rsid w:val="00233098"/>
    <w:rsid w:val="0023334A"/>
    <w:rsid w:val="002333D7"/>
    <w:rsid w:val="002334F8"/>
    <w:rsid w:val="002335CB"/>
    <w:rsid w:val="00233BEB"/>
    <w:rsid w:val="00233CAD"/>
    <w:rsid w:val="00233DA7"/>
    <w:rsid w:val="00233DC7"/>
    <w:rsid w:val="00233EC8"/>
    <w:rsid w:val="00233F5F"/>
    <w:rsid w:val="00234054"/>
    <w:rsid w:val="00234107"/>
    <w:rsid w:val="00234367"/>
    <w:rsid w:val="002343DC"/>
    <w:rsid w:val="00234480"/>
    <w:rsid w:val="00234749"/>
    <w:rsid w:val="00234890"/>
    <w:rsid w:val="002348C4"/>
    <w:rsid w:val="00234A3B"/>
    <w:rsid w:val="00234E6A"/>
    <w:rsid w:val="00234EA8"/>
    <w:rsid w:val="002354FC"/>
    <w:rsid w:val="00235539"/>
    <w:rsid w:val="002357AA"/>
    <w:rsid w:val="002358FC"/>
    <w:rsid w:val="002359AD"/>
    <w:rsid w:val="00235A9F"/>
    <w:rsid w:val="0023610A"/>
    <w:rsid w:val="002361D4"/>
    <w:rsid w:val="00236D58"/>
    <w:rsid w:val="00236D77"/>
    <w:rsid w:val="00236F4C"/>
    <w:rsid w:val="00237216"/>
    <w:rsid w:val="00237219"/>
    <w:rsid w:val="002373D4"/>
    <w:rsid w:val="00237520"/>
    <w:rsid w:val="0023776F"/>
    <w:rsid w:val="00237E21"/>
    <w:rsid w:val="00237E3B"/>
    <w:rsid w:val="00237EEA"/>
    <w:rsid w:val="00237F05"/>
    <w:rsid w:val="00237FC8"/>
    <w:rsid w:val="0024014E"/>
    <w:rsid w:val="0024018F"/>
    <w:rsid w:val="0024025D"/>
    <w:rsid w:val="00240485"/>
    <w:rsid w:val="002405C3"/>
    <w:rsid w:val="00240795"/>
    <w:rsid w:val="00240B78"/>
    <w:rsid w:val="00240C2E"/>
    <w:rsid w:val="00240FAE"/>
    <w:rsid w:val="00241831"/>
    <w:rsid w:val="002418DD"/>
    <w:rsid w:val="002419B0"/>
    <w:rsid w:val="00241CBE"/>
    <w:rsid w:val="00241D80"/>
    <w:rsid w:val="00242423"/>
    <w:rsid w:val="002424A7"/>
    <w:rsid w:val="002428BF"/>
    <w:rsid w:val="0024298B"/>
    <w:rsid w:val="00242CCA"/>
    <w:rsid w:val="00242D99"/>
    <w:rsid w:val="002430DD"/>
    <w:rsid w:val="0024327B"/>
    <w:rsid w:val="002433B9"/>
    <w:rsid w:val="0024357B"/>
    <w:rsid w:val="00243ABD"/>
    <w:rsid w:val="00243C45"/>
    <w:rsid w:val="00243C54"/>
    <w:rsid w:val="00243D0F"/>
    <w:rsid w:val="00243D17"/>
    <w:rsid w:val="00243DD1"/>
    <w:rsid w:val="00243E45"/>
    <w:rsid w:val="00244017"/>
    <w:rsid w:val="002440B0"/>
    <w:rsid w:val="00244310"/>
    <w:rsid w:val="00244415"/>
    <w:rsid w:val="00244479"/>
    <w:rsid w:val="00244CDC"/>
    <w:rsid w:val="0024534C"/>
    <w:rsid w:val="002459F2"/>
    <w:rsid w:val="00245A15"/>
    <w:rsid w:val="00245C70"/>
    <w:rsid w:val="00245E4B"/>
    <w:rsid w:val="002460B8"/>
    <w:rsid w:val="002460CC"/>
    <w:rsid w:val="00246192"/>
    <w:rsid w:val="00246279"/>
    <w:rsid w:val="002463F8"/>
    <w:rsid w:val="0024669B"/>
    <w:rsid w:val="00246885"/>
    <w:rsid w:val="002469E1"/>
    <w:rsid w:val="00246B56"/>
    <w:rsid w:val="00246BE8"/>
    <w:rsid w:val="00246E70"/>
    <w:rsid w:val="00246E83"/>
    <w:rsid w:val="0024722A"/>
    <w:rsid w:val="00247508"/>
    <w:rsid w:val="002476D2"/>
    <w:rsid w:val="002476F9"/>
    <w:rsid w:val="0024772C"/>
    <w:rsid w:val="00247779"/>
    <w:rsid w:val="002478A0"/>
    <w:rsid w:val="0024796A"/>
    <w:rsid w:val="00247A6D"/>
    <w:rsid w:val="00247DC5"/>
    <w:rsid w:val="00247E33"/>
    <w:rsid w:val="00250275"/>
    <w:rsid w:val="002503F9"/>
    <w:rsid w:val="002504B7"/>
    <w:rsid w:val="00250538"/>
    <w:rsid w:val="00250680"/>
    <w:rsid w:val="002507CF"/>
    <w:rsid w:val="00250CB1"/>
    <w:rsid w:val="00250CC6"/>
    <w:rsid w:val="0025121D"/>
    <w:rsid w:val="00251255"/>
    <w:rsid w:val="00251385"/>
    <w:rsid w:val="00251697"/>
    <w:rsid w:val="00251840"/>
    <w:rsid w:val="0025191F"/>
    <w:rsid w:val="00251A30"/>
    <w:rsid w:val="00251EA7"/>
    <w:rsid w:val="00251F02"/>
    <w:rsid w:val="00251F20"/>
    <w:rsid w:val="00251F83"/>
    <w:rsid w:val="002522C0"/>
    <w:rsid w:val="0025234D"/>
    <w:rsid w:val="002524F8"/>
    <w:rsid w:val="00252733"/>
    <w:rsid w:val="002528F0"/>
    <w:rsid w:val="00252AAA"/>
    <w:rsid w:val="00252AF9"/>
    <w:rsid w:val="00252BB7"/>
    <w:rsid w:val="00252C54"/>
    <w:rsid w:val="00252D66"/>
    <w:rsid w:val="002530EB"/>
    <w:rsid w:val="002531C9"/>
    <w:rsid w:val="002532F6"/>
    <w:rsid w:val="002537C9"/>
    <w:rsid w:val="00253969"/>
    <w:rsid w:val="00253990"/>
    <w:rsid w:val="00253A99"/>
    <w:rsid w:val="00253EAF"/>
    <w:rsid w:val="002543F9"/>
    <w:rsid w:val="0025453D"/>
    <w:rsid w:val="00254AD0"/>
    <w:rsid w:val="00254B66"/>
    <w:rsid w:val="0025520B"/>
    <w:rsid w:val="002554D5"/>
    <w:rsid w:val="0025577A"/>
    <w:rsid w:val="002558EA"/>
    <w:rsid w:val="00255A4F"/>
    <w:rsid w:val="00255B20"/>
    <w:rsid w:val="00255C06"/>
    <w:rsid w:val="00255D86"/>
    <w:rsid w:val="00255DDB"/>
    <w:rsid w:val="00255F4F"/>
    <w:rsid w:val="00256183"/>
    <w:rsid w:val="002563DE"/>
    <w:rsid w:val="00256952"/>
    <w:rsid w:val="00256AD4"/>
    <w:rsid w:val="00256B69"/>
    <w:rsid w:val="00256D8E"/>
    <w:rsid w:val="00256DC5"/>
    <w:rsid w:val="00256F6B"/>
    <w:rsid w:val="0025717C"/>
    <w:rsid w:val="002572A5"/>
    <w:rsid w:val="002572F3"/>
    <w:rsid w:val="002573A3"/>
    <w:rsid w:val="0025797E"/>
    <w:rsid w:val="002579C8"/>
    <w:rsid w:val="00257A4C"/>
    <w:rsid w:val="00257A6D"/>
    <w:rsid w:val="00257E1C"/>
    <w:rsid w:val="00257E9D"/>
    <w:rsid w:val="00257FB6"/>
    <w:rsid w:val="00260173"/>
    <w:rsid w:val="002601E8"/>
    <w:rsid w:val="00260414"/>
    <w:rsid w:val="00260698"/>
    <w:rsid w:val="002606D3"/>
    <w:rsid w:val="00260C36"/>
    <w:rsid w:val="00260D17"/>
    <w:rsid w:val="00260DE2"/>
    <w:rsid w:val="002610B3"/>
    <w:rsid w:val="00261138"/>
    <w:rsid w:val="0026134E"/>
    <w:rsid w:val="002614BD"/>
    <w:rsid w:val="002614EF"/>
    <w:rsid w:val="0026155E"/>
    <w:rsid w:val="00261582"/>
    <w:rsid w:val="00261599"/>
    <w:rsid w:val="00261653"/>
    <w:rsid w:val="0026168E"/>
    <w:rsid w:val="00261736"/>
    <w:rsid w:val="00261844"/>
    <w:rsid w:val="002618F5"/>
    <w:rsid w:val="002619A1"/>
    <w:rsid w:val="00261C2B"/>
    <w:rsid w:val="00261DFA"/>
    <w:rsid w:val="00262400"/>
    <w:rsid w:val="00262620"/>
    <w:rsid w:val="002628D5"/>
    <w:rsid w:val="002628F7"/>
    <w:rsid w:val="00262C69"/>
    <w:rsid w:val="00262F84"/>
    <w:rsid w:val="002630E5"/>
    <w:rsid w:val="00263127"/>
    <w:rsid w:val="0026328D"/>
    <w:rsid w:val="0026373D"/>
    <w:rsid w:val="00263A1E"/>
    <w:rsid w:val="00263B98"/>
    <w:rsid w:val="00263C61"/>
    <w:rsid w:val="00263D14"/>
    <w:rsid w:val="00263E81"/>
    <w:rsid w:val="002642DB"/>
    <w:rsid w:val="0026434A"/>
    <w:rsid w:val="00264367"/>
    <w:rsid w:val="002643BE"/>
    <w:rsid w:val="0026478E"/>
    <w:rsid w:val="00264837"/>
    <w:rsid w:val="00264AE0"/>
    <w:rsid w:val="00264C4A"/>
    <w:rsid w:val="00264D6E"/>
    <w:rsid w:val="00264F8D"/>
    <w:rsid w:val="0026507F"/>
    <w:rsid w:val="002653BD"/>
    <w:rsid w:val="002654EE"/>
    <w:rsid w:val="00265A11"/>
    <w:rsid w:val="00265A31"/>
    <w:rsid w:val="00265A33"/>
    <w:rsid w:val="00265B8D"/>
    <w:rsid w:val="00265DB8"/>
    <w:rsid w:val="00266213"/>
    <w:rsid w:val="002663AB"/>
    <w:rsid w:val="002667F3"/>
    <w:rsid w:val="00266921"/>
    <w:rsid w:val="00266A0D"/>
    <w:rsid w:val="00266B99"/>
    <w:rsid w:val="00266D97"/>
    <w:rsid w:val="00267286"/>
    <w:rsid w:val="00267304"/>
    <w:rsid w:val="00267A12"/>
    <w:rsid w:val="00270195"/>
    <w:rsid w:val="002701BE"/>
    <w:rsid w:val="002701D0"/>
    <w:rsid w:val="00270316"/>
    <w:rsid w:val="00270326"/>
    <w:rsid w:val="00270413"/>
    <w:rsid w:val="00270683"/>
    <w:rsid w:val="002707F8"/>
    <w:rsid w:val="00270B33"/>
    <w:rsid w:val="00270BC0"/>
    <w:rsid w:val="0027108D"/>
    <w:rsid w:val="002712F7"/>
    <w:rsid w:val="002714E6"/>
    <w:rsid w:val="002715E2"/>
    <w:rsid w:val="00271803"/>
    <w:rsid w:val="00271810"/>
    <w:rsid w:val="00271A80"/>
    <w:rsid w:val="00271B3A"/>
    <w:rsid w:val="002720B7"/>
    <w:rsid w:val="0027216D"/>
    <w:rsid w:val="00272530"/>
    <w:rsid w:val="002725DE"/>
    <w:rsid w:val="002726F8"/>
    <w:rsid w:val="002728E6"/>
    <w:rsid w:val="00272BB7"/>
    <w:rsid w:val="00272C8D"/>
    <w:rsid w:val="00273039"/>
    <w:rsid w:val="002730DE"/>
    <w:rsid w:val="00273143"/>
    <w:rsid w:val="00273235"/>
    <w:rsid w:val="00273439"/>
    <w:rsid w:val="00273489"/>
    <w:rsid w:val="00273570"/>
    <w:rsid w:val="00273594"/>
    <w:rsid w:val="002735BC"/>
    <w:rsid w:val="00273781"/>
    <w:rsid w:val="002737D1"/>
    <w:rsid w:val="00273B45"/>
    <w:rsid w:val="00273D4A"/>
    <w:rsid w:val="00273EC0"/>
    <w:rsid w:val="00273EC2"/>
    <w:rsid w:val="00273F26"/>
    <w:rsid w:val="00273FA1"/>
    <w:rsid w:val="00274022"/>
    <w:rsid w:val="0027422F"/>
    <w:rsid w:val="00274319"/>
    <w:rsid w:val="0027455B"/>
    <w:rsid w:val="00274B15"/>
    <w:rsid w:val="00274BE1"/>
    <w:rsid w:val="00274DE3"/>
    <w:rsid w:val="00274E42"/>
    <w:rsid w:val="00275244"/>
    <w:rsid w:val="002754DC"/>
    <w:rsid w:val="0027556E"/>
    <w:rsid w:val="002757B4"/>
    <w:rsid w:val="002758FE"/>
    <w:rsid w:val="00275B3F"/>
    <w:rsid w:val="00275DFF"/>
    <w:rsid w:val="00275EAE"/>
    <w:rsid w:val="00275F55"/>
    <w:rsid w:val="002760D9"/>
    <w:rsid w:val="00276204"/>
    <w:rsid w:val="00276468"/>
    <w:rsid w:val="0027672B"/>
    <w:rsid w:val="00276928"/>
    <w:rsid w:val="00276940"/>
    <w:rsid w:val="00276C0D"/>
    <w:rsid w:val="00276C76"/>
    <w:rsid w:val="00276DD9"/>
    <w:rsid w:val="002774E7"/>
    <w:rsid w:val="00277571"/>
    <w:rsid w:val="0027777F"/>
    <w:rsid w:val="002778FD"/>
    <w:rsid w:val="002779AD"/>
    <w:rsid w:val="00277C51"/>
    <w:rsid w:val="00277E8B"/>
    <w:rsid w:val="00280141"/>
    <w:rsid w:val="00280186"/>
    <w:rsid w:val="0028019D"/>
    <w:rsid w:val="002802A5"/>
    <w:rsid w:val="00280393"/>
    <w:rsid w:val="002807D2"/>
    <w:rsid w:val="00280E81"/>
    <w:rsid w:val="00280F55"/>
    <w:rsid w:val="00280FE5"/>
    <w:rsid w:val="00281075"/>
    <w:rsid w:val="002810B6"/>
    <w:rsid w:val="002813A9"/>
    <w:rsid w:val="0028161F"/>
    <w:rsid w:val="00281701"/>
    <w:rsid w:val="0028170B"/>
    <w:rsid w:val="002817C3"/>
    <w:rsid w:val="002818A4"/>
    <w:rsid w:val="002818C2"/>
    <w:rsid w:val="00281A99"/>
    <w:rsid w:val="00281AAB"/>
    <w:rsid w:val="00281ECA"/>
    <w:rsid w:val="00281ECE"/>
    <w:rsid w:val="0028203D"/>
    <w:rsid w:val="00282098"/>
    <w:rsid w:val="002825D1"/>
    <w:rsid w:val="0028285A"/>
    <w:rsid w:val="002829A0"/>
    <w:rsid w:val="002829A1"/>
    <w:rsid w:val="00282B18"/>
    <w:rsid w:val="00282C75"/>
    <w:rsid w:val="00282C88"/>
    <w:rsid w:val="00282F33"/>
    <w:rsid w:val="00283002"/>
    <w:rsid w:val="0028321D"/>
    <w:rsid w:val="002832B9"/>
    <w:rsid w:val="00283494"/>
    <w:rsid w:val="002834C1"/>
    <w:rsid w:val="00283502"/>
    <w:rsid w:val="0028369F"/>
    <w:rsid w:val="002836B9"/>
    <w:rsid w:val="00283841"/>
    <w:rsid w:val="00283E55"/>
    <w:rsid w:val="00284135"/>
    <w:rsid w:val="00284355"/>
    <w:rsid w:val="002843DA"/>
    <w:rsid w:val="002843E7"/>
    <w:rsid w:val="0028464C"/>
    <w:rsid w:val="00284879"/>
    <w:rsid w:val="002849BF"/>
    <w:rsid w:val="00284C99"/>
    <w:rsid w:val="00284D3A"/>
    <w:rsid w:val="002852C3"/>
    <w:rsid w:val="0028553C"/>
    <w:rsid w:val="00285AF2"/>
    <w:rsid w:val="00285BEE"/>
    <w:rsid w:val="00285C83"/>
    <w:rsid w:val="00285CFF"/>
    <w:rsid w:val="00285D34"/>
    <w:rsid w:val="00286039"/>
    <w:rsid w:val="0028603F"/>
    <w:rsid w:val="002860A6"/>
    <w:rsid w:val="002860CE"/>
    <w:rsid w:val="002860E2"/>
    <w:rsid w:val="00286371"/>
    <w:rsid w:val="002865D2"/>
    <w:rsid w:val="00286709"/>
    <w:rsid w:val="00286A2F"/>
    <w:rsid w:val="00286AE3"/>
    <w:rsid w:val="00286CE8"/>
    <w:rsid w:val="00286DC2"/>
    <w:rsid w:val="00286E0D"/>
    <w:rsid w:val="0028722A"/>
    <w:rsid w:val="0028722B"/>
    <w:rsid w:val="002873DD"/>
    <w:rsid w:val="002873F4"/>
    <w:rsid w:val="00287416"/>
    <w:rsid w:val="002876AF"/>
    <w:rsid w:val="00287823"/>
    <w:rsid w:val="00287A97"/>
    <w:rsid w:val="00287B2C"/>
    <w:rsid w:val="00287D52"/>
    <w:rsid w:val="00287E6C"/>
    <w:rsid w:val="002908E0"/>
    <w:rsid w:val="00290A9B"/>
    <w:rsid w:val="00290B44"/>
    <w:rsid w:val="00290C90"/>
    <w:rsid w:val="00290E14"/>
    <w:rsid w:val="00290FD7"/>
    <w:rsid w:val="00290FE8"/>
    <w:rsid w:val="0029130A"/>
    <w:rsid w:val="0029134F"/>
    <w:rsid w:val="002913F7"/>
    <w:rsid w:val="002915B3"/>
    <w:rsid w:val="00291696"/>
    <w:rsid w:val="00291996"/>
    <w:rsid w:val="00291A46"/>
    <w:rsid w:val="00291F4D"/>
    <w:rsid w:val="0029200A"/>
    <w:rsid w:val="00292496"/>
    <w:rsid w:val="002926E0"/>
    <w:rsid w:val="002926E6"/>
    <w:rsid w:val="00292819"/>
    <w:rsid w:val="0029284A"/>
    <w:rsid w:val="00292988"/>
    <w:rsid w:val="00292B91"/>
    <w:rsid w:val="00292D15"/>
    <w:rsid w:val="00292F8D"/>
    <w:rsid w:val="00293523"/>
    <w:rsid w:val="002937FB"/>
    <w:rsid w:val="002938E4"/>
    <w:rsid w:val="002939E2"/>
    <w:rsid w:val="00293A13"/>
    <w:rsid w:val="00293BCE"/>
    <w:rsid w:val="00293C05"/>
    <w:rsid w:val="00293F14"/>
    <w:rsid w:val="002940E4"/>
    <w:rsid w:val="00294273"/>
    <w:rsid w:val="00294447"/>
    <w:rsid w:val="002946F0"/>
    <w:rsid w:val="002946F3"/>
    <w:rsid w:val="002947EA"/>
    <w:rsid w:val="00294814"/>
    <w:rsid w:val="00294B4D"/>
    <w:rsid w:val="00294D9C"/>
    <w:rsid w:val="00294F6F"/>
    <w:rsid w:val="0029519A"/>
    <w:rsid w:val="00295239"/>
    <w:rsid w:val="0029533F"/>
    <w:rsid w:val="00295529"/>
    <w:rsid w:val="00295820"/>
    <w:rsid w:val="0029585B"/>
    <w:rsid w:val="00295A74"/>
    <w:rsid w:val="00295DFF"/>
    <w:rsid w:val="00295E57"/>
    <w:rsid w:val="00295E5E"/>
    <w:rsid w:val="0029663A"/>
    <w:rsid w:val="00296895"/>
    <w:rsid w:val="002968A7"/>
    <w:rsid w:val="002969D0"/>
    <w:rsid w:val="00296AC6"/>
    <w:rsid w:val="0029733C"/>
    <w:rsid w:val="002976F4"/>
    <w:rsid w:val="0029771C"/>
    <w:rsid w:val="002977B4"/>
    <w:rsid w:val="002978CB"/>
    <w:rsid w:val="002978FB"/>
    <w:rsid w:val="00297964"/>
    <w:rsid w:val="00297A43"/>
    <w:rsid w:val="00297B16"/>
    <w:rsid w:val="00297EF9"/>
    <w:rsid w:val="002A0042"/>
    <w:rsid w:val="002A0301"/>
    <w:rsid w:val="002A0CE7"/>
    <w:rsid w:val="002A10A8"/>
    <w:rsid w:val="002A11BA"/>
    <w:rsid w:val="002A1279"/>
    <w:rsid w:val="002A1731"/>
    <w:rsid w:val="002A1893"/>
    <w:rsid w:val="002A1951"/>
    <w:rsid w:val="002A1C2A"/>
    <w:rsid w:val="002A1D63"/>
    <w:rsid w:val="002A1DC3"/>
    <w:rsid w:val="002A1E87"/>
    <w:rsid w:val="002A21EE"/>
    <w:rsid w:val="002A244B"/>
    <w:rsid w:val="002A247A"/>
    <w:rsid w:val="002A2628"/>
    <w:rsid w:val="002A2879"/>
    <w:rsid w:val="002A2AF3"/>
    <w:rsid w:val="002A2BE0"/>
    <w:rsid w:val="002A2D7D"/>
    <w:rsid w:val="002A3015"/>
    <w:rsid w:val="002A30D4"/>
    <w:rsid w:val="002A3269"/>
    <w:rsid w:val="002A38B0"/>
    <w:rsid w:val="002A3ABE"/>
    <w:rsid w:val="002A3B09"/>
    <w:rsid w:val="002A3BCA"/>
    <w:rsid w:val="002A3D9B"/>
    <w:rsid w:val="002A3DC8"/>
    <w:rsid w:val="002A3F54"/>
    <w:rsid w:val="002A40D6"/>
    <w:rsid w:val="002A420C"/>
    <w:rsid w:val="002A420E"/>
    <w:rsid w:val="002A437D"/>
    <w:rsid w:val="002A43E5"/>
    <w:rsid w:val="002A45C8"/>
    <w:rsid w:val="002A4609"/>
    <w:rsid w:val="002A478D"/>
    <w:rsid w:val="002A4C4C"/>
    <w:rsid w:val="002A4C7C"/>
    <w:rsid w:val="002A4F74"/>
    <w:rsid w:val="002A5047"/>
    <w:rsid w:val="002A5153"/>
    <w:rsid w:val="002A523A"/>
    <w:rsid w:val="002A54BD"/>
    <w:rsid w:val="002A56F6"/>
    <w:rsid w:val="002A589D"/>
    <w:rsid w:val="002A59B1"/>
    <w:rsid w:val="002A5AF3"/>
    <w:rsid w:val="002A5D0E"/>
    <w:rsid w:val="002A5DD3"/>
    <w:rsid w:val="002A5DE3"/>
    <w:rsid w:val="002A5EEE"/>
    <w:rsid w:val="002A62B2"/>
    <w:rsid w:val="002A67AF"/>
    <w:rsid w:val="002A697C"/>
    <w:rsid w:val="002A699C"/>
    <w:rsid w:val="002A69B8"/>
    <w:rsid w:val="002A6EF2"/>
    <w:rsid w:val="002A6F29"/>
    <w:rsid w:val="002A71F2"/>
    <w:rsid w:val="002A7438"/>
    <w:rsid w:val="002A757D"/>
    <w:rsid w:val="002A787F"/>
    <w:rsid w:val="002A795E"/>
    <w:rsid w:val="002A7B77"/>
    <w:rsid w:val="002A7D73"/>
    <w:rsid w:val="002A7DEA"/>
    <w:rsid w:val="002A7FD0"/>
    <w:rsid w:val="002B007A"/>
    <w:rsid w:val="002B02C2"/>
    <w:rsid w:val="002B02F5"/>
    <w:rsid w:val="002B063B"/>
    <w:rsid w:val="002B0CC9"/>
    <w:rsid w:val="002B0E0D"/>
    <w:rsid w:val="002B103D"/>
    <w:rsid w:val="002B10B4"/>
    <w:rsid w:val="002B11D6"/>
    <w:rsid w:val="002B1238"/>
    <w:rsid w:val="002B1401"/>
    <w:rsid w:val="002B1688"/>
    <w:rsid w:val="002B1898"/>
    <w:rsid w:val="002B1A95"/>
    <w:rsid w:val="002B1CDF"/>
    <w:rsid w:val="002B1D57"/>
    <w:rsid w:val="002B1E73"/>
    <w:rsid w:val="002B1F10"/>
    <w:rsid w:val="002B274B"/>
    <w:rsid w:val="002B28AC"/>
    <w:rsid w:val="002B2958"/>
    <w:rsid w:val="002B2E34"/>
    <w:rsid w:val="002B3067"/>
    <w:rsid w:val="002B30AF"/>
    <w:rsid w:val="002B350B"/>
    <w:rsid w:val="002B357C"/>
    <w:rsid w:val="002B37E9"/>
    <w:rsid w:val="002B386E"/>
    <w:rsid w:val="002B38F1"/>
    <w:rsid w:val="002B3945"/>
    <w:rsid w:val="002B3ACF"/>
    <w:rsid w:val="002B3D01"/>
    <w:rsid w:val="002B3F5A"/>
    <w:rsid w:val="002B3FF4"/>
    <w:rsid w:val="002B4399"/>
    <w:rsid w:val="002B453E"/>
    <w:rsid w:val="002B45D8"/>
    <w:rsid w:val="002B4A0A"/>
    <w:rsid w:val="002B4A50"/>
    <w:rsid w:val="002B5332"/>
    <w:rsid w:val="002B5B2C"/>
    <w:rsid w:val="002B61D2"/>
    <w:rsid w:val="002B64CA"/>
    <w:rsid w:val="002B7082"/>
    <w:rsid w:val="002B77D0"/>
    <w:rsid w:val="002B7F5D"/>
    <w:rsid w:val="002C02E7"/>
    <w:rsid w:val="002C0679"/>
    <w:rsid w:val="002C080B"/>
    <w:rsid w:val="002C0B04"/>
    <w:rsid w:val="002C0DCA"/>
    <w:rsid w:val="002C0EFF"/>
    <w:rsid w:val="002C12CF"/>
    <w:rsid w:val="002C131F"/>
    <w:rsid w:val="002C13EA"/>
    <w:rsid w:val="002C165C"/>
    <w:rsid w:val="002C215F"/>
    <w:rsid w:val="002C2162"/>
    <w:rsid w:val="002C2224"/>
    <w:rsid w:val="002C22CC"/>
    <w:rsid w:val="002C230D"/>
    <w:rsid w:val="002C24C6"/>
    <w:rsid w:val="002C2682"/>
    <w:rsid w:val="002C274A"/>
    <w:rsid w:val="002C2894"/>
    <w:rsid w:val="002C293E"/>
    <w:rsid w:val="002C2AA3"/>
    <w:rsid w:val="002C2B0F"/>
    <w:rsid w:val="002C2BF1"/>
    <w:rsid w:val="002C2DE3"/>
    <w:rsid w:val="002C326E"/>
    <w:rsid w:val="002C32C1"/>
    <w:rsid w:val="002C33F9"/>
    <w:rsid w:val="002C3484"/>
    <w:rsid w:val="002C35A0"/>
    <w:rsid w:val="002C371A"/>
    <w:rsid w:val="002C37CE"/>
    <w:rsid w:val="002C39F6"/>
    <w:rsid w:val="002C3D92"/>
    <w:rsid w:val="002C3FD7"/>
    <w:rsid w:val="002C41C6"/>
    <w:rsid w:val="002C42D1"/>
    <w:rsid w:val="002C43B6"/>
    <w:rsid w:val="002C4948"/>
    <w:rsid w:val="002C4BA7"/>
    <w:rsid w:val="002C4D27"/>
    <w:rsid w:val="002C4F41"/>
    <w:rsid w:val="002C539B"/>
    <w:rsid w:val="002C5741"/>
    <w:rsid w:val="002C591C"/>
    <w:rsid w:val="002C5D01"/>
    <w:rsid w:val="002C5DAF"/>
    <w:rsid w:val="002C609F"/>
    <w:rsid w:val="002C60A9"/>
    <w:rsid w:val="002C636A"/>
    <w:rsid w:val="002C63B2"/>
    <w:rsid w:val="002C644E"/>
    <w:rsid w:val="002C66AC"/>
    <w:rsid w:val="002C6ABD"/>
    <w:rsid w:val="002C7317"/>
    <w:rsid w:val="002C756D"/>
    <w:rsid w:val="002C75C8"/>
    <w:rsid w:val="002C78BF"/>
    <w:rsid w:val="002C7959"/>
    <w:rsid w:val="002C7ED4"/>
    <w:rsid w:val="002D004B"/>
    <w:rsid w:val="002D0127"/>
    <w:rsid w:val="002D0623"/>
    <w:rsid w:val="002D071F"/>
    <w:rsid w:val="002D0806"/>
    <w:rsid w:val="002D08ED"/>
    <w:rsid w:val="002D090C"/>
    <w:rsid w:val="002D09DC"/>
    <w:rsid w:val="002D0A78"/>
    <w:rsid w:val="002D0B59"/>
    <w:rsid w:val="002D0BCB"/>
    <w:rsid w:val="002D0EFC"/>
    <w:rsid w:val="002D105C"/>
    <w:rsid w:val="002D13FF"/>
    <w:rsid w:val="002D1412"/>
    <w:rsid w:val="002D1425"/>
    <w:rsid w:val="002D14EF"/>
    <w:rsid w:val="002D1B0B"/>
    <w:rsid w:val="002D1D9F"/>
    <w:rsid w:val="002D1DB5"/>
    <w:rsid w:val="002D1E93"/>
    <w:rsid w:val="002D1E9C"/>
    <w:rsid w:val="002D23E8"/>
    <w:rsid w:val="002D2516"/>
    <w:rsid w:val="002D28C0"/>
    <w:rsid w:val="002D2BA3"/>
    <w:rsid w:val="002D2D14"/>
    <w:rsid w:val="002D2D93"/>
    <w:rsid w:val="002D3244"/>
    <w:rsid w:val="002D329F"/>
    <w:rsid w:val="002D346C"/>
    <w:rsid w:val="002D3482"/>
    <w:rsid w:val="002D348B"/>
    <w:rsid w:val="002D374C"/>
    <w:rsid w:val="002D38F9"/>
    <w:rsid w:val="002D3980"/>
    <w:rsid w:val="002D3D8D"/>
    <w:rsid w:val="002D3DE3"/>
    <w:rsid w:val="002D3F49"/>
    <w:rsid w:val="002D4091"/>
    <w:rsid w:val="002D43E1"/>
    <w:rsid w:val="002D475C"/>
    <w:rsid w:val="002D4828"/>
    <w:rsid w:val="002D4841"/>
    <w:rsid w:val="002D4AB6"/>
    <w:rsid w:val="002D4BCB"/>
    <w:rsid w:val="002D4F44"/>
    <w:rsid w:val="002D4F82"/>
    <w:rsid w:val="002D551D"/>
    <w:rsid w:val="002D5578"/>
    <w:rsid w:val="002D5691"/>
    <w:rsid w:val="002D5716"/>
    <w:rsid w:val="002D589C"/>
    <w:rsid w:val="002D593E"/>
    <w:rsid w:val="002D5A6E"/>
    <w:rsid w:val="002D5EF3"/>
    <w:rsid w:val="002D6013"/>
    <w:rsid w:val="002D613A"/>
    <w:rsid w:val="002D626F"/>
    <w:rsid w:val="002D62AB"/>
    <w:rsid w:val="002D63A1"/>
    <w:rsid w:val="002D63B3"/>
    <w:rsid w:val="002D6B2F"/>
    <w:rsid w:val="002D6B46"/>
    <w:rsid w:val="002D6B79"/>
    <w:rsid w:val="002D6C54"/>
    <w:rsid w:val="002D6C87"/>
    <w:rsid w:val="002D6D24"/>
    <w:rsid w:val="002D6F04"/>
    <w:rsid w:val="002D7191"/>
    <w:rsid w:val="002D759E"/>
    <w:rsid w:val="002D76E2"/>
    <w:rsid w:val="002D78AC"/>
    <w:rsid w:val="002D7A08"/>
    <w:rsid w:val="002D7B16"/>
    <w:rsid w:val="002D7BCC"/>
    <w:rsid w:val="002D7D6C"/>
    <w:rsid w:val="002E0472"/>
    <w:rsid w:val="002E0588"/>
    <w:rsid w:val="002E0785"/>
    <w:rsid w:val="002E0793"/>
    <w:rsid w:val="002E08AE"/>
    <w:rsid w:val="002E097F"/>
    <w:rsid w:val="002E0999"/>
    <w:rsid w:val="002E09A4"/>
    <w:rsid w:val="002E0A3F"/>
    <w:rsid w:val="002E0BE9"/>
    <w:rsid w:val="002E117C"/>
    <w:rsid w:val="002E13B0"/>
    <w:rsid w:val="002E140E"/>
    <w:rsid w:val="002E1513"/>
    <w:rsid w:val="002E15F9"/>
    <w:rsid w:val="002E1606"/>
    <w:rsid w:val="002E179B"/>
    <w:rsid w:val="002E1993"/>
    <w:rsid w:val="002E1A12"/>
    <w:rsid w:val="002E1ADF"/>
    <w:rsid w:val="002E1B23"/>
    <w:rsid w:val="002E1CC0"/>
    <w:rsid w:val="002E1DC6"/>
    <w:rsid w:val="002E1E1E"/>
    <w:rsid w:val="002E1F33"/>
    <w:rsid w:val="002E1FC3"/>
    <w:rsid w:val="002E1FD0"/>
    <w:rsid w:val="002E20CC"/>
    <w:rsid w:val="002E254B"/>
    <w:rsid w:val="002E2587"/>
    <w:rsid w:val="002E25AD"/>
    <w:rsid w:val="002E26F1"/>
    <w:rsid w:val="002E2986"/>
    <w:rsid w:val="002E2B0D"/>
    <w:rsid w:val="002E2F3D"/>
    <w:rsid w:val="002E301D"/>
    <w:rsid w:val="002E3067"/>
    <w:rsid w:val="002E34F5"/>
    <w:rsid w:val="002E35BC"/>
    <w:rsid w:val="002E3A40"/>
    <w:rsid w:val="002E3A4A"/>
    <w:rsid w:val="002E3AEE"/>
    <w:rsid w:val="002E3BE3"/>
    <w:rsid w:val="002E3C90"/>
    <w:rsid w:val="002E3DFD"/>
    <w:rsid w:val="002E41A6"/>
    <w:rsid w:val="002E41B2"/>
    <w:rsid w:val="002E41D6"/>
    <w:rsid w:val="002E477B"/>
    <w:rsid w:val="002E47D6"/>
    <w:rsid w:val="002E482B"/>
    <w:rsid w:val="002E4BB8"/>
    <w:rsid w:val="002E4C1D"/>
    <w:rsid w:val="002E4F24"/>
    <w:rsid w:val="002E4F55"/>
    <w:rsid w:val="002E5103"/>
    <w:rsid w:val="002E53AC"/>
    <w:rsid w:val="002E53C0"/>
    <w:rsid w:val="002E5621"/>
    <w:rsid w:val="002E584A"/>
    <w:rsid w:val="002E59B4"/>
    <w:rsid w:val="002E5AA1"/>
    <w:rsid w:val="002E5B8E"/>
    <w:rsid w:val="002E5C6F"/>
    <w:rsid w:val="002E5D90"/>
    <w:rsid w:val="002E5E18"/>
    <w:rsid w:val="002E5E34"/>
    <w:rsid w:val="002E5E97"/>
    <w:rsid w:val="002E5F6E"/>
    <w:rsid w:val="002E623F"/>
    <w:rsid w:val="002E66FC"/>
    <w:rsid w:val="002E67F2"/>
    <w:rsid w:val="002E684C"/>
    <w:rsid w:val="002E6A59"/>
    <w:rsid w:val="002E6BA4"/>
    <w:rsid w:val="002E6C9F"/>
    <w:rsid w:val="002E6FA9"/>
    <w:rsid w:val="002E704E"/>
    <w:rsid w:val="002E72B8"/>
    <w:rsid w:val="002E740B"/>
    <w:rsid w:val="002E7436"/>
    <w:rsid w:val="002E74C2"/>
    <w:rsid w:val="002E7543"/>
    <w:rsid w:val="002E763E"/>
    <w:rsid w:val="002E7767"/>
    <w:rsid w:val="002E78BB"/>
    <w:rsid w:val="002E795C"/>
    <w:rsid w:val="002E7AE2"/>
    <w:rsid w:val="002E7B87"/>
    <w:rsid w:val="002E7DE0"/>
    <w:rsid w:val="002E7E1D"/>
    <w:rsid w:val="002F0125"/>
    <w:rsid w:val="002F0184"/>
    <w:rsid w:val="002F0766"/>
    <w:rsid w:val="002F0AA7"/>
    <w:rsid w:val="002F0BE0"/>
    <w:rsid w:val="002F0F49"/>
    <w:rsid w:val="002F1778"/>
    <w:rsid w:val="002F180B"/>
    <w:rsid w:val="002F1A5C"/>
    <w:rsid w:val="002F1B7E"/>
    <w:rsid w:val="002F1D03"/>
    <w:rsid w:val="002F1F53"/>
    <w:rsid w:val="002F2154"/>
    <w:rsid w:val="002F2209"/>
    <w:rsid w:val="002F2377"/>
    <w:rsid w:val="002F23E6"/>
    <w:rsid w:val="002F2653"/>
    <w:rsid w:val="002F26BA"/>
    <w:rsid w:val="002F280F"/>
    <w:rsid w:val="002F289B"/>
    <w:rsid w:val="002F295A"/>
    <w:rsid w:val="002F29A2"/>
    <w:rsid w:val="002F2C32"/>
    <w:rsid w:val="002F2D66"/>
    <w:rsid w:val="002F2DA4"/>
    <w:rsid w:val="002F302D"/>
    <w:rsid w:val="002F3055"/>
    <w:rsid w:val="002F3412"/>
    <w:rsid w:val="002F356B"/>
    <w:rsid w:val="002F360F"/>
    <w:rsid w:val="002F39D4"/>
    <w:rsid w:val="002F3A21"/>
    <w:rsid w:val="002F3AF6"/>
    <w:rsid w:val="002F3B5E"/>
    <w:rsid w:val="002F3B8D"/>
    <w:rsid w:val="002F3E3E"/>
    <w:rsid w:val="002F431E"/>
    <w:rsid w:val="002F45A6"/>
    <w:rsid w:val="002F4759"/>
    <w:rsid w:val="002F4BFF"/>
    <w:rsid w:val="002F4E42"/>
    <w:rsid w:val="002F5035"/>
    <w:rsid w:val="002F53A7"/>
    <w:rsid w:val="002F5561"/>
    <w:rsid w:val="002F56E7"/>
    <w:rsid w:val="002F5963"/>
    <w:rsid w:val="002F5981"/>
    <w:rsid w:val="002F5A92"/>
    <w:rsid w:val="002F5AF7"/>
    <w:rsid w:val="002F628A"/>
    <w:rsid w:val="002F6775"/>
    <w:rsid w:val="002F6862"/>
    <w:rsid w:val="002F693E"/>
    <w:rsid w:val="002F69E8"/>
    <w:rsid w:val="002F6FAA"/>
    <w:rsid w:val="002F71CC"/>
    <w:rsid w:val="002F7261"/>
    <w:rsid w:val="002F729D"/>
    <w:rsid w:val="002F757A"/>
    <w:rsid w:val="002F75BC"/>
    <w:rsid w:val="002F788A"/>
    <w:rsid w:val="002F78B5"/>
    <w:rsid w:val="002F7AC2"/>
    <w:rsid w:val="002F7AFC"/>
    <w:rsid w:val="002F7CF1"/>
    <w:rsid w:val="002F7DAB"/>
    <w:rsid w:val="002F7E71"/>
    <w:rsid w:val="0030019D"/>
    <w:rsid w:val="00300210"/>
    <w:rsid w:val="00300238"/>
    <w:rsid w:val="00300272"/>
    <w:rsid w:val="00300287"/>
    <w:rsid w:val="003002C4"/>
    <w:rsid w:val="00300B37"/>
    <w:rsid w:val="00300B9E"/>
    <w:rsid w:val="00300BB5"/>
    <w:rsid w:val="00300BCB"/>
    <w:rsid w:val="00300DD2"/>
    <w:rsid w:val="00300E2D"/>
    <w:rsid w:val="0030109E"/>
    <w:rsid w:val="003010B8"/>
    <w:rsid w:val="0030124D"/>
    <w:rsid w:val="003012BC"/>
    <w:rsid w:val="00301453"/>
    <w:rsid w:val="003014F0"/>
    <w:rsid w:val="00301617"/>
    <w:rsid w:val="00301B23"/>
    <w:rsid w:val="00301C1D"/>
    <w:rsid w:val="00301F32"/>
    <w:rsid w:val="00301FF1"/>
    <w:rsid w:val="003020C7"/>
    <w:rsid w:val="003024CB"/>
    <w:rsid w:val="00302BDD"/>
    <w:rsid w:val="00302EB5"/>
    <w:rsid w:val="00303168"/>
    <w:rsid w:val="00303501"/>
    <w:rsid w:val="003035D4"/>
    <w:rsid w:val="003036C5"/>
    <w:rsid w:val="00303B70"/>
    <w:rsid w:val="003040E6"/>
    <w:rsid w:val="00304299"/>
    <w:rsid w:val="003042D4"/>
    <w:rsid w:val="003042E1"/>
    <w:rsid w:val="00304374"/>
    <w:rsid w:val="00304406"/>
    <w:rsid w:val="0030475C"/>
    <w:rsid w:val="003049A3"/>
    <w:rsid w:val="00304A46"/>
    <w:rsid w:val="00304CA8"/>
    <w:rsid w:val="00304EFA"/>
    <w:rsid w:val="00304F81"/>
    <w:rsid w:val="00305268"/>
    <w:rsid w:val="0030530C"/>
    <w:rsid w:val="0030534B"/>
    <w:rsid w:val="0030537A"/>
    <w:rsid w:val="003056DA"/>
    <w:rsid w:val="00305982"/>
    <w:rsid w:val="00305D82"/>
    <w:rsid w:val="00305DD5"/>
    <w:rsid w:val="00306004"/>
    <w:rsid w:val="003060AA"/>
    <w:rsid w:val="003066EC"/>
    <w:rsid w:val="00306946"/>
    <w:rsid w:val="003069AB"/>
    <w:rsid w:val="00306A04"/>
    <w:rsid w:val="00306A29"/>
    <w:rsid w:val="00306EB8"/>
    <w:rsid w:val="003071F7"/>
    <w:rsid w:val="00307342"/>
    <w:rsid w:val="0030744F"/>
    <w:rsid w:val="0030745F"/>
    <w:rsid w:val="003075EC"/>
    <w:rsid w:val="00307DBB"/>
    <w:rsid w:val="00307E0C"/>
    <w:rsid w:val="00310655"/>
    <w:rsid w:val="003106DD"/>
    <w:rsid w:val="003106F3"/>
    <w:rsid w:val="0031087E"/>
    <w:rsid w:val="00310C49"/>
    <w:rsid w:val="00310D05"/>
    <w:rsid w:val="00310F6F"/>
    <w:rsid w:val="003110E2"/>
    <w:rsid w:val="003113A2"/>
    <w:rsid w:val="003115C3"/>
    <w:rsid w:val="0031161A"/>
    <w:rsid w:val="00311A8B"/>
    <w:rsid w:val="00311AA4"/>
    <w:rsid w:val="00311F66"/>
    <w:rsid w:val="00311F96"/>
    <w:rsid w:val="00312023"/>
    <w:rsid w:val="00312441"/>
    <w:rsid w:val="00312478"/>
    <w:rsid w:val="00312597"/>
    <w:rsid w:val="00312857"/>
    <w:rsid w:val="003128C1"/>
    <w:rsid w:val="00312A6D"/>
    <w:rsid w:val="00312D12"/>
    <w:rsid w:val="00312D3D"/>
    <w:rsid w:val="00312F24"/>
    <w:rsid w:val="00312F35"/>
    <w:rsid w:val="0031315C"/>
    <w:rsid w:val="00313363"/>
    <w:rsid w:val="00313431"/>
    <w:rsid w:val="0031344E"/>
    <w:rsid w:val="0031361B"/>
    <w:rsid w:val="00313754"/>
    <w:rsid w:val="0031387F"/>
    <w:rsid w:val="00313FB5"/>
    <w:rsid w:val="003140A0"/>
    <w:rsid w:val="0031413C"/>
    <w:rsid w:val="003141EA"/>
    <w:rsid w:val="003143D1"/>
    <w:rsid w:val="0031478E"/>
    <w:rsid w:val="003149AC"/>
    <w:rsid w:val="00314B76"/>
    <w:rsid w:val="00314BF8"/>
    <w:rsid w:val="00314D02"/>
    <w:rsid w:val="00314D08"/>
    <w:rsid w:val="00314E49"/>
    <w:rsid w:val="00314F3E"/>
    <w:rsid w:val="00314F53"/>
    <w:rsid w:val="003150C5"/>
    <w:rsid w:val="00315110"/>
    <w:rsid w:val="0031549B"/>
    <w:rsid w:val="00315B52"/>
    <w:rsid w:val="00315C35"/>
    <w:rsid w:val="00315CE1"/>
    <w:rsid w:val="0031614E"/>
    <w:rsid w:val="00316B78"/>
    <w:rsid w:val="0031706A"/>
    <w:rsid w:val="003170CC"/>
    <w:rsid w:val="003172BE"/>
    <w:rsid w:val="00317336"/>
    <w:rsid w:val="00317495"/>
    <w:rsid w:val="0031790C"/>
    <w:rsid w:val="00317BF7"/>
    <w:rsid w:val="00317C55"/>
    <w:rsid w:val="0032022D"/>
    <w:rsid w:val="00320467"/>
    <w:rsid w:val="00320523"/>
    <w:rsid w:val="0032065A"/>
    <w:rsid w:val="003207D4"/>
    <w:rsid w:val="00320915"/>
    <w:rsid w:val="0032099C"/>
    <w:rsid w:val="00320ADD"/>
    <w:rsid w:val="00320B78"/>
    <w:rsid w:val="00320C02"/>
    <w:rsid w:val="00320C92"/>
    <w:rsid w:val="00320DAA"/>
    <w:rsid w:val="00320F50"/>
    <w:rsid w:val="0032115B"/>
    <w:rsid w:val="0032139E"/>
    <w:rsid w:val="00321434"/>
    <w:rsid w:val="00321744"/>
    <w:rsid w:val="003217CE"/>
    <w:rsid w:val="00321AC6"/>
    <w:rsid w:val="00321ACD"/>
    <w:rsid w:val="00321BD2"/>
    <w:rsid w:val="00321CF7"/>
    <w:rsid w:val="00322014"/>
    <w:rsid w:val="003220E7"/>
    <w:rsid w:val="003225EA"/>
    <w:rsid w:val="003225F7"/>
    <w:rsid w:val="00322619"/>
    <w:rsid w:val="003226F7"/>
    <w:rsid w:val="00322797"/>
    <w:rsid w:val="003231C0"/>
    <w:rsid w:val="0032321C"/>
    <w:rsid w:val="0032342E"/>
    <w:rsid w:val="0032361C"/>
    <w:rsid w:val="00323C02"/>
    <w:rsid w:val="00323DA6"/>
    <w:rsid w:val="00323DAE"/>
    <w:rsid w:val="00323E42"/>
    <w:rsid w:val="00324056"/>
    <w:rsid w:val="0032420E"/>
    <w:rsid w:val="003242C0"/>
    <w:rsid w:val="0032440E"/>
    <w:rsid w:val="00324715"/>
    <w:rsid w:val="003247D5"/>
    <w:rsid w:val="003249B9"/>
    <w:rsid w:val="00324A82"/>
    <w:rsid w:val="00324B2C"/>
    <w:rsid w:val="00324C3B"/>
    <w:rsid w:val="00324C45"/>
    <w:rsid w:val="00325095"/>
    <w:rsid w:val="003250C9"/>
    <w:rsid w:val="00325252"/>
    <w:rsid w:val="0032551B"/>
    <w:rsid w:val="00325628"/>
    <w:rsid w:val="003258F5"/>
    <w:rsid w:val="00325C5E"/>
    <w:rsid w:val="00325E58"/>
    <w:rsid w:val="00325F43"/>
    <w:rsid w:val="003261E0"/>
    <w:rsid w:val="0032622F"/>
    <w:rsid w:val="0032627B"/>
    <w:rsid w:val="003262A5"/>
    <w:rsid w:val="003262D9"/>
    <w:rsid w:val="003262E9"/>
    <w:rsid w:val="003264AA"/>
    <w:rsid w:val="0032662D"/>
    <w:rsid w:val="003266C2"/>
    <w:rsid w:val="00326807"/>
    <w:rsid w:val="00326D55"/>
    <w:rsid w:val="00326EAA"/>
    <w:rsid w:val="003275A9"/>
    <w:rsid w:val="003276FD"/>
    <w:rsid w:val="00327949"/>
    <w:rsid w:val="003279F1"/>
    <w:rsid w:val="00327BDF"/>
    <w:rsid w:val="00327C7B"/>
    <w:rsid w:val="00327D11"/>
    <w:rsid w:val="00327F49"/>
    <w:rsid w:val="0033009B"/>
    <w:rsid w:val="00330566"/>
    <w:rsid w:val="00330569"/>
    <w:rsid w:val="00330829"/>
    <w:rsid w:val="0033086D"/>
    <w:rsid w:val="00330D1A"/>
    <w:rsid w:val="003311E1"/>
    <w:rsid w:val="00331457"/>
    <w:rsid w:val="00331515"/>
    <w:rsid w:val="003315D2"/>
    <w:rsid w:val="00331665"/>
    <w:rsid w:val="00331673"/>
    <w:rsid w:val="00331936"/>
    <w:rsid w:val="00331F88"/>
    <w:rsid w:val="00332046"/>
    <w:rsid w:val="00332226"/>
    <w:rsid w:val="003323C0"/>
    <w:rsid w:val="0033253F"/>
    <w:rsid w:val="003328E6"/>
    <w:rsid w:val="00332A17"/>
    <w:rsid w:val="00332AFB"/>
    <w:rsid w:val="00332B39"/>
    <w:rsid w:val="00332C63"/>
    <w:rsid w:val="00332FE8"/>
    <w:rsid w:val="00333065"/>
    <w:rsid w:val="0033335D"/>
    <w:rsid w:val="003333D9"/>
    <w:rsid w:val="0033344A"/>
    <w:rsid w:val="00333495"/>
    <w:rsid w:val="003334C6"/>
    <w:rsid w:val="003336D3"/>
    <w:rsid w:val="003337FF"/>
    <w:rsid w:val="00333839"/>
    <w:rsid w:val="00333AD6"/>
    <w:rsid w:val="00333EF6"/>
    <w:rsid w:val="00333F87"/>
    <w:rsid w:val="0033417D"/>
    <w:rsid w:val="00334412"/>
    <w:rsid w:val="00334870"/>
    <w:rsid w:val="003349B4"/>
    <w:rsid w:val="00334A1F"/>
    <w:rsid w:val="00334F08"/>
    <w:rsid w:val="003350F0"/>
    <w:rsid w:val="00335124"/>
    <w:rsid w:val="0033520D"/>
    <w:rsid w:val="0033532B"/>
    <w:rsid w:val="003354E3"/>
    <w:rsid w:val="003356C8"/>
    <w:rsid w:val="0033579E"/>
    <w:rsid w:val="00335B93"/>
    <w:rsid w:val="00335BB2"/>
    <w:rsid w:val="00335C67"/>
    <w:rsid w:val="00335E53"/>
    <w:rsid w:val="003361FD"/>
    <w:rsid w:val="003364AB"/>
    <w:rsid w:val="003364F9"/>
    <w:rsid w:val="003365E1"/>
    <w:rsid w:val="0033661A"/>
    <w:rsid w:val="003367D1"/>
    <w:rsid w:val="00336812"/>
    <w:rsid w:val="0033681A"/>
    <w:rsid w:val="003370B2"/>
    <w:rsid w:val="0033766C"/>
    <w:rsid w:val="003376B7"/>
    <w:rsid w:val="00337E54"/>
    <w:rsid w:val="003400F4"/>
    <w:rsid w:val="0034051B"/>
    <w:rsid w:val="003406F1"/>
    <w:rsid w:val="003407EB"/>
    <w:rsid w:val="003407FB"/>
    <w:rsid w:val="00340818"/>
    <w:rsid w:val="00340B13"/>
    <w:rsid w:val="00340C16"/>
    <w:rsid w:val="00340CB7"/>
    <w:rsid w:val="00340E7D"/>
    <w:rsid w:val="003411DF"/>
    <w:rsid w:val="00341237"/>
    <w:rsid w:val="00341368"/>
    <w:rsid w:val="00341855"/>
    <w:rsid w:val="00341981"/>
    <w:rsid w:val="00341C5E"/>
    <w:rsid w:val="00341F8F"/>
    <w:rsid w:val="00341FE3"/>
    <w:rsid w:val="0034267C"/>
    <w:rsid w:val="0034281C"/>
    <w:rsid w:val="00342BC1"/>
    <w:rsid w:val="00342ED7"/>
    <w:rsid w:val="0034320F"/>
    <w:rsid w:val="00343215"/>
    <w:rsid w:val="003434FC"/>
    <w:rsid w:val="003437C4"/>
    <w:rsid w:val="003439EA"/>
    <w:rsid w:val="00343AF3"/>
    <w:rsid w:val="00344681"/>
    <w:rsid w:val="00344784"/>
    <w:rsid w:val="0034490A"/>
    <w:rsid w:val="00344957"/>
    <w:rsid w:val="00344C24"/>
    <w:rsid w:val="00344DE5"/>
    <w:rsid w:val="0034510D"/>
    <w:rsid w:val="00345862"/>
    <w:rsid w:val="0034598A"/>
    <w:rsid w:val="003459D9"/>
    <w:rsid w:val="00345BC0"/>
    <w:rsid w:val="00345F3B"/>
    <w:rsid w:val="00345FE2"/>
    <w:rsid w:val="003460B1"/>
    <w:rsid w:val="003461AE"/>
    <w:rsid w:val="0034633B"/>
    <w:rsid w:val="00346415"/>
    <w:rsid w:val="00346608"/>
    <w:rsid w:val="0034671A"/>
    <w:rsid w:val="00346BC6"/>
    <w:rsid w:val="00346C7D"/>
    <w:rsid w:val="00346E2E"/>
    <w:rsid w:val="003473F2"/>
    <w:rsid w:val="00347465"/>
    <w:rsid w:val="00347522"/>
    <w:rsid w:val="00347B83"/>
    <w:rsid w:val="00347C9C"/>
    <w:rsid w:val="0035002C"/>
    <w:rsid w:val="00350208"/>
    <w:rsid w:val="003502F3"/>
    <w:rsid w:val="00350F09"/>
    <w:rsid w:val="00350FAC"/>
    <w:rsid w:val="00351134"/>
    <w:rsid w:val="003513C8"/>
    <w:rsid w:val="003515CD"/>
    <w:rsid w:val="00351650"/>
    <w:rsid w:val="00351674"/>
    <w:rsid w:val="0035170F"/>
    <w:rsid w:val="00351D9C"/>
    <w:rsid w:val="00351F49"/>
    <w:rsid w:val="003523CF"/>
    <w:rsid w:val="00352F22"/>
    <w:rsid w:val="00352F62"/>
    <w:rsid w:val="00353118"/>
    <w:rsid w:val="003536B8"/>
    <w:rsid w:val="003538E9"/>
    <w:rsid w:val="00353A2B"/>
    <w:rsid w:val="00353AD4"/>
    <w:rsid w:val="00353BA4"/>
    <w:rsid w:val="00353E62"/>
    <w:rsid w:val="00354322"/>
    <w:rsid w:val="003543FF"/>
    <w:rsid w:val="0035457C"/>
    <w:rsid w:val="00354588"/>
    <w:rsid w:val="00354599"/>
    <w:rsid w:val="00354893"/>
    <w:rsid w:val="00354899"/>
    <w:rsid w:val="0035496F"/>
    <w:rsid w:val="00354C73"/>
    <w:rsid w:val="003551C7"/>
    <w:rsid w:val="003552E0"/>
    <w:rsid w:val="00355623"/>
    <w:rsid w:val="003557AD"/>
    <w:rsid w:val="00355866"/>
    <w:rsid w:val="0035587C"/>
    <w:rsid w:val="0035599E"/>
    <w:rsid w:val="00355FD0"/>
    <w:rsid w:val="003560A9"/>
    <w:rsid w:val="00356148"/>
    <w:rsid w:val="00356172"/>
    <w:rsid w:val="003561AD"/>
    <w:rsid w:val="003562FD"/>
    <w:rsid w:val="0035634D"/>
    <w:rsid w:val="00356652"/>
    <w:rsid w:val="00356711"/>
    <w:rsid w:val="00356A1A"/>
    <w:rsid w:val="00356D10"/>
    <w:rsid w:val="003570CC"/>
    <w:rsid w:val="00357660"/>
    <w:rsid w:val="00357E1C"/>
    <w:rsid w:val="003600C5"/>
    <w:rsid w:val="0036019B"/>
    <w:rsid w:val="003602C8"/>
    <w:rsid w:val="00360478"/>
    <w:rsid w:val="00360730"/>
    <w:rsid w:val="00360763"/>
    <w:rsid w:val="003608B7"/>
    <w:rsid w:val="00360A8B"/>
    <w:rsid w:val="00360D7D"/>
    <w:rsid w:val="003610EB"/>
    <w:rsid w:val="003613AE"/>
    <w:rsid w:val="00361436"/>
    <w:rsid w:val="00361475"/>
    <w:rsid w:val="00361674"/>
    <w:rsid w:val="00361955"/>
    <w:rsid w:val="00361A0C"/>
    <w:rsid w:val="00361D77"/>
    <w:rsid w:val="00361E23"/>
    <w:rsid w:val="00361E32"/>
    <w:rsid w:val="003621E7"/>
    <w:rsid w:val="0036233D"/>
    <w:rsid w:val="0036246D"/>
    <w:rsid w:val="0036280B"/>
    <w:rsid w:val="0036281C"/>
    <w:rsid w:val="003628F6"/>
    <w:rsid w:val="00362AA9"/>
    <w:rsid w:val="00362B2F"/>
    <w:rsid w:val="00362D6C"/>
    <w:rsid w:val="00362FB7"/>
    <w:rsid w:val="00363190"/>
    <w:rsid w:val="003631B0"/>
    <w:rsid w:val="003633FF"/>
    <w:rsid w:val="00363634"/>
    <w:rsid w:val="00363BB3"/>
    <w:rsid w:val="00363C33"/>
    <w:rsid w:val="00363D4D"/>
    <w:rsid w:val="0036428A"/>
    <w:rsid w:val="0036443F"/>
    <w:rsid w:val="003644FE"/>
    <w:rsid w:val="00364725"/>
    <w:rsid w:val="003648F7"/>
    <w:rsid w:val="003649F0"/>
    <w:rsid w:val="00364B62"/>
    <w:rsid w:val="003653AA"/>
    <w:rsid w:val="00365478"/>
    <w:rsid w:val="00365506"/>
    <w:rsid w:val="003655FD"/>
    <w:rsid w:val="00365660"/>
    <w:rsid w:val="003656A5"/>
    <w:rsid w:val="00365C95"/>
    <w:rsid w:val="00366729"/>
    <w:rsid w:val="00366B88"/>
    <w:rsid w:val="00366C8F"/>
    <w:rsid w:val="00366E12"/>
    <w:rsid w:val="00366E63"/>
    <w:rsid w:val="00366E86"/>
    <w:rsid w:val="00366F7E"/>
    <w:rsid w:val="003670B5"/>
    <w:rsid w:val="00367173"/>
    <w:rsid w:val="00367265"/>
    <w:rsid w:val="003672A3"/>
    <w:rsid w:val="0036746F"/>
    <w:rsid w:val="00367845"/>
    <w:rsid w:val="00367A8A"/>
    <w:rsid w:val="00370053"/>
    <w:rsid w:val="00370155"/>
    <w:rsid w:val="00370375"/>
    <w:rsid w:val="003706C6"/>
    <w:rsid w:val="0037074E"/>
    <w:rsid w:val="003707B3"/>
    <w:rsid w:val="00370E82"/>
    <w:rsid w:val="00370F42"/>
    <w:rsid w:val="00371141"/>
    <w:rsid w:val="00371188"/>
    <w:rsid w:val="00371400"/>
    <w:rsid w:val="00371412"/>
    <w:rsid w:val="0037151E"/>
    <w:rsid w:val="00371538"/>
    <w:rsid w:val="003716C7"/>
    <w:rsid w:val="00371725"/>
    <w:rsid w:val="003719F5"/>
    <w:rsid w:val="003720F4"/>
    <w:rsid w:val="00372605"/>
    <w:rsid w:val="00372614"/>
    <w:rsid w:val="00372695"/>
    <w:rsid w:val="00372E1C"/>
    <w:rsid w:val="00372E4A"/>
    <w:rsid w:val="003730A5"/>
    <w:rsid w:val="0037314C"/>
    <w:rsid w:val="003734EB"/>
    <w:rsid w:val="003735A9"/>
    <w:rsid w:val="003735BC"/>
    <w:rsid w:val="003735F9"/>
    <w:rsid w:val="003739C1"/>
    <w:rsid w:val="00373F54"/>
    <w:rsid w:val="00374217"/>
    <w:rsid w:val="0037424C"/>
    <w:rsid w:val="0037428F"/>
    <w:rsid w:val="003742EB"/>
    <w:rsid w:val="003744D1"/>
    <w:rsid w:val="00374607"/>
    <w:rsid w:val="003755FE"/>
    <w:rsid w:val="00375787"/>
    <w:rsid w:val="003757E9"/>
    <w:rsid w:val="0037584A"/>
    <w:rsid w:val="0037595D"/>
    <w:rsid w:val="00375A22"/>
    <w:rsid w:val="00375ED3"/>
    <w:rsid w:val="00375F8B"/>
    <w:rsid w:val="003761C3"/>
    <w:rsid w:val="00376381"/>
    <w:rsid w:val="003764C0"/>
    <w:rsid w:val="003767A8"/>
    <w:rsid w:val="00376816"/>
    <w:rsid w:val="003768FF"/>
    <w:rsid w:val="00376B17"/>
    <w:rsid w:val="00376B3F"/>
    <w:rsid w:val="00376C99"/>
    <w:rsid w:val="00376D0F"/>
    <w:rsid w:val="00376FA5"/>
    <w:rsid w:val="00376FBE"/>
    <w:rsid w:val="0037719C"/>
    <w:rsid w:val="00377322"/>
    <w:rsid w:val="0037784D"/>
    <w:rsid w:val="00377A74"/>
    <w:rsid w:val="00380025"/>
    <w:rsid w:val="003802B0"/>
    <w:rsid w:val="00380377"/>
    <w:rsid w:val="003803C5"/>
    <w:rsid w:val="00380488"/>
    <w:rsid w:val="00380539"/>
    <w:rsid w:val="00380739"/>
    <w:rsid w:val="00380793"/>
    <w:rsid w:val="003809DF"/>
    <w:rsid w:val="00380B8A"/>
    <w:rsid w:val="00380CDF"/>
    <w:rsid w:val="00380FF7"/>
    <w:rsid w:val="00381002"/>
    <w:rsid w:val="00381032"/>
    <w:rsid w:val="00381147"/>
    <w:rsid w:val="003815BB"/>
    <w:rsid w:val="003815F7"/>
    <w:rsid w:val="00381A13"/>
    <w:rsid w:val="00381B49"/>
    <w:rsid w:val="00381BDD"/>
    <w:rsid w:val="00381DEA"/>
    <w:rsid w:val="00381F12"/>
    <w:rsid w:val="00381F4E"/>
    <w:rsid w:val="00382068"/>
    <w:rsid w:val="00382184"/>
    <w:rsid w:val="003821AA"/>
    <w:rsid w:val="0038228E"/>
    <w:rsid w:val="003823D5"/>
    <w:rsid w:val="00382B3F"/>
    <w:rsid w:val="00382CAC"/>
    <w:rsid w:val="00382DE5"/>
    <w:rsid w:val="00382EE5"/>
    <w:rsid w:val="0038324F"/>
    <w:rsid w:val="00383386"/>
    <w:rsid w:val="0038340A"/>
    <w:rsid w:val="0038369D"/>
    <w:rsid w:val="00383A13"/>
    <w:rsid w:val="00383A82"/>
    <w:rsid w:val="00383B1E"/>
    <w:rsid w:val="00383F23"/>
    <w:rsid w:val="00383F41"/>
    <w:rsid w:val="00384056"/>
    <w:rsid w:val="003842CB"/>
    <w:rsid w:val="0038475F"/>
    <w:rsid w:val="0038483F"/>
    <w:rsid w:val="0038489C"/>
    <w:rsid w:val="00384A94"/>
    <w:rsid w:val="00384DF9"/>
    <w:rsid w:val="00384E69"/>
    <w:rsid w:val="00384F4D"/>
    <w:rsid w:val="00385082"/>
    <w:rsid w:val="003850CF"/>
    <w:rsid w:val="0038534B"/>
    <w:rsid w:val="00385610"/>
    <w:rsid w:val="003858DE"/>
    <w:rsid w:val="00385E78"/>
    <w:rsid w:val="003865F5"/>
    <w:rsid w:val="003866A4"/>
    <w:rsid w:val="00386BBD"/>
    <w:rsid w:val="00386CFA"/>
    <w:rsid w:val="00386D1B"/>
    <w:rsid w:val="00386D3E"/>
    <w:rsid w:val="003870DD"/>
    <w:rsid w:val="003872E4"/>
    <w:rsid w:val="0038731F"/>
    <w:rsid w:val="003874DD"/>
    <w:rsid w:val="00387583"/>
    <w:rsid w:val="0038767D"/>
    <w:rsid w:val="0038769A"/>
    <w:rsid w:val="00387834"/>
    <w:rsid w:val="00387B3C"/>
    <w:rsid w:val="00387B5F"/>
    <w:rsid w:val="00387C61"/>
    <w:rsid w:val="003901FA"/>
    <w:rsid w:val="00390290"/>
    <w:rsid w:val="003902BA"/>
    <w:rsid w:val="0039039E"/>
    <w:rsid w:val="0039055E"/>
    <w:rsid w:val="00390689"/>
    <w:rsid w:val="003906B8"/>
    <w:rsid w:val="003907BD"/>
    <w:rsid w:val="00390913"/>
    <w:rsid w:val="00390B18"/>
    <w:rsid w:val="00390F07"/>
    <w:rsid w:val="00391222"/>
    <w:rsid w:val="0039131F"/>
    <w:rsid w:val="00391634"/>
    <w:rsid w:val="00391B7A"/>
    <w:rsid w:val="0039200F"/>
    <w:rsid w:val="003922B7"/>
    <w:rsid w:val="003925A2"/>
    <w:rsid w:val="0039282D"/>
    <w:rsid w:val="003929B6"/>
    <w:rsid w:val="00392B2A"/>
    <w:rsid w:val="00392E11"/>
    <w:rsid w:val="00392F91"/>
    <w:rsid w:val="003938AA"/>
    <w:rsid w:val="003938AC"/>
    <w:rsid w:val="00393E8A"/>
    <w:rsid w:val="00393EED"/>
    <w:rsid w:val="00394193"/>
    <w:rsid w:val="003941B8"/>
    <w:rsid w:val="00394248"/>
    <w:rsid w:val="003942B4"/>
    <w:rsid w:val="00394522"/>
    <w:rsid w:val="00394794"/>
    <w:rsid w:val="0039495E"/>
    <w:rsid w:val="00394A1E"/>
    <w:rsid w:val="00395140"/>
    <w:rsid w:val="003951F2"/>
    <w:rsid w:val="003952AC"/>
    <w:rsid w:val="003953ED"/>
    <w:rsid w:val="00395429"/>
    <w:rsid w:val="0039550D"/>
    <w:rsid w:val="00395575"/>
    <w:rsid w:val="003959D3"/>
    <w:rsid w:val="00395A55"/>
    <w:rsid w:val="00395A9D"/>
    <w:rsid w:val="00395C32"/>
    <w:rsid w:val="00395C8A"/>
    <w:rsid w:val="00395F42"/>
    <w:rsid w:val="003960B5"/>
    <w:rsid w:val="00396226"/>
    <w:rsid w:val="00396348"/>
    <w:rsid w:val="0039674C"/>
    <w:rsid w:val="00396778"/>
    <w:rsid w:val="0039686C"/>
    <w:rsid w:val="00396A35"/>
    <w:rsid w:val="00396B8C"/>
    <w:rsid w:val="00396C25"/>
    <w:rsid w:val="00396C5C"/>
    <w:rsid w:val="00396D1A"/>
    <w:rsid w:val="00397124"/>
    <w:rsid w:val="003973A6"/>
    <w:rsid w:val="0039742C"/>
    <w:rsid w:val="003974EF"/>
    <w:rsid w:val="003978F1"/>
    <w:rsid w:val="00397957"/>
    <w:rsid w:val="00397CED"/>
    <w:rsid w:val="00397D1B"/>
    <w:rsid w:val="003A018D"/>
    <w:rsid w:val="003A03B0"/>
    <w:rsid w:val="003A03B2"/>
    <w:rsid w:val="003A053A"/>
    <w:rsid w:val="003A06F2"/>
    <w:rsid w:val="003A072B"/>
    <w:rsid w:val="003A07F1"/>
    <w:rsid w:val="003A0807"/>
    <w:rsid w:val="003A08EF"/>
    <w:rsid w:val="003A0A56"/>
    <w:rsid w:val="003A0B09"/>
    <w:rsid w:val="003A0DE1"/>
    <w:rsid w:val="003A0EA7"/>
    <w:rsid w:val="003A101A"/>
    <w:rsid w:val="003A1023"/>
    <w:rsid w:val="003A148B"/>
    <w:rsid w:val="003A15DC"/>
    <w:rsid w:val="003A16B3"/>
    <w:rsid w:val="003A1AF5"/>
    <w:rsid w:val="003A1B50"/>
    <w:rsid w:val="003A1BE3"/>
    <w:rsid w:val="003A1CDC"/>
    <w:rsid w:val="003A1E57"/>
    <w:rsid w:val="003A20B1"/>
    <w:rsid w:val="003A20F6"/>
    <w:rsid w:val="003A22C6"/>
    <w:rsid w:val="003A23EE"/>
    <w:rsid w:val="003A25E5"/>
    <w:rsid w:val="003A2842"/>
    <w:rsid w:val="003A2A20"/>
    <w:rsid w:val="003A2CD7"/>
    <w:rsid w:val="003A2E1B"/>
    <w:rsid w:val="003A3132"/>
    <w:rsid w:val="003A31DB"/>
    <w:rsid w:val="003A3225"/>
    <w:rsid w:val="003A34E9"/>
    <w:rsid w:val="003A37EF"/>
    <w:rsid w:val="003A3843"/>
    <w:rsid w:val="003A38BB"/>
    <w:rsid w:val="003A3CAC"/>
    <w:rsid w:val="003A3D32"/>
    <w:rsid w:val="003A3F5E"/>
    <w:rsid w:val="003A40F9"/>
    <w:rsid w:val="003A4123"/>
    <w:rsid w:val="003A42AE"/>
    <w:rsid w:val="003A43C4"/>
    <w:rsid w:val="003A4449"/>
    <w:rsid w:val="003A4A16"/>
    <w:rsid w:val="003A4C98"/>
    <w:rsid w:val="003A5059"/>
    <w:rsid w:val="003A52A3"/>
    <w:rsid w:val="003A5473"/>
    <w:rsid w:val="003A54CA"/>
    <w:rsid w:val="003A58CF"/>
    <w:rsid w:val="003A5C7C"/>
    <w:rsid w:val="003A5EAE"/>
    <w:rsid w:val="003A5F3B"/>
    <w:rsid w:val="003A6010"/>
    <w:rsid w:val="003A60BF"/>
    <w:rsid w:val="003A671B"/>
    <w:rsid w:val="003A6B07"/>
    <w:rsid w:val="003A6D08"/>
    <w:rsid w:val="003A6E2C"/>
    <w:rsid w:val="003A6E2F"/>
    <w:rsid w:val="003A7576"/>
    <w:rsid w:val="003A7587"/>
    <w:rsid w:val="003A75E8"/>
    <w:rsid w:val="003A7975"/>
    <w:rsid w:val="003A7E66"/>
    <w:rsid w:val="003B006D"/>
    <w:rsid w:val="003B0287"/>
    <w:rsid w:val="003B0419"/>
    <w:rsid w:val="003B0643"/>
    <w:rsid w:val="003B064D"/>
    <w:rsid w:val="003B0927"/>
    <w:rsid w:val="003B097B"/>
    <w:rsid w:val="003B0991"/>
    <w:rsid w:val="003B0DA5"/>
    <w:rsid w:val="003B124A"/>
    <w:rsid w:val="003B1586"/>
    <w:rsid w:val="003B159C"/>
    <w:rsid w:val="003B1A97"/>
    <w:rsid w:val="003B1AE2"/>
    <w:rsid w:val="003B23ED"/>
    <w:rsid w:val="003B23F1"/>
    <w:rsid w:val="003B2419"/>
    <w:rsid w:val="003B242D"/>
    <w:rsid w:val="003B26CB"/>
    <w:rsid w:val="003B2731"/>
    <w:rsid w:val="003B28A6"/>
    <w:rsid w:val="003B29F6"/>
    <w:rsid w:val="003B2A67"/>
    <w:rsid w:val="003B2A93"/>
    <w:rsid w:val="003B2D84"/>
    <w:rsid w:val="003B2F7D"/>
    <w:rsid w:val="003B305C"/>
    <w:rsid w:val="003B314F"/>
    <w:rsid w:val="003B3515"/>
    <w:rsid w:val="003B3615"/>
    <w:rsid w:val="003B3A99"/>
    <w:rsid w:val="003B3AF1"/>
    <w:rsid w:val="003B3B68"/>
    <w:rsid w:val="003B3BF5"/>
    <w:rsid w:val="003B3C3A"/>
    <w:rsid w:val="003B3DF4"/>
    <w:rsid w:val="003B3FFA"/>
    <w:rsid w:val="003B408E"/>
    <w:rsid w:val="003B413B"/>
    <w:rsid w:val="003B448D"/>
    <w:rsid w:val="003B44B6"/>
    <w:rsid w:val="003B483D"/>
    <w:rsid w:val="003B4883"/>
    <w:rsid w:val="003B4E8B"/>
    <w:rsid w:val="003B4EE3"/>
    <w:rsid w:val="003B4F49"/>
    <w:rsid w:val="003B4FD1"/>
    <w:rsid w:val="003B500E"/>
    <w:rsid w:val="003B503A"/>
    <w:rsid w:val="003B50D3"/>
    <w:rsid w:val="003B524B"/>
    <w:rsid w:val="003B53FF"/>
    <w:rsid w:val="003B5429"/>
    <w:rsid w:val="003B57A2"/>
    <w:rsid w:val="003B5A0D"/>
    <w:rsid w:val="003B5AAD"/>
    <w:rsid w:val="003B5C17"/>
    <w:rsid w:val="003B5C96"/>
    <w:rsid w:val="003B6125"/>
    <w:rsid w:val="003B6159"/>
    <w:rsid w:val="003B6276"/>
    <w:rsid w:val="003B629A"/>
    <w:rsid w:val="003B6927"/>
    <w:rsid w:val="003B69DB"/>
    <w:rsid w:val="003B6E95"/>
    <w:rsid w:val="003B6EF7"/>
    <w:rsid w:val="003B70C7"/>
    <w:rsid w:val="003B720E"/>
    <w:rsid w:val="003B7251"/>
    <w:rsid w:val="003B7528"/>
    <w:rsid w:val="003B7850"/>
    <w:rsid w:val="003B7882"/>
    <w:rsid w:val="003B79A1"/>
    <w:rsid w:val="003B7AD3"/>
    <w:rsid w:val="003B7B3C"/>
    <w:rsid w:val="003B7C72"/>
    <w:rsid w:val="003B7D58"/>
    <w:rsid w:val="003B7D5E"/>
    <w:rsid w:val="003C00F5"/>
    <w:rsid w:val="003C02DB"/>
    <w:rsid w:val="003C02E6"/>
    <w:rsid w:val="003C0424"/>
    <w:rsid w:val="003C096F"/>
    <w:rsid w:val="003C0AF4"/>
    <w:rsid w:val="003C0DAB"/>
    <w:rsid w:val="003C0E91"/>
    <w:rsid w:val="003C0EF4"/>
    <w:rsid w:val="003C0F19"/>
    <w:rsid w:val="003C1062"/>
    <w:rsid w:val="003C1497"/>
    <w:rsid w:val="003C15AE"/>
    <w:rsid w:val="003C180D"/>
    <w:rsid w:val="003C1865"/>
    <w:rsid w:val="003C1977"/>
    <w:rsid w:val="003C1B2F"/>
    <w:rsid w:val="003C1BC8"/>
    <w:rsid w:val="003C1C8D"/>
    <w:rsid w:val="003C1E80"/>
    <w:rsid w:val="003C1FC7"/>
    <w:rsid w:val="003C2197"/>
    <w:rsid w:val="003C23CC"/>
    <w:rsid w:val="003C23ED"/>
    <w:rsid w:val="003C2453"/>
    <w:rsid w:val="003C2471"/>
    <w:rsid w:val="003C2712"/>
    <w:rsid w:val="003C2783"/>
    <w:rsid w:val="003C27AB"/>
    <w:rsid w:val="003C2A0B"/>
    <w:rsid w:val="003C2A9F"/>
    <w:rsid w:val="003C2B43"/>
    <w:rsid w:val="003C2C95"/>
    <w:rsid w:val="003C2DD6"/>
    <w:rsid w:val="003C30A0"/>
    <w:rsid w:val="003C31B2"/>
    <w:rsid w:val="003C33A5"/>
    <w:rsid w:val="003C35C7"/>
    <w:rsid w:val="003C3637"/>
    <w:rsid w:val="003C363E"/>
    <w:rsid w:val="003C3709"/>
    <w:rsid w:val="003C3AB6"/>
    <w:rsid w:val="003C4000"/>
    <w:rsid w:val="003C40AC"/>
    <w:rsid w:val="003C429B"/>
    <w:rsid w:val="003C468D"/>
    <w:rsid w:val="003C4750"/>
    <w:rsid w:val="003C4902"/>
    <w:rsid w:val="003C497A"/>
    <w:rsid w:val="003C4A29"/>
    <w:rsid w:val="003C4B01"/>
    <w:rsid w:val="003C4E7E"/>
    <w:rsid w:val="003C4EC4"/>
    <w:rsid w:val="003C5182"/>
    <w:rsid w:val="003C5367"/>
    <w:rsid w:val="003C57B8"/>
    <w:rsid w:val="003C5A52"/>
    <w:rsid w:val="003C5B5D"/>
    <w:rsid w:val="003C5CCE"/>
    <w:rsid w:val="003C61AE"/>
    <w:rsid w:val="003C6338"/>
    <w:rsid w:val="003C67D1"/>
    <w:rsid w:val="003C6877"/>
    <w:rsid w:val="003C69FF"/>
    <w:rsid w:val="003C6B6D"/>
    <w:rsid w:val="003C6C3C"/>
    <w:rsid w:val="003C6CF5"/>
    <w:rsid w:val="003C6DB7"/>
    <w:rsid w:val="003C6E5D"/>
    <w:rsid w:val="003C7385"/>
    <w:rsid w:val="003C740E"/>
    <w:rsid w:val="003C74E5"/>
    <w:rsid w:val="003C787D"/>
    <w:rsid w:val="003C7C59"/>
    <w:rsid w:val="003C7E3C"/>
    <w:rsid w:val="003C7EC8"/>
    <w:rsid w:val="003D0061"/>
    <w:rsid w:val="003D0251"/>
    <w:rsid w:val="003D0297"/>
    <w:rsid w:val="003D036D"/>
    <w:rsid w:val="003D0408"/>
    <w:rsid w:val="003D061F"/>
    <w:rsid w:val="003D07E5"/>
    <w:rsid w:val="003D0867"/>
    <w:rsid w:val="003D0A26"/>
    <w:rsid w:val="003D0A7F"/>
    <w:rsid w:val="003D0D94"/>
    <w:rsid w:val="003D0E5D"/>
    <w:rsid w:val="003D104A"/>
    <w:rsid w:val="003D10AF"/>
    <w:rsid w:val="003D1220"/>
    <w:rsid w:val="003D1268"/>
    <w:rsid w:val="003D12AB"/>
    <w:rsid w:val="003D12FA"/>
    <w:rsid w:val="003D1891"/>
    <w:rsid w:val="003D1913"/>
    <w:rsid w:val="003D1B9D"/>
    <w:rsid w:val="003D1DB4"/>
    <w:rsid w:val="003D1DCF"/>
    <w:rsid w:val="003D258F"/>
    <w:rsid w:val="003D26EA"/>
    <w:rsid w:val="003D2F15"/>
    <w:rsid w:val="003D31F9"/>
    <w:rsid w:val="003D326F"/>
    <w:rsid w:val="003D391A"/>
    <w:rsid w:val="003D3B5C"/>
    <w:rsid w:val="003D3ED7"/>
    <w:rsid w:val="003D41F4"/>
    <w:rsid w:val="003D429B"/>
    <w:rsid w:val="003D42F0"/>
    <w:rsid w:val="003D473D"/>
    <w:rsid w:val="003D47A3"/>
    <w:rsid w:val="003D4A64"/>
    <w:rsid w:val="003D4EBB"/>
    <w:rsid w:val="003D4F1B"/>
    <w:rsid w:val="003D4FD5"/>
    <w:rsid w:val="003D5161"/>
    <w:rsid w:val="003D5365"/>
    <w:rsid w:val="003D5BC2"/>
    <w:rsid w:val="003D5BE7"/>
    <w:rsid w:val="003D60C1"/>
    <w:rsid w:val="003D6110"/>
    <w:rsid w:val="003D61AD"/>
    <w:rsid w:val="003D6205"/>
    <w:rsid w:val="003D690C"/>
    <w:rsid w:val="003D75AC"/>
    <w:rsid w:val="003D7872"/>
    <w:rsid w:val="003D7962"/>
    <w:rsid w:val="003D7ADD"/>
    <w:rsid w:val="003E05FC"/>
    <w:rsid w:val="003E06D6"/>
    <w:rsid w:val="003E070C"/>
    <w:rsid w:val="003E0923"/>
    <w:rsid w:val="003E0954"/>
    <w:rsid w:val="003E0A3E"/>
    <w:rsid w:val="003E0D1C"/>
    <w:rsid w:val="003E1018"/>
    <w:rsid w:val="003E1111"/>
    <w:rsid w:val="003E11D2"/>
    <w:rsid w:val="003E12DE"/>
    <w:rsid w:val="003E1348"/>
    <w:rsid w:val="003E1437"/>
    <w:rsid w:val="003E1626"/>
    <w:rsid w:val="003E19CF"/>
    <w:rsid w:val="003E1E45"/>
    <w:rsid w:val="003E24F5"/>
    <w:rsid w:val="003E27DD"/>
    <w:rsid w:val="003E2869"/>
    <w:rsid w:val="003E2904"/>
    <w:rsid w:val="003E2AD6"/>
    <w:rsid w:val="003E2B1A"/>
    <w:rsid w:val="003E2B45"/>
    <w:rsid w:val="003E2B66"/>
    <w:rsid w:val="003E2C5C"/>
    <w:rsid w:val="003E2DC9"/>
    <w:rsid w:val="003E2E28"/>
    <w:rsid w:val="003E306F"/>
    <w:rsid w:val="003E3159"/>
    <w:rsid w:val="003E320E"/>
    <w:rsid w:val="003E38C0"/>
    <w:rsid w:val="003E3951"/>
    <w:rsid w:val="003E3B80"/>
    <w:rsid w:val="003E3BF8"/>
    <w:rsid w:val="003E3C5B"/>
    <w:rsid w:val="003E3DB2"/>
    <w:rsid w:val="003E4125"/>
    <w:rsid w:val="003E41AD"/>
    <w:rsid w:val="003E436E"/>
    <w:rsid w:val="003E47AC"/>
    <w:rsid w:val="003E4D21"/>
    <w:rsid w:val="003E4D42"/>
    <w:rsid w:val="003E4D5A"/>
    <w:rsid w:val="003E5A1D"/>
    <w:rsid w:val="003E5D0B"/>
    <w:rsid w:val="003E5F4A"/>
    <w:rsid w:val="003E5FDA"/>
    <w:rsid w:val="003E5FE5"/>
    <w:rsid w:val="003E6020"/>
    <w:rsid w:val="003E60B7"/>
    <w:rsid w:val="003E61C7"/>
    <w:rsid w:val="003E621E"/>
    <w:rsid w:val="003E652D"/>
    <w:rsid w:val="003E66EB"/>
    <w:rsid w:val="003E68F1"/>
    <w:rsid w:val="003E6A58"/>
    <w:rsid w:val="003E6B81"/>
    <w:rsid w:val="003E6C00"/>
    <w:rsid w:val="003E6F15"/>
    <w:rsid w:val="003E70E7"/>
    <w:rsid w:val="003E7484"/>
    <w:rsid w:val="003E75F6"/>
    <w:rsid w:val="003E76C7"/>
    <w:rsid w:val="003E77B2"/>
    <w:rsid w:val="003E7F13"/>
    <w:rsid w:val="003F0835"/>
    <w:rsid w:val="003F0860"/>
    <w:rsid w:val="003F10B2"/>
    <w:rsid w:val="003F12D7"/>
    <w:rsid w:val="003F141F"/>
    <w:rsid w:val="003F1EA1"/>
    <w:rsid w:val="003F1FA2"/>
    <w:rsid w:val="003F2093"/>
    <w:rsid w:val="003F2206"/>
    <w:rsid w:val="003F22CB"/>
    <w:rsid w:val="003F28A1"/>
    <w:rsid w:val="003F29DF"/>
    <w:rsid w:val="003F2B1C"/>
    <w:rsid w:val="003F2CC3"/>
    <w:rsid w:val="003F2D0C"/>
    <w:rsid w:val="003F2E48"/>
    <w:rsid w:val="003F31E5"/>
    <w:rsid w:val="003F33DF"/>
    <w:rsid w:val="003F3442"/>
    <w:rsid w:val="003F3583"/>
    <w:rsid w:val="003F3924"/>
    <w:rsid w:val="003F3B60"/>
    <w:rsid w:val="003F3B90"/>
    <w:rsid w:val="003F3C6A"/>
    <w:rsid w:val="003F3D25"/>
    <w:rsid w:val="003F3E86"/>
    <w:rsid w:val="003F4066"/>
    <w:rsid w:val="003F4079"/>
    <w:rsid w:val="003F43B5"/>
    <w:rsid w:val="003F43DE"/>
    <w:rsid w:val="003F4604"/>
    <w:rsid w:val="003F46A1"/>
    <w:rsid w:val="003F472E"/>
    <w:rsid w:val="003F499D"/>
    <w:rsid w:val="003F4A17"/>
    <w:rsid w:val="003F4B0E"/>
    <w:rsid w:val="003F4B7B"/>
    <w:rsid w:val="003F4C78"/>
    <w:rsid w:val="003F4DE6"/>
    <w:rsid w:val="003F4F2F"/>
    <w:rsid w:val="003F4FC2"/>
    <w:rsid w:val="003F503A"/>
    <w:rsid w:val="003F51FE"/>
    <w:rsid w:val="003F5239"/>
    <w:rsid w:val="003F53D2"/>
    <w:rsid w:val="003F53DD"/>
    <w:rsid w:val="003F56CC"/>
    <w:rsid w:val="003F5A0E"/>
    <w:rsid w:val="003F5F06"/>
    <w:rsid w:val="003F62C5"/>
    <w:rsid w:val="003F62E5"/>
    <w:rsid w:val="003F646A"/>
    <w:rsid w:val="003F6551"/>
    <w:rsid w:val="003F66BF"/>
    <w:rsid w:val="003F68F7"/>
    <w:rsid w:val="003F6BC3"/>
    <w:rsid w:val="003F6D2C"/>
    <w:rsid w:val="003F6F04"/>
    <w:rsid w:val="003F6F39"/>
    <w:rsid w:val="003F718C"/>
    <w:rsid w:val="003F7541"/>
    <w:rsid w:val="003F7559"/>
    <w:rsid w:val="003F7621"/>
    <w:rsid w:val="003F767A"/>
    <w:rsid w:val="003F793D"/>
    <w:rsid w:val="003F7A44"/>
    <w:rsid w:val="003F7AAF"/>
    <w:rsid w:val="003F7EC1"/>
    <w:rsid w:val="00400726"/>
    <w:rsid w:val="00400980"/>
    <w:rsid w:val="004009F9"/>
    <w:rsid w:val="00400A84"/>
    <w:rsid w:val="00400ACF"/>
    <w:rsid w:val="00400AF8"/>
    <w:rsid w:val="00400C3C"/>
    <w:rsid w:val="00400D6E"/>
    <w:rsid w:val="00400EDD"/>
    <w:rsid w:val="00400F2C"/>
    <w:rsid w:val="00400FC2"/>
    <w:rsid w:val="004010B5"/>
    <w:rsid w:val="0040140C"/>
    <w:rsid w:val="0040144B"/>
    <w:rsid w:val="004015E9"/>
    <w:rsid w:val="00401749"/>
    <w:rsid w:val="004018D8"/>
    <w:rsid w:val="004019A3"/>
    <w:rsid w:val="00401D75"/>
    <w:rsid w:val="00401E11"/>
    <w:rsid w:val="004023C1"/>
    <w:rsid w:val="004023C6"/>
    <w:rsid w:val="004025AB"/>
    <w:rsid w:val="00402B41"/>
    <w:rsid w:val="00402D95"/>
    <w:rsid w:val="00402FF5"/>
    <w:rsid w:val="004031BE"/>
    <w:rsid w:val="00403275"/>
    <w:rsid w:val="0040334B"/>
    <w:rsid w:val="0040369C"/>
    <w:rsid w:val="004039D4"/>
    <w:rsid w:val="00403A0E"/>
    <w:rsid w:val="00403ADB"/>
    <w:rsid w:val="00403D48"/>
    <w:rsid w:val="004040EF"/>
    <w:rsid w:val="00404195"/>
    <w:rsid w:val="004041E9"/>
    <w:rsid w:val="0040433F"/>
    <w:rsid w:val="0040474A"/>
    <w:rsid w:val="004047D7"/>
    <w:rsid w:val="00404854"/>
    <w:rsid w:val="00404CD0"/>
    <w:rsid w:val="0040502E"/>
    <w:rsid w:val="004050C6"/>
    <w:rsid w:val="004055C4"/>
    <w:rsid w:val="0040568A"/>
    <w:rsid w:val="004058F1"/>
    <w:rsid w:val="00405C3A"/>
    <w:rsid w:val="00406124"/>
    <w:rsid w:val="004061B5"/>
    <w:rsid w:val="0040628A"/>
    <w:rsid w:val="0040678C"/>
    <w:rsid w:val="00406956"/>
    <w:rsid w:val="004069B0"/>
    <w:rsid w:val="00406A25"/>
    <w:rsid w:val="00406ACF"/>
    <w:rsid w:val="00406C5B"/>
    <w:rsid w:val="00406C9D"/>
    <w:rsid w:val="00406CDF"/>
    <w:rsid w:val="00406D06"/>
    <w:rsid w:val="00406DF6"/>
    <w:rsid w:val="00406E6F"/>
    <w:rsid w:val="00407038"/>
    <w:rsid w:val="004070C6"/>
    <w:rsid w:val="00407138"/>
    <w:rsid w:val="00407149"/>
    <w:rsid w:val="0040771E"/>
    <w:rsid w:val="0040782F"/>
    <w:rsid w:val="00407906"/>
    <w:rsid w:val="00407B7C"/>
    <w:rsid w:val="00407F24"/>
    <w:rsid w:val="00410078"/>
    <w:rsid w:val="0041065D"/>
    <w:rsid w:val="00410676"/>
    <w:rsid w:val="00410878"/>
    <w:rsid w:val="0041087A"/>
    <w:rsid w:val="00410942"/>
    <w:rsid w:val="0041095C"/>
    <w:rsid w:val="0041098E"/>
    <w:rsid w:val="00410BB1"/>
    <w:rsid w:val="00410D84"/>
    <w:rsid w:val="00410E0D"/>
    <w:rsid w:val="00410FF7"/>
    <w:rsid w:val="004112E1"/>
    <w:rsid w:val="00411868"/>
    <w:rsid w:val="004118D2"/>
    <w:rsid w:val="0041195C"/>
    <w:rsid w:val="00411AF6"/>
    <w:rsid w:val="004120A4"/>
    <w:rsid w:val="004120CF"/>
    <w:rsid w:val="00412354"/>
    <w:rsid w:val="004125A6"/>
    <w:rsid w:val="0041262C"/>
    <w:rsid w:val="00412856"/>
    <w:rsid w:val="00412C51"/>
    <w:rsid w:val="00412DFC"/>
    <w:rsid w:val="00412F3A"/>
    <w:rsid w:val="00412FE7"/>
    <w:rsid w:val="0041322A"/>
    <w:rsid w:val="00413240"/>
    <w:rsid w:val="004134D3"/>
    <w:rsid w:val="00413683"/>
    <w:rsid w:val="0041380A"/>
    <w:rsid w:val="0041390C"/>
    <w:rsid w:val="00413913"/>
    <w:rsid w:val="0041394A"/>
    <w:rsid w:val="00413ADF"/>
    <w:rsid w:val="00413AE8"/>
    <w:rsid w:val="00413C5A"/>
    <w:rsid w:val="00413F3A"/>
    <w:rsid w:val="00413FB6"/>
    <w:rsid w:val="004142EB"/>
    <w:rsid w:val="004145A9"/>
    <w:rsid w:val="004145FC"/>
    <w:rsid w:val="0041499F"/>
    <w:rsid w:val="00414A1E"/>
    <w:rsid w:val="00414AE1"/>
    <w:rsid w:val="00414D1B"/>
    <w:rsid w:val="00414DFB"/>
    <w:rsid w:val="00415140"/>
    <w:rsid w:val="004155BC"/>
    <w:rsid w:val="00415750"/>
    <w:rsid w:val="0041586E"/>
    <w:rsid w:val="00415AC9"/>
    <w:rsid w:val="00415D51"/>
    <w:rsid w:val="00415EAB"/>
    <w:rsid w:val="00415FB8"/>
    <w:rsid w:val="00416015"/>
    <w:rsid w:val="0041611C"/>
    <w:rsid w:val="00416159"/>
    <w:rsid w:val="004163DE"/>
    <w:rsid w:val="004168B7"/>
    <w:rsid w:val="004169CD"/>
    <w:rsid w:val="00416AC5"/>
    <w:rsid w:val="00416C95"/>
    <w:rsid w:val="00416DD9"/>
    <w:rsid w:val="00416E84"/>
    <w:rsid w:val="004170F3"/>
    <w:rsid w:val="00417872"/>
    <w:rsid w:val="00417E21"/>
    <w:rsid w:val="00417E34"/>
    <w:rsid w:val="00417ED0"/>
    <w:rsid w:val="0042003C"/>
    <w:rsid w:val="0042021F"/>
    <w:rsid w:val="004202BE"/>
    <w:rsid w:val="004208F1"/>
    <w:rsid w:val="00420914"/>
    <w:rsid w:val="00420D5A"/>
    <w:rsid w:val="00420E19"/>
    <w:rsid w:val="00421054"/>
    <w:rsid w:val="004210B4"/>
    <w:rsid w:val="00421389"/>
    <w:rsid w:val="00421BFD"/>
    <w:rsid w:val="00421E70"/>
    <w:rsid w:val="0042205E"/>
    <w:rsid w:val="004220F5"/>
    <w:rsid w:val="00422389"/>
    <w:rsid w:val="00422509"/>
    <w:rsid w:val="00422667"/>
    <w:rsid w:val="004226E3"/>
    <w:rsid w:val="0042293B"/>
    <w:rsid w:val="00422C2A"/>
    <w:rsid w:val="00422C5E"/>
    <w:rsid w:val="00422C66"/>
    <w:rsid w:val="00422CA3"/>
    <w:rsid w:val="00422DDC"/>
    <w:rsid w:val="00423421"/>
    <w:rsid w:val="004237EE"/>
    <w:rsid w:val="004238C5"/>
    <w:rsid w:val="00423A7F"/>
    <w:rsid w:val="00423B05"/>
    <w:rsid w:val="00423CB1"/>
    <w:rsid w:val="0042420D"/>
    <w:rsid w:val="0042438A"/>
    <w:rsid w:val="004243CE"/>
    <w:rsid w:val="004246B8"/>
    <w:rsid w:val="0042488C"/>
    <w:rsid w:val="00424984"/>
    <w:rsid w:val="00424991"/>
    <w:rsid w:val="00424AD5"/>
    <w:rsid w:val="00424C90"/>
    <w:rsid w:val="00424CC1"/>
    <w:rsid w:val="0042505E"/>
    <w:rsid w:val="004253B1"/>
    <w:rsid w:val="004253C1"/>
    <w:rsid w:val="0042544D"/>
    <w:rsid w:val="004257B8"/>
    <w:rsid w:val="00425C7E"/>
    <w:rsid w:val="00425D58"/>
    <w:rsid w:val="004263F6"/>
    <w:rsid w:val="0042648E"/>
    <w:rsid w:val="0042653E"/>
    <w:rsid w:val="004265B6"/>
    <w:rsid w:val="00426684"/>
    <w:rsid w:val="004267FC"/>
    <w:rsid w:val="00426A55"/>
    <w:rsid w:val="00426B02"/>
    <w:rsid w:val="00426B68"/>
    <w:rsid w:val="00426C3A"/>
    <w:rsid w:val="00426C94"/>
    <w:rsid w:val="00426DB5"/>
    <w:rsid w:val="00426E13"/>
    <w:rsid w:val="00427165"/>
    <w:rsid w:val="00427223"/>
    <w:rsid w:val="00427405"/>
    <w:rsid w:val="00427419"/>
    <w:rsid w:val="004274C3"/>
    <w:rsid w:val="00427712"/>
    <w:rsid w:val="00427D79"/>
    <w:rsid w:val="00427FE7"/>
    <w:rsid w:val="004302F5"/>
    <w:rsid w:val="00430713"/>
    <w:rsid w:val="0043086D"/>
    <w:rsid w:val="0043086F"/>
    <w:rsid w:val="004308D0"/>
    <w:rsid w:val="0043092A"/>
    <w:rsid w:val="00430AD2"/>
    <w:rsid w:val="00430D74"/>
    <w:rsid w:val="00430EBD"/>
    <w:rsid w:val="00430F94"/>
    <w:rsid w:val="00430F9F"/>
    <w:rsid w:val="004313C6"/>
    <w:rsid w:val="00431766"/>
    <w:rsid w:val="0043188D"/>
    <w:rsid w:val="0043197F"/>
    <w:rsid w:val="00431A9E"/>
    <w:rsid w:val="00431C4A"/>
    <w:rsid w:val="00431CA1"/>
    <w:rsid w:val="00431DC0"/>
    <w:rsid w:val="00431ED7"/>
    <w:rsid w:val="00431F65"/>
    <w:rsid w:val="00431FEF"/>
    <w:rsid w:val="00432034"/>
    <w:rsid w:val="00432528"/>
    <w:rsid w:val="0043258A"/>
    <w:rsid w:val="00432CDF"/>
    <w:rsid w:val="00432F91"/>
    <w:rsid w:val="00432FEF"/>
    <w:rsid w:val="00433168"/>
    <w:rsid w:val="004332DF"/>
    <w:rsid w:val="004333D9"/>
    <w:rsid w:val="00433B40"/>
    <w:rsid w:val="00433B74"/>
    <w:rsid w:val="00433CD5"/>
    <w:rsid w:val="00433E39"/>
    <w:rsid w:val="00433E4B"/>
    <w:rsid w:val="00433E7B"/>
    <w:rsid w:val="004341F0"/>
    <w:rsid w:val="004344C8"/>
    <w:rsid w:val="004348D9"/>
    <w:rsid w:val="00434919"/>
    <w:rsid w:val="004349B6"/>
    <w:rsid w:val="00434F5F"/>
    <w:rsid w:val="00434F6B"/>
    <w:rsid w:val="004351CA"/>
    <w:rsid w:val="0043537B"/>
    <w:rsid w:val="004353A7"/>
    <w:rsid w:val="004355A4"/>
    <w:rsid w:val="004356A3"/>
    <w:rsid w:val="0043584D"/>
    <w:rsid w:val="00435941"/>
    <w:rsid w:val="00435F00"/>
    <w:rsid w:val="00435F04"/>
    <w:rsid w:val="004361F3"/>
    <w:rsid w:val="0043625F"/>
    <w:rsid w:val="004362C6"/>
    <w:rsid w:val="004362CF"/>
    <w:rsid w:val="00436452"/>
    <w:rsid w:val="00436470"/>
    <w:rsid w:val="00436528"/>
    <w:rsid w:val="00436619"/>
    <w:rsid w:val="004369B2"/>
    <w:rsid w:val="00436B2C"/>
    <w:rsid w:val="00436B87"/>
    <w:rsid w:val="00437213"/>
    <w:rsid w:val="00437E18"/>
    <w:rsid w:val="00437E7C"/>
    <w:rsid w:val="00437EEC"/>
    <w:rsid w:val="00437F9C"/>
    <w:rsid w:val="004400D1"/>
    <w:rsid w:val="0044013D"/>
    <w:rsid w:val="0044058F"/>
    <w:rsid w:val="004407EE"/>
    <w:rsid w:val="004409F5"/>
    <w:rsid w:val="00440AC7"/>
    <w:rsid w:val="00440D5D"/>
    <w:rsid w:val="00440E48"/>
    <w:rsid w:val="00440F39"/>
    <w:rsid w:val="0044112F"/>
    <w:rsid w:val="00441367"/>
    <w:rsid w:val="0044145C"/>
    <w:rsid w:val="004416B1"/>
    <w:rsid w:val="0044179E"/>
    <w:rsid w:val="00441B1E"/>
    <w:rsid w:val="00441FFE"/>
    <w:rsid w:val="004421D2"/>
    <w:rsid w:val="004425E1"/>
    <w:rsid w:val="00442695"/>
    <w:rsid w:val="004426DC"/>
    <w:rsid w:val="0044278B"/>
    <w:rsid w:val="0044286F"/>
    <w:rsid w:val="00442B29"/>
    <w:rsid w:val="00442D4E"/>
    <w:rsid w:val="00442E17"/>
    <w:rsid w:val="00442F5F"/>
    <w:rsid w:val="00442FC3"/>
    <w:rsid w:val="0044308E"/>
    <w:rsid w:val="0044369A"/>
    <w:rsid w:val="00443850"/>
    <w:rsid w:val="004438B8"/>
    <w:rsid w:val="00443A40"/>
    <w:rsid w:val="00443BFD"/>
    <w:rsid w:val="00443E9B"/>
    <w:rsid w:val="00444188"/>
    <w:rsid w:val="004449D8"/>
    <w:rsid w:val="00444A3B"/>
    <w:rsid w:val="00444B58"/>
    <w:rsid w:val="00444F00"/>
    <w:rsid w:val="00444F2D"/>
    <w:rsid w:val="0044508A"/>
    <w:rsid w:val="004450B9"/>
    <w:rsid w:val="004451CC"/>
    <w:rsid w:val="004451F9"/>
    <w:rsid w:val="0044522A"/>
    <w:rsid w:val="00445334"/>
    <w:rsid w:val="00445553"/>
    <w:rsid w:val="004458B6"/>
    <w:rsid w:val="00445ACE"/>
    <w:rsid w:val="00445AEE"/>
    <w:rsid w:val="00445FC0"/>
    <w:rsid w:val="00446059"/>
    <w:rsid w:val="004462D1"/>
    <w:rsid w:val="0044634E"/>
    <w:rsid w:val="00446468"/>
    <w:rsid w:val="0044666C"/>
    <w:rsid w:val="00446791"/>
    <w:rsid w:val="004469C7"/>
    <w:rsid w:val="0044723A"/>
    <w:rsid w:val="004472E5"/>
    <w:rsid w:val="00447307"/>
    <w:rsid w:val="004473C1"/>
    <w:rsid w:val="0044752E"/>
    <w:rsid w:val="0044769D"/>
    <w:rsid w:val="004479F1"/>
    <w:rsid w:val="00447F14"/>
    <w:rsid w:val="00450186"/>
    <w:rsid w:val="00450294"/>
    <w:rsid w:val="00450702"/>
    <w:rsid w:val="00450B94"/>
    <w:rsid w:val="00450DBB"/>
    <w:rsid w:val="00450E5D"/>
    <w:rsid w:val="00450E9A"/>
    <w:rsid w:val="0045118B"/>
    <w:rsid w:val="0045145D"/>
    <w:rsid w:val="00451514"/>
    <w:rsid w:val="0045152B"/>
    <w:rsid w:val="00451570"/>
    <w:rsid w:val="0045191F"/>
    <w:rsid w:val="00451E8B"/>
    <w:rsid w:val="00451F47"/>
    <w:rsid w:val="004520EC"/>
    <w:rsid w:val="00452112"/>
    <w:rsid w:val="0045230E"/>
    <w:rsid w:val="004523E8"/>
    <w:rsid w:val="004525DA"/>
    <w:rsid w:val="00452684"/>
    <w:rsid w:val="00452AB7"/>
    <w:rsid w:val="00452E75"/>
    <w:rsid w:val="00452F02"/>
    <w:rsid w:val="00453187"/>
    <w:rsid w:val="004532F3"/>
    <w:rsid w:val="00453776"/>
    <w:rsid w:val="00453957"/>
    <w:rsid w:val="0045397E"/>
    <w:rsid w:val="00453CA9"/>
    <w:rsid w:val="0045406E"/>
    <w:rsid w:val="0045421E"/>
    <w:rsid w:val="00454398"/>
    <w:rsid w:val="004544CF"/>
    <w:rsid w:val="0045478C"/>
    <w:rsid w:val="004548A6"/>
    <w:rsid w:val="00454A4A"/>
    <w:rsid w:val="00454D3C"/>
    <w:rsid w:val="00454D9B"/>
    <w:rsid w:val="00454E78"/>
    <w:rsid w:val="00454EB6"/>
    <w:rsid w:val="00454ED3"/>
    <w:rsid w:val="00454F2F"/>
    <w:rsid w:val="00455396"/>
    <w:rsid w:val="004553F4"/>
    <w:rsid w:val="004554D3"/>
    <w:rsid w:val="004556EC"/>
    <w:rsid w:val="004557E1"/>
    <w:rsid w:val="00455881"/>
    <w:rsid w:val="0045596F"/>
    <w:rsid w:val="00455A00"/>
    <w:rsid w:val="00455A6E"/>
    <w:rsid w:val="00455B61"/>
    <w:rsid w:val="00455BE1"/>
    <w:rsid w:val="00455C26"/>
    <w:rsid w:val="00455D6D"/>
    <w:rsid w:val="00455DF4"/>
    <w:rsid w:val="00455DFB"/>
    <w:rsid w:val="00455E61"/>
    <w:rsid w:val="004560E6"/>
    <w:rsid w:val="00456128"/>
    <w:rsid w:val="00456219"/>
    <w:rsid w:val="0045637E"/>
    <w:rsid w:val="00456F29"/>
    <w:rsid w:val="0045703C"/>
    <w:rsid w:val="004570AD"/>
    <w:rsid w:val="0045721B"/>
    <w:rsid w:val="0045732C"/>
    <w:rsid w:val="00457661"/>
    <w:rsid w:val="00457798"/>
    <w:rsid w:val="00457A50"/>
    <w:rsid w:val="00457BBE"/>
    <w:rsid w:val="00457BDA"/>
    <w:rsid w:val="00460060"/>
    <w:rsid w:val="00460073"/>
    <w:rsid w:val="00460269"/>
    <w:rsid w:val="004602FF"/>
    <w:rsid w:val="00460B60"/>
    <w:rsid w:val="00460D31"/>
    <w:rsid w:val="00461053"/>
    <w:rsid w:val="0046105D"/>
    <w:rsid w:val="004613FF"/>
    <w:rsid w:val="004618C4"/>
    <w:rsid w:val="004619CF"/>
    <w:rsid w:val="00461BFB"/>
    <w:rsid w:val="00461CA9"/>
    <w:rsid w:val="00461DAF"/>
    <w:rsid w:val="004620DA"/>
    <w:rsid w:val="00462260"/>
    <w:rsid w:val="0046228F"/>
    <w:rsid w:val="004627C4"/>
    <w:rsid w:val="004628B4"/>
    <w:rsid w:val="004629C6"/>
    <w:rsid w:val="00462B27"/>
    <w:rsid w:val="00462D0D"/>
    <w:rsid w:val="004631FD"/>
    <w:rsid w:val="0046350D"/>
    <w:rsid w:val="00463814"/>
    <w:rsid w:val="00463873"/>
    <w:rsid w:val="00463B60"/>
    <w:rsid w:val="00463EA6"/>
    <w:rsid w:val="00463F8D"/>
    <w:rsid w:val="004641C0"/>
    <w:rsid w:val="0046458E"/>
    <w:rsid w:val="00464664"/>
    <w:rsid w:val="004646A2"/>
    <w:rsid w:val="004647E0"/>
    <w:rsid w:val="00464B2B"/>
    <w:rsid w:val="00464B40"/>
    <w:rsid w:val="00464D56"/>
    <w:rsid w:val="0046503E"/>
    <w:rsid w:val="00465200"/>
    <w:rsid w:val="00465351"/>
    <w:rsid w:val="004654FB"/>
    <w:rsid w:val="00465890"/>
    <w:rsid w:val="00465B61"/>
    <w:rsid w:val="00465C39"/>
    <w:rsid w:val="00466218"/>
    <w:rsid w:val="004662E4"/>
    <w:rsid w:val="0046641A"/>
    <w:rsid w:val="004665BC"/>
    <w:rsid w:val="00466714"/>
    <w:rsid w:val="00466A27"/>
    <w:rsid w:val="00466A4A"/>
    <w:rsid w:val="00466BCD"/>
    <w:rsid w:val="00466BEE"/>
    <w:rsid w:val="00466CC0"/>
    <w:rsid w:val="00466DE2"/>
    <w:rsid w:val="00466FC4"/>
    <w:rsid w:val="0046731F"/>
    <w:rsid w:val="00467ADB"/>
    <w:rsid w:val="00467D54"/>
    <w:rsid w:val="00470041"/>
    <w:rsid w:val="00470106"/>
    <w:rsid w:val="0047025C"/>
    <w:rsid w:val="004703D6"/>
    <w:rsid w:val="004703FB"/>
    <w:rsid w:val="00470893"/>
    <w:rsid w:val="004708B8"/>
    <w:rsid w:val="00470CC1"/>
    <w:rsid w:val="00470CC5"/>
    <w:rsid w:val="00470D12"/>
    <w:rsid w:val="00470FDD"/>
    <w:rsid w:val="0047101C"/>
    <w:rsid w:val="00471059"/>
    <w:rsid w:val="004710F8"/>
    <w:rsid w:val="004711E2"/>
    <w:rsid w:val="0047130E"/>
    <w:rsid w:val="00471334"/>
    <w:rsid w:val="004713BC"/>
    <w:rsid w:val="004716F2"/>
    <w:rsid w:val="00471A13"/>
    <w:rsid w:val="00471AF7"/>
    <w:rsid w:val="00471F1D"/>
    <w:rsid w:val="00471FCD"/>
    <w:rsid w:val="00472010"/>
    <w:rsid w:val="00472184"/>
    <w:rsid w:val="0047230B"/>
    <w:rsid w:val="0047239E"/>
    <w:rsid w:val="004723B1"/>
    <w:rsid w:val="00472644"/>
    <w:rsid w:val="00472695"/>
    <w:rsid w:val="00472B20"/>
    <w:rsid w:val="00472CFB"/>
    <w:rsid w:val="00472E9A"/>
    <w:rsid w:val="0047311A"/>
    <w:rsid w:val="004732A9"/>
    <w:rsid w:val="004735E7"/>
    <w:rsid w:val="004737B6"/>
    <w:rsid w:val="00473E3F"/>
    <w:rsid w:val="00474029"/>
    <w:rsid w:val="004740CD"/>
    <w:rsid w:val="004741EC"/>
    <w:rsid w:val="004741F1"/>
    <w:rsid w:val="00474349"/>
    <w:rsid w:val="004743D0"/>
    <w:rsid w:val="00474776"/>
    <w:rsid w:val="004749C2"/>
    <w:rsid w:val="00474A17"/>
    <w:rsid w:val="00474BB0"/>
    <w:rsid w:val="00474D58"/>
    <w:rsid w:val="00474E13"/>
    <w:rsid w:val="00475041"/>
    <w:rsid w:val="004752AD"/>
    <w:rsid w:val="004752FB"/>
    <w:rsid w:val="0047558D"/>
    <w:rsid w:val="0047590A"/>
    <w:rsid w:val="00475A88"/>
    <w:rsid w:val="00475B04"/>
    <w:rsid w:val="00475CD8"/>
    <w:rsid w:val="00475D7D"/>
    <w:rsid w:val="00476327"/>
    <w:rsid w:val="00476655"/>
    <w:rsid w:val="004767A6"/>
    <w:rsid w:val="00476813"/>
    <w:rsid w:val="004768B0"/>
    <w:rsid w:val="004769CC"/>
    <w:rsid w:val="00476B61"/>
    <w:rsid w:val="00476F85"/>
    <w:rsid w:val="0047708D"/>
    <w:rsid w:val="004770FA"/>
    <w:rsid w:val="00477205"/>
    <w:rsid w:val="00477384"/>
    <w:rsid w:val="00477415"/>
    <w:rsid w:val="00477EC4"/>
    <w:rsid w:val="00477EF2"/>
    <w:rsid w:val="00480366"/>
    <w:rsid w:val="00480528"/>
    <w:rsid w:val="0048054D"/>
    <w:rsid w:val="0048098F"/>
    <w:rsid w:val="004809FA"/>
    <w:rsid w:val="00480E77"/>
    <w:rsid w:val="00480E92"/>
    <w:rsid w:val="00480FBE"/>
    <w:rsid w:val="004810A6"/>
    <w:rsid w:val="00481282"/>
    <w:rsid w:val="004814C8"/>
    <w:rsid w:val="00481612"/>
    <w:rsid w:val="00481688"/>
    <w:rsid w:val="004816BD"/>
    <w:rsid w:val="0048189E"/>
    <w:rsid w:val="00481B2F"/>
    <w:rsid w:val="00481D35"/>
    <w:rsid w:val="00481ED4"/>
    <w:rsid w:val="00482360"/>
    <w:rsid w:val="00482385"/>
    <w:rsid w:val="004824AC"/>
    <w:rsid w:val="00482695"/>
    <w:rsid w:val="004828A9"/>
    <w:rsid w:val="00482956"/>
    <w:rsid w:val="0048296A"/>
    <w:rsid w:val="00482D8D"/>
    <w:rsid w:val="00483287"/>
    <w:rsid w:val="00483377"/>
    <w:rsid w:val="004835AE"/>
    <w:rsid w:val="00483614"/>
    <w:rsid w:val="004836AA"/>
    <w:rsid w:val="00483871"/>
    <w:rsid w:val="00483AE0"/>
    <w:rsid w:val="00483B65"/>
    <w:rsid w:val="00483C10"/>
    <w:rsid w:val="004843BA"/>
    <w:rsid w:val="00484703"/>
    <w:rsid w:val="00484713"/>
    <w:rsid w:val="00484BB9"/>
    <w:rsid w:val="00484C5D"/>
    <w:rsid w:val="00484D3D"/>
    <w:rsid w:val="004851EA"/>
    <w:rsid w:val="004854A7"/>
    <w:rsid w:val="00485921"/>
    <w:rsid w:val="004859AB"/>
    <w:rsid w:val="00485F9A"/>
    <w:rsid w:val="00486573"/>
    <w:rsid w:val="004866F1"/>
    <w:rsid w:val="004869FD"/>
    <w:rsid w:val="00486C97"/>
    <w:rsid w:val="00486E65"/>
    <w:rsid w:val="004871E8"/>
    <w:rsid w:val="004873F3"/>
    <w:rsid w:val="00487651"/>
    <w:rsid w:val="0048783C"/>
    <w:rsid w:val="00487A96"/>
    <w:rsid w:val="00487BD7"/>
    <w:rsid w:val="00487C0B"/>
    <w:rsid w:val="00487D75"/>
    <w:rsid w:val="00487D9B"/>
    <w:rsid w:val="00487E47"/>
    <w:rsid w:val="00490235"/>
    <w:rsid w:val="0049046A"/>
    <w:rsid w:val="004904AB"/>
    <w:rsid w:val="00490659"/>
    <w:rsid w:val="004907F2"/>
    <w:rsid w:val="004907F9"/>
    <w:rsid w:val="00490942"/>
    <w:rsid w:val="00490A88"/>
    <w:rsid w:val="00490C1C"/>
    <w:rsid w:val="00490D68"/>
    <w:rsid w:val="00490EF1"/>
    <w:rsid w:val="0049137F"/>
    <w:rsid w:val="0049180D"/>
    <w:rsid w:val="00491A48"/>
    <w:rsid w:val="00491BB4"/>
    <w:rsid w:val="00491BB5"/>
    <w:rsid w:val="00491C63"/>
    <w:rsid w:val="00491CD3"/>
    <w:rsid w:val="00491D55"/>
    <w:rsid w:val="00491E24"/>
    <w:rsid w:val="00492146"/>
    <w:rsid w:val="004922A5"/>
    <w:rsid w:val="00492426"/>
    <w:rsid w:val="00492536"/>
    <w:rsid w:val="00492C57"/>
    <w:rsid w:val="00492DDF"/>
    <w:rsid w:val="00492F9D"/>
    <w:rsid w:val="004935F1"/>
    <w:rsid w:val="0049366D"/>
    <w:rsid w:val="004936D2"/>
    <w:rsid w:val="00493719"/>
    <w:rsid w:val="00493760"/>
    <w:rsid w:val="0049385C"/>
    <w:rsid w:val="0049391F"/>
    <w:rsid w:val="00493995"/>
    <w:rsid w:val="004939D7"/>
    <w:rsid w:val="00493D8B"/>
    <w:rsid w:val="00493DBF"/>
    <w:rsid w:val="0049438D"/>
    <w:rsid w:val="004943B0"/>
    <w:rsid w:val="004944CD"/>
    <w:rsid w:val="00494514"/>
    <w:rsid w:val="004946BA"/>
    <w:rsid w:val="00494745"/>
    <w:rsid w:val="00494991"/>
    <w:rsid w:val="00494992"/>
    <w:rsid w:val="00494C08"/>
    <w:rsid w:val="00494DAE"/>
    <w:rsid w:val="00494FAA"/>
    <w:rsid w:val="0049550D"/>
    <w:rsid w:val="00495614"/>
    <w:rsid w:val="00495948"/>
    <w:rsid w:val="00495DB0"/>
    <w:rsid w:val="00495E30"/>
    <w:rsid w:val="004960D8"/>
    <w:rsid w:val="00496375"/>
    <w:rsid w:val="00496574"/>
    <w:rsid w:val="00496666"/>
    <w:rsid w:val="0049685E"/>
    <w:rsid w:val="00496A4B"/>
    <w:rsid w:val="00496A69"/>
    <w:rsid w:val="00496B48"/>
    <w:rsid w:val="00496CC9"/>
    <w:rsid w:val="00496D3B"/>
    <w:rsid w:val="00497190"/>
    <w:rsid w:val="004971B3"/>
    <w:rsid w:val="0049750E"/>
    <w:rsid w:val="004977B0"/>
    <w:rsid w:val="0049796A"/>
    <w:rsid w:val="00497D4A"/>
    <w:rsid w:val="00497DCB"/>
    <w:rsid w:val="004A008A"/>
    <w:rsid w:val="004A00B6"/>
    <w:rsid w:val="004A0125"/>
    <w:rsid w:val="004A0147"/>
    <w:rsid w:val="004A0349"/>
    <w:rsid w:val="004A0470"/>
    <w:rsid w:val="004A04A2"/>
    <w:rsid w:val="004A052B"/>
    <w:rsid w:val="004A058B"/>
    <w:rsid w:val="004A0656"/>
    <w:rsid w:val="004A0657"/>
    <w:rsid w:val="004A0711"/>
    <w:rsid w:val="004A0960"/>
    <w:rsid w:val="004A0A0E"/>
    <w:rsid w:val="004A0C8D"/>
    <w:rsid w:val="004A0D02"/>
    <w:rsid w:val="004A0D12"/>
    <w:rsid w:val="004A12EE"/>
    <w:rsid w:val="004A155E"/>
    <w:rsid w:val="004A1666"/>
    <w:rsid w:val="004A1838"/>
    <w:rsid w:val="004A1BCF"/>
    <w:rsid w:val="004A1BDB"/>
    <w:rsid w:val="004A1DAE"/>
    <w:rsid w:val="004A1E39"/>
    <w:rsid w:val="004A2231"/>
    <w:rsid w:val="004A224F"/>
    <w:rsid w:val="004A24B5"/>
    <w:rsid w:val="004A260F"/>
    <w:rsid w:val="004A29E2"/>
    <w:rsid w:val="004A2BD2"/>
    <w:rsid w:val="004A2E7E"/>
    <w:rsid w:val="004A3076"/>
    <w:rsid w:val="004A30B2"/>
    <w:rsid w:val="004A332E"/>
    <w:rsid w:val="004A392A"/>
    <w:rsid w:val="004A3A9A"/>
    <w:rsid w:val="004A3C8A"/>
    <w:rsid w:val="004A3E8D"/>
    <w:rsid w:val="004A4130"/>
    <w:rsid w:val="004A4160"/>
    <w:rsid w:val="004A4390"/>
    <w:rsid w:val="004A4466"/>
    <w:rsid w:val="004A46B1"/>
    <w:rsid w:val="004A49D6"/>
    <w:rsid w:val="004A4B54"/>
    <w:rsid w:val="004A50C6"/>
    <w:rsid w:val="004A5216"/>
    <w:rsid w:val="004A54BA"/>
    <w:rsid w:val="004A55E0"/>
    <w:rsid w:val="004A5670"/>
    <w:rsid w:val="004A5956"/>
    <w:rsid w:val="004A59B3"/>
    <w:rsid w:val="004A59CD"/>
    <w:rsid w:val="004A5C09"/>
    <w:rsid w:val="004A61AC"/>
    <w:rsid w:val="004A6205"/>
    <w:rsid w:val="004A639D"/>
    <w:rsid w:val="004A63D6"/>
    <w:rsid w:val="004A64D1"/>
    <w:rsid w:val="004A667E"/>
    <w:rsid w:val="004A68A4"/>
    <w:rsid w:val="004A6B27"/>
    <w:rsid w:val="004A6BC9"/>
    <w:rsid w:val="004A6D59"/>
    <w:rsid w:val="004A72F2"/>
    <w:rsid w:val="004A73EC"/>
    <w:rsid w:val="004A7491"/>
    <w:rsid w:val="004A765E"/>
    <w:rsid w:val="004A7683"/>
    <w:rsid w:val="004A7695"/>
    <w:rsid w:val="004A78C6"/>
    <w:rsid w:val="004A7CE2"/>
    <w:rsid w:val="004B00B1"/>
    <w:rsid w:val="004B01E7"/>
    <w:rsid w:val="004B0326"/>
    <w:rsid w:val="004B0478"/>
    <w:rsid w:val="004B049A"/>
    <w:rsid w:val="004B0576"/>
    <w:rsid w:val="004B07BA"/>
    <w:rsid w:val="004B0A1F"/>
    <w:rsid w:val="004B0D42"/>
    <w:rsid w:val="004B1134"/>
    <w:rsid w:val="004B1178"/>
    <w:rsid w:val="004B144F"/>
    <w:rsid w:val="004B15F7"/>
    <w:rsid w:val="004B184D"/>
    <w:rsid w:val="004B1B67"/>
    <w:rsid w:val="004B20DD"/>
    <w:rsid w:val="004B24E7"/>
    <w:rsid w:val="004B2513"/>
    <w:rsid w:val="004B2642"/>
    <w:rsid w:val="004B2674"/>
    <w:rsid w:val="004B268B"/>
    <w:rsid w:val="004B27E3"/>
    <w:rsid w:val="004B2F10"/>
    <w:rsid w:val="004B3267"/>
    <w:rsid w:val="004B3476"/>
    <w:rsid w:val="004B35B7"/>
    <w:rsid w:val="004B3890"/>
    <w:rsid w:val="004B38E5"/>
    <w:rsid w:val="004B3A8F"/>
    <w:rsid w:val="004B3BE8"/>
    <w:rsid w:val="004B3BF2"/>
    <w:rsid w:val="004B3C66"/>
    <w:rsid w:val="004B3F46"/>
    <w:rsid w:val="004B3FA8"/>
    <w:rsid w:val="004B41D7"/>
    <w:rsid w:val="004B4241"/>
    <w:rsid w:val="004B4502"/>
    <w:rsid w:val="004B451B"/>
    <w:rsid w:val="004B4648"/>
    <w:rsid w:val="004B46E6"/>
    <w:rsid w:val="004B47E9"/>
    <w:rsid w:val="004B481F"/>
    <w:rsid w:val="004B4A9C"/>
    <w:rsid w:val="004B4DA6"/>
    <w:rsid w:val="004B4F8A"/>
    <w:rsid w:val="004B4FD8"/>
    <w:rsid w:val="004B519B"/>
    <w:rsid w:val="004B525D"/>
    <w:rsid w:val="004B52C8"/>
    <w:rsid w:val="004B54B4"/>
    <w:rsid w:val="004B5706"/>
    <w:rsid w:val="004B57E2"/>
    <w:rsid w:val="004B5904"/>
    <w:rsid w:val="004B5C20"/>
    <w:rsid w:val="004B5EEC"/>
    <w:rsid w:val="004B60F7"/>
    <w:rsid w:val="004B6781"/>
    <w:rsid w:val="004B6855"/>
    <w:rsid w:val="004B6B6F"/>
    <w:rsid w:val="004B6E35"/>
    <w:rsid w:val="004B7380"/>
    <w:rsid w:val="004B75A7"/>
    <w:rsid w:val="004B76AC"/>
    <w:rsid w:val="004B78BD"/>
    <w:rsid w:val="004B79B2"/>
    <w:rsid w:val="004B7B4A"/>
    <w:rsid w:val="004B7D04"/>
    <w:rsid w:val="004B7D14"/>
    <w:rsid w:val="004B7F7C"/>
    <w:rsid w:val="004C015E"/>
    <w:rsid w:val="004C0202"/>
    <w:rsid w:val="004C0676"/>
    <w:rsid w:val="004C06AA"/>
    <w:rsid w:val="004C0855"/>
    <w:rsid w:val="004C08C3"/>
    <w:rsid w:val="004C08DE"/>
    <w:rsid w:val="004C0B7C"/>
    <w:rsid w:val="004C1012"/>
    <w:rsid w:val="004C1838"/>
    <w:rsid w:val="004C1947"/>
    <w:rsid w:val="004C1986"/>
    <w:rsid w:val="004C1A73"/>
    <w:rsid w:val="004C1B02"/>
    <w:rsid w:val="004C1BCB"/>
    <w:rsid w:val="004C1BFF"/>
    <w:rsid w:val="004C1CEC"/>
    <w:rsid w:val="004C1EDF"/>
    <w:rsid w:val="004C2140"/>
    <w:rsid w:val="004C23A2"/>
    <w:rsid w:val="004C2CB8"/>
    <w:rsid w:val="004C362C"/>
    <w:rsid w:val="004C3BC4"/>
    <w:rsid w:val="004C3CC9"/>
    <w:rsid w:val="004C3DB5"/>
    <w:rsid w:val="004C4008"/>
    <w:rsid w:val="004C4083"/>
    <w:rsid w:val="004C4203"/>
    <w:rsid w:val="004C4277"/>
    <w:rsid w:val="004C4448"/>
    <w:rsid w:val="004C4994"/>
    <w:rsid w:val="004C4B55"/>
    <w:rsid w:val="004C4CF9"/>
    <w:rsid w:val="004C4D04"/>
    <w:rsid w:val="004C4F99"/>
    <w:rsid w:val="004C5136"/>
    <w:rsid w:val="004C516F"/>
    <w:rsid w:val="004C531E"/>
    <w:rsid w:val="004C5464"/>
    <w:rsid w:val="004C5675"/>
    <w:rsid w:val="004C58C6"/>
    <w:rsid w:val="004C5A40"/>
    <w:rsid w:val="004C5D46"/>
    <w:rsid w:val="004C5F0A"/>
    <w:rsid w:val="004C6043"/>
    <w:rsid w:val="004C6713"/>
    <w:rsid w:val="004C697D"/>
    <w:rsid w:val="004C6C89"/>
    <w:rsid w:val="004C6C9F"/>
    <w:rsid w:val="004C6F36"/>
    <w:rsid w:val="004C72E7"/>
    <w:rsid w:val="004C7334"/>
    <w:rsid w:val="004C7447"/>
    <w:rsid w:val="004C75C0"/>
    <w:rsid w:val="004C75CC"/>
    <w:rsid w:val="004C7716"/>
    <w:rsid w:val="004C793C"/>
    <w:rsid w:val="004C7A35"/>
    <w:rsid w:val="004C7B68"/>
    <w:rsid w:val="004C7D03"/>
    <w:rsid w:val="004C7D5D"/>
    <w:rsid w:val="004C7D73"/>
    <w:rsid w:val="004C7EA5"/>
    <w:rsid w:val="004D006F"/>
    <w:rsid w:val="004D048F"/>
    <w:rsid w:val="004D04F6"/>
    <w:rsid w:val="004D071F"/>
    <w:rsid w:val="004D073B"/>
    <w:rsid w:val="004D0744"/>
    <w:rsid w:val="004D0778"/>
    <w:rsid w:val="004D0855"/>
    <w:rsid w:val="004D0A08"/>
    <w:rsid w:val="004D0BA4"/>
    <w:rsid w:val="004D0C92"/>
    <w:rsid w:val="004D13EC"/>
    <w:rsid w:val="004D14DF"/>
    <w:rsid w:val="004D1534"/>
    <w:rsid w:val="004D1763"/>
    <w:rsid w:val="004D1A18"/>
    <w:rsid w:val="004D1A45"/>
    <w:rsid w:val="004D1BA7"/>
    <w:rsid w:val="004D1CC8"/>
    <w:rsid w:val="004D1DE4"/>
    <w:rsid w:val="004D2385"/>
    <w:rsid w:val="004D242B"/>
    <w:rsid w:val="004D25EF"/>
    <w:rsid w:val="004D295A"/>
    <w:rsid w:val="004D312B"/>
    <w:rsid w:val="004D3190"/>
    <w:rsid w:val="004D31E4"/>
    <w:rsid w:val="004D3493"/>
    <w:rsid w:val="004D36D2"/>
    <w:rsid w:val="004D372C"/>
    <w:rsid w:val="004D3CA9"/>
    <w:rsid w:val="004D3DB0"/>
    <w:rsid w:val="004D410E"/>
    <w:rsid w:val="004D43A0"/>
    <w:rsid w:val="004D4619"/>
    <w:rsid w:val="004D49E3"/>
    <w:rsid w:val="004D4D6F"/>
    <w:rsid w:val="004D4D82"/>
    <w:rsid w:val="004D4E91"/>
    <w:rsid w:val="004D4FB1"/>
    <w:rsid w:val="004D5A4A"/>
    <w:rsid w:val="004D5A5B"/>
    <w:rsid w:val="004D5B24"/>
    <w:rsid w:val="004D5D2C"/>
    <w:rsid w:val="004D61E2"/>
    <w:rsid w:val="004D6482"/>
    <w:rsid w:val="004D651D"/>
    <w:rsid w:val="004D68EF"/>
    <w:rsid w:val="004D69DB"/>
    <w:rsid w:val="004D6C87"/>
    <w:rsid w:val="004D6DBB"/>
    <w:rsid w:val="004D6F42"/>
    <w:rsid w:val="004D6FE6"/>
    <w:rsid w:val="004D705B"/>
    <w:rsid w:val="004D7268"/>
    <w:rsid w:val="004D75F2"/>
    <w:rsid w:val="004D767F"/>
    <w:rsid w:val="004D7866"/>
    <w:rsid w:val="004E01FC"/>
    <w:rsid w:val="004E08F8"/>
    <w:rsid w:val="004E0DA6"/>
    <w:rsid w:val="004E0F3D"/>
    <w:rsid w:val="004E0F5F"/>
    <w:rsid w:val="004E0FE1"/>
    <w:rsid w:val="004E11A7"/>
    <w:rsid w:val="004E11BA"/>
    <w:rsid w:val="004E1253"/>
    <w:rsid w:val="004E12AE"/>
    <w:rsid w:val="004E1334"/>
    <w:rsid w:val="004E167C"/>
    <w:rsid w:val="004E183D"/>
    <w:rsid w:val="004E1848"/>
    <w:rsid w:val="004E1C8E"/>
    <w:rsid w:val="004E1CDD"/>
    <w:rsid w:val="004E1D4D"/>
    <w:rsid w:val="004E1EF6"/>
    <w:rsid w:val="004E22B5"/>
    <w:rsid w:val="004E261B"/>
    <w:rsid w:val="004E2901"/>
    <w:rsid w:val="004E2E3C"/>
    <w:rsid w:val="004E2EB4"/>
    <w:rsid w:val="004E2F50"/>
    <w:rsid w:val="004E2FD8"/>
    <w:rsid w:val="004E2FDC"/>
    <w:rsid w:val="004E3383"/>
    <w:rsid w:val="004E345B"/>
    <w:rsid w:val="004E34A4"/>
    <w:rsid w:val="004E3664"/>
    <w:rsid w:val="004E36B2"/>
    <w:rsid w:val="004E36C5"/>
    <w:rsid w:val="004E3829"/>
    <w:rsid w:val="004E3943"/>
    <w:rsid w:val="004E3980"/>
    <w:rsid w:val="004E39CF"/>
    <w:rsid w:val="004E3A6F"/>
    <w:rsid w:val="004E437B"/>
    <w:rsid w:val="004E4526"/>
    <w:rsid w:val="004E45D6"/>
    <w:rsid w:val="004E466E"/>
    <w:rsid w:val="004E4792"/>
    <w:rsid w:val="004E4B85"/>
    <w:rsid w:val="004E4BDE"/>
    <w:rsid w:val="004E4C88"/>
    <w:rsid w:val="004E50D1"/>
    <w:rsid w:val="004E517C"/>
    <w:rsid w:val="004E5343"/>
    <w:rsid w:val="004E535E"/>
    <w:rsid w:val="004E541D"/>
    <w:rsid w:val="004E5A6B"/>
    <w:rsid w:val="004E5CB2"/>
    <w:rsid w:val="004E5DD5"/>
    <w:rsid w:val="004E6181"/>
    <w:rsid w:val="004E6252"/>
    <w:rsid w:val="004E62BB"/>
    <w:rsid w:val="004E644D"/>
    <w:rsid w:val="004E688C"/>
    <w:rsid w:val="004E68C8"/>
    <w:rsid w:val="004E6D0F"/>
    <w:rsid w:val="004E7248"/>
    <w:rsid w:val="004E7716"/>
    <w:rsid w:val="004E7B00"/>
    <w:rsid w:val="004F04C2"/>
    <w:rsid w:val="004F07D4"/>
    <w:rsid w:val="004F0E60"/>
    <w:rsid w:val="004F1046"/>
    <w:rsid w:val="004F10E3"/>
    <w:rsid w:val="004F12EF"/>
    <w:rsid w:val="004F171D"/>
    <w:rsid w:val="004F1777"/>
    <w:rsid w:val="004F18F1"/>
    <w:rsid w:val="004F1903"/>
    <w:rsid w:val="004F1A00"/>
    <w:rsid w:val="004F1CFA"/>
    <w:rsid w:val="004F1F07"/>
    <w:rsid w:val="004F2562"/>
    <w:rsid w:val="004F2C6B"/>
    <w:rsid w:val="004F2D59"/>
    <w:rsid w:val="004F2FF3"/>
    <w:rsid w:val="004F3192"/>
    <w:rsid w:val="004F31A8"/>
    <w:rsid w:val="004F31FE"/>
    <w:rsid w:val="004F34C0"/>
    <w:rsid w:val="004F3843"/>
    <w:rsid w:val="004F3A2C"/>
    <w:rsid w:val="004F3A44"/>
    <w:rsid w:val="004F3C7A"/>
    <w:rsid w:val="004F3C96"/>
    <w:rsid w:val="004F3E9C"/>
    <w:rsid w:val="004F40D2"/>
    <w:rsid w:val="004F4799"/>
    <w:rsid w:val="004F4848"/>
    <w:rsid w:val="004F496E"/>
    <w:rsid w:val="004F4A06"/>
    <w:rsid w:val="004F4AE7"/>
    <w:rsid w:val="004F4C8A"/>
    <w:rsid w:val="004F4CC1"/>
    <w:rsid w:val="004F4CEA"/>
    <w:rsid w:val="004F4D04"/>
    <w:rsid w:val="004F5152"/>
    <w:rsid w:val="004F516F"/>
    <w:rsid w:val="004F5313"/>
    <w:rsid w:val="004F53AA"/>
    <w:rsid w:val="004F54B9"/>
    <w:rsid w:val="004F5935"/>
    <w:rsid w:val="004F5AB3"/>
    <w:rsid w:val="004F5B2A"/>
    <w:rsid w:val="004F5E6E"/>
    <w:rsid w:val="004F5E9B"/>
    <w:rsid w:val="004F5F76"/>
    <w:rsid w:val="004F640E"/>
    <w:rsid w:val="004F658B"/>
    <w:rsid w:val="004F658C"/>
    <w:rsid w:val="004F665A"/>
    <w:rsid w:val="004F66A3"/>
    <w:rsid w:val="004F69D2"/>
    <w:rsid w:val="004F6C6B"/>
    <w:rsid w:val="004F6D44"/>
    <w:rsid w:val="004F6D4F"/>
    <w:rsid w:val="004F6F04"/>
    <w:rsid w:val="004F7096"/>
    <w:rsid w:val="004F72F2"/>
    <w:rsid w:val="004F73C3"/>
    <w:rsid w:val="004F748B"/>
    <w:rsid w:val="004F756C"/>
    <w:rsid w:val="004F75EE"/>
    <w:rsid w:val="004F75FE"/>
    <w:rsid w:val="004F79D9"/>
    <w:rsid w:val="004F7ACE"/>
    <w:rsid w:val="004F7F76"/>
    <w:rsid w:val="00500179"/>
    <w:rsid w:val="005007C8"/>
    <w:rsid w:val="005007D3"/>
    <w:rsid w:val="00500985"/>
    <w:rsid w:val="005009EB"/>
    <w:rsid w:val="00500A10"/>
    <w:rsid w:val="00500A12"/>
    <w:rsid w:val="00500B1A"/>
    <w:rsid w:val="00500D7D"/>
    <w:rsid w:val="00500E26"/>
    <w:rsid w:val="00501092"/>
    <w:rsid w:val="005010C6"/>
    <w:rsid w:val="00501289"/>
    <w:rsid w:val="005012FD"/>
    <w:rsid w:val="0050140F"/>
    <w:rsid w:val="005016F5"/>
    <w:rsid w:val="005017C9"/>
    <w:rsid w:val="005017F8"/>
    <w:rsid w:val="00501959"/>
    <w:rsid w:val="00501FB2"/>
    <w:rsid w:val="00502033"/>
    <w:rsid w:val="00502236"/>
    <w:rsid w:val="005026B2"/>
    <w:rsid w:val="005026CB"/>
    <w:rsid w:val="005026F6"/>
    <w:rsid w:val="005027A6"/>
    <w:rsid w:val="005027AC"/>
    <w:rsid w:val="00502901"/>
    <w:rsid w:val="00502A6F"/>
    <w:rsid w:val="00502AFE"/>
    <w:rsid w:val="00502B84"/>
    <w:rsid w:val="00502C89"/>
    <w:rsid w:val="00502D30"/>
    <w:rsid w:val="005030C3"/>
    <w:rsid w:val="005030D7"/>
    <w:rsid w:val="005032B5"/>
    <w:rsid w:val="0050342F"/>
    <w:rsid w:val="00503B50"/>
    <w:rsid w:val="00503EF7"/>
    <w:rsid w:val="0050458C"/>
    <w:rsid w:val="005045FC"/>
    <w:rsid w:val="005049B6"/>
    <w:rsid w:val="005049EA"/>
    <w:rsid w:val="00504C94"/>
    <w:rsid w:val="00504CF8"/>
    <w:rsid w:val="00504DAC"/>
    <w:rsid w:val="00504E75"/>
    <w:rsid w:val="00504EAB"/>
    <w:rsid w:val="00504EE8"/>
    <w:rsid w:val="00504F9D"/>
    <w:rsid w:val="00504FD1"/>
    <w:rsid w:val="0050509D"/>
    <w:rsid w:val="005050A2"/>
    <w:rsid w:val="005051A3"/>
    <w:rsid w:val="005051C3"/>
    <w:rsid w:val="00505536"/>
    <w:rsid w:val="005056E4"/>
    <w:rsid w:val="00505794"/>
    <w:rsid w:val="00505889"/>
    <w:rsid w:val="00505924"/>
    <w:rsid w:val="00505A22"/>
    <w:rsid w:val="00505AFD"/>
    <w:rsid w:val="00505D23"/>
    <w:rsid w:val="00505D40"/>
    <w:rsid w:val="00505E51"/>
    <w:rsid w:val="0050607F"/>
    <w:rsid w:val="005060FC"/>
    <w:rsid w:val="0050621C"/>
    <w:rsid w:val="005063E9"/>
    <w:rsid w:val="00506435"/>
    <w:rsid w:val="00506596"/>
    <w:rsid w:val="00506637"/>
    <w:rsid w:val="005066AE"/>
    <w:rsid w:val="00506853"/>
    <w:rsid w:val="00506F0F"/>
    <w:rsid w:val="00506F3C"/>
    <w:rsid w:val="00506FC4"/>
    <w:rsid w:val="005071F3"/>
    <w:rsid w:val="00507325"/>
    <w:rsid w:val="005073AA"/>
    <w:rsid w:val="005073E1"/>
    <w:rsid w:val="005075AA"/>
    <w:rsid w:val="00507688"/>
    <w:rsid w:val="00507A7E"/>
    <w:rsid w:val="00507AB9"/>
    <w:rsid w:val="00507D5D"/>
    <w:rsid w:val="00507FC7"/>
    <w:rsid w:val="00510105"/>
    <w:rsid w:val="00510190"/>
    <w:rsid w:val="005106B2"/>
    <w:rsid w:val="0051074B"/>
    <w:rsid w:val="005109B4"/>
    <w:rsid w:val="00510BB8"/>
    <w:rsid w:val="00510EAA"/>
    <w:rsid w:val="0051114F"/>
    <w:rsid w:val="005112F3"/>
    <w:rsid w:val="00511435"/>
    <w:rsid w:val="00511524"/>
    <w:rsid w:val="00511534"/>
    <w:rsid w:val="00511795"/>
    <w:rsid w:val="00511ACA"/>
    <w:rsid w:val="00511BFB"/>
    <w:rsid w:val="00511CFB"/>
    <w:rsid w:val="0051204E"/>
    <w:rsid w:val="005120D5"/>
    <w:rsid w:val="0051231F"/>
    <w:rsid w:val="005123A2"/>
    <w:rsid w:val="00512759"/>
    <w:rsid w:val="00512A7F"/>
    <w:rsid w:val="00512AE5"/>
    <w:rsid w:val="00512C00"/>
    <w:rsid w:val="00513544"/>
    <w:rsid w:val="005137FD"/>
    <w:rsid w:val="0051397A"/>
    <w:rsid w:val="00513E6D"/>
    <w:rsid w:val="00513FA0"/>
    <w:rsid w:val="00514374"/>
    <w:rsid w:val="00514554"/>
    <w:rsid w:val="00514766"/>
    <w:rsid w:val="00514851"/>
    <w:rsid w:val="00514930"/>
    <w:rsid w:val="00514AA1"/>
    <w:rsid w:val="00514B7B"/>
    <w:rsid w:val="00514C7C"/>
    <w:rsid w:val="00515197"/>
    <w:rsid w:val="005151ED"/>
    <w:rsid w:val="0051559A"/>
    <w:rsid w:val="00515797"/>
    <w:rsid w:val="005158ED"/>
    <w:rsid w:val="00515A90"/>
    <w:rsid w:val="00515D14"/>
    <w:rsid w:val="00515E1C"/>
    <w:rsid w:val="00516048"/>
    <w:rsid w:val="00516131"/>
    <w:rsid w:val="00516276"/>
    <w:rsid w:val="005165E5"/>
    <w:rsid w:val="0051678D"/>
    <w:rsid w:val="005167BF"/>
    <w:rsid w:val="005167E5"/>
    <w:rsid w:val="0051699B"/>
    <w:rsid w:val="00516A8E"/>
    <w:rsid w:val="00516AC9"/>
    <w:rsid w:val="00516B9F"/>
    <w:rsid w:val="00516DAC"/>
    <w:rsid w:val="00516F39"/>
    <w:rsid w:val="0051710E"/>
    <w:rsid w:val="00517225"/>
    <w:rsid w:val="005173C2"/>
    <w:rsid w:val="0051742C"/>
    <w:rsid w:val="0051750A"/>
    <w:rsid w:val="0051791B"/>
    <w:rsid w:val="00517991"/>
    <w:rsid w:val="00517B0E"/>
    <w:rsid w:val="00517BC2"/>
    <w:rsid w:val="00517F22"/>
    <w:rsid w:val="005201E9"/>
    <w:rsid w:val="005202A3"/>
    <w:rsid w:val="0052035D"/>
    <w:rsid w:val="005206D4"/>
    <w:rsid w:val="005207EC"/>
    <w:rsid w:val="0052099E"/>
    <w:rsid w:val="00520ADE"/>
    <w:rsid w:val="00520E94"/>
    <w:rsid w:val="005210B0"/>
    <w:rsid w:val="0052159B"/>
    <w:rsid w:val="005215FC"/>
    <w:rsid w:val="00521AD5"/>
    <w:rsid w:val="00521BE7"/>
    <w:rsid w:val="00521CA5"/>
    <w:rsid w:val="00521FC8"/>
    <w:rsid w:val="00522076"/>
    <w:rsid w:val="005220BF"/>
    <w:rsid w:val="005222E9"/>
    <w:rsid w:val="00522371"/>
    <w:rsid w:val="0052254D"/>
    <w:rsid w:val="0052256C"/>
    <w:rsid w:val="005226A0"/>
    <w:rsid w:val="0052288F"/>
    <w:rsid w:val="00522911"/>
    <w:rsid w:val="0052291B"/>
    <w:rsid w:val="00522F2F"/>
    <w:rsid w:val="00522F5A"/>
    <w:rsid w:val="00523038"/>
    <w:rsid w:val="00523040"/>
    <w:rsid w:val="0052316C"/>
    <w:rsid w:val="00523326"/>
    <w:rsid w:val="0052380F"/>
    <w:rsid w:val="00523BB1"/>
    <w:rsid w:val="00523BE8"/>
    <w:rsid w:val="00523E02"/>
    <w:rsid w:val="00523E81"/>
    <w:rsid w:val="005240F1"/>
    <w:rsid w:val="00524160"/>
    <w:rsid w:val="00524163"/>
    <w:rsid w:val="00524708"/>
    <w:rsid w:val="00524745"/>
    <w:rsid w:val="00524E4C"/>
    <w:rsid w:val="00524E74"/>
    <w:rsid w:val="0052506D"/>
    <w:rsid w:val="0052522A"/>
    <w:rsid w:val="005254B9"/>
    <w:rsid w:val="005254C6"/>
    <w:rsid w:val="0052553C"/>
    <w:rsid w:val="0052593F"/>
    <w:rsid w:val="00525B17"/>
    <w:rsid w:val="00525D72"/>
    <w:rsid w:val="00525F6E"/>
    <w:rsid w:val="005262D8"/>
    <w:rsid w:val="00526342"/>
    <w:rsid w:val="00526364"/>
    <w:rsid w:val="0052698C"/>
    <w:rsid w:val="00526A95"/>
    <w:rsid w:val="00526BA0"/>
    <w:rsid w:val="00526C5D"/>
    <w:rsid w:val="00526DA8"/>
    <w:rsid w:val="00526E3F"/>
    <w:rsid w:val="00526FC6"/>
    <w:rsid w:val="005270FE"/>
    <w:rsid w:val="00527335"/>
    <w:rsid w:val="00527452"/>
    <w:rsid w:val="00527573"/>
    <w:rsid w:val="00527595"/>
    <w:rsid w:val="00527824"/>
    <w:rsid w:val="00527A00"/>
    <w:rsid w:val="00527D07"/>
    <w:rsid w:val="00527D98"/>
    <w:rsid w:val="00530225"/>
    <w:rsid w:val="00530727"/>
    <w:rsid w:val="00530749"/>
    <w:rsid w:val="0053094C"/>
    <w:rsid w:val="00530D64"/>
    <w:rsid w:val="00530DFE"/>
    <w:rsid w:val="00530FA4"/>
    <w:rsid w:val="0053117F"/>
    <w:rsid w:val="00531804"/>
    <w:rsid w:val="00531874"/>
    <w:rsid w:val="00531A6D"/>
    <w:rsid w:val="00531CBF"/>
    <w:rsid w:val="00531D2F"/>
    <w:rsid w:val="00531E42"/>
    <w:rsid w:val="00531F82"/>
    <w:rsid w:val="005320E5"/>
    <w:rsid w:val="0053260E"/>
    <w:rsid w:val="005326A5"/>
    <w:rsid w:val="00532B0D"/>
    <w:rsid w:val="00532BEF"/>
    <w:rsid w:val="00532C9D"/>
    <w:rsid w:val="00533100"/>
    <w:rsid w:val="005331D4"/>
    <w:rsid w:val="005334C4"/>
    <w:rsid w:val="005334DE"/>
    <w:rsid w:val="005334E9"/>
    <w:rsid w:val="005335BB"/>
    <w:rsid w:val="00533672"/>
    <w:rsid w:val="00533785"/>
    <w:rsid w:val="00533849"/>
    <w:rsid w:val="005342D3"/>
    <w:rsid w:val="0053432E"/>
    <w:rsid w:val="00534502"/>
    <w:rsid w:val="00534550"/>
    <w:rsid w:val="00534B67"/>
    <w:rsid w:val="00534B82"/>
    <w:rsid w:val="00534C27"/>
    <w:rsid w:val="00535145"/>
    <w:rsid w:val="0053571C"/>
    <w:rsid w:val="0053572C"/>
    <w:rsid w:val="00535752"/>
    <w:rsid w:val="0053589A"/>
    <w:rsid w:val="00535B13"/>
    <w:rsid w:val="00535C70"/>
    <w:rsid w:val="00535F39"/>
    <w:rsid w:val="00535F8A"/>
    <w:rsid w:val="0053648F"/>
    <w:rsid w:val="005367F1"/>
    <w:rsid w:val="0053681C"/>
    <w:rsid w:val="00536931"/>
    <w:rsid w:val="0053694B"/>
    <w:rsid w:val="00536A28"/>
    <w:rsid w:val="00536A65"/>
    <w:rsid w:val="00536D11"/>
    <w:rsid w:val="00536DCA"/>
    <w:rsid w:val="00536FAB"/>
    <w:rsid w:val="00537368"/>
    <w:rsid w:val="005379EE"/>
    <w:rsid w:val="00537B25"/>
    <w:rsid w:val="00537BE1"/>
    <w:rsid w:val="00537CB8"/>
    <w:rsid w:val="0053A998"/>
    <w:rsid w:val="005405A8"/>
    <w:rsid w:val="005405C5"/>
    <w:rsid w:val="00540923"/>
    <w:rsid w:val="00540BBD"/>
    <w:rsid w:val="00540DD5"/>
    <w:rsid w:val="00540E58"/>
    <w:rsid w:val="0054110C"/>
    <w:rsid w:val="00541181"/>
    <w:rsid w:val="005412F9"/>
    <w:rsid w:val="00541306"/>
    <w:rsid w:val="005413D3"/>
    <w:rsid w:val="005414AB"/>
    <w:rsid w:val="0054150B"/>
    <w:rsid w:val="005417A6"/>
    <w:rsid w:val="00541B3B"/>
    <w:rsid w:val="00541C02"/>
    <w:rsid w:val="00541FF1"/>
    <w:rsid w:val="00542431"/>
    <w:rsid w:val="0054245D"/>
    <w:rsid w:val="005424A4"/>
    <w:rsid w:val="0054280A"/>
    <w:rsid w:val="00542EDC"/>
    <w:rsid w:val="00542F19"/>
    <w:rsid w:val="00542F86"/>
    <w:rsid w:val="00542FD6"/>
    <w:rsid w:val="00543143"/>
    <w:rsid w:val="005435DF"/>
    <w:rsid w:val="005436A5"/>
    <w:rsid w:val="0054391C"/>
    <w:rsid w:val="0054396C"/>
    <w:rsid w:val="00543A37"/>
    <w:rsid w:val="00543BEE"/>
    <w:rsid w:val="00543DB9"/>
    <w:rsid w:val="00543DC8"/>
    <w:rsid w:val="00543FCB"/>
    <w:rsid w:val="0054417F"/>
    <w:rsid w:val="00544317"/>
    <w:rsid w:val="0054434D"/>
    <w:rsid w:val="005444BF"/>
    <w:rsid w:val="00544526"/>
    <w:rsid w:val="00544580"/>
    <w:rsid w:val="00544634"/>
    <w:rsid w:val="005449E9"/>
    <w:rsid w:val="00544B72"/>
    <w:rsid w:val="00544C10"/>
    <w:rsid w:val="00544C12"/>
    <w:rsid w:val="00544C61"/>
    <w:rsid w:val="00544DB0"/>
    <w:rsid w:val="00545051"/>
    <w:rsid w:val="00545376"/>
    <w:rsid w:val="005453C5"/>
    <w:rsid w:val="00545429"/>
    <w:rsid w:val="0054548D"/>
    <w:rsid w:val="0054560B"/>
    <w:rsid w:val="00545665"/>
    <w:rsid w:val="005457FD"/>
    <w:rsid w:val="00545828"/>
    <w:rsid w:val="00545874"/>
    <w:rsid w:val="00545906"/>
    <w:rsid w:val="00545AF2"/>
    <w:rsid w:val="00545DB2"/>
    <w:rsid w:val="00545E60"/>
    <w:rsid w:val="00545F1A"/>
    <w:rsid w:val="00545F8E"/>
    <w:rsid w:val="00546046"/>
    <w:rsid w:val="005462BA"/>
    <w:rsid w:val="005463A0"/>
    <w:rsid w:val="005466C8"/>
    <w:rsid w:val="005467DB"/>
    <w:rsid w:val="00546C56"/>
    <w:rsid w:val="00546CAE"/>
    <w:rsid w:val="00546D41"/>
    <w:rsid w:val="00546DA0"/>
    <w:rsid w:val="00546E3E"/>
    <w:rsid w:val="00546E46"/>
    <w:rsid w:val="00546EE4"/>
    <w:rsid w:val="00546FBA"/>
    <w:rsid w:val="0054713B"/>
    <w:rsid w:val="00547187"/>
    <w:rsid w:val="005471C8"/>
    <w:rsid w:val="005473BD"/>
    <w:rsid w:val="0054782B"/>
    <w:rsid w:val="00547B22"/>
    <w:rsid w:val="00547EFC"/>
    <w:rsid w:val="00547FA9"/>
    <w:rsid w:val="0055003D"/>
    <w:rsid w:val="005500E9"/>
    <w:rsid w:val="0055017E"/>
    <w:rsid w:val="005501ED"/>
    <w:rsid w:val="00550272"/>
    <w:rsid w:val="00550285"/>
    <w:rsid w:val="005503C0"/>
    <w:rsid w:val="005504C6"/>
    <w:rsid w:val="00550799"/>
    <w:rsid w:val="00550981"/>
    <w:rsid w:val="00550D84"/>
    <w:rsid w:val="00550DC5"/>
    <w:rsid w:val="00550F12"/>
    <w:rsid w:val="00551269"/>
    <w:rsid w:val="00551328"/>
    <w:rsid w:val="0055164C"/>
    <w:rsid w:val="00551A0A"/>
    <w:rsid w:val="00551B41"/>
    <w:rsid w:val="00551C34"/>
    <w:rsid w:val="00551ED3"/>
    <w:rsid w:val="00551F46"/>
    <w:rsid w:val="00551F9E"/>
    <w:rsid w:val="005522CB"/>
    <w:rsid w:val="005522CD"/>
    <w:rsid w:val="00552487"/>
    <w:rsid w:val="0055250E"/>
    <w:rsid w:val="00552844"/>
    <w:rsid w:val="0055286C"/>
    <w:rsid w:val="00552874"/>
    <w:rsid w:val="0055291E"/>
    <w:rsid w:val="00552B0E"/>
    <w:rsid w:val="00552B2C"/>
    <w:rsid w:val="00552B33"/>
    <w:rsid w:val="00552FFF"/>
    <w:rsid w:val="0055310B"/>
    <w:rsid w:val="00553156"/>
    <w:rsid w:val="005531A5"/>
    <w:rsid w:val="0055329D"/>
    <w:rsid w:val="005534D6"/>
    <w:rsid w:val="00553755"/>
    <w:rsid w:val="00553A94"/>
    <w:rsid w:val="00553ACB"/>
    <w:rsid w:val="00553CF9"/>
    <w:rsid w:val="00553DC1"/>
    <w:rsid w:val="005541FE"/>
    <w:rsid w:val="0055421C"/>
    <w:rsid w:val="0055449F"/>
    <w:rsid w:val="005544D9"/>
    <w:rsid w:val="00554671"/>
    <w:rsid w:val="00554D39"/>
    <w:rsid w:val="00554DD7"/>
    <w:rsid w:val="00554EBC"/>
    <w:rsid w:val="005555C2"/>
    <w:rsid w:val="0055588A"/>
    <w:rsid w:val="00555ADB"/>
    <w:rsid w:val="00555C99"/>
    <w:rsid w:val="0055639E"/>
    <w:rsid w:val="005564AC"/>
    <w:rsid w:val="00556718"/>
    <w:rsid w:val="00556949"/>
    <w:rsid w:val="00556CAF"/>
    <w:rsid w:val="0055716E"/>
    <w:rsid w:val="00557312"/>
    <w:rsid w:val="0055740F"/>
    <w:rsid w:val="00557722"/>
    <w:rsid w:val="005577C5"/>
    <w:rsid w:val="005577E5"/>
    <w:rsid w:val="00557933"/>
    <w:rsid w:val="00557A5C"/>
    <w:rsid w:val="00560132"/>
    <w:rsid w:val="00560183"/>
    <w:rsid w:val="0056033E"/>
    <w:rsid w:val="005607BC"/>
    <w:rsid w:val="00560AC7"/>
    <w:rsid w:val="00560C1D"/>
    <w:rsid w:val="00560C93"/>
    <w:rsid w:val="00560D87"/>
    <w:rsid w:val="00560F99"/>
    <w:rsid w:val="005611CB"/>
    <w:rsid w:val="0056153A"/>
    <w:rsid w:val="005615F7"/>
    <w:rsid w:val="005619E8"/>
    <w:rsid w:val="005619FD"/>
    <w:rsid w:val="00561C20"/>
    <w:rsid w:val="00562105"/>
    <w:rsid w:val="00562664"/>
    <w:rsid w:val="0056297D"/>
    <w:rsid w:val="00562A7D"/>
    <w:rsid w:val="005634EB"/>
    <w:rsid w:val="0056362B"/>
    <w:rsid w:val="00563C94"/>
    <w:rsid w:val="00563CD4"/>
    <w:rsid w:val="00563ED5"/>
    <w:rsid w:val="00563F85"/>
    <w:rsid w:val="0056400F"/>
    <w:rsid w:val="00564101"/>
    <w:rsid w:val="005649E3"/>
    <w:rsid w:val="00564FDB"/>
    <w:rsid w:val="00565081"/>
    <w:rsid w:val="00565146"/>
    <w:rsid w:val="00565563"/>
    <w:rsid w:val="00565886"/>
    <w:rsid w:val="0056591A"/>
    <w:rsid w:val="00565AC5"/>
    <w:rsid w:val="00566339"/>
    <w:rsid w:val="00566777"/>
    <w:rsid w:val="00566B4D"/>
    <w:rsid w:val="00566BB6"/>
    <w:rsid w:val="00566CAD"/>
    <w:rsid w:val="005673A0"/>
    <w:rsid w:val="005673F7"/>
    <w:rsid w:val="005674A2"/>
    <w:rsid w:val="0056772B"/>
    <w:rsid w:val="00567E2C"/>
    <w:rsid w:val="00567FBA"/>
    <w:rsid w:val="005700DC"/>
    <w:rsid w:val="005701DB"/>
    <w:rsid w:val="00570293"/>
    <w:rsid w:val="00570409"/>
    <w:rsid w:val="005705F7"/>
    <w:rsid w:val="00570770"/>
    <w:rsid w:val="00570787"/>
    <w:rsid w:val="00570B11"/>
    <w:rsid w:val="00570C1C"/>
    <w:rsid w:val="00570D07"/>
    <w:rsid w:val="00570D83"/>
    <w:rsid w:val="005710A1"/>
    <w:rsid w:val="005710B5"/>
    <w:rsid w:val="0057110B"/>
    <w:rsid w:val="00571254"/>
    <w:rsid w:val="00571388"/>
    <w:rsid w:val="005715D8"/>
    <w:rsid w:val="005715F0"/>
    <w:rsid w:val="0057161E"/>
    <w:rsid w:val="00571802"/>
    <w:rsid w:val="00571878"/>
    <w:rsid w:val="00571D12"/>
    <w:rsid w:val="00571DD4"/>
    <w:rsid w:val="0057244B"/>
    <w:rsid w:val="00572976"/>
    <w:rsid w:val="00572E59"/>
    <w:rsid w:val="00573421"/>
    <w:rsid w:val="005734CE"/>
    <w:rsid w:val="00573AD0"/>
    <w:rsid w:val="00573BCB"/>
    <w:rsid w:val="00573BE2"/>
    <w:rsid w:val="00573CA8"/>
    <w:rsid w:val="00573FAB"/>
    <w:rsid w:val="00574669"/>
    <w:rsid w:val="00574768"/>
    <w:rsid w:val="005748EC"/>
    <w:rsid w:val="00574AAD"/>
    <w:rsid w:val="00574B93"/>
    <w:rsid w:val="00574CAE"/>
    <w:rsid w:val="00574D66"/>
    <w:rsid w:val="00574DF5"/>
    <w:rsid w:val="00574E81"/>
    <w:rsid w:val="00575041"/>
    <w:rsid w:val="00575154"/>
    <w:rsid w:val="00575511"/>
    <w:rsid w:val="00575650"/>
    <w:rsid w:val="00575DD0"/>
    <w:rsid w:val="00576783"/>
    <w:rsid w:val="005768AF"/>
    <w:rsid w:val="005768B9"/>
    <w:rsid w:val="0057696E"/>
    <w:rsid w:val="005770EA"/>
    <w:rsid w:val="00577351"/>
    <w:rsid w:val="005775CD"/>
    <w:rsid w:val="00577631"/>
    <w:rsid w:val="00577698"/>
    <w:rsid w:val="005777D4"/>
    <w:rsid w:val="005777E3"/>
    <w:rsid w:val="00577D06"/>
    <w:rsid w:val="00577D95"/>
    <w:rsid w:val="00577DD0"/>
    <w:rsid w:val="00580318"/>
    <w:rsid w:val="005805FA"/>
    <w:rsid w:val="00580886"/>
    <w:rsid w:val="00580901"/>
    <w:rsid w:val="00580910"/>
    <w:rsid w:val="00580AA7"/>
    <w:rsid w:val="00580D30"/>
    <w:rsid w:val="00580E20"/>
    <w:rsid w:val="00581080"/>
    <w:rsid w:val="005811F3"/>
    <w:rsid w:val="00581358"/>
    <w:rsid w:val="005813FE"/>
    <w:rsid w:val="005814B6"/>
    <w:rsid w:val="00581633"/>
    <w:rsid w:val="00581657"/>
    <w:rsid w:val="00581BBC"/>
    <w:rsid w:val="0058214F"/>
    <w:rsid w:val="00582419"/>
    <w:rsid w:val="00582681"/>
    <w:rsid w:val="005828EC"/>
    <w:rsid w:val="00582AC2"/>
    <w:rsid w:val="00582D80"/>
    <w:rsid w:val="00582DC7"/>
    <w:rsid w:val="00583366"/>
    <w:rsid w:val="00583499"/>
    <w:rsid w:val="0058349A"/>
    <w:rsid w:val="005836F0"/>
    <w:rsid w:val="0058387F"/>
    <w:rsid w:val="00583897"/>
    <w:rsid w:val="00583C5A"/>
    <w:rsid w:val="00583CFF"/>
    <w:rsid w:val="00583F68"/>
    <w:rsid w:val="00584188"/>
    <w:rsid w:val="005844AB"/>
    <w:rsid w:val="005844EF"/>
    <w:rsid w:val="00584653"/>
    <w:rsid w:val="00584715"/>
    <w:rsid w:val="00584879"/>
    <w:rsid w:val="0058497D"/>
    <w:rsid w:val="00584AB0"/>
    <w:rsid w:val="00584B93"/>
    <w:rsid w:val="00584E70"/>
    <w:rsid w:val="00585011"/>
    <w:rsid w:val="005850BB"/>
    <w:rsid w:val="0058532A"/>
    <w:rsid w:val="00585452"/>
    <w:rsid w:val="00585711"/>
    <w:rsid w:val="00585B33"/>
    <w:rsid w:val="005860F1"/>
    <w:rsid w:val="00586343"/>
    <w:rsid w:val="00586711"/>
    <w:rsid w:val="00586A74"/>
    <w:rsid w:val="00586BE8"/>
    <w:rsid w:val="00586C87"/>
    <w:rsid w:val="00586CB4"/>
    <w:rsid w:val="00586CB5"/>
    <w:rsid w:val="00586CF4"/>
    <w:rsid w:val="00586E13"/>
    <w:rsid w:val="00586FBC"/>
    <w:rsid w:val="00587079"/>
    <w:rsid w:val="00587488"/>
    <w:rsid w:val="0058749C"/>
    <w:rsid w:val="0058758A"/>
    <w:rsid w:val="005875BE"/>
    <w:rsid w:val="00587BA5"/>
    <w:rsid w:val="00587D20"/>
    <w:rsid w:val="0059014B"/>
    <w:rsid w:val="005901BE"/>
    <w:rsid w:val="005902F0"/>
    <w:rsid w:val="005904CA"/>
    <w:rsid w:val="00590586"/>
    <w:rsid w:val="00590621"/>
    <w:rsid w:val="0059068E"/>
    <w:rsid w:val="00590697"/>
    <w:rsid w:val="005908CA"/>
    <w:rsid w:val="00590997"/>
    <w:rsid w:val="00590A1F"/>
    <w:rsid w:val="00590A45"/>
    <w:rsid w:val="00590CCA"/>
    <w:rsid w:val="00590DEF"/>
    <w:rsid w:val="00590E8E"/>
    <w:rsid w:val="00590EEB"/>
    <w:rsid w:val="00590FC7"/>
    <w:rsid w:val="00590FCD"/>
    <w:rsid w:val="00590FEE"/>
    <w:rsid w:val="005911AB"/>
    <w:rsid w:val="0059123D"/>
    <w:rsid w:val="005914BA"/>
    <w:rsid w:val="00591578"/>
    <w:rsid w:val="00591587"/>
    <w:rsid w:val="00591685"/>
    <w:rsid w:val="0059171F"/>
    <w:rsid w:val="0059181F"/>
    <w:rsid w:val="00591A7D"/>
    <w:rsid w:val="0059210E"/>
    <w:rsid w:val="005922D8"/>
    <w:rsid w:val="005924CB"/>
    <w:rsid w:val="005925BF"/>
    <w:rsid w:val="005927F2"/>
    <w:rsid w:val="00592843"/>
    <w:rsid w:val="00592867"/>
    <w:rsid w:val="00592AE1"/>
    <w:rsid w:val="00592C0D"/>
    <w:rsid w:val="005930A4"/>
    <w:rsid w:val="005931B7"/>
    <w:rsid w:val="005932C9"/>
    <w:rsid w:val="00593694"/>
    <w:rsid w:val="00593A3F"/>
    <w:rsid w:val="0059414C"/>
    <w:rsid w:val="005946E3"/>
    <w:rsid w:val="00594818"/>
    <w:rsid w:val="00594AA9"/>
    <w:rsid w:val="00594FFE"/>
    <w:rsid w:val="005951AA"/>
    <w:rsid w:val="0059573E"/>
    <w:rsid w:val="0059582C"/>
    <w:rsid w:val="00595B45"/>
    <w:rsid w:val="00595DDD"/>
    <w:rsid w:val="00595EC4"/>
    <w:rsid w:val="00595FB9"/>
    <w:rsid w:val="005960C8"/>
    <w:rsid w:val="00596458"/>
    <w:rsid w:val="00596540"/>
    <w:rsid w:val="00596B54"/>
    <w:rsid w:val="00596E74"/>
    <w:rsid w:val="00596ED8"/>
    <w:rsid w:val="00596F9C"/>
    <w:rsid w:val="00597208"/>
    <w:rsid w:val="00597432"/>
    <w:rsid w:val="00597810"/>
    <w:rsid w:val="0059781B"/>
    <w:rsid w:val="00597954"/>
    <w:rsid w:val="00597AC5"/>
    <w:rsid w:val="00597DC7"/>
    <w:rsid w:val="00597ED2"/>
    <w:rsid w:val="005A067F"/>
    <w:rsid w:val="005A06A3"/>
    <w:rsid w:val="005A07AD"/>
    <w:rsid w:val="005A0C10"/>
    <w:rsid w:val="005A0FD0"/>
    <w:rsid w:val="005A1071"/>
    <w:rsid w:val="005A10E6"/>
    <w:rsid w:val="005A14DB"/>
    <w:rsid w:val="005A175B"/>
    <w:rsid w:val="005A18F3"/>
    <w:rsid w:val="005A1A70"/>
    <w:rsid w:val="005A1E80"/>
    <w:rsid w:val="005A1E9E"/>
    <w:rsid w:val="005A1EE8"/>
    <w:rsid w:val="005A2298"/>
    <w:rsid w:val="005A2384"/>
    <w:rsid w:val="005A2435"/>
    <w:rsid w:val="005A24D2"/>
    <w:rsid w:val="005A2880"/>
    <w:rsid w:val="005A2A4E"/>
    <w:rsid w:val="005A2BB5"/>
    <w:rsid w:val="005A2C87"/>
    <w:rsid w:val="005A370E"/>
    <w:rsid w:val="005A373F"/>
    <w:rsid w:val="005A3748"/>
    <w:rsid w:val="005A3870"/>
    <w:rsid w:val="005A3905"/>
    <w:rsid w:val="005A3983"/>
    <w:rsid w:val="005A3E61"/>
    <w:rsid w:val="005A40A7"/>
    <w:rsid w:val="005A463C"/>
    <w:rsid w:val="005A474B"/>
    <w:rsid w:val="005A4836"/>
    <w:rsid w:val="005A4D49"/>
    <w:rsid w:val="005A4D51"/>
    <w:rsid w:val="005A4D9F"/>
    <w:rsid w:val="005A52BF"/>
    <w:rsid w:val="005A562F"/>
    <w:rsid w:val="005A570D"/>
    <w:rsid w:val="005A577A"/>
    <w:rsid w:val="005A585C"/>
    <w:rsid w:val="005A5AB8"/>
    <w:rsid w:val="005A60B6"/>
    <w:rsid w:val="005A6228"/>
    <w:rsid w:val="005A6394"/>
    <w:rsid w:val="005A6C77"/>
    <w:rsid w:val="005A6E21"/>
    <w:rsid w:val="005A6E4C"/>
    <w:rsid w:val="005A6EBF"/>
    <w:rsid w:val="005A6FA2"/>
    <w:rsid w:val="005A716C"/>
    <w:rsid w:val="005A7594"/>
    <w:rsid w:val="005A76A3"/>
    <w:rsid w:val="005A76D1"/>
    <w:rsid w:val="005A786E"/>
    <w:rsid w:val="005A79DA"/>
    <w:rsid w:val="005A7A78"/>
    <w:rsid w:val="005A7B32"/>
    <w:rsid w:val="005A7BAE"/>
    <w:rsid w:val="005B05BB"/>
    <w:rsid w:val="005B093C"/>
    <w:rsid w:val="005B0B52"/>
    <w:rsid w:val="005B0BB8"/>
    <w:rsid w:val="005B0EFD"/>
    <w:rsid w:val="005B0EFF"/>
    <w:rsid w:val="005B0F30"/>
    <w:rsid w:val="005B1069"/>
    <w:rsid w:val="005B1231"/>
    <w:rsid w:val="005B1EB6"/>
    <w:rsid w:val="005B21A7"/>
    <w:rsid w:val="005B22F8"/>
    <w:rsid w:val="005B2BB0"/>
    <w:rsid w:val="005B2E10"/>
    <w:rsid w:val="005B30D4"/>
    <w:rsid w:val="005B35A7"/>
    <w:rsid w:val="005B3AAB"/>
    <w:rsid w:val="005B3B6B"/>
    <w:rsid w:val="005B3BF5"/>
    <w:rsid w:val="005B3C04"/>
    <w:rsid w:val="005B3C6A"/>
    <w:rsid w:val="005B3DBF"/>
    <w:rsid w:val="005B3E03"/>
    <w:rsid w:val="005B4002"/>
    <w:rsid w:val="005B411C"/>
    <w:rsid w:val="005B435D"/>
    <w:rsid w:val="005B43CC"/>
    <w:rsid w:val="005B4474"/>
    <w:rsid w:val="005B4543"/>
    <w:rsid w:val="005B45D9"/>
    <w:rsid w:val="005B47DC"/>
    <w:rsid w:val="005B4F15"/>
    <w:rsid w:val="005B4FEF"/>
    <w:rsid w:val="005B5378"/>
    <w:rsid w:val="005B5387"/>
    <w:rsid w:val="005B53CB"/>
    <w:rsid w:val="005B54E7"/>
    <w:rsid w:val="005B5806"/>
    <w:rsid w:val="005B5996"/>
    <w:rsid w:val="005B5ABE"/>
    <w:rsid w:val="005B5BD4"/>
    <w:rsid w:val="005B5EC0"/>
    <w:rsid w:val="005B5FA1"/>
    <w:rsid w:val="005B6032"/>
    <w:rsid w:val="005B61CC"/>
    <w:rsid w:val="005B6358"/>
    <w:rsid w:val="005B646D"/>
    <w:rsid w:val="005B65C3"/>
    <w:rsid w:val="005B668F"/>
    <w:rsid w:val="005B6810"/>
    <w:rsid w:val="005B69D8"/>
    <w:rsid w:val="005B6A77"/>
    <w:rsid w:val="005B6BDC"/>
    <w:rsid w:val="005B6CF2"/>
    <w:rsid w:val="005B6EE4"/>
    <w:rsid w:val="005B71B7"/>
    <w:rsid w:val="005B754F"/>
    <w:rsid w:val="005B7734"/>
    <w:rsid w:val="005B7799"/>
    <w:rsid w:val="005B7951"/>
    <w:rsid w:val="005B79F7"/>
    <w:rsid w:val="005C0211"/>
    <w:rsid w:val="005C0220"/>
    <w:rsid w:val="005C04C5"/>
    <w:rsid w:val="005C0514"/>
    <w:rsid w:val="005C0632"/>
    <w:rsid w:val="005C0850"/>
    <w:rsid w:val="005C085B"/>
    <w:rsid w:val="005C0A48"/>
    <w:rsid w:val="005C0B69"/>
    <w:rsid w:val="005C0D25"/>
    <w:rsid w:val="005C0D9E"/>
    <w:rsid w:val="005C0DCA"/>
    <w:rsid w:val="005C0E73"/>
    <w:rsid w:val="005C108C"/>
    <w:rsid w:val="005C108F"/>
    <w:rsid w:val="005C14C6"/>
    <w:rsid w:val="005C1642"/>
    <w:rsid w:val="005C1CA1"/>
    <w:rsid w:val="005C1CD3"/>
    <w:rsid w:val="005C1FDD"/>
    <w:rsid w:val="005C2008"/>
    <w:rsid w:val="005C207E"/>
    <w:rsid w:val="005C2244"/>
    <w:rsid w:val="005C22FB"/>
    <w:rsid w:val="005C2404"/>
    <w:rsid w:val="005C2849"/>
    <w:rsid w:val="005C2B50"/>
    <w:rsid w:val="005C2BCB"/>
    <w:rsid w:val="005C2C24"/>
    <w:rsid w:val="005C2CFE"/>
    <w:rsid w:val="005C2EC4"/>
    <w:rsid w:val="005C2FE8"/>
    <w:rsid w:val="005C36E5"/>
    <w:rsid w:val="005C37D0"/>
    <w:rsid w:val="005C3815"/>
    <w:rsid w:val="005C383B"/>
    <w:rsid w:val="005C3A3A"/>
    <w:rsid w:val="005C3B90"/>
    <w:rsid w:val="005C3DB3"/>
    <w:rsid w:val="005C4058"/>
    <w:rsid w:val="005C4201"/>
    <w:rsid w:val="005C420A"/>
    <w:rsid w:val="005C4391"/>
    <w:rsid w:val="005C443E"/>
    <w:rsid w:val="005C4526"/>
    <w:rsid w:val="005C4878"/>
    <w:rsid w:val="005C4936"/>
    <w:rsid w:val="005C5211"/>
    <w:rsid w:val="005C52D0"/>
    <w:rsid w:val="005C5A3C"/>
    <w:rsid w:val="005C5C87"/>
    <w:rsid w:val="005C5CAC"/>
    <w:rsid w:val="005C5E98"/>
    <w:rsid w:val="005C5EA0"/>
    <w:rsid w:val="005C5F5D"/>
    <w:rsid w:val="005C6175"/>
    <w:rsid w:val="005C618F"/>
    <w:rsid w:val="005C6525"/>
    <w:rsid w:val="005C6566"/>
    <w:rsid w:val="005C67A5"/>
    <w:rsid w:val="005C6999"/>
    <w:rsid w:val="005C6A6B"/>
    <w:rsid w:val="005C6B97"/>
    <w:rsid w:val="005C6DE5"/>
    <w:rsid w:val="005C6F1E"/>
    <w:rsid w:val="005C7014"/>
    <w:rsid w:val="005C70D5"/>
    <w:rsid w:val="005C70D7"/>
    <w:rsid w:val="005C787E"/>
    <w:rsid w:val="005C7B15"/>
    <w:rsid w:val="005C7CC2"/>
    <w:rsid w:val="005C7D29"/>
    <w:rsid w:val="005C7FED"/>
    <w:rsid w:val="005D0597"/>
    <w:rsid w:val="005D0850"/>
    <w:rsid w:val="005D0B8D"/>
    <w:rsid w:val="005D0F78"/>
    <w:rsid w:val="005D1446"/>
    <w:rsid w:val="005D190E"/>
    <w:rsid w:val="005D1913"/>
    <w:rsid w:val="005D194B"/>
    <w:rsid w:val="005D1A12"/>
    <w:rsid w:val="005D1A82"/>
    <w:rsid w:val="005D1AF2"/>
    <w:rsid w:val="005D1C97"/>
    <w:rsid w:val="005D1F00"/>
    <w:rsid w:val="005D1F90"/>
    <w:rsid w:val="005D2180"/>
    <w:rsid w:val="005D2854"/>
    <w:rsid w:val="005D291F"/>
    <w:rsid w:val="005D2AA0"/>
    <w:rsid w:val="005D2C05"/>
    <w:rsid w:val="005D2D8A"/>
    <w:rsid w:val="005D2DFF"/>
    <w:rsid w:val="005D3350"/>
    <w:rsid w:val="005D33B7"/>
    <w:rsid w:val="005D3734"/>
    <w:rsid w:val="005D37D3"/>
    <w:rsid w:val="005D38A4"/>
    <w:rsid w:val="005D3974"/>
    <w:rsid w:val="005D3AC0"/>
    <w:rsid w:val="005D3B0D"/>
    <w:rsid w:val="005D3EEC"/>
    <w:rsid w:val="005D3FDC"/>
    <w:rsid w:val="005D4063"/>
    <w:rsid w:val="005D45AB"/>
    <w:rsid w:val="005D4723"/>
    <w:rsid w:val="005D48CF"/>
    <w:rsid w:val="005D494D"/>
    <w:rsid w:val="005D4D6C"/>
    <w:rsid w:val="005D51D2"/>
    <w:rsid w:val="005D52FC"/>
    <w:rsid w:val="005D535F"/>
    <w:rsid w:val="005D540B"/>
    <w:rsid w:val="005D540E"/>
    <w:rsid w:val="005D54DC"/>
    <w:rsid w:val="005D5539"/>
    <w:rsid w:val="005D5583"/>
    <w:rsid w:val="005D5924"/>
    <w:rsid w:val="005D599C"/>
    <w:rsid w:val="005D5D91"/>
    <w:rsid w:val="005D5DC7"/>
    <w:rsid w:val="005D5FC9"/>
    <w:rsid w:val="005D6310"/>
    <w:rsid w:val="005D65A0"/>
    <w:rsid w:val="005D673A"/>
    <w:rsid w:val="005D685F"/>
    <w:rsid w:val="005D68B4"/>
    <w:rsid w:val="005D6C9E"/>
    <w:rsid w:val="005D6E3F"/>
    <w:rsid w:val="005D6FCC"/>
    <w:rsid w:val="005D7223"/>
    <w:rsid w:val="005D738F"/>
    <w:rsid w:val="005D778C"/>
    <w:rsid w:val="005D782C"/>
    <w:rsid w:val="005D7A0A"/>
    <w:rsid w:val="005D7A41"/>
    <w:rsid w:val="005D7B08"/>
    <w:rsid w:val="005D7DFC"/>
    <w:rsid w:val="005D7F5A"/>
    <w:rsid w:val="005D7F61"/>
    <w:rsid w:val="005E0267"/>
    <w:rsid w:val="005E0280"/>
    <w:rsid w:val="005E035D"/>
    <w:rsid w:val="005E045C"/>
    <w:rsid w:val="005E06A8"/>
    <w:rsid w:val="005E06D3"/>
    <w:rsid w:val="005E0795"/>
    <w:rsid w:val="005E0982"/>
    <w:rsid w:val="005E0F3A"/>
    <w:rsid w:val="005E0F98"/>
    <w:rsid w:val="005E0FF0"/>
    <w:rsid w:val="005E1137"/>
    <w:rsid w:val="005E1206"/>
    <w:rsid w:val="005E145D"/>
    <w:rsid w:val="005E15E1"/>
    <w:rsid w:val="005E15E8"/>
    <w:rsid w:val="005E163B"/>
    <w:rsid w:val="005E16B8"/>
    <w:rsid w:val="005E174C"/>
    <w:rsid w:val="005E1864"/>
    <w:rsid w:val="005E18DD"/>
    <w:rsid w:val="005E1A39"/>
    <w:rsid w:val="005E1BAB"/>
    <w:rsid w:val="005E1D97"/>
    <w:rsid w:val="005E1F3C"/>
    <w:rsid w:val="005E2054"/>
    <w:rsid w:val="005E2286"/>
    <w:rsid w:val="005E230C"/>
    <w:rsid w:val="005E2350"/>
    <w:rsid w:val="005E2405"/>
    <w:rsid w:val="005E241C"/>
    <w:rsid w:val="005E2B39"/>
    <w:rsid w:val="005E2B93"/>
    <w:rsid w:val="005E2CE5"/>
    <w:rsid w:val="005E2D6E"/>
    <w:rsid w:val="005E2DEF"/>
    <w:rsid w:val="005E319F"/>
    <w:rsid w:val="005E323D"/>
    <w:rsid w:val="005E3400"/>
    <w:rsid w:val="005E35F6"/>
    <w:rsid w:val="005E36B3"/>
    <w:rsid w:val="005E381D"/>
    <w:rsid w:val="005E3B00"/>
    <w:rsid w:val="005E3D29"/>
    <w:rsid w:val="005E3DB3"/>
    <w:rsid w:val="005E3E4B"/>
    <w:rsid w:val="005E41E5"/>
    <w:rsid w:val="005E4296"/>
    <w:rsid w:val="005E4299"/>
    <w:rsid w:val="005E4328"/>
    <w:rsid w:val="005E449F"/>
    <w:rsid w:val="005E492C"/>
    <w:rsid w:val="005E4A4C"/>
    <w:rsid w:val="005E4AC9"/>
    <w:rsid w:val="005E4DDD"/>
    <w:rsid w:val="005E5163"/>
    <w:rsid w:val="005E5248"/>
    <w:rsid w:val="005E549F"/>
    <w:rsid w:val="005E550E"/>
    <w:rsid w:val="005E565B"/>
    <w:rsid w:val="005E5688"/>
    <w:rsid w:val="005E591A"/>
    <w:rsid w:val="005E5C5E"/>
    <w:rsid w:val="005E5CC7"/>
    <w:rsid w:val="005E5EC5"/>
    <w:rsid w:val="005E61BB"/>
    <w:rsid w:val="005E63A6"/>
    <w:rsid w:val="005E67FB"/>
    <w:rsid w:val="005E6945"/>
    <w:rsid w:val="005E6D52"/>
    <w:rsid w:val="005E6DA8"/>
    <w:rsid w:val="005E6E12"/>
    <w:rsid w:val="005E71BD"/>
    <w:rsid w:val="005E72AA"/>
    <w:rsid w:val="005E74DA"/>
    <w:rsid w:val="005E752F"/>
    <w:rsid w:val="005E76DA"/>
    <w:rsid w:val="005E7C69"/>
    <w:rsid w:val="005E7D8D"/>
    <w:rsid w:val="005E7EF6"/>
    <w:rsid w:val="005F015E"/>
    <w:rsid w:val="005F0220"/>
    <w:rsid w:val="005F05A3"/>
    <w:rsid w:val="005F0700"/>
    <w:rsid w:val="005F0C3C"/>
    <w:rsid w:val="005F111D"/>
    <w:rsid w:val="005F1404"/>
    <w:rsid w:val="005F17CF"/>
    <w:rsid w:val="005F17EC"/>
    <w:rsid w:val="005F1BE1"/>
    <w:rsid w:val="005F1C2F"/>
    <w:rsid w:val="005F1C4F"/>
    <w:rsid w:val="005F1D9E"/>
    <w:rsid w:val="005F1DD3"/>
    <w:rsid w:val="005F1F0A"/>
    <w:rsid w:val="005F1F0F"/>
    <w:rsid w:val="005F2080"/>
    <w:rsid w:val="005F2402"/>
    <w:rsid w:val="005F241D"/>
    <w:rsid w:val="005F2449"/>
    <w:rsid w:val="005F25AC"/>
    <w:rsid w:val="005F25F8"/>
    <w:rsid w:val="005F276A"/>
    <w:rsid w:val="005F2C27"/>
    <w:rsid w:val="005F2C39"/>
    <w:rsid w:val="005F2C9C"/>
    <w:rsid w:val="005F3175"/>
    <w:rsid w:val="005F3267"/>
    <w:rsid w:val="005F3415"/>
    <w:rsid w:val="005F349F"/>
    <w:rsid w:val="005F34BC"/>
    <w:rsid w:val="005F36FC"/>
    <w:rsid w:val="005F3A24"/>
    <w:rsid w:val="005F3B08"/>
    <w:rsid w:val="005F3E88"/>
    <w:rsid w:val="005F3FCB"/>
    <w:rsid w:val="005F4234"/>
    <w:rsid w:val="005F425F"/>
    <w:rsid w:val="005F4638"/>
    <w:rsid w:val="005F4677"/>
    <w:rsid w:val="005F486A"/>
    <w:rsid w:val="005F4A72"/>
    <w:rsid w:val="005F4C59"/>
    <w:rsid w:val="005F4C72"/>
    <w:rsid w:val="005F4CDE"/>
    <w:rsid w:val="005F4DBC"/>
    <w:rsid w:val="005F5059"/>
    <w:rsid w:val="005F505C"/>
    <w:rsid w:val="005F5345"/>
    <w:rsid w:val="005F551F"/>
    <w:rsid w:val="005F5522"/>
    <w:rsid w:val="005F56D6"/>
    <w:rsid w:val="005F57FC"/>
    <w:rsid w:val="005F59BF"/>
    <w:rsid w:val="005F5CBA"/>
    <w:rsid w:val="005F5DDD"/>
    <w:rsid w:val="005F606C"/>
    <w:rsid w:val="005F626E"/>
    <w:rsid w:val="005F6560"/>
    <w:rsid w:val="005F673D"/>
    <w:rsid w:val="005F68E3"/>
    <w:rsid w:val="005F68FD"/>
    <w:rsid w:val="005F69B6"/>
    <w:rsid w:val="005F6A0D"/>
    <w:rsid w:val="005F6B6F"/>
    <w:rsid w:val="005F6FF2"/>
    <w:rsid w:val="005F71A3"/>
    <w:rsid w:val="005F71B3"/>
    <w:rsid w:val="005F72A5"/>
    <w:rsid w:val="005F782E"/>
    <w:rsid w:val="005F79F7"/>
    <w:rsid w:val="005F7D10"/>
    <w:rsid w:val="006004F3"/>
    <w:rsid w:val="006006DC"/>
    <w:rsid w:val="0060072A"/>
    <w:rsid w:val="00600A82"/>
    <w:rsid w:val="00600AD2"/>
    <w:rsid w:val="00600ED6"/>
    <w:rsid w:val="00600F3F"/>
    <w:rsid w:val="00601253"/>
    <w:rsid w:val="00601381"/>
    <w:rsid w:val="0060152E"/>
    <w:rsid w:val="006016A4"/>
    <w:rsid w:val="006018BC"/>
    <w:rsid w:val="006019FD"/>
    <w:rsid w:val="00601F7A"/>
    <w:rsid w:val="006020DA"/>
    <w:rsid w:val="0060250B"/>
    <w:rsid w:val="00602A59"/>
    <w:rsid w:val="00602C81"/>
    <w:rsid w:val="00602F0C"/>
    <w:rsid w:val="00602F83"/>
    <w:rsid w:val="00602FE0"/>
    <w:rsid w:val="0060314E"/>
    <w:rsid w:val="00603158"/>
    <w:rsid w:val="00603371"/>
    <w:rsid w:val="0060369D"/>
    <w:rsid w:val="006037C2"/>
    <w:rsid w:val="006038A1"/>
    <w:rsid w:val="00603AC5"/>
    <w:rsid w:val="00603EF0"/>
    <w:rsid w:val="006040A8"/>
    <w:rsid w:val="0060417E"/>
    <w:rsid w:val="006041E5"/>
    <w:rsid w:val="00604274"/>
    <w:rsid w:val="006043EE"/>
    <w:rsid w:val="0060463B"/>
    <w:rsid w:val="00604687"/>
    <w:rsid w:val="0060476D"/>
    <w:rsid w:val="006049C8"/>
    <w:rsid w:val="00604BE2"/>
    <w:rsid w:val="00604D02"/>
    <w:rsid w:val="00604FA5"/>
    <w:rsid w:val="006050AC"/>
    <w:rsid w:val="00605200"/>
    <w:rsid w:val="00605499"/>
    <w:rsid w:val="006056E3"/>
    <w:rsid w:val="00605A7F"/>
    <w:rsid w:val="00605C34"/>
    <w:rsid w:val="0060601B"/>
    <w:rsid w:val="006062E5"/>
    <w:rsid w:val="00606599"/>
    <w:rsid w:val="00606DD7"/>
    <w:rsid w:val="00607423"/>
    <w:rsid w:val="00607716"/>
    <w:rsid w:val="00607857"/>
    <w:rsid w:val="00607880"/>
    <w:rsid w:val="006078F2"/>
    <w:rsid w:val="006078FB"/>
    <w:rsid w:val="00607BEF"/>
    <w:rsid w:val="00607D9F"/>
    <w:rsid w:val="00610185"/>
    <w:rsid w:val="006107DB"/>
    <w:rsid w:val="006108B4"/>
    <w:rsid w:val="00611019"/>
    <w:rsid w:val="0061144B"/>
    <w:rsid w:val="006116F2"/>
    <w:rsid w:val="006116FA"/>
    <w:rsid w:val="00611BEC"/>
    <w:rsid w:val="00612431"/>
    <w:rsid w:val="006128E5"/>
    <w:rsid w:val="0061293D"/>
    <w:rsid w:val="00612AE1"/>
    <w:rsid w:val="00612B57"/>
    <w:rsid w:val="00612C4E"/>
    <w:rsid w:val="00612E84"/>
    <w:rsid w:val="006130B9"/>
    <w:rsid w:val="0061329C"/>
    <w:rsid w:val="006132FD"/>
    <w:rsid w:val="00613666"/>
    <w:rsid w:val="006138D8"/>
    <w:rsid w:val="00613AD6"/>
    <w:rsid w:val="00613E99"/>
    <w:rsid w:val="006146C8"/>
    <w:rsid w:val="006149D2"/>
    <w:rsid w:val="00614C3B"/>
    <w:rsid w:val="00614C4D"/>
    <w:rsid w:val="00614C96"/>
    <w:rsid w:val="00614ECB"/>
    <w:rsid w:val="00615161"/>
    <w:rsid w:val="006152AE"/>
    <w:rsid w:val="00615752"/>
    <w:rsid w:val="00615FC0"/>
    <w:rsid w:val="0061613C"/>
    <w:rsid w:val="00616368"/>
    <w:rsid w:val="0061636B"/>
    <w:rsid w:val="0061653B"/>
    <w:rsid w:val="00616671"/>
    <w:rsid w:val="00616AE0"/>
    <w:rsid w:val="00616D26"/>
    <w:rsid w:val="00616DA6"/>
    <w:rsid w:val="00616DCF"/>
    <w:rsid w:val="00616F21"/>
    <w:rsid w:val="00616F6C"/>
    <w:rsid w:val="00616F97"/>
    <w:rsid w:val="00617182"/>
    <w:rsid w:val="00617332"/>
    <w:rsid w:val="00617351"/>
    <w:rsid w:val="0061744A"/>
    <w:rsid w:val="00617840"/>
    <w:rsid w:val="0061784C"/>
    <w:rsid w:val="00617C7A"/>
    <w:rsid w:val="00617E7F"/>
    <w:rsid w:val="00617FBD"/>
    <w:rsid w:val="0062003B"/>
    <w:rsid w:val="0062033A"/>
    <w:rsid w:val="006203B9"/>
    <w:rsid w:val="00620468"/>
    <w:rsid w:val="0062066C"/>
    <w:rsid w:val="006206E2"/>
    <w:rsid w:val="00620702"/>
    <w:rsid w:val="006207C9"/>
    <w:rsid w:val="00620901"/>
    <w:rsid w:val="00620984"/>
    <w:rsid w:val="0062099D"/>
    <w:rsid w:val="00620B0C"/>
    <w:rsid w:val="00620BCD"/>
    <w:rsid w:val="00620CDE"/>
    <w:rsid w:val="00620D6A"/>
    <w:rsid w:val="00620ECB"/>
    <w:rsid w:val="00620ED0"/>
    <w:rsid w:val="00621218"/>
    <w:rsid w:val="00621301"/>
    <w:rsid w:val="00621521"/>
    <w:rsid w:val="00621776"/>
    <w:rsid w:val="00621F62"/>
    <w:rsid w:val="00622316"/>
    <w:rsid w:val="00622358"/>
    <w:rsid w:val="0062259C"/>
    <w:rsid w:val="00622808"/>
    <w:rsid w:val="0062284B"/>
    <w:rsid w:val="00622912"/>
    <w:rsid w:val="00622C36"/>
    <w:rsid w:val="00622CE6"/>
    <w:rsid w:val="00622D62"/>
    <w:rsid w:val="00622F78"/>
    <w:rsid w:val="006236A8"/>
    <w:rsid w:val="00623796"/>
    <w:rsid w:val="00623B61"/>
    <w:rsid w:val="00623BF9"/>
    <w:rsid w:val="00623DF4"/>
    <w:rsid w:val="00623EDA"/>
    <w:rsid w:val="00623F42"/>
    <w:rsid w:val="00623FC2"/>
    <w:rsid w:val="00624124"/>
    <w:rsid w:val="00624271"/>
    <w:rsid w:val="00624458"/>
    <w:rsid w:val="00624A61"/>
    <w:rsid w:val="00624AD8"/>
    <w:rsid w:val="00624B25"/>
    <w:rsid w:val="0062519F"/>
    <w:rsid w:val="00625D38"/>
    <w:rsid w:val="00625ECB"/>
    <w:rsid w:val="006260A5"/>
    <w:rsid w:val="006261AC"/>
    <w:rsid w:val="006262B1"/>
    <w:rsid w:val="00626369"/>
    <w:rsid w:val="006266BB"/>
    <w:rsid w:val="0062691F"/>
    <w:rsid w:val="00626AEE"/>
    <w:rsid w:val="00626CE5"/>
    <w:rsid w:val="00626D1A"/>
    <w:rsid w:val="00626D29"/>
    <w:rsid w:val="00626E72"/>
    <w:rsid w:val="00626E7B"/>
    <w:rsid w:val="00626FD7"/>
    <w:rsid w:val="00626FEF"/>
    <w:rsid w:val="006270C0"/>
    <w:rsid w:val="0062728A"/>
    <w:rsid w:val="006274AD"/>
    <w:rsid w:val="0062759B"/>
    <w:rsid w:val="00627657"/>
    <w:rsid w:val="0062772B"/>
    <w:rsid w:val="00627989"/>
    <w:rsid w:val="00627A21"/>
    <w:rsid w:val="00627ED4"/>
    <w:rsid w:val="00627FB8"/>
    <w:rsid w:val="00630214"/>
    <w:rsid w:val="006302B6"/>
    <w:rsid w:val="00630368"/>
    <w:rsid w:val="0063037A"/>
    <w:rsid w:val="00630661"/>
    <w:rsid w:val="006307EA"/>
    <w:rsid w:val="00630C1F"/>
    <w:rsid w:val="00630D5B"/>
    <w:rsid w:val="0063110C"/>
    <w:rsid w:val="0063121F"/>
    <w:rsid w:val="00631AF8"/>
    <w:rsid w:val="00631D8B"/>
    <w:rsid w:val="006321EC"/>
    <w:rsid w:val="00632308"/>
    <w:rsid w:val="00632856"/>
    <w:rsid w:val="00632873"/>
    <w:rsid w:val="00632944"/>
    <w:rsid w:val="0063295D"/>
    <w:rsid w:val="00632BAB"/>
    <w:rsid w:val="00632CF3"/>
    <w:rsid w:val="00632D05"/>
    <w:rsid w:val="00632F4E"/>
    <w:rsid w:val="00632F6F"/>
    <w:rsid w:val="0063303C"/>
    <w:rsid w:val="0063348A"/>
    <w:rsid w:val="006334F9"/>
    <w:rsid w:val="00633715"/>
    <w:rsid w:val="006339C1"/>
    <w:rsid w:val="00633B6D"/>
    <w:rsid w:val="00633C8F"/>
    <w:rsid w:val="00633D93"/>
    <w:rsid w:val="00633F1A"/>
    <w:rsid w:val="0063411F"/>
    <w:rsid w:val="00634224"/>
    <w:rsid w:val="00634360"/>
    <w:rsid w:val="00634619"/>
    <w:rsid w:val="00634CCF"/>
    <w:rsid w:val="00634CFF"/>
    <w:rsid w:val="00635036"/>
    <w:rsid w:val="00635439"/>
    <w:rsid w:val="0063557B"/>
    <w:rsid w:val="0063561B"/>
    <w:rsid w:val="00635723"/>
    <w:rsid w:val="00635762"/>
    <w:rsid w:val="006359C9"/>
    <w:rsid w:val="00635CAE"/>
    <w:rsid w:val="00635DD5"/>
    <w:rsid w:val="0063641E"/>
    <w:rsid w:val="006364B3"/>
    <w:rsid w:val="00636CBF"/>
    <w:rsid w:val="00636D08"/>
    <w:rsid w:val="00636D41"/>
    <w:rsid w:val="00636F68"/>
    <w:rsid w:val="006371CB"/>
    <w:rsid w:val="006374C2"/>
    <w:rsid w:val="006379D7"/>
    <w:rsid w:val="00637A9C"/>
    <w:rsid w:val="00637AA3"/>
    <w:rsid w:val="00637B06"/>
    <w:rsid w:val="00637B7F"/>
    <w:rsid w:val="00637C07"/>
    <w:rsid w:val="00637E72"/>
    <w:rsid w:val="00637FC6"/>
    <w:rsid w:val="00637FE4"/>
    <w:rsid w:val="00640160"/>
    <w:rsid w:val="0064040B"/>
    <w:rsid w:val="0064045B"/>
    <w:rsid w:val="0064069F"/>
    <w:rsid w:val="00640732"/>
    <w:rsid w:val="00640773"/>
    <w:rsid w:val="0064094D"/>
    <w:rsid w:val="0064099D"/>
    <w:rsid w:val="006409A0"/>
    <w:rsid w:val="00640A88"/>
    <w:rsid w:val="00640C7C"/>
    <w:rsid w:val="00641026"/>
    <w:rsid w:val="006411E1"/>
    <w:rsid w:val="00641A61"/>
    <w:rsid w:val="00641A93"/>
    <w:rsid w:val="00641AF0"/>
    <w:rsid w:val="00641E2C"/>
    <w:rsid w:val="00641FAE"/>
    <w:rsid w:val="006420AA"/>
    <w:rsid w:val="00642269"/>
    <w:rsid w:val="0064229A"/>
    <w:rsid w:val="0064249D"/>
    <w:rsid w:val="00642626"/>
    <w:rsid w:val="00642753"/>
    <w:rsid w:val="0064284A"/>
    <w:rsid w:val="006429A9"/>
    <w:rsid w:val="00642A30"/>
    <w:rsid w:val="00642B5C"/>
    <w:rsid w:val="00642C4E"/>
    <w:rsid w:val="00642D07"/>
    <w:rsid w:val="00642D0F"/>
    <w:rsid w:val="00642D3D"/>
    <w:rsid w:val="0064306A"/>
    <w:rsid w:val="0064312B"/>
    <w:rsid w:val="00643342"/>
    <w:rsid w:val="006434E7"/>
    <w:rsid w:val="00643687"/>
    <w:rsid w:val="006438A7"/>
    <w:rsid w:val="0064397B"/>
    <w:rsid w:val="00643AAB"/>
    <w:rsid w:val="00643B63"/>
    <w:rsid w:val="00643BCD"/>
    <w:rsid w:val="00643CFB"/>
    <w:rsid w:val="00643DF3"/>
    <w:rsid w:val="00644281"/>
    <w:rsid w:val="0064465D"/>
    <w:rsid w:val="00644BF5"/>
    <w:rsid w:val="00644C9F"/>
    <w:rsid w:val="006450CB"/>
    <w:rsid w:val="006452D7"/>
    <w:rsid w:val="00645428"/>
    <w:rsid w:val="006454C5"/>
    <w:rsid w:val="0064573B"/>
    <w:rsid w:val="00645763"/>
    <w:rsid w:val="006458EF"/>
    <w:rsid w:val="00645BA9"/>
    <w:rsid w:val="00645DC6"/>
    <w:rsid w:val="00646193"/>
    <w:rsid w:val="006461B5"/>
    <w:rsid w:val="00646704"/>
    <w:rsid w:val="006467D1"/>
    <w:rsid w:val="00646952"/>
    <w:rsid w:val="00646AE8"/>
    <w:rsid w:val="00646CD6"/>
    <w:rsid w:val="006473F2"/>
    <w:rsid w:val="0064747D"/>
    <w:rsid w:val="0064752F"/>
    <w:rsid w:val="0064758A"/>
    <w:rsid w:val="00647606"/>
    <w:rsid w:val="0064779E"/>
    <w:rsid w:val="0064790A"/>
    <w:rsid w:val="00647B7A"/>
    <w:rsid w:val="00647C14"/>
    <w:rsid w:val="006502AB"/>
    <w:rsid w:val="0065033A"/>
    <w:rsid w:val="006503B7"/>
    <w:rsid w:val="006504B6"/>
    <w:rsid w:val="0065056F"/>
    <w:rsid w:val="006506DD"/>
    <w:rsid w:val="0065075D"/>
    <w:rsid w:val="00650822"/>
    <w:rsid w:val="006509C5"/>
    <w:rsid w:val="00650AD7"/>
    <w:rsid w:val="00650B97"/>
    <w:rsid w:val="00650D4C"/>
    <w:rsid w:val="00650D7B"/>
    <w:rsid w:val="00650DEA"/>
    <w:rsid w:val="006511D3"/>
    <w:rsid w:val="0065125B"/>
    <w:rsid w:val="00651387"/>
    <w:rsid w:val="006514AE"/>
    <w:rsid w:val="00651662"/>
    <w:rsid w:val="006518E8"/>
    <w:rsid w:val="00651C84"/>
    <w:rsid w:val="00651DE7"/>
    <w:rsid w:val="00651FDB"/>
    <w:rsid w:val="00651FFA"/>
    <w:rsid w:val="00652012"/>
    <w:rsid w:val="0065204B"/>
    <w:rsid w:val="0065205E"/>
    <w:rsid w:val="006521E5"/>
    <w:rsid w:val="006521F5"/>
    <w:rsid w:val="006523E8"/>
    <w:rsid w:val="0065285F"/>
    <w:rsid w:val="00652CD4"/>
    <w:rsid w:val="00652D0D"/>
    <w:rsid w:val="00652D60"/>
    <w:rsid w:val="00652D6D"/>
    <w:rsid w:val="00652DD8"/>
    <w:rsid w:val="00652EFB"/>
    <w:rsid w:val="00652F61"/>
    <w:rsid w:val="00653009"/>
    <w:rsid w:val="00653046"/>
    <w:rsid w:val="00653245"/>
    <w:rsid w:val="00653279"/>
    <w:rsid w:val="0065335D"/>
    <w:rsid w:val="006534BB"/>
    <w:rsid w:val="006538D8"/>
    <w:rsid w:val="00653CCA"/>
    <w:rsid w:val="00653D7B"/>
    <w:rsid w:val="00653F33"/>
    <w:rsid w:val="00654020"/>
    <w:rsid w:val="00654158"/>
    <w:rsid w:val="006541FC"/>
    <w:rsid w:val="00654259"/>
    <w:rsid w:val="00654696"/>
    <w:rsid w:val="0065499E"/>
    <w:rsid w:val="00654ACA"/>
    <w:rsid w:val="00654E02"/>
    <w:rsid w:val="006554B9"/>
    <w:rsid w:val="006556B2"/>
    <w:rsid w:val="006559C0"/>
    <w:rsid w:val="00655AF6"/>
    <w:rsid w:val="00655D9E"/>
    <w:rsid w:val="00655EB6"/>
    <w:rsid w:val="006561EC"/>
    <w:rsid w:val="006566F6"/>
    <w:rsid w:val="00656929"/>
    <w:rsid w:val="00656967"/>
    <w:rsid w:val="00656D26"/>
    <w:rsid w:val="00656DB5"/>
    <w:rsid w:val="00656DD5"/>
    <w:rsid w:val="00657199"/>
    <w:rsid w:val="006571EC"/>
    <w:rsid w:val="0065741C"/>
    <w:rsid w:val="00657534"/>
    <w:rsid w:val="006576C3"/>
    <w:rsid w:val="00657715"/>
    <w:rsid w:val="006578AF"/>
    <w:rsid w:val="006579A4"/>
    <w:rsid w:val="00657B66"/>
    <w:rsid w:val="00657B9C"/>
    <w:rsid w:val="00657C19"/>
    <w:rsid w:val="00657CE0"/>
    <w:rsid w:val="0066005E"/>
    <w:rsid w:val="006600F4"/>
    <w:rsid w:val="00660223"/>
    <w:rsid w:val="00660343"/>
    <w:rsid w:val="00660345"/>
    <w:rsid w:val="00660374"/>
    <w:rsid w:val="006603BE"/>
    <w:rsid w:val="0066041A"/>
    <w:rsid w:val="00660635"/>
    <w:rsid w:val="006606D0"/>
    <w:rsid w:val="00660938"/>
    <w:rsid w:val="00660D7B"/>
    <w:rsid w:val="00660E2F"/>
    <w:rsid w:val="0066138C"/>
    <w:rsid w:val="00661576"/>
    <w:rsid w:val="006617E5"/>
    <w:rsid w:val="0066182F"/>
    <w:rsid w:val="00661A21"/>
    <w:rsid w:val="00661A32"/>
    <w:rsid w:val="00661F7D"/>
    <w:rsid w:val="006622FA"/>
    <w:rsid w:val="0066276A"/>
    <w:rsid w:val="00662B55"/>
    <w:rsid w:val="00662CCF"/>
    <w:rsid w:val="00662CD5"/>
    <w:rsid w:val="00662E25"/>
    <w:rsid w:val="00662E4D"/>
    <w:rsid w:val="006634C8"/>
    <w:rsid w:val="006636BA"/>
    <w:rsid w:val="006637A6"/>
    <w:rsid w:val="006638A7"/>
    <w:rsid w:val="00663E50"/>
    <w:rsid w:val="00663F35"/>
    <w:rsid w:val="00663F73"/>
    <w:rsid w:val="00663F94"/>
    <w:rsid w:val="00664442"/>
    <w:rsid w:val="0066448F"/>
    <w:rsid w:val="006644E3"/>
    <w:rsid w:val="0066451C"/>
    <w:rsid w:val="00664683"/>
    <w:rsid w:val="0066496B"/>
    <w:rsid w:val="00664BA9"/>
    <w:rsid w:val="00664CB0"/>
    <w:rsid w:val="00664EB4"/>
    <w:rsid w:val="00664EEE"/>
    <w:rsid w:val="0066520C"/>
    <w:rsid w:val="00665569"/>
    <w:rsid w:val="006658D4"/>
    <w:rsid w:val="00665C12"/>
    <w:rsid w:val="00665C84"/>
    <w:rsid w:val="00665CDF"/>
    <w:rsid w:val="00665F64"/>
    <w:rsid w:val="006660CF"/>
    <w:rsid w:val="006660DF"/>
    <w:rsid w:val="0066638F"/>
    <w:rsid w:val="00666782"/>
    <w:rsid w:val="00666804"/>
    <w:rsid w:val="00666863"/>
    <w:rsid w:val="00666C6E"/>
    <w:rsid w:val="00666E19"/>
    <w:rsid w:val="00666F1F"/>
    <w:rsid w:val="00667092"/>
    <w:rsid w:val="006677B2"/>
    <w:rsid w:val="00667B5A"/>
    <w:rsid w:val="00667C05"/>
    <w:rsid w:val="00667D51"/>
    <w:rsid w:val="00667DDC"/>
    <w:rsid w:val="00667DF4"/>
    <w:rsid w:val="00667E3A"/>
    <w:rsid w:val="00667F7C"/>
    <w:rsid w:val="00667F87"/>
    <w:rsid w:val="0067020D"/>
    <w:rsid w:val="0067035E"/>
    <w:rsid w:val="0067079C"/>
    <w:rsid w:val="0067081B"/>
    <w:rsid w:val="00670B16"/>
    <w:rsid w:val="00670D1C"/>
    <w:rsid w:val="00670D33"/>
    <w:rsid w:val="00670DF2"/>
    <w:rsid w:val="00670F3D"/>
    <w:rsid w:val="00671064"/>
    <w:rsid w:val="006710F5"/>
    <w:rsid w:val="006712F5"/>
    <w:rsid w:val="00671380"/>
    <w:rsid w:val="006715E2"/>
    <w:rsid w:val="006718D4"/>
    <w:rsid w:val="00671955"/>
    <w:rsid w:val="00671A08"/>
    <w:rsid w:val="00671BAC"/>
    <w:rsid w:val="00671D7B"/>
    <w:rsid w:val="0067225E"/>
    <w:rsid w:val="0067226F"/>
    <w:rsid w:val="00672521"/>
    <w:rsid w:val="006725F2"/>
    <w:rsid w:val="0067274B"/>
    <w:rsid w:val="00672869"/>
    <w:rsid w:val="00672A6D"/>
    <w:rsid w:val="00672AA8"/>
    <w:rsid w:val="00672EAB"/>
    <w:rsid w:val="00672F6B"/>
    <w:rsid w:val="00672FC5"/>
    <w:rsid w:val="0067313A"/>
    <w:rsid w:val="00673163"/>
    <w:rsid w:val="00673229"/>
    <w:rsid w:val="0067327F"/>
    <w:rsid w:val="006736A5"/>
    <w:rsid w:val="00673A5A"/>
    <w:rsid w:val="00673AD8"/>
    <w:rsid w:val="00673D70"/>
    <w:rsid w:val="00673EAE"/>
    <w:rsid w:val="0067416F"/>
    <w:rsid w:val="006747BD"/>
    <w:rsid w:val="006748A0"/>
    <w:rsid w:val="006748A7"/>
    <w:rsid w:val="00674D6A"/>
    <w:rsid w:val="0067511D"/>
    <w:rsid w:val="006751BA"/>
    <w:rsid w:val="006752A2"/>
    <w:rsid w:val="0067563F"/>
    <w:rsid w:val="006756B0"/>
    <w:rsid w:val="006756C7"/>
    <w:rsid w:val="006758BC"/>
    <w:rsid w:val="0067594D"/>
    <w:rsid w:val="006759DD"/>
    <w:rsid w:val="00675C2F"/>
    <w:rsid w:val="00675C70"/>
    <w:rsid w:val="00675EA2"/>
    <w:rsid w:val="00676105"/>
    <w:rsid w:val="00676114"/>
    <w:rsid w:val="006763BB"/>
    <w:rsid w:val="006764C6"/>
    <w:rsid w:val="006766E7"/>
    <w:rsid w:val="00676A34"/>
    <w:rsid w:val="00676A70"/>
    <w:rsid w:val="00676D9F"/>
    <w:rsid w:val="00676FA6"/>
    <w:rsid w:val="0067708D"/>
    <w:rsid w:val="00677838"/>
    <w:rsid w:val="00677ABD"/>
    <w:rsid w:val="00677BD0"/>
    <w:rsid w:val="00677EC5"/>
    <w:rsid w:val="00677EC7"/>
    <w:rsid w:val="00677F0B"/>
    <w:rsid w:val="0068002A"/>
    <w:rsid w:val="00680323"/>
    <w:rsid w:val="0068047B"/>
    <w:rsid w:val="006807E1"/>
    <w:rsid w:val="00680BD7"/>
    <w:rsid w:val="00681209"/>
    <w:rsid w:val="006812CF"/>
    <w:rsid w:val="006812FC"/>
    <w:rsid w:val="006815A9"/>
    <w:rsid w:val="00681791"/>
    <w:rsid w:val="00681869"/>
    <w:rsid w:val="00681B19"/>
    <w:rsid w:val="00681B80"/>
    <w:rsid w:val="00681C9D"/>
    <w:rsid w:val="00681D65"/>
    <w:rsid w:val="00682433"/>
    <w:rsid w:val="00682644"/>
    <w:rsid w:val="0068278D"/>
    <w:rsid w:val="00682823"/>
    <w:rsid w:val="00682995"/>
    <w:rsid w:val="006829E3"/>
    <w:rsid w:val="00682ADD"/>
    <w:rsid w:val="00682B54"/>
    <w:rsid w:val="00682E58"/>
    <w:rsid w:val="00683030"/>
    <w:rsid w:val="0068308F"/>
    <w:rsid w:val="00683127"/>
    <w:rsid w:val="0068314F"/>
    <w:rsid w:val="006831AB"/>
    <w:rsid w:val="006831B1"/>
    <w:rsid w:val="006831FA"/>
    <w:rsid w:val="0068321F"/>
    <w:rsid w:val="0068339B"/>
    <w:rsid w:val="006834D6"/>
    <w:rsid w:val="0068388F"/>
    <w:rsid w:val="00683AAF"/>
    <w:rsid w:val="00683B2A"/>
    <w:rsid w:val="00683D0E"/>
    <w:rsid w:val="00683F02"/>
    <w:rsid w:val="00683F6D"/>
    <w:rsid w:val="00684918"/>
    <w:rsid w:val="00684B38"/>
    <w:rsid w:val="00684C86"/>
    <w:rsid w:val="00684E34"/>
    <w:rsid w:val="00684E87"/>
    <w:rsid w:val="00684ECE"/>
    <w:rsid w:val="00684FEA"/>
    <w:rsid w:val="0068504C"/>
    <w:rsid w:val="0068515D"/>
    <w:rsid w:val="006851B6"/>
    <w:rsid w:val="006851F2"/>
    <w:rsid w:val="006857E7"/>
    <w:rsid w:val="00685899"/>
    <w:rsid w:val="00685B33"/>
    <w:rsid w:val="00685C64"/>
    <w:rsid w:val="00685D4A"/>
    <w:rsid w:val="00685E55"/>
    <w:rsid w:val="00686693"/>
    <w:rsid w:val="00686867"/>
    <w:rsid w:val="00686B67"/>
    <w:rsid w:val="00686C4F"/>
    <w:rsid w:val="00686CB0"/>
    <w:rsid w:val="00687492"/>
    <w:rsid w:val="00687AF5"/>
    <w:rsid w:val="00687CE1"/>
    <w:rsid w:val="00687E73"/>
    <w:rsid w:val="0069006A"/>
    <w:rsid w:val="006901C0"/>
    <w:rsid w:val="006901C5"/>
    <w:rsid w:val="00690359"/>
    <w:rsid w:val="00690437"/>
    <w:rsid w:val="0069043B"/>
    <w:rsid w:val="006904AC"/>
    <w:rsid w:val="00690A0C"/>
    <w:rsid w:val="00690B91"/>
    <w:rsid w:val="00690C78"/>
    <w:rsid w:val="00690E06"/>
    <w:rsid w:val="00690F22"/>
    <w:rsid w:val="00690F7D"/>
    <w:rsid w:val="006913D8"/>
    <w:rsid w:val="00691432"/>
    <w:rsid w:val="006919D4"/>
    <w:rsid w:val="00691D3E"/>
    <w:rsid w:val="00691DB4"/>
    <w:rsid w:val="00691DE9"/>
    <w:rsid w:val="00692194"/>
    <w:rsid w:val="00692390"/>
    <w:rsid w:val="00692443"/>
    <w:rsid w:val="0069253A"/>
    <w:rsid w:val="006928EF"/>
    <w:rsid w:val="006929C3"/>
    <w:rsid w:val="00692B1A"/>
    <w:rsid w:val="00692CC1"/>
    <w:rsid w:val="00692CC7"/>
    <w:rsid w:val="00692E3F"/>
    <w:rsid w:val="00693223"/>
    <w:rsid w:val="00693879"/>
    <w:rsid w:val="00693E29"/>
    <w:rsid w:val="00693E98"/>
    <w:rsid w:val="00693F8A"/>
    <w:rsid w:val="00693FB8"/>
    <w:rsid w:val="0069415E"/>
    <w:rsid w:val="006942FC"/>
    <w:rsid w:val="0069456B"/>
    <w:rsid w:val="0069469A"/>
    <w:rsid w:val="0069474B"/>
    <w:rsid w:val="0069485E"/>
    <w:rsid w:val="006948A1"/>
    <w:rsid w:val="006949C5"/>
    <w:rsid w:val="00694ADF"/>
    <w:rsid w:val="00694B7D"/>
    <w:rsid w:val="00694BE2"/>
    <w:rsid w:val="00694D99"/>
    <w:rsid w:val="00695221"/>
    <w:rsid w:val="006952E6"/>
    <w:rsid w:val="006955DA"/>
    <w:rsid w:val="00695689"/>
    <w:rsid w:val="0069571B"/>
    <w:rsid w:val="00695AE3"/>
    <w:rsid w:val="00695DFD"/>
    <w:rsid w:val="00695E45"/>
    <w:rsid w:val="006960B0"/>
    <w:rsid w:val="006960C4"/>
    <w:rsid w:val="006967BE"/>
    <w:rsid w:val="00696C9E"/>
    <w:rsid w:val="00696F9B"/>
    <w:rsid w:val="00697164"/>
    <w:rsid w:val="00697184"/>
    <w:rsid w:val="00697865"/>
    <w:rsid w:val="00697ABE"/>
    <w:rsid w:val="00697C57"/>
    <w:rsid w:val="00697C8A"/>
    <w:rsid w:val="00697D65"/>
    <w:rsid w:val="00697F0B"/>
    <w:rsid w:val="006A001E"/>
    <w:rsid w:val="006A0320"/>
    <w:rsid w:val="006A036A"/>
    <w:rsid w:val="006A038C"/>
    <w:rsid w:val="006A0895"/>
    <w:rsid w:val="006A0BB0"/>
    <w:rsid w:val="006A0DE6"/>
    <w:rsid w:val="006A1016"/>
    <w:rsid w:val="006A1235"/>
    <w:rsid w:val="006A128F"/>
    <w:rsid w:val="006A1563"/>
    <w:rsid w:val="006A1812"/>
    <w:rsid w:val="006A18D2"/>
    <w:rsid w:val="006A1937"/>
    <w:rsid w:val="006A1ABD"/>
    <w:rsid w:val="006A1C63"/>
    <w:rsid w:val="006A1E12"/>
    <w:rsid w:val="006A2083"/>
    <w:rsid w:val="006A245C"/>
    <w:rsid w:val="006A2601"/>
    <w:rsid w:val="006A261B"/>
    <w:rsid w:val="006A27C9"/>
    <w:rsid w:val="006A2986"/>
    <w:rsid w:val="006A2A2F"/>
    <w:rsid w:val="006A2B8D"/>
    <w:rsid w:val="006A2CBB"/>
    <w:rsid w:val="006A2DFA"/>
    <w:rsid w:val="006A2E28"/>
    <w:rsid w:val="006A3026"/>
    <w:rsid w:val="006A3493"/>
    <w:rsid w:val="006A36E8"/>
    <w:rsid w:val="006A3701"/>
    <w:rsid w:val="006A37DE"/>
    <w:rsid w:val="006A38EF"/>
    <w:rsid w:val="006A3A4C"/>
    <w:rsid w:val="006A3B33"/>
    <w:rsid w:val="006A3DCB"/>
    <w:rsid w:val="006A40F0"/>
    <w:rsid w:val="006A4101"/>
    <w:rsid w:val="006A4109"/>
    <w:rsid w:val="006A4DD2"/>
    <w:rsid w:val="006A4E4E"/>
    <w:rsid w:val="006A51FE"/>
    <w:rsid w:val="006A5A58"/>
    <w:rsid w:val="006A5A7D"/>
    <w:rsid w:val="006A5AC2"/>
    <w:rsid w:val="006A5B09"/>
    <w:rsid w:val="006A5C2C"/>
    <w:rsid w:val="006A5EC2"/>
    <w:rsid w:val="006A5F08"/>
    <w:rsid w:val="006A614B"/>
    <w:rsid w:val="006A6412"/>
    <w:rsid w:val="006A667B"/>
    <w:rsid w:val="006A66CD"/>
    <w:rsid w:val="006A67B4"/>
    <w:rsid w:val="006A689A"/>
    <w:rsid w:val="006A6932"/>
    <w:rsid w:val="006A6A1C"/>
    <w:rsid w:val="006A6B5E"/>
    <w:rsid w:val="006A7073"/>
    <w:rsid w:val="006A7284"/>
    <w:rsid w:val="006A733C"/>
    <w:rsid w:val="006A7349"/>
    <w:rsid w:val="006A73D5"/>
    <w:rsid w:val="006A746F"/>
    <w:rsid w:val="006A7492"/>
    <w:rsid w:val="006A74A8"/>
    <w:rsid w:val="006A77D1"/>
    <w:rsid w:val="006A7875"/>
    <w:rsid w:val="006A793D"/>
    <w:rsid w:val="006A7B5B"/>
    <w:rsid w:val="006A7C2A"/>
    <w:rsid w:val="006A7D5F"/>
    <w:rsid w:val="006A7D98"/>
    <w:rsid w:val="006A7DC6"/>
    <w:rsid w:val="006A7E12"/>
    <w:rsid w:val="006A7E4D"/>
    <w:rsid w:val="006A7ED1"/>
    <w:rsid w:val="006B0185"/>
    <w:rsid w:val="006B0277"/>
    <w:rsid w:val="006B02E9"/>
    <w:rsid w:val="006B0609"/>
    <w:rsid w:val="006B060F"/>
    <w:rsid w:val="006B0A53"/>
    <w:rsid w:val="006B0CFB"/>
    <w:rsid w:val="006B0D71"/>
    <w:rsid w:val="006B0D8A"/>
    <w:rsid w:val="006B126C"/>
    <w:rsid w:val="006B1320"/>
    <w:rsid w:val="006B14E8"/>
    <w:rsid w:val="006B1524"/>
    <w:rsid w:val="006B1B44"/>
    <w:rsid w:val="006B1C2E"/>
    <w:rsid w:val="006B1D0E"/>
    <w:rsid w:val="006B1D12"/>
    <w:rsid w:val="006B23B2"/>
    <w:rsid w:val="006B243C"/>
    <w:rsid w:val="006B2574"/>
    <w:rsid w:val="006B2767"/>
    <w:rsid w:val="006B2A89"/>
    <w:rsid w:val="006B2D3F"/>
    <w:rsid w:val="006B2D60"/>
    <w:rsid w:val="006B2FC1"/>
    <w:rsid w:val="006B36B9"/>
    <w:rsid w:val="006B3B3E"/>
    <w:rsid w:val="006B3D55"/>
    <w:rsid w:val="006B3EAA"/>
    <w:rsid w:val="006B458E"/>
    <w:rsid w:val="006B4664"/>
    <w:rsid w:val="006B469F"/>
    <w:rsid w:val="006B49BC"/>
    <w:rsid w:val="006B4A98"/>
    <w:rsid w:val="006B4C67"/>
    <w:rsid w:val="006B4C79"/>
    <w:rsid w:val="006B4E18"/>
    <w:rsid w:val="006B4FD7"/>
    <w:rsid w:val="006B51D9"/>
    <w:rsid w:val="006B5299"/>
    <w:rsid w:val="006B54C5"/>
    <w:rsid w:val="006B552D"/>
    <w:rsid w:val="006B555B"/>
    <w:rsid w:val="006B5AD9"/>
    <w:rsid w:val="006B5CC5"/>
    <w:rsid w:val="006B5DE8"/>
    <w:rsid w:val="006B5E52"/>
    <w:rsid w:val="006B60CE"/>
    <w:rsid w:val="006B6303"/>
    <w:rsid w:val="006B6379"/>
    <w:rsid w:val="006B6513"/>
    <w:rsid w:val="006B661A"/>
    <w:rsid w:val="006B699D"/>
    <w:rsid w:val="006B69B6"/>
    <w:rsid w:val="006B6AF9"/>
    <w:rsid w:val="006B6AFE"/>
    <w:rsid w:val="006B6B3D"/>
    <w:rsid w:val="006B70B9"/>
    <w:rsid w:val="006B71F3"/>
    <w:rsid w:val="006B73AF"/>
    <w:rsid w:val="006B753A"/>
    <w:rsid w:val="006B77FD"/>
    <w:rsid w:val="006B7819"/>
    <w:rsid w:val="006B791C"/>
    <w:rsid w:val="006B793D"/>
    <w:rsid w:val="006B79B6"/>
    <w:rsid w:val="006B7A5D"/>
    <w:rsid w:val="006B7B8E"/>
    <w:rsid w:val="006B7CB3"/>
    <w:rsid w:val="006B7F1A"/>
    <w:rsid w:val="006C000B"/>
    <w:rsid w:val="006C00D3"/>
    <w:rsid w:val="006C01B9"/>
    <w:rsid w:val="006C01D2"/>
    <w:rsid w:val="006C04D9"/>
    <w:rsid w:val="006C076C"/>
    <w:rsid w:val="006C08CC"/>
    <w:rsid w:val="006C0974"/>
    <w:rsid w:val="006C0A2F"/>
    <w:rsid w:val="006C0A33"/>
    <w:rsid w:val="006C0B8E"/>
    <w:rsid w:val="006C0B9C"/>
    <w:rsid w:val="006C0C9B"/>
    <w:rsid w:val="006C0F77"/>
    <w:rsid w:val="006C0F98"/>
    <w:rsid w:val="006C0F9A"/>
    <w:rsid w:val="006C0FA4"/>
    <w:rsid w:val="006C111C"/>
    <w:rsid w:val="006C1293"/>
    <w:rsid w:val="006C12CB"/>
    <w:rsid w:val="006C1576"/>
    <w:rsid w:val="006C18B0"/>
    <w:rsid w:val="006C18CE"/>
    <w:rsid w:val="006C1A37"/>
    <w:rsid w:val="006C1C1B"/>
    <w:rsid w:val="006C1DA9"/>
    <w:rsid w:val="006C1EE4"/>
    <w:rsid w:val="006C1F26"/>
    <w:rsid w:val="006C211B"/>
    <w:rsid w:val="006C2150"/>
    <w:rsid w:val="006C21C6"/>
    <w:rsid w:val="006C224D"/>
    <w:rsid w:val="006C2407"/>
    <w:rsid w:val="006C24BB"/>
    <w:rsid w:val="006C259D"/>
    <w:rsid w:val="006C2758"/>
    <w:rsid w:val="006C295F"/>
    <w:rsid w:val="006C2AC3"/>
    <w:rsid w:val="006C3E0F"/>
    <w:rsid w:val="006C3EFA"/>
    <w:rsid w:val="006C3F3B"/>
    <w:rsid w:val="006C3F46"/>
    <w:rsid w:val="006C41A1"/>
    <w:rsid w:val="006C43A9"/>
    <w:rsid w:val="006C4621"/>
    <w:rsid w:val="006C486D"/>
    <w:rsid w:val="006C4893"/>
    <w:rsid w:val="006C4925"/>
    <w:rsid w:val="006C4A15"/>
    <w:rsid w:val="006C4AB5"/>
    <w:rsid w:val="006C4C6C"/>
    <w:rsid w:val="006C4E50"/>
    <w:rsid w:val="006C5342"/>
    <w:rsid w:val="006C54DF"/>
    <w:rsid w:val="006C56A6"/>
    <w:rsid w:val="006C5829"/>
    <w:rsid w:val="006C5B08"/>
    <w:rsid w:val="006C5FC5"/>
    <w:rsid w:val="006C6134"/>
    <w:rsid w:val="006C61B6"/>
    <w:rsid w:val="006C653E"/>
    <w:rsid w:val="006C6669"/>
    <w:rsid w:val="006C6903"/>
    <w:rsid w:val="006C6A18"/>
    <w:rsid w:val="006C6E63"/>
    <w:rsid w:val="006C6EDB"/>
    <w:rsid w:val="006C6F89"/>
    <w:rsid w:val="006C7083"/>
    <w:rsid w:val="006C72BA"/>
    <w:rsid w:val="006C72EC"/>
    <w:rsid w:val="006C744D"/>
    <w:rsid w:val="006C78C5"/>
    <w:rsid w:val="006C79C3"/>
    <w:rsid w:val="006C7B0C"/>
    <w:rsid w:val="006C7BCD"/>
    <w:rsid w:val="006C7C62"/>
    <w:rsid w:val="006C7F9E"/>
    <w:rsid w:val="006D001B"/>
    <w:rsid w:val="006D0031"/>
    <w:rsid w:val="006D0082"/>
    <w:rsid w:val="006D0581"/>
    <w:rsid w:val="006D06AC"/>
    <w:rsid w:val="006D07F8"/>
    <w:rsid w:val="006D09D0"/>
    <w:rsid w:val="006D09E5"/>
    <w:rsid w:val="006D0B23"/>
    <w:rsid w:val="006D0BF3"/>
    <w:rsid w:val="006D0F97"/>
    <w:rsid w:val="006D103D"/>
    <w:rsid w:val="006D11CF"/>
    <w:rsid w:val="006D1459"/>
    <w:rsid w:val="006D163C"/>
    <w:rsid w:val="006D1A48"/>
    <w:rsid w:val="006D1B70"/>
    <w:rsid w:val="006D1C2D"/>
    <w:rsid w:val="006D20DC"/>
    <w:rsid w:val="006D2229"/>
    <w:rsid w:val="006D2288"/>
    <w:rsid w:val="006D2512"/>
    <w:rsid w:val="006D2B38"/>
    <w:rsid w:val="006D2C4E"/>
    <w:rsid w:val="006D2CE3"/>
    <w:rsid w:val="006D2D0E"/>
    <w:rsid w:val="006D2E7D"/>
    <w:rsid w:val="006D3793"/>
    <w:rsid w:val="006D3A45"/>
    <w:rsid w:val="006D3B35"/>
    <w:rsid w:val="006D3C3B"/>
    <w:rsid w:val="006D3C7F"/>
    <w:rsid w:val="006D3ED8"/>
    <w:rsid w:val="006D3FDD"/>
    <w:rsid w:val="006D41B7"/>
    <w:rsid w:val="006D4979"/>
    <w:rsid w:val="006D4A2E"/>
    <w:rsid w:val="006D4E23"/>
    <w:rsid w:val="006D5182"/>
    <w:rsid w:val="006D51B2"/>
    <w:rsid w:val="006D551D"/>
    <w:rsid w:val="006D567D"/>
    <w:rsid w:val="006D6044"/>
    <w:rsid w:val="006D60E7"/>
    <w:rsid w:val="006D6373"/>
    <w:rsid w:val="006D6435"/>
    <w:rsid w:val="006D6513"/>
    <w:rsid w:val="006D657B"/>
    <w:rsid w:val="006D6619"/>
    <w:rsid w:val="006D66AF"/>
    <w:rsid w:val="006D680B"/>
    <w:rsid w:val="006D6870"/>
    <w:rsid w:val="006D6A63"/>
    <w:rsid w:val="006D6AAC"/>
    <w:rsid w:val="006D6B78"/>
    <w:rsid w:val="006D6D81"/>
    <w:rsid w:val="006D6F35"/>
    <w:rsid w:val="006D6F4F"/>
    <w:rsid w:val="006D6F50"/>
    <w:rsid w:val="006D6F73"/>
    <w:rsid w:val="006D76F2"/>
    <w:rsid w:val="006D78B8"/>
    <w:rsid w:val="006D79E3"/>
    <w:rsid w:val="006D7EE9"/>
    <w:rsid w:val="006D7EF4"/>
    <w:rsid w:val="006E0009"/>
    <w:rsid w:val="006E00A8"/>
    <w:rsid w:val="006E04E8"/>
    <w:rsid w:val="006E0637"/>
    <w:rsid w:val="006E0763"/>
    <w:rsid w:val="006E084C"/>
    <w:rsid w:val="006E087B"/>
    <w:rsid w:val="006E0BA7"/>
    <w:rsid w:val="006E0FBC"/>
    <w:rsid w:val="006E1AA3"/>
    <w:rsid w:val="006E1ACD"/>
    <w:rsid w:val="006E1AFD"/>
    <w:rsid w:val="006E20A5"/>
    <w:rsid w:val="006E2141"/>
    <w:rsid w:val="006E238E"/>
    <w:rsid w:val="006E23FC"/>
    <w:rsid w:val="006E250C"/>
    <w:rsid w:val="006E2640"/>
    <w:rsid w:val="006E2FFE"/>
    <w:rsid w:val="006E315B"/>
    <w:rsid w:val="006E3860"/>
    <w:rsid w:val="006E38F9"/>
    <w:rsid w:val="006E3946"/>
    <w:rsid w:val="006E3A42"/>
    <w:rsid w:val="006E3AF1"/>
    <w:rsid w:val="006E3EDD"/>
    <w:rsid w:val="006E4114"/>
    <w:rsid w:val="006E479D"/>
    <w:rsid w:val="006E47E3"/>
    <w:rsid w:val="006E480D"/>
    <w:rsid w:val="006E49C3"/>
    <w:rsid w:val="006E4AFF"/>
    <w:rsid w:val="006E4B8F"/>
    <w:rsid w:val="006E4BEA"/>
    <w:rsid w:val="006E4D18"/>
    <w:rsid w:val="006E589E"/>
    <w:rsid w:val="006E59A2"/>
    <w:rsid w:val="006E60EA"/>
    <w:rsid w:val="006E6163"/>
    <w:rsid w:val="006E61B2"/>
    <w:rsid w:val="006E6225"/>
    <w:rsid w:val="006E63FA"/>
    <w:rsid w:val="006E65E0"/>
    <w:rsid w:val="006E6697"/>
    <w:rsid w:val="006E6870"/>
    <w:rsid w:val="006E6A84"/>
    <w:rsid w:val="006E7149"/>
    <w:rsid w:val="006E7157"/>
    <w:rsid w:val="006E716D"/>
    <w:rsid w:val="006E7227"/>
    <w:rsid w:val="006E7382"/>
    <w:rsid w:val="006E758E"/>
    <w:rsid w:val="006E77B1"/>
    <w:rsid w:val="006E7840"/>
    <w:rsid w:val="006E786D"/>
    <w:rsid w:val="006E789E"/>
    <w:rsid w:val="006E7902"/>
    <w:rsid w:val="006E7C0D"/>
    <w:rsid w:val="006E7D20"/>
    <w:rsid w:val="006E7E5F"/>
    <w:rsid w:val="006F00C1"/>
    <w:rsid w:val="006F00DE"/>
    <w:rsid w:val="006F00F1"/>
    <w:rsid w:val="006F023A"/>
    <w:rsid w:val="006F0ED9"/>
    <w:rsid w:val="006F0F0C"/>
    <w:rsid w:val="006F0F92"/>
    <w:rsid w:val="006F119B"/>
    <w:rsid w:val="006F11E4"/>
    <w:rsid w:val="006F12D8"/>
    <w:rsid w:val="006F14AD"/>
    <w:rsid w:val="006F150A"/>
    <w:rsid w:val="006F1651"/>
    <w:rsid w:val="006F16FD"/>
    <w:rsid w:val="006F1B45"/>
    <w:rsid w:val="006F1ECE"/>
    <w:rsid w:val="006F22E6"/>
    <w:rsid w:val="006F230E"/>
    <w:rsid w:val="006F2390"/>
    <w:rsid w:val="006F25FD"/>
    <w:rsid w:val="006F2638"/>
    <w:rsid w:val="006F267B"/>
    <w:rsid w:val="006F267E"/>
    <w:rsid w:val="006F2CDA"/>
    <w:rsid w:val="006F2D3D"/>
    <w:rsid w:val="006F2D44"/>
    <w:rsid w:val="006F2D68"/>
    <w:rsid w:val="006F2E2C"/>
    <w:rsid w:val="006F2F5C"/>
    <w:rsid w:val="006F312A"/>
    <w:rsid w:val="006F31EE"/>
    <w:rsid w:val="006F3340"/>
    <w:rsid w:val="006F3401"/>
    <w:rsid w:val="006F344E"/>
    <w:rsid w:val="006F3509"/>
    <w:rsid w:val="006F369C"/>
    <w:rsid w:val="006F3877"/>
    <w:rsid w:val="006F393A"/>
    <w:rsid w:val="006F3A3B"/>
    <w:rsid w:val="006F3A66"/>
    <w:rsid w:val="006F3D40"/>
    <w:rsid w:val="006F3E6D"/>
    <w:rsid w:val="006F3E7D"/>
    <w:rsid w:val="006F3FBD"/>
    <w:rsid w:val="006F405A"/>
    <w:rsid w:val="006F44A0"/>
    <w:rsid w:val="006F45F1"/>
    <w:rsid w:val="006F4771"/>
    <w:rsid w:val="006F4A69"/>
    <w:rsid w:val="006F4B84"/>
    <w:rsid w:val="006F4D04"/>
    <w:rsid w:val="006F4D53"/>
    <w:rsid w:val="006F4DD4"/>
    <w:rsid w:val="006F4EAF"/>
    <w:rsid w:val="006F50AC"/>
    <w:rsid w:val="006F5202"/>
    <w:rsid w:val="006F5240"/>
    <w:rsid w:val="006F5381"/>
    <w:rsid w:val="006F540C"/>
    <w:rsid w:val="006F546E"/>
    <w:rsid w:val="006F56EA"/>
    <w:rsid w:val="006F58B1"/>
    <w:rsid w:val="006F5903"/>
    <w:rsid w:val="006F5942"/>
    <w:rsid w:val="006F5965"/>
    <w:rsid w:val="006F5992"/>
    <w:rsid w:val="006F59DC"/>
    <w:rsid w:val="006F5C04"/>
    <w:rsid w:val="006F5C16"/>
    <w:rsid w:val="006F5C6A"/>
    <w:rsid w:val="006F5DD6"/>
    <w:rsid w:val="006F5F85"/>
    <w:rsid w:val="006F656D"/>
    <w:rsid w:val="006F6661"/>
    <w:rsid w:val="006F6CE1"/>
    <w:rsid w:val="006F70EB"/>
    <w:rsid w:val="006F71D6"/>
    <w:rsid w:val="006F7215"/>
    <w:rsid w:val="006F727F"/>
    <w:rsid w:val="006F72AD"/>
    <w:rsid w:val="006F72D8"/>
    <w:rsid w:val="006F7581"/>
    <w:rsid w:val="006F75AA"/>
    <w:rsid w:val="006F7709"/>
    <w:rsid w:val="006F77BB"/>
    <w:rsid w:val="006F7863"/>
    <w:rsid w:val="006F7892"/>
    <w:rsid w:val="006F7D84"/>
    <w:rsid w:val="006F7D96"/>
    <w:rsid w:val="006F7EFB"/>
    <w:rsid w:val="00700233"/>
    <w:rsid w:val="007002BE"/>
    <w:rsid w:val="007002DA"/>
    <w:rsid w:val="007005E7"/>
    <w:rsid w:val="007006AA"/>
    <w:rsid w:val="00700741"/>
    <w:rsid w:val="00700EDB"/>
    <w:rsid w:val="00700FC6"/>
    <w:rsid w:val="00701068"/>
    <w:rsid w:val="0070139D"/>
    <w:rsid w:val="007013F1"/>
    <w:rsid w:val="00701751"/>
    <w:rsid w:val="0070182C"/>
    <w:rsid w:val="00701A21"/>
    <w:rsid w:val="00701B56"/>
    <w:rsid w:val="00701C17"/>
    <w:rsid w:val="00701E55"/>
    <w:rsid w:val="00702157"/>
    <w:rsid w:val="0070284D"/>
    <w:rsid w:val="00702975"/>
    <w:rsid w:val="00702A30"/>
    <w:rsid w:val="00703305"/>
    <w:rsid w:val="007034CB"/>
    <w:rsid w:val="0070357D"/>
    <w:rsid w:val="007035D7"/>
    <w:rsid w:val="0070360F"/>
    <w:rsid w:val="00703904"/>
    <w:rsid w:val="00703931"/>
    <w:rsid w:val="00703985"/>
    <w:rsid w:val="00703994"/>
    <w:rsid w:val="00703ABA"/>
    <w:rsid w:val="00703D5A"/>
    <w:rsid w:val="007043CA"/>
    <w:rsid w:val="00704599"/>
    <w:rsid w:val="00704B6F"/>
    <w:rsid w:val="00704BB8"/>
    <w:rsid w:val="00704F9F"/>
    <w:rsid w:val="00705218"/>
    <w:rsid w:val="00705461"/>
    <w:rsid w:val="0070549B"/>
    <w:rsid w:val="00705547"/>
    <w:rsid w:val="0070599D"/>
    <w:rsid w:val="00705D72"/>
    <w:rsid w:val="00705EF8"/>
    <w:rsid w:val="007062DE"/>
    <w:rsid w:val="0070653E"/>
    <w:rsid w:val="00706732"/>
    <w:rsid w:val="00706AB5"/>
    <w:rsid w:val="00706B65"/>
    <w:rsid w:val="00706D75"/>
    <w:rsid w:val="00706E4C"/>
    <w:rsid w:val="00706E4D"/>
    <w:rsid w:val="00707196"/>
    <w:rsid w:val="007072B5"/>
    <w:rsid w:val="0070730C"/>
    <w:rsid w:val="007074B0"/>
    <w:rsid w:val="007074E2"/>
    <w:rsid w:val="007078FB"/>
    <w:rsid w:val="00707CD1"/>
    <w:rsid w:val="00707EF7"/>
    <w:rsid w:val="00710044"/>
    <w:rsid w:val="00710105"/>
    <w:rsid w:val="0071021C"/>
    <w:rsid w:val="007104D4"/>
    <w:rsid w:val="0071084E"/>
    <w:rsid w:val="007108DB"/>
    <w:rsid w:val="007109BD"/>
    <w:rsid w:val="007109C2"/>
    <w:rsid w:val="00710A36"/>
    <w:rsid w:val="00710B7A"/>
    <w:rsid w:val="00710D4F"/>
    <w:rsid w:val="00710DBE"/>
    <w:rsid w:val="00710E0E"/>
    <w:rsid w:val="00710F38"/>
    <w:rsid w:val="00710F63"/>
    <w:rsid w:val="00710F9D"/>
    <w:rsid w:val="00711030"/>
    <w:rsid w:val="007112F4"/>
    <w:rsid w:val="00711457"/>
    <w:rsid w:val="00711546"/>
    <w:rsid w:val="0071164F"/>
    <w:rsid w:val="0071173D"/>
    <w:rsid w:val="00711971"/>
    <w:rsid w:val="00712197"/>
    <w:rsid w:val="0071255B"/>
    <w:rsid w:val="00712696"/>
    <w:rsid w:val="007126C0"/>
    <w:rsid w:val="00712826"/>
    <w:rsid w:val="00712A48"/>
    <w:rsid w:val="00712AD2"/>
    <w:rsid w:val="00712CD2"/>
    <w:rsid w:val="00712E90"/>
    <w:rsid w:val="007132FA"/>
    <w:rsid w:val="0071341A"/>
    <w:rsid w:val="007135C0"/>
    <w:rsid w:val="00713B2E"/>
    <w:rsid w:val="00713D52"/>
    <w:rsid w:val="00713D62"/>
    <w:rsid w:val="00713E14"/>
    <w:rsid w:val="00713F53"/>
    <w:rsid w:val="00713FFE"/>
    <w:rsid w:val="00714183"/>
    <w:rsid w:val="007142EE"/>
    <w:rsid w:val="0071449E"/>
    <w:rsid w:val="007149A3"/>
    <w:rsid w:val="00714B2E"/>
    <w:rsid w:val="00714EEE"/>
    <w:rsid w:val="00714F11"/>
    <w:rsid w:val="007156A3"/>
    <w:rsid w:val="007160A7"/>
    <w:rsid w:val="0071615A"/>
    <w:rsid w:val="007161D0"/>
    <w:rsid w:val="00716368"/>
    <w:rsid w:val="00716574"/>
    <w:rsid w:val="007167DD"/>
    <w:rsid w:val="00716966"/>
    <w:rsid w:val="00716D8A"/>
    <w:rsid w:val="007172A1"/>
    <w:rsid w:val="00717333"/>
    <w:rsid w:val="00717681"/>
    <w:rsid w:val="007176C9"/>
    <w:rsid w:val="007176E1"/>
    <w:rsid w:val="00717790"/>
    <w:rsid w:val="007178D5"/>
    <w:rsid w:val="007179F3"/>
    <w:rsid w:val="00717A07"/>
    <w:rsid w:val="0072024A"/>
    <w:rsid w:val="0072026D"/>
    <w:rsid w:val="00720271"/>
    <w:rsid w:val="007202EA"/>
    <w:rsid w:val="00720336"/>
    <w:rsid w:val="007203F3"/>
    <w:rsid w:val="00720665"/>
    <w:rsid w:val="0072067F"/>
    <w:rsid w:val="007207E6"/>
    <w:rsid w:val="007207E9"/>
    <w:rsid w:val="00720857"/>
    <w:rsid w:val="007208AD"/>
    <w:rsid w:val="00720B84"/>
    <w:rsid w:val="00721149"/>
    <w:rsid w:val="00721226"/>
    <w:rsid w:val="007213A1"/>
    <w:rsid w:val="007219AE"/>
    <w:rsid w:val="00721D98"/>
    <w:rsid w:val="00721E27"/>
    <w:rsid w:val="007220ED"/>
    <w:rsid w:val="00722257"/>
    <w:rsid w:val="00722657"/>
    <w:rsid w:val="00722694"/>
    <w:rsid w:val="0072296E"/>
    <w:rsid w:val="00722AEA"/>
    <w:rsid w:val="00722B53"/>
    <w:rsid w:val="00722D08"/>
    <w:rsid w:val="00722EB5"/>
    <w:rsid w:val="0072303E"/>
    <w:rsid w:val="007230DD"/>
    <w:rsid w:val="0072355F"/>
    <w:rsid w:val="00723560"/>
    <w:rsid w:val="007237B7"/>
    <w:rsid w:val="00723954"/>
    <w:rsid w:val="00723FB1"/>
    <w:rsid w:val="00723FCF"/>
    <w:rsid w:val="007240A9"/>
    <w:rsid w:val="007240AD"/>
    <w:rsid w:val="007242CA"/>
    <w:rsid w:val="007242F9"/>
    <w:rsid w:val="0072436F"/>
    <w:rsid w:val="00724397"/>
    <w:rsid w:val="0072450E"/>
    <w:rsid w:val="00724594"/>
    <w:rsid w:val="00724736"/>
    <w:rsid w:val="00724737"/>
    <w:rsid w:val="0072488E"/>
    <w:rsid w:val="00724B0A"/>
    <w:rsid w:val="00724C42"/>
    <w:rsid w:val="00724CF3"/>
    <w:rsid w:val="00724DC2"/>
    <w:rsid w:val="00724F55"/>
    <w:rsid w:val="0072520C"/>
    <w:rsid w:val="007252CD"/>
    <w:rsid w:val="00725997"/>
    <w:rsid w:val="00725B24"/>
    <w:rsid w:val="00725C0D"/>
    <w:rsid w:val="00725C32"/>
    <w:rsid w:val="00725FB6"/>
    <w:rsid w:val="0072632B"/>
    <w:rsid w:val="00726363"/>
    <w:rsid w:val="0072636F"/>
    <w:rsid w:val="007265A8"/>
    <w:rsid w:val="0072664E"/>
    <w:rsid w:val="007266E9"/>
    <w:rsid w:val="00726969"/>
    <w:rsid w:val="00726B83"/>
    <w:rsid w:val="00726BBF"/>
    <w:rsid w:val="00726F59"/>
    <w:rsid w:val="007270DB"/>
    <w:rsid w:val="0072735C"/>
    <w:rsid w:val="00727382"/>
    <w:rsid w:val="00727677"/>
    <w:rsid w:val="00727EDA"/>
    <w:rsid w:val="00727F19"/>
    <w:rsid w:val="0073017D"/>
    <w:rsid w:val="0073018B"/>
    <w:rsid w:val="00730325"/>
    <w:rsid w:val="00730378"/>
    <w:rsid w:val="00730492"/>
    <w:rsid w:val="00730642"/>
    <w:rsid w:val="00730CB1"/>
    <w:rsid w:val="00730CCE"/>
    <w:rsid w:val="00730F94"/>
    <w:rsid w:val="007310A7"/>
    <w:rsid w:val="007310CB"/>
    <w:rsid w:val="0073122F"/>
    <w:rsid w:val="00731330"/>
    <w:rsid w:val="00731627"/>
    <w:rsid w:val="00731AE4"/>
    <w:rsid w:val="00731B6C"/>
    <w:rsid w:val="00731C2A"/>
    <w:rsid w:val="00731F02"/>
    <w:rsid w:val="00731F42"/>
    <w:rsid w:val="0073207A"/>
    <w:rsid w:val="00732174"/>
    <w:rsid w:val="007322F7"/>
    <w:rsid w:val="00732490"/>
    <w:rsid w:val="007324CB"/>
    <w:rsid w:val="00732652"/>
    <w:rsid w:val="007326CA"/>
    <w:rsid w:val="00732919"/>
    <w:rsid w:val="007329A7"/>
    <w:rsid w:val="00732C7E"/>
    <w:rsid w:val="00732D25"/>
    <w:rsid w:val="007331BD"/>
    <w:rsid w:val="0073335A"/>
    <w:rsid w:val="00733526"/>
    <w:rsid w:val="00733587"/>
    <w:rsid w:val="007338E7"/>
    <w:rsid w:val="00733AB2"/>
    <w:rsid w:val="00733D15"/>
    <w:rsid w:val="00733D26"/>
    <w:rsid w:val="00733F0C"/>
    <w:rsid w:val="00733F57"/>
    <w:rsid w:val="00733F6C"/>
    <w:rsid w:val="00734121"/>
    <w:rsid w:val="00734248"/>
    <w:rsid w:val="007343E8"/>
    <w:rsid w:val="0073445E"/>
    <w:rsid w:val="0073446E"/>
    <w:rsid w:val="007344BE"/>
    <w:rsid w:val="0073472A"/>
    <w:rsid w:val="00734D05"/>
    <w:rsid w:val="00734D29"/>
    <w:rsid w:val="00734DD7"/>
    <w:rsid w:val="00735ABA"/>
    <w:rsid w:val="00735D34"/>
    <w:rsid w:val="00736097"/>
    <w:rsid w:val="007360C0"/>
    <w:rsid w:val="00736792"/>
    <w:rsid w:val="00736824"/>
    <w:rsid w:val="007368A8"/>
    <w:rsid w:val="00736A47"/>
    <w:rsid w:val="00736A90"/>
    <w:rsid w:val="00736FBD"/>
    <w:rsid w:val="0073709F"/>
    <w:rsid w:val="0073714B"/>
    <w:rsid w:val="007373C2"/>
    <w:rsid w:val="0073761E"/>
    <w:rsid w:val="00737821"/>
    <w:rsid w:val="00737B8A"/>
    <w:rsid w:val="00737BC0"/>
    <w:rsid w:val="00737C26"/>
    <w:rsid w:val="00737DAB"/>
    <w:rsid w:val="00737F4D"/>
    <w:rsid w:val="00737FA7"/>
    <w:rsid w:val="00740340"/>
    <w:rsid w:val="00740494"/>
    <w:rsid w:val="007404DF"/>
    <w:rsid w:val="00740588"/>
    <w:rsid w:val="00740951"/>
    <w:rsid w:val="00741198"/>
    <w:rsid w:val="00741535"/>
    <w:rsid w:val="00741630"/>
    <w:rsid w:val="00741655"/>
    <w:rsid w:val="00741696"/>
    <w:rsid w:val="00741723"/>
    <w:rsid w:val="00742096"/>
    <w:rsid w:val="00742296"/>
    <w:rsid w:val="00742351"/>
    <w:rsid w:val="00742683"/>
    <w:rsid w:val="007427BB"/>
    <w:rsid w:val="007429E8"/>
    <w:rsid w:val="00742BA7"/>
    <w:rsid w:val="00742C30"/>
    <w:rsid w:val="007432E7"/>
    <w:rsid w:val="00743366"/>
    <w:rsid w:val="0074357A"/>
    <w:rsid w:val="00743666"/>
    <w:rsid w:val="00743A06"/>
    <w:rsid w:val="00743A38"/>
    <w:rsid w:val="00743DD3"/>
    <w:rsid w:val="00743F4E"/>
    <w:rsid w:val="0074437F"/>
    <w:rsid w:val="00744402"/>
    <w:rsid w:val="00744494"/>
    <w:rsid w:val="00744802"/>
    <w:rsid w:val="00744C1D"/>
    <w:rsid w:val="00744C25"/>
    <w:rsid w:val="0074527C"/>
    <w:rsid w:val="00745469"/>
    <w:rsid w:val="007455F3"/>
    <w:rsid w:val="007455FD"/>
    <w:rsid w:val="00745849"/>
    <w:rsid w:val="007458E1"/>
    <w:rsid w:val="00745B54"/>
    <w:rsid w:val="00745C5C"/>
    <w:rsid w:val="00745D05"/>
    <w:rsid w:val="00745E76"/>
    <w:rsid w:val="00745F0C"/>
    <w:rsid w:val="00745F29"/>
    <w:rsid w:val="00746189"/>
    <w:rsid w:val="0074680B"/>
    <w:rsid w:val="00746934"/>
    <w:rsid w:val="00746B0B"/>
    <w:rsid w:val="00746D57"/>
    <w:rsid w:val="00746F00"/>
    <w:rsid w:val="00747008"/>
    <w:rsid w:val="00747076"/>
    <w:rsid w:val="007474A6"/>
    <w:rsid w:val="007476D4"/>
    <w:rsid w:val="0074774C"/>
    <w:rsid w:val="007477D5"/>
    <w:rsid w:val="007477FD"/>
    <w:rsid w:val="00747A00"/>
    <w:rsid w:val="00747A29"/>
    <w:rsid w:val="00747B1F"/>
    <w:rsid w:val="00747DC4"/>
    <w:rsid w:val="00747FDF"/>
    <w:rsid w:val="007502AF"/>
    <w:rsid w:val="00750416"/>
    <w:rsid w:val="00750552"/>
    <w:rsid w:val="007507CC"/>
    <w:rsid w:val="00750F33"/>
    <w:rsid w:val="007510A7"/>
    <w:rsid w:val="00751108"/>
    <w:rsid w:val="007512F9"/>
    <w:rsid w:val="007515F1"/>
    <w:rsid w:val="00751747"/>
    <w:rsid w:val="0075178C"/>
    <w:rsid w:val="00751828"/>
    <w:rsid w:val="00751B63"/>
    <w:rsid w:val="00751D01"/>
    <w:rsid w:val="00751D5F"/>
    <w:rsid w:val="00751E57"/>
    <w:rsid w:val="00752052"/>
    <w:rsid w:val="007520E9"/>
    <w:rsid w:val="00752299"/>
    <w:rsid w:val="00752848"/>
    <w:rsid w:val="00752900"/>
    <w:rsid w:val="0075294B"/>
    <w:rsid w:val="00752A3E"/>
    <w:rsid w:val="00752CC3"/>
    <w:rsid w:val="00752CEC"/>
    <w:rsid w:val="00752DE1"/>
    <w:rsid w:val="00752E1C"/>
    <w:rsid w:val="00752FF1"/>
    <w:rsid w:val="00753168"/>
    <w:rsid w:val="007531BB"/>
    <w:rsid w:val="00753253"/>
    <w:rsid w:val="00753294"/>
    <w:rsid w:val="0075355C"/>
    <w:rsid w:val="00753778"/>
    <w:rsid w:val="0075394B"/>
    <w:rsid w:val="00753B3C"/>
    <w:rsid w:val="00753D64"/>
    <w:rsid w:val="00753D86"/>
    <w:rsid w:val="00753E3B"/>
    <w:rsid w:val="007542ED"/>
    <w:rsid w:val="00754304"/>
    <w:rsid w:val="00754545"/>
    <w:rsid w:val="00754844"/>
    <w:rsid w:val="00754864"/>
    <w:rsid w:val="00754AAC"/>
    <w:rsid w:val="00754BC8"/>
    <w:rsid w:val="00754D03"/>
    <w:rsid w:val="00754FD8"/>
    <w:rsid w:val="0075506E"/>
    <w:rsid w:val="00755559"/>
    <w:rsid w:val="0075570E"/>
    <w:rsid w:val="007557C0"/>
    <w:rsid w:val="0075585C"/>
    <w:rsid w:val="0075589C"/>
    <w:rsid w:val="007558E9"/>
    <w:rsid w:val="00755AB3"/>
    <w:rsid w:val="00755DE0"/>
    <w:rsid w:val="00755DFA"/>
    <w:rsid w:val="00755F3B"/>
    <w:rsid w:val="0075607B"/>
    <w:rsid w:val="00756252"/>
    <w:rsid w:val="007564BA"/>
    <w:rsid w:val="00756616"/>
    <w:rsid w:val="00756D50"/>
    <w:rsid w:val="00756D66"/>
    <w:rsid w:val="00756FEF"/>
    <w:rsid w:val="0075701C"/>
    <w:rsid w:val="00757221"/>
    <w:rsid w:val="00757275"/>
    <w:rsid w:val="00757DA2"/>
    <w:rsid w:val="00760414"/>
    <w:rsid w:val="0076053C"/>
    <w:rsid w:val="0076064B"/>
    <w:rsid w:val="00760878"/>
    <w:rsid w:val="007609C5"/>
    <w:rsid w:val="00760AE0"/>
    <w:rsid w:val="00760C3A"/>
    <w:rsid w:val="00760F1F"/>
    <w:rsid w:val="00761038"/>
    <w:rsid w:val="007610CA"/>
    <w:rsid w:val="0076113F"/>
    <w:rsid w:val="007612C5"/>
    <w:rsid w:val="0076148F"/>
    <w:rsid w:val="00761735"/>
    <w:rsid w:val="007617D8"/>
    <w:rsid w:val="0076191D"/>
    <w:rsid w:val="00761C2E"/>
    <w:rsid w:val="00761E7B"/>
    <w:rsid w:val="00761FA8"/>
    <w:rsid w:val="007621AE"/>
    <w:rsid w:val="0076223F"/>
    <w:rsid w:val="00762473"/>
    <w:rsid w:val="007626D3"/>
    <w:rsid w:val="007627B5"/>
    <w:rsid w:val="00762864"/>
    <w:rsid w:val="0076298A"/>
    <w:rsid w:val="00762BC9"/>
    <w:rsid w:val="00762CBF"/>
    <w:rsid w:val="00763187"/>
    <w:rsid w:val="0076332A"/>
    <w:rsid w:val="00763691"/>
    <w:rsid w:val="00763749"/>
    <w:rsid w:val="00763768"/>
    <w:rsid w:val="00763CE0"/>
    <w:rsid w:val="00763D44"/>
    <w:rsid w:val="00763E0F"/>
    <w:rsid w:val="00763E89"/>
    <w:rsid w:val="00764053"/>
    <w:rsid w:val="007641E4"/>
    <w:rsid w:val="00764312"/>
    <w:rsid w:val="00764414"/>
    <w:rsid w:val="00764439"/>
    <w:rsid w:val="00764707"/>
    <w:rsid w:val="0076473C"/>
    <w:rsid w:val="00764804"/>
    <w:rsid w:val="0076488B"/>
    <w:rsid w:val="00764939"/>
    <w:rsid w:val="007649D2"/>
    <w:rsid w:val="007649FE"/>
    <w:rsid w:val="00764AD9"/>
    <w:rsid w:val="00764BCB"/>
    <w:rsid w:val="00764C03"/>
    <w:rsid w:val="007651E8"/>
    <w:rsid w:val="00765513"/>
    <w:rsid w:val="007656DB"/>
    <w:rsid w:val="007656E2"/>
    <w:rsid w:val="0076578F"/>
    <w:rsid w:val="00765796"/>
    <w:rsid w:val="0076594B"/>
    <w:rsid w:val="00765A71"/>
    <w:rsid w:val="00765C02"/>
    <w:rsid w:val="00765C8E"/>
    <w:rsid w:val="00765D51"/>
    <w:rsid w:val="007660F6"/>
    <w:rsid w:val="007661BE"/>
    <w:rsid w:val="00766330"/>
    <w:rsid w:val="007664A2"/>
    <w:rsid w:val="00766D2A"/>
    <w:rsid w:val="00766E1F"/>
    <w:rsid w:val="00766F5B"/>
    <w:rsid w:val="007675FB"/>
    <w:rsid w:val="00767665"/>
    <w:rsid w:val="0076774D"/>
    <w:rsid w:val="007677A7"/>
    <w:rsid w:val="007679FC"/>
    <w:rsid w:val="00767B3E"/>
    <w:rsid w:val="00767C9D"/>
    <w:rsid w:val="00767FEE"/>
    <w:rsid w:val="007708C1"/>
    <w:rsid w:val="00770C6A"/>
    <w:rsid w:val="00770F3A"/>
    <w:rsid w:val="007710E7"/>
    <w:rsid w:val="0077118A"/>
    <w:rsid w:val="00771825"/>
    <w:rsid w:val="00771C78"/>
    <w:rsid w:val="00772265"/>
    <w:rsid w:val="007723C8"/>
    <w:rsid w:val="007725A7"/>
    <w:rsid w:val="0077264B"/>
    <w:rsid w:val="007727C1"/>
    <w:rsid w:val="0077293B"/>
    <w:rsid w:val="00772C96"/>
    <w:rsid w:val="00773031"/>
    <w:rsid w:val="0077319D"/>
    <w:rsid w:val="00773312"/>
    <w:rsid w:val="0077331C"/>
    <w:rsid w:val="00773331"/>
    <w:rsid w:val="0077358A"/>
    <w:rsid w:val="0077375A"/>
    <w:rsid w:val="00773BA1"/>
    <w:rsid w:val="00773F7E"/>
    <w:rsid w:val="007741E1"/>
    <w:rsid w:val="00774247"/>
    <w:rsid w:val="007744B8"/>
    <w:rsid w:val="00774729"/>
    <w:rsid w:val="0077477E"/>
    <w:rsid w:val="0077483E"/>
    <w:rsid w:val="00774862"/>
    <w:rsid w:val="007748C4"/>
    <w:rsid w:val="00774A68"/>
    <w:rsid w:val="00774BF2"/>
    <w:rsid w:val="00774D1D"/>
    <w:rsid w:val="00774E2B"/>
    <w:rsid w:val="00774E45"/>
    <w:rsid w:val="0077527E"/>
    <w:rsid w:val="0077544B"/>
    <w:rsid w:val="0077555A"/>
    <w:rsid w:val="00775723"/>
    <w:rsid w:val="00775951"/>
    <w:rsid w:val="0077595C"/>
    <w:rsid w:val="00775986"/>
    <w:rsid w:val="00775A35"/>
    <w:rsid w:val="00775C89"/>
    <w:rsid w:val="00775DC6"/>
    <w:rsid w:val="00776148"/>
    <w:rsid w:val="007761AA"/>
    <w:rsid w:val="00776253"/>
    <w:rsid w:val="0077678E"/>
    <w:rsid w:val="007767EE"/>
    <w:rsid w:val="00776B94"/>
    <w:rsid w:val="00776E63"/>
    <w:rsid w:val="00776EAE"/>
    <w:rsid w:val="0077712A"/>
    <w:rsid w:val="00777370"/>
    <w:rsid w:val="00777679"/>
    <w:rsid w:val="00777A95"/>
    <w:rsid w:val="00777BCA"/>
    <w:rsid w:val="00777CF4"/>
    <w:rsid w:val="00777EAB"/>
    <w:rsid w:val="0078008E"/>
    <w:rsid w:val="0078029B"/>
    <w:rsid w:val="007805CF"/>
    <w:rsid w:val="0078074B"/>
    <w:rsid w:val="0078076F"/>
    <w:rsid w:val="0078083D"/>
    <w:rsid w:val="0078094D"/>
    <w:rsid w:val="007809F1"/>
    <w:rsid w:val="00780B52"/>
    <w:rsid w:val="00780D58"/>
    <w:rsid w:val="0078107B"/>
    <w:rsid w:val="0078108A"/>
    <w:rsid w:val="007811C5"/>
    <w:rsid w:val="007812BD"/>
    <w:rsid w:val="007814F2"/>
    <w:rsid w:val="007817BA"/>
    <w:rsid w:val="00781C28"/>
    <w:rsid w:val="00781D23"/>
    <w:rsid w:val="00782128"/>
    <w:rsid w:val="007821FD"/>
    <w:rsid w:val="00782778"/>
    <w:rsid w:val="007827AB"/>
    <w:rsid w:val="0078282E"/>
    <w:rsid w:val="00782929"/>
    <w:rsid w:val="00782AD7"/>
    <w:rsid w:val="00782B73"/>
    <w:rsid w:val="00782C13"/>
    <w:rsid w:val="00782E43"/>
    <w:rsid w:val="00783110"/>
    <w:rsid w:val="00783570"/>
    <w:rsid w:val="007838C9"/>
    <w:rsid w:val="007839BD"/>
    <w:rsid w:val="00783AC9"/>
    <w:rsid w:val="00783D1D"/>
    <w:rsid w:val="0078445E"/>
    <w:rsid w:val="0078467E"/>
    <w:rsid w:val="00784806"/>
    <w:rsid w:val="0078482B"/>
    <w:rsid w:val="0078498F"/>
    <w:rsid w:val="00784C71"/>
    <w:rsid w:val="00784E0E"/>
    <w:rsid w:val="00785028"/>
    <w:rsid w:val="00785569"/>
    <w:rsid w:val="00785670"/>
    <w:rsid w:val="00785726"/>
    <w:rsid w:val="007859B0"/>
    <w:rsid w:val="007859B8"/>
    <w:rsid w:val="00785DBC"/>
    <w:rsid w:val="00785F50"/>
    <w:rsid w:val="00785FB2"/>
    <w:rsid w:val="00786295"/>
    <w:rsid w:val="00786349"/>
    <w:rsid w:val="0078679C"/>
    <w:rsid w:val="007868C4"/>
    <w:rsid w:val="00786931"/>
    <w:rsid w:val="00786986"/>
    <w:rsid w:val="00786994"/>
    <w:rsid w:val="00786A56"/>
    <w:rsid w:val="00786BEE"/>
    <w:rsid w:val="00786D32"/>
    <w:rsid w:val="00786D52"/>
    <w:rsid w:val="00786DD1"/>
    <w:rsid w:val="00786EDC"/>
    <w:rsid w:val="00786FFA"/>
    <w:rsid w:val="00787448"/>
    <w:rsid w:val="00787454"/>
    <w:rsid w:val="007877A8"/>
    <w:rsid w:val="00787897"/>
    <w:rsid w:val="00787A38"/>
    <w:rsid w:val="00787DD6"/>
    <w:rsid w:val="00787E93"/>
    <w:rsid w:val="00787EA4"/>
    <w:rsid w:val="00787F3D"/>
    <w:rsid w:val="007900A4"/>
    <w:rsid w:val="007902AB"/>
    <w:rsid w:val="0079036B"/>
    <w:rsid w:val="007903A3"/>
    <w:rsid w:val="007907AE"/>
    <w:rsid w:val="00790BFE"/>
    <w:rsid w:val="00791074"/>
    <w:rsid w:val="0079110A"/>
    <w:rsid w:val="007914B2"/>
    <w:rsid w:val="0079158A"/>
    <w:rsid w:val="00791909"/>
    <w:rsid w:val="00791AB4"/>
    <w:rsid w:val="00791C2D"/>
    <w:rsid w:val="00791F12"/>
    <w:rsid w:val="007925CA"/>
    <w:rsid w:val="007927C3"/>
    <w:rsid w:val="007927DC"/>
    <w:rsid w:val="007928DA"/>
    <w:rsid w:val="00792B4D"/>
    <w:rsid w:val="00792C07"/>
    <w:rsid w:val="00792C7D"/>
    <w:rsid w:val="00792DAF"/>
    <w:rsid w:val="00792FC0"/>
    <w:rsid w:val="00793005"/>
    <w:rsid w:val="007930A4"/>
    <w:rsid w:val="007930D7"/>
    <w:rsid w:val="007932EF"/>
    <w:rsid w:val="007932F7"/>
    <w:rsid w:val="007934C2"/>
    <w:rsid w:val="007935A8"/>
    <w:rsid w:val="0079360F"/>
    <w:rsid w:val="00793957"/>
    <w:rsid w:val="00793A40"/>
    <w:rsid w:val="00793B20"/>
    <w:rsid w:val="007940D7"/>
    <w:rsid w:val="0079496E"/>
    <w:rsid w:val="00794A3A"/>
    <w:rsid w:val="00794ADE"/>
    <w:rsid w:val="00794C8A"/>
    <w:rsid w:val="00794CFE"/>
    <w:rsid w:val="00794DBE"/>
    <w:rsid w:val="00794E24"/>
    <w:rsid w:val="00794F14"/>
    <w:rsid w:val="00794F53"/>
    <w:rsid w:val="00795009"/>
    <w:rsid w:val="007950FB"/>
    <w:rsid w:val="007951CD"/>
    <w:rsid w:val="00795274"/>
    <w:rsid w:val="00795568"/>
    <w:rsid w:val="0079567F"/>
    <w:rsid w:val="00795739"/>
    <w:rsid w:val="007957DB"/>
    <w:rsid w:val="00795A3C"/>
    <w:rsid w:val="00795A9E"/>
    <w:rsid w:val="00795ADA"/>
    <w:rsid w:val="00795C14"/>
    <w:rsid w:val="00795FA1"/>
    <w:rsid w:val="00796165"/>
    <w:rsid w:val="00796242"/>
    <w:rsid w:val="007962A5"/>
    <w:rsid w:val="00796667"/>
    <w:rsid w:val="0079688C"/>
    <w:rsid w:val="00796904"/>
    <w:rsid w:val="00796AB2"/>
    <w:rsid w:val="00796C26"/>
    <w:rsid w:val="00796DD4"/>
    <w:rsid w:val="00796E11"/>
    <w:rsid w:val="00796E41"/>
    <w:rsid w:val="0079750E"/>
    <w:rsid w:val="0079754D"/>
    <w:rsid w:val="00797766"/>
    <w:rsid w:val="007979C2"/>
    <w:rsid w:val="00797A3F"/>
    <w:rsid w:val="00797A71"/>
    <w:rsid w:val="00797AFA"/>
    <w:rsid w:val="00797D1E"/>
    <w:rsid w:val="007A01A9"/>
    <w:rsid w:val="007A0316"/>
    <w:rsid w:val="007A0352"/>
    <w:rsid w:val="007A05CD"/>
    <w:rsid w:val="007A0811"/>
    <w:rsid w:val="007A091C"/>
    <w:rsid w:val="007A0B9A"/>
    <w:rsid w:val="007A0C59"/>
    <w:rsid w:val="007A0D1E"/>
    <w:rsid w:val="007A0F4D"/>
    <w:rsid w:val="007A1082"/>
    <w:rsid w:val="007A10CF"/>
    <w:rsid w:val="007A11E3"/>
    <w:rsid w:val="007A1241"/>
    <w:rsid w:val="007A1405"/>
    <w:rsid w:val="007A1513"/>
    <w:rsid w:val="007A2203"/>
    <w:rsid w:val="007A232B"/>
    <w:rsid w:val="007A26CE"/>
    <w:rsid w:val="007A2971"/>
    <w:rsid w:val="007A2ECB"/>
    <w:rsid w:val="007A2F3B"/>
    <w:rsid w:val="007A3478"/>
    <w:rsid w:val="007A37BD"/>
    <w:rsid w:val="007A3892"/>
    <w:rsid w:val="007A38A2"/>
    <w:rsid w:val="007A38D4"/>
    <w:rsid w:val="007A39BF"/>
    <w:rsid w:val="007A40B7"/>
    <w:rsid w:val="007A446C"/>
    <w:rsid w:val="007A44FB"/>
    <w:rsid w:val="007A4720"/>
    <w:rsid w:val="007A48E1"/>
    <w:rsid w:val="007A48FD"/>
    <w:rsid w:val="007A4AA3"/>
    <w:rsid w:val="007A4E69"/>
    <w:rsid w:val="007A4E93"/>
    <w:rsid w:val="007A5009"/>
    <w:rsid w:val="007A510E"/>
    <w:rsid w:val="007A53C8"/>
    <w:rsid w:val="007A54D1"/>
    <w:rsid w:val="007A5782"/>
    <w:rsid w:val="007A581A"/>
    <w:rsid w:val="007A5AD8"/>
    <w:rsid w:val="007A5CEA"/>
    <w:rsid w:val="007A5D1F"/>
    <w:rsid w:val="007A630B"/>
    <w:rsid w:val="007A63C8"/>
    <w:rsid w:val="007A644E"/>
    <w:rsid w:val="007A6A44"/>
    <w:rsid w:val="007A6A8C"/>
    <w:rsid w:val="007A6B2F"/>
    <w:rsid w:val="007A6FB7"/>
    <w:rsid w:val="007A70F5"/>
    <w:rsid w:val="007A733D"/>
    <w:rsid w:val="007A753E"/>
    <w:rsid w:val="007A7A35"/>
    <w:rsid w:val="007A7B38"/>
    <w:rsid w:val="007A7D09"/>
    <w:rsid w:val="007A7D9F"/>
    <w:rsid w:val="007A7DAB"/>
    <w:rsid w:val="007B004B"/>
    <w:rsid w:val="007B02BF"/>
    <w:rsid w:val="007B040A"/>
    <w:rsid w:val="007B0783"/>
    <w:rsid w:val="007B08CD"/>
    <w:rsid w:val="007B08E6"/>
    <w:rsid w:val="007B09CA"/>
    <w:rsid w:val="007B0AAC"/>
    <w:rsid w:val="007B0B66"/>
    <w:rsid w:val="007B0C2E"/>
    <w:rsid w:val="007B0DE4"/>
    <w:rsid w:val="007B0F45"/>
    <w:rsid w:val="007B0F75"/>
    <w:rsid w:val="007B1096"/>
    <w:rsid w:val="007B15EA"/>
    <w:rsid w:val="007B1810"/>
    <w:rsid w:val="007B19DC"/>
    <w:rsid w:val="007B1B4F"/>
    <w:rsid w:val="007B1C8B"/>
    <w:rsid w:val="007B1DA4"/>
    <w:rsid w:val="007B220B"/>
    <w:rsid w:val="007B24B2"/>
    <w:rsid w:val="007B26B4"/>
    <w:rsid w:val="007B26E9"/>
    <w:rsid w:val="007B273F"/>
    <w:rsid w:val="007B2902"/>
    <w:rsid w:val="007B2A58"/>
    <w:rsid w:val="007B2AB3"/>
    <w:rsid w:val="007B2BA0"/>
    <w:rsid w:val="007B2CEB"/>
    <w:rsid w:val="007B2D63"/>
    <w:rsid w:val="007B334D"/>
    <w:rsid w:val="007B3433"/>
    <w:rsid w:val="007B3442"/>
    <w:rsid w:val="007B3493"/>
    <w:rsid w:val="007B3880"/>
    <w:rsid w:val="007B3961"/>
    <w:rsid w:val="007B3C59"/>
    <w:rsid w:val="007B3CC1"/>
    <w:rsid w:val="007B3D25"/>
    <w:rsid w:val="007B3DD2"/>
    <w:rsid w:val="007B3F9A"/>
    <w:rsid w:val="007B48A0"/>
    <w:rsid w:val="007B48D9"/>
    <w:rsid w:val="007B4966"/>
    <w:rsid w:val="007B4E3F"/>
    <w:rsid w:val="007B4F30"/>
    <w:rsid w:val="007B5309"/>
    <w:rsid w:val="007B542A"/>
    <w:rsid w:val="007B5499"/>
    <w:rsid w:val="007B5B10"/>
    <w:rsid w:val="007B5B3E"/>
    <w:rsid w:val="007B5B8E"/>
    <w:rsid w:val="007B5CBE"/>
    <w:rsid w:val="007B5E38"/>
    <w:rsid w:val="007B5E73"/>
    <w:rsid w:val="007B5EED"/>
    <w:rsid w:val="007B5F1A"/>
    <w:rsid w:val="007B66B8"/>
    <w:rsid w:val="007B6AEF"/>
    <w:rsid w:val="007B6BD7"/>
    <w:rsid w:val="007B6BDE"/>
    <w:rsid w:val="007B6BE3"/>
    <w:rsid w:val="007B6F5C"/>
    <w:rsid w:val="007B6FAB"/>
    <w:rsid w:val="007B7C76"/>
    <w:rsid w:val="007B7F21"/>
    <w:rsid w:val="007C0045"/>
    <w:rsid w:val="007C0318"/>
    <w:rsid w:val="007C04E2"/>
    <w:rsid w:val="007C08C4"/>
    <w:rsid w:val="007C0B68"/>
    <w:rsid w:val="007C0C21"/>
    <w:rsid w:val="007C0FBA"/>
    <w:rsid w:val="007C115D"/>
    <w:rsid w:val="007C12E6"/>
    <w:rsid w:val="007C13ED"/>
    <w:rsid w:val="007C1616"/>
    <w:rsid w:val="007C16AD"/>
    <w:rsid w:val="007C16FE"/>
    <w:rsid w:val="007C1751"/>
    <w:rsid w:val="007C1A61"/>
    <w:rsid w:val="007C2159"/>
    <w:rsid w:val="007C21EB"/>
    <w:rsid w:val="007C2444"/>
    <w:rsid w:val="007C25F4"/>
    <w:rsid w:val="007C2685"/>
    <w:rsid w:val="007C29E2"/>
    <w:rsid w:val="007C29E6"/>
    <w:rsid w:val="007C2A60"/>
    <w:rsid w:val="007C2B2F"/>
    <w:rsid w:val="007C2C58"/>
    <w:rsid w:val="007C2C9B"/>
    <w:rsid w:val="007C2D90"/>
    <w:rsid w:val="007C3076"/>
    <w:rsid w:val="007C33B8"/>
    <w:rsid w:val="007C33C4"/>
    <w:rsid w:val="007C34E2"/>
    <w:rsid w:val="007C35D4"/>
    <w:rsid w:val="007C36D1"/>
    <w:rsid w:val="007C3B93"/>
    <w:rsid w:val="007C3E92"/>
    <w:rsid w:val="007C4385"/>
    <w:rsid w:val="007C47FE"/>
    <w:rsid w:val="007C4BA8"/>
    <w:rsid w:val="007C4F45"/>
    <w:rsid w:val="007C5202"/>
    <w:rsid w:val="007C527B"/>
    <w:rsid w:val="007C543A"/>
    <w:rsid w:val="007C5529"/>
    <w:rsid w:val="007C557C"/>
    <w:rsid w:val="007C5968"/>
    <w:rsid w:val="007C59B9"/>
    <w:rsid w:val="007C5B08"/>
    <w:rsid w:val="007C5B82"/>
    <w:rsid w:val="007C5C1D"/>
    <w:rsid w:val="007C5C79"/>
    <w:rsid w:val="007C5C98"/>
    <w:rsid w:val="007C5E77"/>
    <w:rsid w:val="007C689A"/>
    <w:rsid w:val="007C68D0"/>
    <w:rsid w:val="007C6B27"/>
    <w:rsid w:val="007C7238"/>
    <w:rsid w:val="007C7502"/>
    <w:rsid w:val="007C7A13"/>
    <w:rsid w:val="007C7A4F"/>
    <w:rsid w:val="007C7B54"/>
    <w:rsid w:val="007C7DBD"/>
    <w:rsid w:val="007C7F13"/>
    <w:rsid w:val="007C7F79"/>
    <w:rsid w:val="007D0012"/>
    <w:rsid w:val="007D0101"/>
    <w:rsid w:val="007D01AA"/>
    <w:rsid w:val="007D02DE"/>
    <w:rsid w:val="007D0406"/>
    <w:rsid w:val="007D05B2"/>
    <w:rsid w:val="007D062B"/>
    <w:rsid w:val="007D07A1"/>
    <w:rsid w:val="007D0B04"/>
    <w:rsid w:val="007D0C81"/>
    <w:rsid w:val="007D0D25"/>
    <w:rsid w:val="007D0DFD"/>
    <w:rsid w:val="007D1047"/>
    <w:rsid w:val="007D1385"/>
    <w:rsid w:val="007D162B"/>
    <w:rsid w:val="007D1B23"/>
    <w:rsid w:val="007D1BEF"/>
    <w:rsid w:val="007D1BFC"/>
    <w:rsid w:val="007D1C61"/>
    <w:rsid w:val="007D1CAE"/>
    <w:rsid w:val="007D1E1F"/>
    <w:rsid w:val="007D1FBB"/>
    <w:rsid w:val="007D2020"/>
    <w:rsid w:val="007D22C7"/>
    <w:rsid w:val="007D256C"/>
    <w:rsid w:val="007D2582"/>
    <w:rsid w:val="007D25C2"/>
    <w:rsid w:val="007D2608"/>
    <w:rsid w:val="007D2852"/>
    <w:rsid w:val="007D2B0D"/>
    <w:rsid w:val="007D2BF7"/>
    <w:rsid w:val="007D30A6"/>
    <w:rsid w:val="007D3275"/>
    <w:rsid w:val="007D339E"/>
    <w:rsid w:val="007D34FC"/>
    <w:rsid w:val="007D36F2"/>
    <w:rsid w:val="007D3790"/>
    <w:rsid w:val="007D38F3"/>
    <w:rsid w:val="007D38F9"/>
    <w:rsid w:val="007D3B2F"/>
    <w:rsid w:val="007D3BD0"/>
    <w:rsid w:val="007D3BF2"/>
    <w:rsid w:val="007D3E9B"/>
    <w:rsid w:val="007D3F0F"/>
    <w:rsid w:val="007D4009"/>
    <w:rsid w:val="007D40C5"/>
    <w:rsid w:val="007D431B"/>
    <w:rsid w:val="007D4386"/>
    <w:rsid w:val="007D4747"/>
    <w:rsid w:val="007D4989"/>
    <w:rsid w:val="007D5110"/>
    <w:rsid w:val="007D5126"/>
    <w:rsid w:val="007D569A"/>
    <w:rsid w:val="007D5B62"/>
    <w:rsid w:val="007D5E7D"/>
    <w:rsid w:val="007D601F"/>
    <w:rsid w:val="007D6628"/>
    <w:rsid w:val="007D6675"/>
    <w:rsid w:val="007D68E3"/>
    <w:rsid w:val="007D69EF"/>
    <w:rsid w:val="007D6A68"/>
    <w:rsid w:val="007D731D"/>
    <w:rsid w:val="007D7400"/>
    <w:rsid w:val="007D752B"/>
    <w:rsid w:val="007D798F"/>
    <w:rsid w:val="007D7A5E"/>
    <w:rsid w:val="007D7B5C"/>
    <w:rsid w:val="007D7B95"/>
    <w:rsid w:val="007D7BC9"/>
    <w:rsid w:val="007D7BDD"/>
    <w:rsid w:val="007D7DF8"/>
    <w:rsid w:val="007D7E69"/>
    <w:rsid w:val="007E0049"/>
    <w:rsid w:val="007E0051"/>
    <w:rsid w:val="007E024D"/>
    <w:rsid w:val="007E03F1"/>
    <w:rsid w:val="007E05B0"/>
    <w:rsid w:val="007E079B"/>
    <w:rsid w:val="007E080F"/>
    <w:rsid w:val="007E0AA8"/>
    <w:rsid w:val="007E0C32"/>
    <w:rsid w:val="007E0F42"/>
    <w:rsid w:val="007E0F65"/>
    <w:rsid w:val="007E12E5"/>
    <w:rsid w:val="007E1301"/>
    <w:rsid w:val="007E1478"/>
    <w:rsid w:val="007E1623"/>
    <w:rsid w:val="007E18FA"/>
    <w:rsid w:val="007E1A48"/>
    <w:rsid w:val="007E1B77"/>
    <w:rsid w:val="007E1C1A"/>
    <w:rsid w:val="007E1C9B"/>
    <w:rsid w:val="007E1F28"/>
    <w:rsid w:val="007E1FD7"/>
    <w:rsid w:val="007E20AA"/>
    <w:rsid w:val="007E27C1"/>
    <w:rsid w:val="007E2848"/>
    <w:rsid w:val="007E28A8"/>
    <w:rsid w:val="007E296C"/>
    <w:rsid w:val="007E2B61"/>
    <w:rsid w:val="007E3074"/>
    <w:rsid w:val="007E30BA"/>
    <w:rsid w:val="007E3304"/>
    <w:rsid w:val="007E33F2"/>
    <w:rsid w:val="007E3889"/>
    <w:rsid w:val="007E3C33"/>
    <w:rsid w:val="007E3CF5"/>
    <w:rsid w:val="007E40D5"/>
    <w:rsid w:val="007E41CA"/>
    <w:rsid w:val="007E446F"/>
    <w:rsid w:val="007E44E1"/>
    <w:rsid w:val="007E46D1"/>
    <w:rsid w:val="007E472E"/>
    <w:rsid w:val="007E4B6C"/>
    <w:rsid w:val="007E4B82"/>
    <w:rsid w:val="007E4BE1"/>
    <w:rsid w:val="007E4DEB"/>
    <w:rsid w:val="007E4E2E"/>
    <w:rsid w:val="007E5060"/>
    <w:rsid w:val="007E51D8"/>
    <w:rsid w:val="007E52A8"/>
    <w:rsid w:val="007E5340"/>
    <w:rsid w:val="007E5379"/>
    <w:rsid w:val="007E57F8"/>
    <w:rsid w:val="007E5A05"/>
    <w:rsid w:val="007E5AA9"/>
    <w:rsid w:val="007E5B4D"/>
    <w:rsid w:val="007E5B6C"/>
    <w:rsid w:val="007E5B98"/>
    <w:rsid w:val="007E5E89"/>
    <w:rsid w:val="007E5E8B"/>
    <w:rsid w:val="007E6108"/>
    <w:rsid w:val="007E630D"/>
    <w:rsid w:val="007E66B9"/>
    <w:rsid w:val="007E6972"/>
    <w:rsid w:val="007E6986"/>
    <w:rsid w:val="007E6A1C"/>
    <w:rsid w:val="007E6A44"/>
    <w:rsid w:val="007E6AB3"/>
    <w:rsid w:val="007E6BDE"/>
    <w:rsid w:val="007E6FB9"/>
    <w:rsid w:val="007E7134"/>
    <w:rsid w:val="007E739B"/>
    <w:rsid w:val="007E740B"/>
    <w:rsid w:val="007E7593"/>
    <w:rsid w:val="007E78C8"/>
    <w:rsid w:val="007E7A62"/>
    <w:rsid w:val="007E7B16"/>
    <w:rsid w:val="007E7DEB"/>
    <w:rsid w:val="007E7EB3"/>
    <w:rsid w:val="007F01E1"/>
    <w:rsid w:val="007F054A"/>
    <w:rsid w:val="007F0631"/>
    <w:rsid w:val="007F0A68"/>
    <w:rsid w:val="007F0A81"/>
    <w:rsid w:val="007F0C4C"/>
    <w:rsid w:val="007F0F32"/>
    <w:rsid w:val="007F1222"/>
    <w:rsid w:val="007F1594"/>
    <w:rsid w:val="007F15C1"/>
    <w:rsid w:val="007F1856"/>
    <w:rsid w:val="007F1A88"/>
    <w:rsid w:val="007F1BF4"/>
    <w:rsid w:val="007F1CF5"/>
    <w:rsid w:val="007F1EC7"/>
    <w:rsid w:val="007F24D3"/>
    <w:rsid w:val="007F26B2"/>
    <w:rsid w:val="007F2915"/>
    <w:rsid w:val="007F2A41"/>
    <w:rsid w:val="007F30CB"/>
    <w:rsid w:val="007F3266"/>
    <w:rsid w:val="007F3509"/>
    <w:rsid w:val="007F354E"/>
    <w:rsid w:val="007F3A32"/>
    <w:rsid w:val="007F3FEE"/>
    <w:rsid w:val="007F486B"/>
    <w:rsid w:val="007F4B7B"/>
    <w:rsid w:val="007F4E15"/>
    <w:rsid w:val="007F4E75"/>
    <w:rsid w:val="007F4FF7"/>
    <w:rsid w:val="007F5196"/>
    <w:rsid w:val="007F5534"/>
    <w:rsid w:val="007F555D"/>
    <w:rsid w:val="007F57E6"/>
    <w:rsid w:val="007F59AB"/>
    <w:rsid w:val="007F5F0C"/>
    <w:rsid w:val="007F61F9"/>
    <w:rsid w:val="007F627C"/>
    <w:rsid w:val="007F6459"/>
    <w:rsid w:val="007F6B16"/>
    <w:rsid w:val="007F6B3F"/>
    <w:rsid w:val="007F6F42"/>
    <w:rsid w:val="007F72E1"/>
    <w:rsid w:val="007F74D8"/>
    <w:rsid w:val="007F7807"/>
    <w:rsid w:val="007F7964"/>
    <w:rsid w:val="007F7C12"/>
    <w:rsid w:val="007F7CAE"/>
    <w:rsid w:val="007F7F98"/>
    <w:rsid w:val="008002B0"/>
    <w:rsid w:val="008003BF"/>
    <w:rsid w:val="0080051B"/>
    <w:rsid w:val="008007FB"/>
    <w:rsid w:val="00800B6D"/>
    <w:rsid w:val="00800B7E"/>
    <w:rsid w:val="00800C43"/>
    <w:rsid w:val="00800FF8"/>
    <w:rsid w:val="0080114B"/>
    <w:rsid w:val="00801255"/>
    <w:rsid w:val="008012F7"/>
    <w:rsid w:val="00801732"/>
    <w:rsid w:val="00801990"/>
    <w:rsid w:val="00801BBC"/>
    <w:rsid w:val="00801C36"/>
    <w:rsid w:val="008023B2"/>
    <w:rsid w:val="008024A5"/>
    <w:rsid w:val="00802612"/>
    <w:rsid w:val="008026B6"/>
    <w:rsid w:val="008026C4"/>
    <w:rsid w:val="008029DF"/>
    <w:rsid w:val="00802A73"/>
    <w:rsid w:val="00802B29"/>
    <w:rsid w:val="00802BFC"/>
    <w:rsid w:val="00802D5B"/>
    <w:rsid w:val="00802E3C"/>
    <w:rsid w:val="00802E49"/>
    <w:rsid w:val="008030CB"/>
    <w:rsid w:val="00803662"/>
    <w:rsid w:val="00803760"/>
    <w:rsid w:val="00803829"/>
    <w:rsid w:val="008038F4"/>
    <w:rsid w:val="00803A84"/>
    <w:rsid w:val="00803BA6"/>
    <w:rsid w:val="00803DFD"/>
    <w:rsid w:val="00803FD7"/>
    <w:rsid w:val="008040AB"/>
    <w:rsid w:val="008041E8"/>
    <w:rsid w:val="0080432A"/>
    <w:rsid w:val="0080459C"/>
    <w:rsid w:val="008045A6"/>
    <w:rsid w:val="00804A05"/>
    <w:rsid w:val="00804BDD"/>
    <w:rsid w:val="00804CB1"/>
    <w:rsid w:val="00805475"/>
    <w:rsid w:val="008054FF"/>
    <w:rsid w:val="008056A5"/>
    <w:rsid w:val="00805A91"/>
    <w:rsid w:val="00805B1B"/>
    <w:rsid w:val="00805D61"/>
    <w:rsid w:val="008060E8"/>
    <w:rsid w:val="0080638E"/>
    <w:rsid w:val="008063E6"/>
    <w:rsid w:val="00806818"/>
    <w:rsid w:val="00806920"/>
    <w:rsid w:val="00806A8B"/>
    <w:rsid w:val="00806B42"/>
    <w:rsid w:val="00806D4C"/>
    <w:rsid w:val="00806F10"/>
    <w:rsid w:val="00806F92"/>
    <w:rsid w:val="008071E0"/>
    <w:rsid w:val="0080726E"/>
    <w:rsid w:val="008073CD"/>
    <w:rsid w:val="0080749D"/>
    <w:rsid w:val="0080767D"/>
    <w:rsid w:val="00807995"/>
    <w:rsid w:val="00807E02"/>
    <w:rsid w:val="00807F85"/>
    <w:rsid w:val="0081031F"/>
    <w:rsid w:val="00810379"/>
    <w:rsid w:val="00810396"/>
    <w:rsid w:val="00810545"/>
    <w:rsid w:val="00810665"/>
    <w:rsid w:val="0081070D"/>
    <w:rsid w:val="008107AB"/>
    <w:rsid w:val="008108D7"/>
    <w:rsid w:val="008109A9"/>
    <w:rsid w:val="00810B13"/>
    <w:rsid w:val="00811157"/>
    <w:rsid w:val="00811334"/>
    <w:rsid w:val="00811336"/>
    <w:rsid w:val="0081196A"/>
    <w:rsid w:val="00811A9E"/>
    <w:rsid w:val="00811D37"/>
    <w:rsid w:val="00811E92"/>
    <w:rsid w:val="00811EC2"/>
    <w:rsid w:val="00811EF6"/>
    <w:rsid w:val="00811FD2"/>
    <w:rsid w:val="00812642"/>
    <w:rsid w:val="00812707"/>
    <w:rsid w:val="008127D8"/>
    <w:rsid w:val="00812984"/>
    <w:rsid w:val="00812AD6"/>
    <w:rsid w:val="00812B91"/>
    <w:rsid w:val="00812DEF"/>
    <w:rsid w:val="00812E18"/>
    <w:rsid w:val="0081301A"/>
    <w:rsid w:val="00813133"/>
    <w:rsid w:val="0081336C"/>
    <w:rsid w:val="0081375B"/>
    <w:rsid w:val="008137CF"/>
    <w:rsid w:val="00813CFE"/>
    <w:rsid w:val="00813E79"/>
    <w:rsid w:val="00813E9E"/>
    <w:rsid w:val="00813F10"/>
    <w:rsid w:val="00814063"/>
    <w:rsid w:val="00814190"/>
    <w:rsid w:val="0081423B"/>
    <w:rsid w:val="008142B2"/>
    <w:rsid w:val="00814378"/>
    <w:rsid w:val="00814500"/>
    <w:rsid w:val="008146EA"/>
    <w:rsid w:val="00814762"/>
    <w:rsid w:val="00814884"/>
    <w:rsid w:val="008149F5"/>
    <w:rsid w:val="00814BF5"/>
    <w:rsid w:val="00814D91"/>
    <w:rsid w:val="008153AE"/>
    <w:rsid w:val="008154CB"/>
    <w:rsid w:val="00815611"/>
    <w:rsid w:val="008156A3"/>
    <w:rsid w:val="00815BC6"/>
    <w:rsid w:val="00816542"/>
    <w:rsid w:val="00816551"/>
    <w:rsid w:val="00816681"/>
    <w:rsid w:val="008167BE"/>
    <w:rsid w:val="008168B7"/>
    <w:rsid w:val="008168E2"/>
    <w:rsid w:val="008169FF"/>
    <w:rsid w:val="00816AD2"/>
    <w:rsid w:val="00816AF3"/>
    <w:rsid w:val="00816D95"/>
    <w:rsid w:val="00816E85"/>
    <w:rsid w:val="00816FB0"/>
    <w:rsid w:val="008172C2"/>
    <w:rsid w:val="008172E7"/>
    <w:rsid w:val="00817473"/>
    <w:rsid w:val="00817581"/>
    <w:rsid w:val="00817603"/>
    <w:rsid w:val="0081772D"/>
    <w:rsid w:val="00817926"/>
    <w:rsid w:val="00817DD8"/>
    <w:rsid w:val="0082007B"/>
    <w:rsid w:val="00820126"/>
    <w:rsid w:val="0082013B"/>
    <w:rsid w:val="00820184"/>
    <w:rsid w:val="008202D0"/>
    <w:rsid w:val="008203C4"/>
    <w:rsid w:val="00820694"/>
    <w:rsid w:val="00820737"/>
    <w:rsid w:val="00820A0E"/>
    <w:rsid w:val="00820AE4"/>
    <w:rsid w:val="00820D8E"/>
    <w:rsid w:val="00821051"/>
    <w:rsid w:val="0082114D"/>
    <w:rsid w:val="008212CD"/>
    <w:rsid w:val="00821355"/>
    <w:rsid w:val="00821613"/>
    <w:rsid w:val="0082169A"/>
    <w:rsid w:val="00821E56"/>
    <w:rsid w:val="00821E76"/>
    <w:rsid w:val="00821E82"/>
    <w:rsid w:val="00821F73"/>
    <w:rsid w:val="00821F80"/>
    <w:rsid w:val="00822848"/>
    <w:rsid w:val="0082289C"/>
    <w:rsid w:val="00822975"/>
    <w:rsid w:val="00822BFA"/>
    <w:rsid w:val="00822D2E"/>
    <w:rsid w:val="00822E2F"/>
    <w:rsid w:val="00822F8A"/>
    <w:rsid w:val="00822F9D"/>
    <w:rsid w:val="0082319B"/>
    <w:rsid w:val="0082348A"/>
    <w:rsid w:val="008237EE"/>
    <w:rsid w:val="0082396E"/>
    <w:rsid w:val="00823E44"/>
    <w:rsid w:val="00823F30"/>
    <w:rsid w:val="00824126"/>
    <w:rsid w:val="008241BC"/>
    <w:rsid w:val="008243A2"/>
    <w:rsid w:val="008243D8"/>
    <w:rsid w:val="0082452A"/>
    <w:rsid w:val="00824873"/>
    <w:rsid w:val="00824AF7"/>
    <w:rsid w:val="00824CAD"/>
    <w:rsid w:val="00824DF1"/>
    <w:rsid w:val="00824EBE"/>
    <w:rsid w:val="0082510D"/>
    <w:rsid w:val="00825787"/>
    <w:rsid w:val="00825875"/>
    <w:rsid w:val="0082589A"/>
    <w:rsid w:val="00825ADD"/>
    <w:rsid w:val="00825E96"/>
    <w:rsid w:val="00826018"/>
    <w:rsid w:val="008260BA"/>
    <w:rsid w:val="008260DB"/>
    <w:rsid w:val="008261B1"/>
    <w:rsid w:val="008262D9"/>
    <w:rsid w:val="00826355"/>
    <w:rsid w:val="008263A8"/>
    <w:rsid w:val="008263D9"/>
    <w:rsid w:val="008263DE"/>
    <w:rsid w:val="008263FC"/>
    <w:rsid w:val="00826CF6"/>
    <w:rsid w:val="00826D37"/>
    <w:rsid w:val="00826E05"/>
    <w:rsid w:val="008271EC"/>
    <w:rsid w:val="00827200"/>
    <w:rsid w:val="0082736B"/>
    <w:rsid w:val="00827427"/>
    <w:rsid w:val="008277B7"/>
    <w:rsid w:val="0082789A"/>
    <w:rsid w:val="00827BE1"/>
    <w:rsid w:val="00827E67"/>
    <w:rsid w:val="00827ED3"/>
    <w:rsid w:val="008300EF"/>
    <w:rsid w:val="00830292"/>
    <w:rsid w:val="0083031E"/>
    <w:rsid w:val="008307D6"/>
    <w:rsid w:val="00830A50"/>
    <w:rsid w:val="00830B9C"/>
    <w:rsid w:val="00830BAA"/>
    <w:rsid w:val="00830C0B"/>
    <w:rsid w:val="00830F8A"/>
    <w:rsid w:val="00831104"/>
    <w:rsid w:val="0083110D"/>
    <w:rsid w:val="008311DD"/>
    <w:rsid w:val="00831572"/>
    <w:rsid w:val="0083163A"/>
    <w:rsid w:val="00831807"/>
    <w:rsid w:val="00831A30"/>
    <w:rsid w:val="0083211D"/>
    <w:rsid w:val="00832193"/>
    <w:rsid w:val="008322F6"/>
    <w:rsid w:val="0083248D"/>
    <w:rsid w:val="008326FC"/>
    <w:rsid w:val="0083289D"/>
    <w:rsid w:val="00832983"/>
    <w:rsid w:val="00832AE1"/>
    <w:rsid w:val="00832DA7"/>
    <w:rsid w:val="00833674"/>
    <w:rsid w:val="00833696"/>
    <w:rsid w:val="008338A3"/>
    <w:rsid w:val="00833969"/>
    <w:rsid w:val="00833FFB"/>
    <w:rsid w:val="00834194"/>
    <w:rsid w:val="008344A5"/>
    <w:rsid w:val="0083451B"/>
    <w:rsid w:val="00834554"/>
    <w:rsid w:val="00834609"/>
    <w:rsid w:val="00834625"/>
    <w:rsid w:val="0083472E"/>
    <w:rsid w:val="0083478E"/>
    <w:rsid w:val="008348CE"/>
    <w:rsid w:val="008349B4"/>
    <w:rsid w:val="00834A69"/>
    <w:rsid w:val="00834AB1"/>
    <w:rsid w:val="00834ED9"/>
    <w:rsid w:val="00834FAD"/>
    <w:rsid w:val="008353DF"/>
    <w:rsid w:val="008354BF"/>
    <w:rsid w:val="008356A1"/>
    <w:rsid w:val="0083571F"/>
    <w:rsid w:val="00835BDD"/>
    <w:rsid w:val="00835C26"/>
    <w:rsid w:val="00835F33"/>
    <w:rsid w:val="00835FCE"/>
    <w:rsid w:val="00836001"/>
    <w:rsid w:val="00836307"/>
    <w:rsid w:val="0083642E"/>
    <w:rsid w:val="008364D8"/>
    <w:rsid w:val="00836644"/>
    <w:rsid w:val="008368A9"/>
    <w:rsid w:val="00836B55"/>
    <w:rsid w:val="00836DD0"/>
    <w:rsid w:val="00836F50"/>
    <w:rsid w:val="00837700"/>
    <w:rsid w:val="0083780C"/>
    <w:rsid w:val="00837C31"/>
    <w:rsid w:val="00837F53"/>
    <w:rsid w:val="0084007E"/>
    <w:rsid w:val="008400C3"/>
    <w:rsid w:val="00840104"/>
    <w:rsid w:val="00840214"/>
    <w:rsid w:val="008406BE"/>
    <w:rsid w:val="0084079F"/>
    <w:rsid w:val="008407A4"/>
    <w:rsid w:val="00840B47"/>
    <w:rsid w:val="00840B7C"/>
    <w:rsid w:val="00840DD8"/>
    <w:rsid w:val="00841257"/>
    <w:rsid w:val="00841521"/>
    <w:rsid w:val="00841759"/>
    <w:rsid w:val="00841AD5"/>
    <w:rsid w:val="00841E52"/>
    <w:rsid w:val="008420C7"/>
    <w:rsid w:val="0084237A"/>
    <w:rsid w:val="00842540"/>
    <w:rsid w:val="0084254C"/>
    <w:rsid w:val="00842964"/>
    <w:rsid w:val="00843312"/>
    <w:rsid w:val="00843CDF"/>
    <w:rsid w:val="00843DBE"/>
    <w:rsid w:val="00843E04"/>
    <w:rsid w:val="00843E89"/>
    <w:rsid w:val="00843EC5"/>
    <w:rsid w:val="00844718"/>
    <w:rsid w:val="00844755"/>
    <w:rsid w:val="00844843"/>
    <w:rsid w:val="008448D9"/>
    <w:rsid w:val="00844AAB"/>
    <w:rsid w:val="0084509B"/>
    <w:rsid w:val="00845347"/>
    <w:rsid w:val="0084569F"/>
    <w:rsid w:val="00845923"/>
    <w:rsid w:val="00845951"/>
    <w:rsid w:val="00845F94"/>
    <w:rsid w:val="00845FB3"/>
    <w:rsid w:val="008463DA"/>
    <w:rsid w:val="00846939"/>
    <w:rsid w:val="008469C9"/>
    <w:rsid w:val="00846A34"/>
    <w:rsid w:val="00846BAD"/>
    <w:rsid w:val="00846CB2"/>
    <w:rsid w:val="00846DAD"/>
    <w:rsid w:val="00846EAA"/>
    <w:rsid w:val="008470DE"/>
    <w:rsid w:val="00847120"/>
    <w:rsid w:val="0084716D"/>
    <w:rsid w:val="008472D3"/>
    <w:rsid w:val="0084744C"/>
    <w:rsid w:val="008474CF"/>
    <w:rsid w:val="0084754C"/>
    <w:rsid w:val="0084760C"/>
    <w:rsid w:val="008479C5"/>
    <w:rsid w:val="00847B19"/>
    <w:rsid w:val="00847EFD"/>
    <w:rsid w:val="00850021"/>
    <w:rsid w:val="00850127"/>
    <w:rsid w:val="0085018A"/>
    <w:rsid w:val="00850197"/>
    <w:rsid w:val="00850329"/>
    <w:rsid w:val="00850358"/>
    <w:rsid w:val="0085073D"/>
    <w:rsid w:val="008507A1"/>
    <w:rsid w:val="00850A01"/>
    <w:rsid w:val="00850C75"/>
    <w:rsid w:val="00850D01"/>
    <w:rsid w:val="008510BD"/>
    <w:rsid w:val="0085115E"/>
    <w:rsid w:val="008512A1"/>
    <w:rsid w:val="008516FA"/>
    <w:rsid w:val="0085178A"/>
    <w:rsid w:val="00851D57"/>
    <w:rsid w:val="00851F78"/>
    <w:rsid w:val="0085234F"/>
    <w:rsid w:val="00852629"/>
    <w:rsid w:val="0085312B"/>
    <w:rsid w:val="00853629"/>
    <w:rsid w:val="008538B6"/>
    <w:rsid w:val="00853966"/>
    <w:rsid w:val="00853B12"/>
    <w:rsid w:val="00853BD1"/>
    <w:rsid w:val="00853BF4"/>
    <w:rsid w:val="00853C46"/>
    <w:rsid w:val="00853C61"/>
    <w:rsid w:val="00853DEE"/>
    <w:rsid w:val="00853E1E"/>
    <w:rsid w:val="00853F9A"/>
    <w:rsid w:val="008540E2"/>
    <w:rsid w:val="008542E5"/>
    <w:rsid w:val="008546EE"/>
    <w:rsid w:val="00854773"/>
    <w:rsid w:val="00854D04"/>
    <w:rsid w:val="00854F31"/>
    <w:rsid w:val="0085581E"/>
    <w:rsid w:val="0085582F"/>
    <w:rsid w:val="0085598F"/>
    <w:rsid w:val="00855A3A"/>
    <w:rsid w:val="00855DF7"/>
    <w:rsid w:val="00855FF0"/>
    <w:rsid w:val="00855FFA"/>
    <w:rsid w:val="008560AC"/>
    <w:rsid w:val="008560BD"/>
    <w:rsid w:val="008561D7"/>
    <w:rsid w:val="00856257"/>
    <w:rsid w:val="00856386"/>
    <w:rsid w:val="008564F2"/>
    <w:rsid w:val="00856616"/>
    <w:rsid w:val="0085667E"/>
    <w:rsid w:val="00856835"/>
    <w:rsid w:val="008568F2"/>
    <w:rsid w:val="00856900"/>
    <w:rsid w:val="00856C81"/>
    <w:rsid w:val="00856D81"/>
    <w:rsid w:val="00856F4A"/>
    <w:rsid w:val="008570DF"/>
    <w:rsid w:val="00857325"/>
    <w:rsid w:val="0085745B"/>
    <w:rsid w:val="0085755B"/>
    <w:rsid w:val="008575B9"/>
    <w:rsid w:val="00857640"/>
    <w:rsid w:val="008578F9"/>
    <w:rsid w:val="00857AD6"/>
    <w:rsid w:val="00857BF1"/>
    <w:rsid w:val="00857CA6"/>
    <w:rsid w:val="00857CDA"/>
    <w:rsid w:val="00857F6C"/>
    <w:rsid w:val="0086029E"/>
    <w:rsid w:val="00860352"/>
    <w:rsid w:val="0086062B"/>
    <w:rsid w:val="00860777"/>
    <w:rsid w:val="00860DC5"/>
    <w:rsid w:val="008610D2"/>
    <w:rsid w:val="00861115"/>
    <w:rsid w:val="0086121F"/>
    <w:rsid w:val="00861386"/>
    <w:rsid w:val="00861469"/>
    <w:rsid w:val="0086154C"/>
    <w:rsid w:val="0086172C"/>
    <w:rsid w:val="008617B3"/>
    <w:rsid w:val="008618F7"/>
    <w:rsid w:val="008619BE"/>
    <w:rsid w:val="00861B50"/>
    <w:rsid w:val="00861B88"/>
    <w:rsid w:val="00861CE9"/>
    <w:rsid w:val="008621D9"/>
    <w:rsid w:val="0086228D"/>
    <w:rsid w:val="00862437"/>
    <w:rsid w:val="00862471"/>
    <w:rsid w:val="008625F8"/>
    <w:rsid w:val="00862AAE"/>
    <w:rsid w:val="00862B28"/>
    <w:rsid w:val="00862C5E"/>
    <w:rsid w:val="00862DD6"/>
    <w:rsid w:val="00862EE1"/>
    <w:rsid w:val="008633ED"/>
    <w:rsid w:val="00863796"/>
    <w:rsid w:val="008638BC"/>
    <w:rsid w:val="00863A31"/>
    <w:rsid w:val="00863AE3"/>
    <w:rsid w:val="00863E9E"/>
    <w:rsid w:val="00863F62"/>
    <w:rsid w:val="00863F7C"/>
    <w:rsid w:val="0086407E"/>
    <w:rsid w:val="00864147"/>
    <w:rsid w:val="008643D0"/>
    <w:rsid w:val="0086460C"/>
    <w:rsid w:val="00864928"/>
    <w:rsid w:val="00864A8E"/>
    <w:rsid w:val="00864BC9"/>
    <w:rsid w:val="00865399"/>
    <w:rsid w:val="008655EC"/>
    <w:rsid w:val="00865933"/>
    <w:rsid w:val="00865A9E"/>
    <w:rsid w:val="00865CDA"/>
    <w:rsid w:val="00865DD4"/>
    <w:rsid w:val="00865E32"/>
    <w:rsid w:val="008662E6"/>
    <w:rsid w:val="00866445"/>
    <w:rsid w:val="008664EB"/>
    <w:rsid w:val="008665A2"/>
    <w:rsid w:val="00866665"/>
    <w:rsid w:val="00866684"/>
    <w:rsid w:val="008667EA"/>
    <w:rsid w:val="00866953"/>
    <w:rsid w:val="00866E0D"/>
    <w:rsid w:val="00866FA3"/>
    <w:rsid w:val="00866FBB"/>
    <w:rsid w:val="00867106"/>
    <w:rsid w:val="00867108"/>
    <w:rsid w:val="0086726E"/>
    <w:rsid w:val="0086735C"/>
    <w:rsid w:val="0086749F"/>
    <w:rsid w:val="00867888"/>
    <w:rsid w:val="00867BF4"/>
    <w:rsid w:val="00867BF7"/>
    <w:rsid w:val="00867D9B"/>
    <w:rsid w:val="00867DD7"/>
    <w:rsid w:val="00870258"/>
    <w:rsid w:val="008705FF"/>
    <w:rsid w:val="00870A7E"/>
    <w:rsid w:val="00870B3B"/>
    <w:rsid w:val="00870B95"/>
    <w:rsid w:val="00870C2F"/>
    <w:rsid w:val="00870D71"/>
    <w:rsid w:val="00870F5E"/>
    <w:rsid w:val="00871124"/>
    <w:rsid w:val="00871267"/>
    <w:rsid w:val="008712BB"/>
    <w:rsid w:val="0087130F"/>
    <w:rsid w:val="008714B6"/>
    <w:rsid w:val="008716C8"/>
    <w:rsid w:val="00871ACD"/>
    <w:rsid w:val="00871BE0"/>
    <w:rsid w:val="00871BFE"/>
    <w:rsid w:val="00871F17"/>
    <w:rsid w:val="00871F1E"/>
    <w:rsid w:val="00872035"/>
    <w:rsid w:val="00872123"/>
    <w:rsid w:val="008722F3"/>
    <w:rsid w:val="0087236E"/>
    <w:rsid w:val="00872486"/>
    <w:rsid w:val="00872488"/>
    <w:rsid w:val="008729FE"/>
    <w:rsid w:val="00872BCA"/>
    <w:rsid w:val="00872D50"/>
    <w:rsid w:val="00872DAE"/>
    <w:rsid w:val="00873326"/>
    <w:rsid w:val="00873438"/>
    <w:rsid w:val="008735BA"/>
    <w:rsid w:val="00873711"/>
    <w:rsid w:val="0087374F"/>
    <w:rsid w:val="00873859"/>
    <w:rsid w:val="00873AFF"/>
    <w:rsid w:val="00873B12"/>
    <w:rsid w:val="00873CAF"/>
    <w:rsid w:val="008740AA"/>
    <w:rsid w:val="00874115"/>
    <w:rsid w:val="00874341"/>
    <w:rsid w:val="00874449"/>
    <w:rsid w:val="008744E3"/>
    <w:rsid w:val="00874512"/>
    <w:rsid w:val="00874845"/>
    <w:rsid w:val="00874B88"/>
    <w:rsid w:val="00874C03"/>
    <w:rsid w:val="00874D22"/>
    <w:rsid w:val="00874E01"/>
    <w:rsid w:val="00874E0D"/>
    <w:rsid w:val="00874F25"/>
    <w:rsid w:val="00875164"/>
    <w:rsid w:val="0087524F"/>
    <w:rsid w:val="0087552D"/>
    <w:rsid w:val="0087560D"/>
    <w:rsid w:val="00875A61"/>
    <w:rsid w:val="00875B3A"/>
    <w:rsid w:val="00875CA9"/>
    <w:rsid w:val="00875E09"/>
    <w:rsid w:val="00875E36"/>
    <w:rsid w:val="00875E3D"/>
    <w:rsid w:val="00876031"/>
    <w:rsid w:val="0087606B"/>
    <w:rsid w:val="00876163"/>
    <w:rsid w:val="0087626E"/>
    <w:rsid w:val="008762D3"/>
    <w:rsid w:val="0087631F"/>
    <w:rsid w:val="00876448"/>
    <w:rsid w:val="00876A7D"/>
    <w:rsid w:val="00876AA3"/>
    <w:rsid w:val="00876F83"/>
    <w:rsid w:val="00877060"/>
    <w:rsid w:val="008773BC"/>
    <w:rsid w:val="0087741E"/>
    <w:rsid w:val="00877712"/>
    <w:rsid w:val="008779D3"/>
    <w:rsid w:val="00877B1A"/>
    <w:rsid w:val="00877CEC"/>
    <w:rsid w:val="00877E89"/>
    <w:rsid w:val="00877F16"/>
    <w:rsid w:val="00880065"/>
    <w:rsid w:val="00880079"/>
    <w:rsid w:val="0088027A"/>
    <w:rsid w:val="0088050D"/>
    <w:rsid w:val="008806E5"/>
    <w:rsid w:val="0088076A"/>
    <w:rsid w:val="00880924"/>
    <w:rsid w:val="0088096A"/>
    <w:rsid w:val="00880D2F"/>
    <w:rsid w:val="00880E41"/>
    <w:rsid w:val="0088118D"/>
    <w:rsid w:val="0088127D"/>
    <w:rsid w:val="0088135A"/>
    <w:rsid w:val="008815AA"/>
    <w:rsid w:val="008818A2"/>
    <w:rsid w:val="008819CB"/>
    <w:rsid w:val="00881B4C"/>
    <w:rsid w:val="00882094"/>
    <w:rsid w:val="00882098"/>
    <w:rsid w:val="008820B1"/>
    <w:rsid w:val="008821A3"/>
    <w:rsid w:val="00882292"/>
    <w:rsid w:val="0088253A"/>
    <w:rsid w:val="00882597"/>
    <w:rsid w:val="0088273B"/>
    <w:rsid w:val="0088280B"/>
    <w:rsid w:val="00882838"/>
    <w:rsid w:val="00882956"/>
    <w:rsid w:val="00882C93"/>
    <w:rsid w:val="00882D1D"/>
    <w:rsid w:val="00882D7F"/>
    <w:rsid w:val="008830A6"/>
    <w:rsid w:val="008831AF"/>
    <w:rsid w:val="00883238"/>
    <w:rsid w:val="00883395"/>
    <w:rsid w:val="008833DA"/>
    <w:rsid w:val="008834BA"/>
    <w:rsid w:val="00883555"/>
    <w:rsid w:val="00883657"/>
    <w:rsid w:val="008837E7"/>
    <w:rsid w:val="008838A7"/>
    <w:rsid w:val="00883E96"/>
    <w:rsid w:val="00883F4E"/>
    <w:rsid w:val="00883FF5"/>
    <w:rsid w:val="00883FF9"/>
    <w:rsid w:val="00884169"/>
    <w:rsid w:val="008841FA"/>
    <w:rsid w:val="00884242"/>
    <w:rsid w:val="00884305"/>
    <w:rsid w:val="00884799"/>
    <w:rsid w:val="00884F2E"/>
    <w:rsid w:val="00884F52"/>
    <w:rsid w:val="008850EC"/>
    <w:rsid w:val="008852DE"/>
    <w:rsid w:val="00885305"/>
    <w:rsid w:val="008854FF"/>
    <w:rsid w:val="00885B1D"/>
    <w:rsid w:val="00885BA6"/>
    <w:rsid w:val="00885C2F"/>
    <w:rsid w:val="00885F3C"/>
    <w:rsid w:val="0088611D"/>
    <w:rsid w:val="008865C5"/>
    <w:rsid w:val="0088668E"/>
    <w:rsid w:val="0088678A"/>
    <w:rsid w:val="0088689D"/>
    <w:rsid w:val="00886AE3"/>
    <w:rsid w:val="00886B51"/>
    <w:rsid w:val="00886B98"/>
    <w:rsid w:val="00886CE0"/>
    <w:rsid w:val="008871E2"/>
    <w:rsid w:val="00887347"/>
    <w:rsid w:val="008873D6"/>
    <w:rsid w:val="00887409"/>
    <w:rsid w:val="0088755E"/>
    <w:rsid w:val="00887598"/>
    <w:rsid w:val="0088774F"/>
    <w:rsid w:val="008877CC"/>
    <w:rsid w:val="00887862"/>
    <w:rsid w:val="00887C3E"/>
    <w:rsid w:val="00887C6D"/>
    <w:rsid w:val="00887FA3"/>
    <w:rsid w:val="00887FE0"/>
    <w:rsid w:val="00890207"/>
    <w:rsid w:val="00890B0D"/>
    <w:rsid w:val="00890E36"/>
    <w:rsid w:val="00890FDC"/>
    <w:rsid w:val="00891018"/>
    <w:rsid w:val="0089108D"/>
    <w:rsid w:val="008915BC"/>
    <w:rsid w:val="0089189D"/>
    <w:rsid w:val="008918CF"/>
    <w:rsid w:val="00891B8A"/>
    <w:rsid w:val="00891B98"/>
    <w:rsid w:val="00891C63"/>
    <w:rsid w:val="00891D1E"/>
    <w:rsid w:val="00891DFB"/>
    <w:rsid w:val="00892259"/>
    <w:rsid w:val="00892354"/>
    <w:rsid w:val="0089248E"/>
    <w:rsid w:val="008925F7"/>
    <w:rsid w:val="00892678"/>
    <w:rsid w:val="00892951"/>
    <w:rsid w:val="00893436"/>
    <w:rsid w:val="00893569"/>
    <w:rsid w:val="0089368B"/>
    <w:rsid w:val="008936F7"/>
    <w:rsid w:val="008937B0"/>
    <w:rsid w:val="00893854"/>
    <w:rsid w:val="008938C8"/>
    <w:rsid w:val="00893CBF"/>
    <w:rsid w:val="0089422C"/>
    <w:rsid w:val="008946E2"/>
    <w:rsid w:val="0089476D"/>
    <w:rsid w:val="00894AB4"/>
    <w:rsid w:val="00894B3B"/>
    <w:rsid w:val="00894EFA"/>
    <w:rsid w:val="00895259"/>
    <w:rsid w:val="00895448"/>
    <w:rsid w:val="008957B2"/>
    <w:rsid w:val="00895940"/>
    <w:rsid w:val="00895DA2"/>
    <w:rsid w:val="00895DC7"/>
    <w:rsid w:val="00895FBB"/>
    <w:rsid w:val="0089631A"/>
    <w:rsid w:val="008963A3"/>
    <w:rsid w:val="00896435"/>
    <w:rsid w:val="008969D1"/>
    <w:rsid w:val="00896A89"/>
    <w:rsid w:val="00896B54"/>
    <w:rsid w:val="00896CB2"/>
    <w:rsid w:val="00897261"/>
    <w:rsid w:val="008973D2"/>
    <w:rsid w:val="00897753"/>
    <w:rsid w:val="00897882"/>
    <w:rsid w:val="00897CAE"/>
    <w:rsid w:val="008A027B"/>
    <w:rsid w:val="008A0496"/>
    <w:rsid w:val="008A0746"/>
    <w:rsid w:val="008A0788"/>
    <w:rsid w:val="008A07E0"/>
    <w:rsid w:val="008A0829"/>
    <w:rsid w:val="008A083F"/>
    <w:rsid w:val="008A15FA"/>
    <w:rsid w:val="008A17E7"/>
    <w:rsid w:val="008A19F6"/>
    <w:rsid w:val="008A1A64"/>
    <w:rsid w:val="008A1AB7"/>
    <w:rsid w:val="008A1D90"/>
    <w:rsid w:val="008A22EA"/>
    <w:rsid w:val="008A23B5"/>
    <w:rsid w:val="008A2402"/>
    <w:rsid w:val="008A2428"/>
    <w:rsid w:val="008A2544"/>
    <w:rsid w:val="008A288F"/>
    <w:rsid w:val="008A2914"/>
    <w:rsid w:val="008A29AB"/>
    <w:rsid w:val="008A29B3"/>
    <w:rsid w:val="008A2ABC"/>
    <w:rsid w:val="008A2AE8"/>
    <w:rsid w:val="008A2BBE"/>
    <w:rsid w:val="008A2C15"/>
    <w:rsid w:val="008A2C51"/>
    <w:rsid w:val="008A2C63"/>
    <w:rsid w:val="008A2EAD"/>
    <w:rsid w:val="008A2F09"/>
    <w:rsid w:val="008A2F91"/>
    <w:rsid w:val="008A3131"/>
    <w:rsid w:val="008A32F7"/>
    <w:rsid w:val="008A38EF"/>
    <w:rsid w:val="008A4180"/>
    <w:rsid w:val="008A427D"/>
    <w:rsid w:val="008A4435"/>
    <w:rsid w:val="008A474A"/>
    <w:rsid w:val="008A47E9"/>
    <w:rsid w:val="008A48D8"/>
    <w:rsid w:val="008A4ADE"/>
    <w:rsid w:val="008A531E"/>
    <w:rsid w:val="008A534B"/>
    <w:rsid w:val="008A566B"/>
    <w:rsid w:val="008A58AF"/>
    <w:rsid w:val="008A5A40"/>
    <w:rsid w:val="008A630E"/>
    <w:rsid w:val="008A64CA"/>
    <w:rsid w:val="008A695E"/>
    <w:rsid w:val="008A6A78"/>
    <w:rsid w:val="008A6D70"/>
    <w:rsid w:val="008A6D77"/>
    <w:rsid w:val="008A6F27"/>
    <w:rsid w:val="008A7014"/>
    <w:rsid w:val="008A70C8"/>
    <w:rsid w:val="008A71BF"/>
    <w:rsid w:val="008A71E1"/>
    <w:rsid w:val="008A71E2"/>
    <w:rsid w:val="008A7344"/>
    <w:rsid w:val="008A7501"/>
    <w:rsid w:val="008A7737"/>
    <w:rsid w:val="008A7908"/>
    <w:rsid w:val="008A79F8"/>
    <w:rsid w:val="008A7B3C"/>
    <w:rsid w:val="008A7C53"/>
    <w:rsid w:val="008B0596"/>
    <w:rsid w:val="008B06AF"/>
    <w:rsid w:val="008B0761"/>
    <w:rsid w:val="008B081D"/>
    <w:rsid w:val="008B08EF"/>
    <w:rsid w:val="008B09AE"/>
    <w:rsid w:val="008B0AFB"/>
    <w:rsid w:val="008B0AFC"/>
    <w:rsid w:val="008B192D"/>
    <w:rsid w:val="008B1E01"/>
    <w:rsid w:val="008B1F53"/>
    <w:rsid w:val="008B1F84"/>
    <w:rsid w:val="008B28F9"/>
    <w:rsid w:val="008B2AEA"/>
    <w:rsid w:val="008B2BF8"/>
    <w:rsid w:val="008B2C8F"/>
    <w:rsid w:val="008B3062"/>
    <w:rsid w:val="008B3172"/>
    <w:rsid w:val="008B334F"/>
    <w:rsid w:val="008B35B1"/>
    <w:rsid w:val="008B35BE"/>
    <w:rsid w:val="008B35D2"/>
    <w:rsid w:val="008B3902"/>
    <w:rsid w:val="008B3B44"/>
    <w:rsid w:val="008B3DE4"/>
    <w:rsid w:val="008B3F2F"/>
    <w:rsid w:val="008B40BE"/>
    <w:rsid w:val="008B4336"/>
    <w:rsid w:val="008B4365"/>
    <w:rsid w:val="008B4394"/>
    <w:rsid w:val="008B4524"/>
    <w:rsid w:val="008B4819"/>
    <w:rsid w:val="008B4B9E"/>
    <w:rsid w:val="008B4BBF"/>
    <w:rsid w:val="008B4CC8"/>
    <w:rsid w:val="008B4D7B"/>
    <w:rsid w:val="008B551F"/>
    <w:rsid w:val="008B57BB"/>
    <w:rsid w:val="008B582B"/>
    <w:rsid w:val="008B59C5"/>
    <w:rsid w:val="008B5BB2"/>
    <w:rsid w:val="008B5CDB"/>
    <w:rsid w:val="008B6059"/>
    <w:rsid w:val="008B6B06"/>
    <w:rsid w:val="008B6BE5"/>
    <w:rsid w:val="008B6C2A"/>
    <w:rsid w:val="008B6D1A"/>
    <w:rsid w:val="008B6E0A"/>
    <w:rsid w:val="008B6E12"/>
    <w:rsid w:val="008B71AF"/>
    <w:rsid w:val="008B75F1"/>
    <w:rsid w:val="008C0692"/>
    <w:rsid w:val="008C08B6"/>
    <w:rsid w:val="008C0F67"/>
    <w:rsid w:val="008C0FCC"/>
    <w:rsid w:val="008C122D"/>
    <w:rsid w:val="008C19D8"/>
    <w:rsid w:val="008C1B20"/>
    <w:rsid w:val="008C1D32"/>
    <w:rsid w:val="008C1E5F"/>
    <w:rsid w:val="008C1E78"/>
    <w:rsid w:val="008C1F6B"/>
    <w:rsid w:val="008C21E2"/>
    <w:rsid w:val="008C22EB"/>
    <w:rsid w:val="008C243A"/>
    <w:rsid w:val="008C2488"/>
    <w:rsid w:val="008C24E9"/>
    <w:rsid w:val="008C2750"/>
    <w:rsid w:val="008C2A86"/>
    <w:rsid w:val="008C2C96"/>
    <w:rsid w:val="008C2D2A"/>
    <w:rsid w:val="008C3059"/>
    <w:rsid w:val="008C30C8"/>
    <w:rsid w:val="008C32C0"/>
    <w:rsid w:val="008C3341"/>
    <w:rsid w:val="008C351D"/>
    <w:rsid w:val="008C3840"/>
    <w:rsid w:val="008C38A8"/>
    <w:rsid w:val="008C3A78"/>
    <w:rsid w:val="008C3D0F"/>
    <w:rsid w:val="008C3F2E"/>
    <w:rsid w:val="008C41C2"/>
    <w:rsid w:val="008C425C"/>
    <w:rsid w:val="008C43F4"/>
    <w:rsid w:val="008C4541"/>
    <w:rsid w:val="008C4769"/>
    <w:rsid w:val="008C4993"/>
    <w:rsid w:val="008C49E8"/>
    <w:rsid w:val="008C4AB3"/>
    <w:rsid w:val="008C4BB5"/>
    <w:rsid w:val="008C4C0C"/>
    <w:rsid w:val="008C4C2C"/>
    <w:rsid w:val="008C4EB8"/>
    <w:rsid w:val="008C4FA1"/>
    <w:rsid w:val="008C5043"/>
    <w:rsid w:val="008C52C1"/>
    <w:rsid w:val="008C531A"/>
    <w:rsid w:val="008C5329"/>
    <w:rsid w:val="008C5397"/>
    <w:rsid w:val="008C53A0"/>
    <w:rsid w:val="008C53BF"/>
    <w:rsid w:val="008C5F37"/>
    <w:rsid w:val="008C649B"/>
    <w:rsid w:val="008C64C1"/>
    <w:rsid w:val="008C6705"/>
    <w:rsid w:val="008C6DCF"/>
    <w:rsid w:val="008C6E04"/>
    <w:rsid w:val="008C6EF6"/>
    <w:rsid w:val="008C70FF"/>
    <w:rsid w:val="008C7613"/>
    <w:rsid w:val="008C76CC"/>
    <w:rsid w:val="008C7902"/>
    <w:rsid w:val="008C7FC1"/>
    <w:rsid w:val="008D0024"/>
    <w:rsid w:val="008D0058"/>
    <w:rsid w:val="008D03DB"/>
    <w:rsid w:val="008D065C"/>
    <w:rsid w:val="008D0813"/>
    <w:rsid w:val="008D0C82"/>
    <w:rsid w:val="008D0E26"/>
    <w:rsid w:val="008D0EE9"/>
    <w:rsid w:val="008D0F94"/>
    <w:rsid w:val="008D1030"/>
    <w:rsid w:val="008D119C"/>
    <w:rsid w:val="008D1299"/>
    <w:rsid w:val="008D1620"/>
    <w:rsid w:val="008D17BB"/>
    <w:rsid w:val="008D1A6E"/>
    <w:rsid w:val="008D1DDD"/>
    <w:rsid w:val="008D1FB4"/>
    <w:rsid w:val="008D2122"/>
    <w:rsid w:val="008D237E"/>
    <w:rsid w:val="008D2A57"/>
    <w:rsid w:val="008D2CC9"/>
    <w:rsid w:val="008D3041"/>
    <w:rsid w:val="008D319F"/>
    <w:rsid w:val="008D333F"/>
    <w:rsid w:val="008D3398"/>
    <w:rsid w:val="008D3416"/>
    <w:rsid w:val="008D37B4"/>
    <w:rsid w:val="008D38CF"/>
    <w:rsid w:val="008D39FC"/>
    <w:rsid w:val="008D3C61"/>
    <w:rsid w:val="008D3E29"/>
    <w:rsid w:val="008D3E47"/>
    <w:rsid w:val="008D3ECF"/>
    <w:rsid w:val="008D400D"/>
    <w:rsid w:val="008D43FA"/>
    <w:rsid w:val="008D4517"/>
    <w:rsid w:val="008D4582"/>
    <w:rsid w:val="008D4789"/>
    <w:rsid w:val="008D4866"/>
    <w:rsid w:val="008D4C56"/>
    <w:rsid w:val="008D4D28"/>
    <w:rsid w:val="008D50ED"/>
    <w:rsid w:val="008D51B5"/>
    <w:rsid w:val="008D5E3B"/>
    <w:rsid w:val="008D5EEA"/>
    <w:rsid w:val="008D5F5D"/>
    <w:rsid w:val="008D6093"/>
    <w:rsid w:val="008D61B9"/>
    <w:rsid w:val="008D63A9"/>
    <w:rsid w:val="008D6570"/>
    <w:rsid w:val="008D6791"/>
    <w:rsid w:val="008D6831"/>
    <w:rsid w:val="008D6874"/>
    <w:rsid w:val="008D691A"/>
    <w:rsid w:val="008D6AE3"/>
    <w:rsid w:val="008D6C0D"/>
    <w:rsid w:val="008D6D0D"/>
    <w:rsid w:val="008D6E96"/>
    <w:rsid w:val="008D6F5D"/>
    <w:rsid w:val="008D7050"/>
    <w:rsid w:val="008D70AF"/>
    <w:rsid w:val="008D711B"/>
    <w:rsid w:val="008D72CE"/>
    <w:rsid w:val="008D7335"/>
    <w:rsid w:val="008D790D"/>
    <w:rsid w:val="008D7B8E"/>
    <w:rsid w:val="008D7BE2"/>
    <w:rsid w:val="008D7D95"/>
    <w:rsid w:val="008D7E57"/>
    <w:rsid w:val="008D7EB3"/>
    <w:rsid w:val="008E0447"/>
    <w:rsid w:val="008E0506"/>
    <w:rsid w:val="008E065E"/>
    <w:rsid w:val="008E06C4"/>
    <w:rsid w:val="008E06E1"/>
    <w:rsid w:val="008E0AE8"/>
    <w:rsid w:val="008E0CCF"/>
    <w:rsid w:val="008E0D6F"/>
    <w:rsid w:val="008E0F46"/>
    <w:rsid w:val="008E0FE0"/>
    <w:rsid w:val="008E11AC"/>
    <w:rsid w:val="008E156A"/>
    <w:rsid w:val="008E158A"/>
    <w:rsid w:val="008E166B"/>
    <w:rsid w:val="008E17FE"/>
    <w:rsid w:val="008E2663"/>
    <w:rsid w:val="008E2687"/>
    <w:rsid w:val="008E2709"/>
    <w:rsid w:val="008E2740"/>
    <w:rsid w:val="008E27F0"/>
    <w:rsid w:val="008E2CAA"/>
    <w:rsid w:val="008E2FA6"/>
    <w:rsid w:val="008E3009"/>
    <w:rsid w:val="008E3189"/>
    <w:rsid w:val="008E31D3"/>
    <w:rsid w:val="008E3368"/>
    <w:rsid w:val="008E3A31"/>
    <w:rsid w:val="008E3A4A"/>
    <w:rsid w:val="008E3DAB"/>
    <w:rsid w:val="008E3FCD"/>
    <w:rsid w:val="008E4061"/>
    <w:rsid w:val="008E40C5"/>
    <w:rsid w:val="008E421A"/>
    <w:rsid w:val="008E4298"/>
    <w:rsid w:val="008E4419"/>
    <w:rsid w:val="008E4462"/>
    <w:rsid w:val="008E45FA"/>
    <w:rsid w:val="008E47EB"/>
    <w:rsid w:val="008E4807"/>
    <w:rsid w:val="008E4A0A"/>
    <w:rsid w:val="008E4A85"/>
    <w:rsid w:val="008E4B7F"/>
    <w:rsid w:val="008E4D8E"/>
    <w:rsid w:val="008E5049"/>
    <w:rsid w:val="008E50D6"/>
    <w:rsid w:val="008E5108"/>
    <w:rsid w:val="008E5132"/>
    <w:rsid w:val="008E54EA"/>
    <w:rsid w:val="008E566B"/>
    <w:rsid w:val="008E569B"/>
    <w:rsid w:val="008E5891"/>
    <w:rsid w:val="008E59F2"/>
    <w:rsid w:val="008E5BED"/>
    <w:rsid w:val="008E5C4A"/>
    <w:rsid w:val="008E5CEE"/>
    <w:rsid w:val="008E5E22"/>
    <w:rsid w:val="008E5FE3"/>
    <w:rsid w:val="008E60F1"/>
    <w:rsid w:val="008E62AE"/>
    <w:rsid w:val="008E65E2"/>
    <w:rsid w:val="008E6820"/>
    <w:rsid w:val="008E6B4F"/>
    <w:rsid w:val="008E70A5"/>
    <w:rsid w:val="008E713A"/>
    <w:rsid w:val="008E72C1"/>
    <w:rsid w:val="008E7368"/>
    <w:rsid w:val="008E7610"/>
    <w:rsid w:val="008E76CD"/>
    <w:rsid w:val="008E775D"/>
    <w:rsid w:val="008E77B0"/>
    <w:rsid w:val="008E77EF"/>
    <w:rsid w:val="008E790B"/>
    <w:rsid w:val="008E79C9"/>
    <w:rsid w:val="008E7AE4"/>
    <w:rsid w:val="008E7B9C"/>
    <w:rsid w:val="008E7BB1"/>
    <w:rsid w:val="008E7D28"/>
    <w:rsid w:val="008F016D"/>
    <w:rsid w:val="008F019B"/>
    <w:rsid w:val="008F0317"/>
    <w:rsid w:val="008F06E6"/>
    <w:rsid w:val="008F07C3"/>
    <w:rsid w:val="008F0844"/>
    <w:rsid w:val="008F09A0"/>
    <w:rsid w:val="008F09E7"/>
    <w:rsid w:val="008F0DAB"/>
    <w:rsid w:val="008F0F9F"/>
    <w:rsid w:val="008F1075"/>
    <w:rsid w:val="008F1214"/>
    <w:rsid w:val="008F135C"/>
    <w:rsid w:val="008F137F"/>
    <w:rsid w:val="008F14C1"/>
    <w:rsid w:val="008F1572"/>
    <w:rsid w:val="008F163E"/>
    <w:rsid w:val="008F170E"/>
    <w:rsid w:val="008F172E"/>
    <w:rsid w:val="008F197C"/>
    <w:rsid w:val="008F1D8F"/>
    <w:rsid w:val="008F22BC"/>
    <w:rsid w:val="008F231E"/>
    <w:rsid w:val="008F2455"/>
    <w:rsid w:val="008F24E5"/>
    <w:rsid w:val="008F2515"/>
    <w:rsid w:val="008F253E"/>
    <w:rsid w:val="008F2754"/>
    <w:rsid w:val="008F28F2"/>
    <w:rsid w:val="008F2A4C"/>
    <w:rsid w:val="008F2B10"/>
    <w:rsid w:val="008F2EA4"/>
    <w:rsid w:val="008F2F6F"/>
    <w:rsid w:val="008F3024"/>
    <w:rsid w:val="008F306D"/>
    <w:rsid w:val="008F31BD"/>
    <w:rsid w:val="008F366B"/>
    <w:rsid w:val="008F3771"/>
    <w:rsid w:val="008F3A1E"/>
    <w:rsid w:val="008F410B"/>
    <w:rsid w:val="008F4244"/>
    <w:rsid w:val="008F4664"/>
    <w:rsid w:val="008F4693"/>
    <w:rsid w:val="008F4700"/>
    <w:rsid w:val="008F4709"/>
    <w:rsid w:val="008F486B"/>
    <w:rsid w:val="008F490D"/>
    <w:rsid w:val="008F4A9F"/>
    <w:rsid w:val="008F4DFE"/>
    <w:rsid w:val="008F4F37"/>
    <w:rsid w:val="008F50F9"/>
    <w:rsid w:val="008F5757"/>
    <w:rsid w:val="008F5C5D"/>
    <w:rsid w:val="008F5C8A"/>
    <w:rsid w:val="008F5E3A"/>
    <w:rsid w:val="008F5FC1"/>
    <w:rsid w:val="008F616A"/>
    <w:rsid w:val="008F6182"/>
    <w:rsid w:val="008F6276"/>
    <w:rsid w:val="008F675D"/>
    <w:rsid w:val="008F67DD"/>
    <w:rsid w:val="008F69F4"/>
    <w:rsid w:val="008F6C01"/>
    <w:rsid w:val="008F6C08"/>
    <w:rsid w:val="008F6C99"/>
    <w:rsid w:val="008F6F83"/>
    <w:rsid w:val="008F72CD"/>
    <w:rsid w:val="008F764E"/>
    <w:rsid w:val="008F7753"/>
    <w:rsid w:val="008F7EEA"/>
    <w:rsid w:val="008F7F98"/>
    <w:rsid w:val="00900503"/>
    <w:rsid w:val="009008BB"/>
    <w:rsid w:val="00900923"/>
    <w:rsid w:val="00900C1E"/>
    <w:rsid w:val="0090102C"/>
    <w:rsid w:val="0090107D"/>
    <w:rsid w:val="009010BE"/>
    <w:rsid w:val="0090144C"/>
    <w:rsid w:val="0090148C"/>
    <w:rsid w:val="00901671"/>
    <w:rsid w:val="0090173C"/>
    <w:rsid w:val="00901758"/>
    <w:rsid w:val="009018F7"/>
    <w:rsid w:val="00901CD6"/>
    <w:rsid w:val="00901D06"/>
    <w:rsid w:val="009024FE"/>
    <w:rsid w:val="00902627"/>
    <w:rsid w:val="0090267D"/>
    <w:rsid w:val="009028D4"/>
    <w:rsid w:val="00902A27"/>
    <w:rsid w:val="00902B6A"/>
    <w:rsid w:val="00902BD2"/>
    <w:rsid w:val="00902FDC"/>
    <w:rsid w:val="00903161"/>
    <w:rsid w:val="00903215"/>
    <w:rsid w:val="009033A9"/>
    <w:rsid w:val="009035F4"/>
    <w:rsid w:val="00903730"/>
    <w:rsid w:val="009038B4"/>
    <w:rsid w:val="009038CA"/>
    <w:rsid w:val="00903959"/>
    <w:rsid w:val="00903A19"/>
    <w:rsid w:val="00903D76"/>
    <w:rsid w:val="00903FC4"/>
    <w:rsid w:val="009041A9"/>
    <w:rsid w:val="009046D3"/>
    <w:rsid w:val="00904940"/>
    <w:rsid w:val="00904BA8"/>
    <w:rsid w:val="00904D48"/>
    <w:rsid w:val="00904F4D"/>
    <w:rsid w:val="00904F89"/>
    <w:rsid w:val="00905434"/>
    <w:rsid w:val="0090556D"/>
    <w:rsid w:val="009055E2"/>
    <w:rsid w:val="00905F27"/>
    <w:rsid w:val="009067A1"/>
    <w:rsid w:val="009068F2"/>
    <w:rsid w:val="00906D57"/>
    <w:rsid w:val="00906E72"/>
    <w:rsid w:val="00906E91"/>
    <w:rsid w:val="0090700F"/>
    <w:rsid w:val="009071F7"/>
    <w:rsid w:val="009074B2"/>
    <w:rsid w:val="00907A05"/>
    <w:rsid w:val="00907BB2"/>
    <w:rsid w:val="00907DF9"/>
    <w:rsid w:val="009101A5"/>
    <w:rsid w:val="00910515"/>
    <w:rsid w:val="00910913"/>
    <w:rsid w:val="0091093E"/>
    <w:rsid w:val="00910AB6"/>
    <w:rsid w:val="00910B8E"/>
    <w:rsid w:val="00910D3A"/>
    <w:rsid w:val="00910F8D"/>
    <w:rsid w:val="0091101D"/>
    <w:rsid w:val="009110DF"/>
    <w:rsid w:val="0091119B"/>
    <w:rsid w:val="00911239"/>
    <w:rsid w:val="00911304"/>
    <w:rsid w:val="00911635"/>
    <w:rsid w:val="009117BB"/>
    <w:rsid w:val="009118D6"/>
    <w:rsid w:val="00911A69"/>
    <w:rsid w:val="00911BEF"/>
    <w:rsid w:val="00911C25"/>
    <w:rsid w:val="00911E43"/>
    <w:rsid w:val="0091208F"/>
    <w:rsid w:val="009120DF"/>
    <w:rsid w:val="00912356"/>
    <w:rsid w:val="00912480"/>
    <w:rsid w:val="0091257F"/>
    <w:rsid w:val="009126DE"/>
    <w:rsid w:val="00912717"/>
    <w:rsid w:val="00912946"/>
    <w:rsid w:val="00912B52"/>
    <w:rsid w:val="00912BFC"/>
    <w:rsid w:val="00912D57"/>
    <w:rsid w:val="00912F0C"/>
    <w:rsid w:val="00912F35"/>
    <w:rsid w:val="00913089"/>
    <w:rsid w:val="00913178"/>
    <w:rsid w:val="009131FC"/>
    <w:rsid w:val="0091340F"/>
    <w:rsid w:val="0091353E"/>
    <w:rsid w:val="00913613"/>
    <w:rsid w:val="0091387D"/>
    <w:rsid w:val="009139D9"/>
    <w:rsid w:val="00913A56"/>
    <w:rsid w:val="00913F54"/>
    <w:rsid w:val="0091476A"/>
    <w:rsid w:val="00914B2F"/>
    <w:rsid w:val="00914B35"/>
    <w:rsid w:val="00914BB0"/>
    <w:rsid w:val="00914EED"/>
    <w:rsid w:val="009153CD"/>
    <w:rsid w:val="0091542C"/>
    <w:rsid w:val="009154E7"/>
    <w:rsid w:val="00915743"/>
    <w:rsid w:val="009157F0"/>
    <w:rsid w:val="00915A58"/>
    <w:rsid w:val="009160D9"/>
    <w:rsid w:val="0091644D"/>
    <w:rsid w:val="009165AC"/>
    <w:rsid w:val="00916695"/>
    <w:rsid w:val="009167D1"/>
    <w:rsid w:val="00916A33"/>
    <w:rsid w:val="00916F87"/>
    <w:rsid w:val="009174CA"/>
    <w:rsid w:val="0091757F"/>
    <w:rsid w:val="009175AA"/>
    <w:rsid w:val="00917ABC"/>
    <w:rsid w:val="00917AE5"/>
    <w:rsid w:val="00917B15"/>
    <w:rsid w:val="00917C5F"/>
    <w:rsid w:val="00917C88"/>
    <w:rsid w:val="00917D27"/>
    <w:rsid w:val="00917EE9"/>
    <w:rsid w:val="00920546"/>
    <w:rsid w:val="00920AA3"/>
    <w:rsid w:val="00920C81"/>
    <w:rsid w:val="00920D14"/>
    <w:rsid w:val="00920D31"/>
    <w:rsid w:val="00921074"/>
    <w:rsid w:val="009211FF"/>
    <w:rsid w:val="00921560"/>
    <w:rsid w:val="009216E5"/>
    <w:rsid w:val="0092179B"/>
    <w:rsid w:val="00921ABA"/>
    <w:rsid w:val="00921B76"/>
    <w:rsid w:val="00921F0F"/>
    <w:rsid w:val="00922095"/>
    <w:rsid w:val="00922149"/>
    <w:rsid w:val="00922216"/>
    <w:rsid w:val="009226E8"/>
    <w:rsid w:val="00922A5C"/>
    <w:rsid w:val="00922FCF"/>
    <w:rsid w:val="009230AF"/>
    <w:rsid w:val="00923394"/>
    <w:rsid w:val="009237EC"/>
    <w:rsid w:val="009239AA"/>
    <w:rsid w:val="00923A10"/>
    <w:rsid w:val="00923BC6"/>
    <w:rsid w:val="00923D15"/>
    <w:rsid w:val="00923E77"/>
    <w:rsid w:val="00923EA8"/>
    <w:rsid w:val="00924021"/>
    <w:rsid w:val="00924234"/>
    <w:rsid w:val="009242B8"/>
    <w:rsid w:val="009243BC"/>
    <w:rsid w:val="009244B2"/>
    <w:rsid w:val="00924507"/>
    <w:rsid w:val="0092461A"/>
    <w:rsid w:val="0092476A"/>
    <w:rsid w:val="00924805"/>
    <w:rsid w:val="0092491F"/>
    <w:rsid w:val="0092535F"/>
    <w:rsid w:val="00925381"/>
    <w:rsid w:val="00925460"/>
    <w:rsid w:val="009255CE"/>
    <w:rsid w:val="00925845"/>
    <w:rsid w:val="0092585D"/>
    <w:rsid w:val="009258B4"/>
    <w:rsid w:val="00925944"/>
    <w:rsid w:val="00925A28"/>
    <w:rsid w:val="00925ADD"/>
    <w:rsid w:val="00925C04"/>
    <w:rsid w:val="00925E7A"/>
    <w:rsid w:val="00926005"/>
    <w:rsid w:val="0092603D"/>
    <w:rsid w:val="00926274"/>
    <w:rsid w:val="00926548"/>
    <w:rsid w:val="00926903"/>
    <w:rsid w:val="00926E12"/>
    <w:rsid w:val="00926E37"/>
    <w:rsid w:val="00926FAA"/>
    <w:rsid w:val="00926FE2"/>
    <w:rsid w:val="0092757E"/>
    <w:rsid w:val="009276EB"/>
    <w:rsid w:val="0092786A"/>
    <w:rsid w:val="009278DC"/>
    <w:rsid w:val="00927C97"/>
    <w:rsid w:val="00927CDE"/>
    <w:rsid w:val="00927D71"/>
    <w:rsid w:val="00927EC9"/>
    <w:rsid w:val="00927F56"/>
    <w:rsid w:val="00930251"/>
    <w:rsid w:val="00930281"/>
    <w:rsid w:val="009305D5"/>
    <w:rsid w:val="009307E5"/>
    <w:rsid w:val="00930A0C"/>
    <w:rsid w:val="00931734"/>
    <w:rsid w:val="0093186A"/>
    <w:rsid w:val="00931C10"/>
    <w:rsid w:val="0093216C"/>
    <w:rsid w:val="0093248E"/>
    <w:rsid w:val="00932650"/>
    <w:rsid w:val="00932726"/>
    <w:rsid w:val="00932926"/>
    <w:rsid w:val="00932935"/>
    <w:rsid w:val="00932EA0"/>
    <w:rsid w:val="00933464"/>
    <w:rsid w:val="009335A1"/>
    <w:rsid w:val="00933800"/>
    <w:rsid w:val="00933851"/>
    <w:rsid w:val="0093389D"/>
    <w:rsid w:val="009338C3"/>
    <w:rsid w:val="00933CC5"/>
    <w:rsid w:val="00933D4B"/>
    <w:rsid w:val="00933E02"/>
    <w:rsid w:val="00933F94"/>
    <w:rsid w:val="00933FF7"/>
    <w:rsid w:val="009340AC"/>
    <w:rsid w:val="009340D8"/>
    <w:rsid w:val="00934122"/>
    <w:rsid w:val="00934316"/>
    <w:rsid w:val="00934409"/>
    <w:rsid w:val="00934E12"/>
    <w:rsid w:val="0093519F"/>
    <w:rsid w:val="0093526C"/>
    <w:rsid w:val="009353B5"/>
    <w:rsid w:val="00935406"/>
    <w:rsid w:val="0093578B"/>
    <w:rsid w:val="009357B9"/>
    <w:rsid w:val="00935A75"/>
    <w:rsid w:val="00935B5E"/>
    <w:rsid w:val="00935BE8"/>
    <w:rsid w:val="00935DC0"/>
    <w:rsid w:val="0093618A"/>
    <w:rsid w:val="0093627F"/>
    <w:rsid w:val="009362A1"/>
    <w:rsid w:val="009362BB"/>
    <w:rsid w:val="0093633D"/>
    <w:rsid w:val="00936740"/>
    <w:rsid w:val="009367C7"/>
    <w:rsid w:val="0093694C"/>
    <w:rsid w:val="00936D4C"/>
    <w:rsid w:val="00936D79"/>
    <w:rsid w:val="00936DAB"/>
    <w:rsid w:val="009371F7"/>
    <w:rsid w:val="00937688"/>
    <w:rsid w:val="00937732"/>
    <w:rsid w:val="00937743"/>
    <w:rsid w:val="00937D21"/>
    <w:rsid w:val="00937F13"/>
    <w:rsid w:val="00940372"/>
    <w:rsid w:val="009404B8"/>
    <w:rsid w:val="00940765"/>
    <w:rsid w:val="0094079D"/>
    <w:rsid w:val="009407E2"/>
    <w:rsid w:val="00940A46"/>
    <w:rsid w:val="00940AFD"/>
    <w:rsid w:val="00941302"/>
    <w:rsid w:val="009414A7"/>
    <w:rsid w:val="00941627"/>
    <w:rsid w:val="00941775"/>
    <w:rsid w:val="00941906"/>
    <w:rsid w:val="00941952"/>
    <w:rsid w:val="00941CE0"/>
    <w:rsid w:val="00941D66"/>
    <w:rsid w:val="0094224A"/>
    <w:rsid w:val="00942364"/>
    <w:rsid w:val="00942443"/>
    <w:rsid w:val="009424A3"/>
    <w:rsid w:val="00942870"/>
    <w:rsid w:val="00942A2B"/>
    <w:rsid w:val="00942A3D"/>
    <w:rsid w:val="00942BB0"/>
    <w:rsid w:val="00942C53"/>
    <w:rsid w:val="009431E5"/>
    <w:rsid w:val="0094323F"/>
    <w:rsid w:val="00943563"/>
    <w:rsid w:val="00943755"/>
    <w:rsid w:val="00943824"/>
    <w:rsid w:val="0094399B"/>
    <w:rsid w:val="00943BC5"/>
    <w:rsid w:val="00943C79"/>
    <w:rsid w:val="00943DDF"/>
    <w:rsid w:val="00944050"/>
    <w:rsid w:val="0094437A"/>
    <w:rsid w:val="00944653"/>
    <w:rsid w:val="009449B9"/>
    <w:rsid w:val="00944B93"/>
    <w:rsid w:val="00944D1D"/>
    <w:rsid w:val="00944F61"/>
    <w:rsid w:val="0094512C"/>
    <w:rsid w:val="00945138"/>
    <w:rsid w:val="0094543B"/>
    <w:rsid w:val="009455A0"/>
    <w:rsid w:val="00945768"/>
    <w:rsid w:val="00945780"/>
    <w:rsid w:val="009459E9"/>
    <w:rsid w:val="00945F0E"/>
    <w:rsid w:val="00946134"/>
    <w:rsid w:val="0094623E"/>
    <w:rsid w:val="0094638C"/>
    <w:rsid w:val="009463A7"/>
    <w:rsid w:val="009463B3"/>
    <w:rsid w:val="00946594"/>
    <w:rsid w:val="009466A9"/>
    <w:rsid w:val="0094671D"/>
    <w:rsid w:val="00946AAE"/>
    <w:rsid w:val="00946C07"/>
    <w:rsid w:val="00946CBB"/>
    <w:rsid w:val="00946F03"/>
    <w:rsid w:val="009470D3"/>
    <w:rsid w:val="00947115"/>
    <w:rsid w:val="009472B0"/>
    <w:rsid w:val="0094734F"/>
    <w:rsid w:val="00947447"/>
    <w:rsid w:val="00947903"/>
    <w:rsid w:val="00947A23"/>
    <w:rsid w:val="00947B95"/>
    <w:rsid w:val="00947CA6"/>
    <w:rsid w:val="00947CC6"/>
    <w:rsid w:val="009503E6"/>
    <w:rsid w:val="00950551"/>
    <w:rsid w:val="0095064B"/>
    <w:rsid w:val="009506D7"/>
    <w:rsid w:val="00950767"/>
    <w:rsid w:val="00950795"/>
    <w:rsid w:val="00950976"/>
    <w:rsid w:val="00950C6D"/>
    <w:rsid w:val="00950CB0"/>
    <w:rsid w:val="00950DE6"/>
    <w:rsid w:val="009510D3"/>
    <w:rsid w:val="009511E1"/>
    <w:rsid w:val="0095136C"/>
    <w:rsid w:val="00951389"/>
    <w:rsid w:val="009514A2"/>
    <w:rsid w:val="00951573"/>
    <w:rsid w:val="00951658"/>
    <w:rsid w:val="0095195E"/>
    <w:rsid w:val="0095196F"/>
    <w:rsid w:val="00951A6A"/>
    <w:rsid w:val="00951B6D"/>
    <w:rsid w:val="00951C2C"/>
    <w:rsid w:val="00951C7C"/>
    <w:rsid w:val="00951F25"/>
    <w:rsid w:val="00951F4C"/>
    <w:rsid w:val="00951FB5"/>
    <w:rsid w:val="00952073"/>
    <w:rsid w:val="009522E4"/>
    <w:rsid w:val="00952544"/>
    <w:rsid w:val="0095267A"/>
    <w:rsid w:val="009529C3"/>
    <w:rsid w:val="00952AFC"/>
    <w:rsid w:val="00952B4E"/>
    <w:rsid w:val="00952CBE"/>
    <w:rsid w:val="00952DC1"/>
    <w:rsid w:val="00952DF7"/>
    <w:rsid w:val="00952F4A"/>
    <w:rsid w:val="0095320A"/>
    <w:rsid w:val="00953594"/>
    <w:rsid w:val="009536A2"/>
    <w:rsid w:val="00953CE0"/>
    <w:rsid w:val="00953D6A"/>
    <w:rsid w:val="00954273"/>
    <w:rsid w:val="00954425"/>
    <w:rsid w:val="0095447B"/>
    <w:rsid w:val="009546EC"/>
    <w:rsid w:val="009548CD"/>
    <w:rsid w:val="00954906"/>
    <w:rsid w:val="00954951"/>
    <w:rsid w:val="00954AAE"/>
    <w:rsid w:val="00954B38"/>
    <w:rsid w:val="00954BE0"/>
    <w:rsid w:val="00954D8F"/>
    <w:rsid w:val="00955008"/>
    <w:rsid w:val="00955052"/>
    <w:rsid w:val="009551A7"/>
    <w:rsid w:val="00955212"/>
    <w:rsid w:val="0095567A"/>
    <w:rsid w:val="0095571C"/>
    <w:rsid w:val="0095579B"/>
    <w:rsid w:val="00955B98"/>
    <w:rsid w:val="00955E25"/>
    <w:rsid w:val="00955EB7"/>
    <w:rsid w:val="00955F09"/>
    <w:rsid w:val="00955F54"/>
    <w:rsid w:val="00956397"/>
    <w:rsid w:val="00956451"/>
    <w:rsid w:val="009564D5"/>
    <w:rsid w:val="009566D0"/>
    <w:rsid w:val="00956703"/>
    <w:rsid w:val="009567AE"/>
    <w:rsid w:val="00956B75"/>
    <w:rsid w:val="00956B88"/>
    <w:rsid w:val="00956C1F"/>
    <w:rsid w:val="00957341"/>
    <w:rsid w:val="00957769"/>
    <w:rsid w:val="009577D9"/>
    <w:rsid w:val="00957ACE"/>
    <w:rsid w:val="00957C88"/>
    <w:rsid w:val="00957CF6"/>
    <w:rsid w:val="00960389"/>
    <w:rsid w:val="00960495"/>
    <w:rsid w:val="009606DC"/>
    <w:rsid w:val="00960709"/>
    <w:rsid w:val="00960995"/>
    <w:rsid w:val="00960BFF"/>
    <w:rsid w:val="00960C76"/>
    <w:rsid w:val="00960D90"/>
    <w:rsid w:val="009610D3"/>
    <w:rsid w:val="009612DA"/>
    <w:rsid w:val="009614FC"/>
    <w:rsid w:val="0096154C"/>
    <w:rsid w:val="009616BC"/>
    <w:rsid w:val="00961ABF"/>
    <w:rsid w:val="00961AF3"/>
    <w:rsid w:val="00961D99"/>
    <w:rsid w:val="00962019"/>
    <w:rsid w:val="00962024"/>
    <w:rsid w:val="009621C3"/>
    <w:rsid w:val="009625B8"/>
    <w:rsid w:val="009625CE"/>
    <w:rsid w:val="00962733"/>
    <w:rsid w:val="00962CAB"/>
    <w:rsid w:val="00962DBA"/>
    <w:rsid w:val="0096300B"/>
    <w:rsid w:val="00963031"/>
    <w:rsid w:val="009632E5"/>
    <w:rsid w:val="00963993"/>
    <w:rsid w:val="00963F88"/>
    <w:rsid w:val="00964087"/>
    <w:rsid w:val="0096408C"/>
    <w:rsid w:val="009640D0"/>
    <w:rsid w:val="00964300"/>
    <w:rsid w:val="009643AA"/>
    <w:rsid w:val="0096454A"/>
    <w:rsid w:val="009645CE"/>
    <w:rsid w:val="0096479C"/>
    <w:rsid w:val="009647CB"/>
    <w:rsid w:val="00964E94"/>
    <w:rsid w:val="00964F34"/>
    <w:rsid w:val="00964F55"/>
    <w:rsid w:val="00965099"/>
    <w:rsid w:val="009654E1"/>
    <w:rsid w:val="00965622"/>
    <w:rsid w:val="00965805"/>
    <w:rsid w:val="00965AD2"/>
    <w:rsid w:val="00965C0C"/>
    <w:rsid w:val="00965CD0"/>
    <w:rsid w:val="00966303"/>
    <w:rsid w:val="0096654D"/>
    <w:rsid w:val="009665FA"/>
    <w:rsid w:val="00966814"/>
    <w:rsid w:val="0096681E"/>
    <w:rsid w:val="00966A51"/>
    <w:rsid w:val="00966BF8"/>
    <w:rsid w:val="009672E3"/>
    <w:rsid w:val="00967358"/>
    <w:rsid w:val="009674BA"/>
    <w:rsid w:val="009674E2"/>
    <w:rsid w:val="00967548"/>
    <w:rsid w:val="00967781"/>
    <w:rsid w:val="00967BDD"/>
    <w:rsid w:val="00967F31"/>
    <w:rsid w:val="009700D0"/>
    <w:rsid w:val="00970210"/>
    <w:rsid w:val="00970214"/>
    <w:rsid w:val="0097054B"/>
    <w:rsid w:val="00970573"/>
    <w:rsid w:val="00970595"/>
    <w:rsid w:val="0097070F"/>
    <w:rsid w:val="00970A3E"/>
    <w:rsid w:val="00970AF8"/>
    <w:rsid w:val="00970B98"/>
    <w:rsid w:val="0097106E"/>
    <w:rsid w:val="00971157"/>
    <w:rsid w:val="00971400"/>
    <w:rsid w:val="00971463"/>
    <w:rsid w:val="009714E1"/>
    <w:rsid w:val="00971588"/>
    <w:rsid w:val="009715D5"/>
    <w:rsid w:val="00971AD5"/>
    <w:rsid w:val="00971B75"/>
    <w:rsid w:val="00971CA0"/>
    <w:rsid w:val="00971CAF"/>
    <w:rsid w:val="00971EA7"/>
    <w:rsid w:val="00972396"/>
    <w:rsid w:val="00972729"/>
    <w:rsid w:val="009728C5"/>
    <w:rsid w:val="00972955"/>
    <w:rsid w:val="00972C26"/>
    <w:rsid w:val="00972CF4"/>
    <w:rsid w:val="00972E9D"/>
    <w:rsid w:val="00972F8C"/>
    <w:rsid w:val="0097343E"/>
    <w:rsid w:val="00973510"/>
    <w:rsid w:val="00973521"/>
    <w:rsid w:val="0097371C"/>
    <w:rsid w:val="00973856"/>
    <w:rsid w:val="00973BE5"/>
    <w:rsid w:val="00973D1F"/>
    <w:rsid w:val="00973FAA"/>
    <w:rsid w:val="009741A9"/>
    <w:rsid w:val="00974225"/>
    <w:rsid w:val="00974389"/>
    <w:rsid w:val="0097458A"/>
    <w:rsid w:val="009745B6"/>
    <w:rsid w:val="0097466B"/>
    <w:rsid w:val="00974735"/>
    <w:rsid w:val="00974B2D"/>
    <w:rsid w:val="00974BE9"/>
    <w:rsid w:val="00974D9E"/>
    <w:rsid w:val="00974E65"/>
    <w:rsid w:val="0097511B"/>
    <w:rsid w:val="009754B3"/>
    <w:rsid w:val="00975576"/>
    <w:rsid w:val="009756A2"/>
    <w:rsid w:val="009757B7"/>
    <w:rsid w:val="0097585B"/>
    <w:rsid w:val="009759D1"/>
    <w:rsid w:val="00975B46"/>
    <w:rsid w:val="00975B88"/>
    <w:rsid w:val="00975F87"/>
    <w:rsid w:val="0097606D"/>
    <w:rsid w:val="0097620E"/>
    <w:rsid w:val="009762E9"/>
    <w:rsid w:val="009764A6"/>
    <w:rsid w:val="009766B8"/>
    <w:rsid w:val="00976711"/>
    <w:rsid w:val="009767F0"/>
    <w:rsid w:val="00976847"/>
    <w:rsid w:val="00976C64"/>
    <w:rsid w:val="0097716E"/>
    <w:rsid w:val="00977220"/>
    <w:rsid w:val="00977313"/>
    <w:rsid w:val="00977318"/>
    <w:rsid w:val="009775D8"/>
    <w:rsid w:val="009775F9"/>
    <w:rsid w:val="009775FC"/>
    <w:rsid w:val="00977646"/>
    <w:rsid w:val="0097775D"/>
    <w:rsid w:val="00977826"/>
    <w:rsid w:val="009778EF"/>
    <w:rsid w:val="00977A35"/>
    <w:rsid w:val="00977D69"/>
    <w:rsid w:val="00980178"/>
    <w:rsid w:val="00980297"/>
    <w:rsid w:val="0098031D"/>
    <w:rsid w:val="009804C8"/>
    <w:rsid w:val="009806B5"/>
    <w:rsid w:val="009807EC"/>
    <w:rsid w:val="00980BD9"/>
    <w:rsid w:val="00980D36"/>
    <w:rsid w:val="00980F99"/>
    <w:rsid w:val="00981100"/>
    <w:rsid w:val="009812AE"/>
    <w:rsid w:val="0098156C"/>
    <w:rsid w:val="00981A9A"/>
    <w:rsid w:val="00982432"/>
    <w:rsid w:val="009825DC"/>
    <w:rsid w:val="0098280B"/>
    <w:rsid w:val="00982B91"/>
    <w:rsid w:val="00982CD1"/>
    <w:rsid w:val="00982F43"/>
    <w:rsid w:val="009830AD"/>
    <w:rsid w:val="0098322E"/>
    <w:rsid w:val="00983563"/>
    <w:rsid w:val="009835D2"/>
    <w:rsid w:val="009836DF"/>
    <w:rsid w:val="009836E7"/>
    <w:rsid w:val="00983764"/>
    <w:rsid w:val="009838F7"/>
    <w:rsid w:val="00983A13"/>
    <w:rsid w:val="00983A64"/>
    <w:rsid w:val="00983C6C"/>
    <w:rsid w:val="00983ECB"/>
    <w:rsid w:val="00984038"/>
    <w:rsid w:val="00984155"/>
    <w:rsid w:val="009844B5"/>
    <w:rsid w:val="00984532"/>
    <w:rsid w:val="009845FF"/>
    <w:rsid w:val="009849B8"/>
    <w:rsid w:val="00984A4B"/>
    <w:rsid w:val="00984D35"/>
    <w:rsid w:val="00984E7E"/>
    <w:rsid w:val="00984F18"/>
    <w:rsid w:val="009851E2"/>
    <w:rsid w:val="00985205"/>
    <w:rsid w:val="0098551D"/>
    <w:rsid w:val="009855BE"/>
    <w:rsid w:val="00985791"/>
    <w:rsid w:val="00985858"/>
    <w:rsid w:val="00985AD9"/>
    <w:rsid w:val="00985CAF"/>
    <w:rsid w:val="00985E62"/>
    <w:rsid w:val="00985F18"/>
    <w:rsid w:val="0098601B"/>
    <w:rsid w:val="00986573"/>
    <w:rsid w:val="009865FA"/>
    <w:rsid w:val="009868BC"/>
    <w:rsid w:val="00986916"/>
    <w:rsid w:val="00986A21"/>
    <w:rsid w:val="00986C8E"/>
    <w:rsid w:val="00986D49"/>
    <w:rsid w:val="00986E0E"/>
    <w:rsid w:val="00986FE4"/>
    <w:rsid w:val="0098718E"/>
    <w:rsid w:val="0098734E"/>
    <w:rsid w:val="00987367"/>
    <w:rsid w:val="00987783"/>
    <w:rsid w:val="00987CF3"/>
    <w:rsid w:val="00987D0D"/>
    <w:rsid w:val="0099022F"/>
    <w:rsid w:val="00990518"/>
    <w:rsid w:val="00990704"/>
    <w:rsid w:val="00990769"/>
    <w:rsid w:val="00990AB2"/>
    <w:rsid w:val="00990B3F"/>
    <w:rsid w:val="00990DC5"/>
    <w:rsid w:val="00990F29"/>
    <w:rsid w:val="00990F7E"/>
    <w:rsid w:val="0099123B"/>
    <w:rsid w:val="00991320"/>
    <w:rsid w:val="0099141C"/>
    <w:rsid w:val="00991A35"/>
    <w:rsid w:val="00991A92"/>
    <w:rsid w:val="00991C12"/>
    <w:rsid w:val="00991C77"/>
    <w:rsid w:val="00991D06"/>
    <w:rsid w:val="00991E60"/>
    <w:rsid w:val="00991E96"/>
    <w:rsid w:val="00991EE4"/>
    <w:rsid w:val="0099234D"/>
    <w:rsid w:val="00992364"/>
    <w:rsid w:val="00992399"/>
    <w:rsid w:val="009923F1"/>
    <w:rsid w:val="0099240A"/>
    <w:rsid w:val="009925AC"/>
    <w:rsid w:val="009928DC"/>
    <w:rsid w:val="00992932"/>
    <w:rsid w:val="009935B9"/>
    <w:rsid w:val="00993AA3"/>
    <w:rsid w:val="00993EF5"/>
    <w:rsid w:val="009940F4"/>
    <w:rsid w:val="0099449A"/>
    <w:rsid w:val="00994CC3"/>
    <w:rsid w:val="00994D4D"/>
    <w:rsid w:val="00994FA5"/>
    <w:rsid w:val="0099518E"/>
    <w:rsid w:val="0099533E"/>
    <w:rsid w:val="00995389"/>
    <w:rsid w:val="0099583B"/>
    <w:rsid w:val="00995AC4"/>
    <w:rsid w:val="00995B33"/>
    <w:rsid w:val="00995B64"/>
    <w:rsid w:val="00995DDC"/>
    <w:rsid w:val="00995ECD"/>
    <w:rsid w:val="009960A5"/>
    <w:rsid w:val="0099618B"/>
    <w:rsid w:val="009961A7"/>
    <w:rsid w:val="00996482"/>
    <w:rsid w:val="009967D1"/>
    <w:rsid w:val="009967E7"/>
    <w:rsid w:val="009967F5"/>
    <w:rsid w:val="0099684E"/>
    <w:rsid w:val="009968DD"/>
    <w:rsid w:val="00996E4C"/>
    <w:rsid w:val="00996F45"/>
    <w:rsid w:val="0099715A"/>
    <w:rsid w:val="00997162"/>
    <w:rsid w:val="00997243"/>
    <w:rsid w:val="00997329"/>
    <w:rsid w:val="009974B3"/>
    <w:rsid w:val="00997A85"/>
    <w:rsid w:val="00997DEC"/>
    <w:rsid w:val="009A0332"/>
    <w:rsid w:val="009A04E5"/>
    <w:rsid w:val="009A05ED"/>
    <w:rsid w:val="009A0D29"/>
    <w:rsid w:val="009A0F6B"/>
    <w:rsid w:val="009A1223"/>
    <w:rsid w:val="009A130C"/>
    <w:rsid w:val="009A1383"/>
    <w:rsid w:val="009A142D"/>
    <w:rsid w:val="009A15B7"/>
    <w:rsid w:val="009A18E9"/>
    <w:rsid w:val="009A1A38"/>
    <w:rsid w:val="009A1B56"/>
    <w:rsid w:val="009A1BBA"/>
    <w:rsid w:val="009A1C48"/>
    <w:rsid w:val="009A1EDD"/>
    <w:rsid w:val="009A1F7C"/>
    <w:rsid w:val="009A2088"/>
    <w:rsid w:val="009A20A6"/>
    <w:rsid w:val="009A20E4"/>
    <w:rsid w:val="009A21E9"/>
    <w:rsid w:val="009A22FD"/>
    <w:rsid w:val="009A24C3"/>
    <w:rsid w:val="009A2A18"/>
    <w:rsid w:val="009A2A1E"/>
    <w:rsid w:val="009A2ACC"/>
    <w:rsid w:val="009A2B0D"/>
    <w:rsid w:val="009A2B4E"/>
    <w:rsid w:val="009A2F0B"/>
    <w:rsid w:val="009A3259"/>
    <w:rsid w:val="009A33F6"/>
    <w:rsid w:val="009A35CB"/>
    <w:rsid w:val="009A3E13"/>
    <w:rsid w:val="009A3E46"/>
    <w:rsid w:val="009A4151"/>
    <w:rsid w:val="009A4154"/>
    <w:rsid w:val="009A4448"/>
    <w:rsid w:val="009A4456"/>
    <w:rsid w:val="009A449F"/>
    <w:rsid w:val="009A4584"/>
    <w:rsid w:val="009A472C"/>
    <w:rsid w:val="009A490D"/>
    <w:rsid w:val="009A49BE"/>
    <w:rsid w:val="009A4CCB"/>
    <w:rsid w:val="009A4D06"/>
    <w:rsid w:val="009A51D6"/>
    <w:rsid w:val="009A546C"/>
    <w:rsid w:val="009A559A"/>
    <w:rsid w:val="009A58B1"/>
    <w:rsid w:val="009A5C45"/>
    <w:rsid w:val="009A5D56"/>
    <w:rsid w:val="009A5E3F"/>
    <w:rsid w:val="009A5E51"/>
    <w:rsid w:val="009A61B8"/>
    <w:rsid w:val="009A635E"/>
    <w:rsid w:val="009A637D"/>
    <w:rsid w:val="009A63B2"/>
    <w:rsid w:val="009A65B3"/>
    <w:rsid w:val="009A6606"/>
    <w:rsid w:val="009A6FAB"/>
    <w:rsid w:val="009A6FCE"/>
    <w:rsid w:val="009A73B3"/>
    <w:rsid w:val="009A7663"/>
    <w:rsid w:val="009A76BB"/>
    <w:rsid w:val="009A77E2"/>
    <w:rsid w:val="009A7BDC"/>
    <w:rsid w:val="009A7C86"/>
    <w:rsid w:val="009A7CC4"/>
    <w:rsid w:val="009A7EAB"/>
    <w:rsid w:val="009B03BF"/>
    <w:rsid w:val="009B0AC4"/>
    <w:rsid w:val="009B0D8A"/>
    <w:rsid w:val="009B0EEB"/>
    <w:rsid w:val="009B1145"/>
    <w:rsid w:val="009B14D3"/>
    <w:rsid w:val="009B16F8"/>
    <w:rsid w:val="009B1AC4"/>
    <w:rsid w:val="009B1EF5"/>
    <w:rsid w:val="009B228E"/>
    <w:rsid w:val="009B22B3"/>
    <w:rsid w:val="009B2300"/>
    <w:rsid w:val="009B23B8"/>
    <w:rsid w:val="009B26B8"/>
    <w:rsid w:val="009B29D1"/>
    <w:rsid w:val="009B2C76"/>
    <w:rsid w:val="009B2E5B"/>
    <w:rsid w:val="009B2F87"/>
    <w:rsid w:val="009B3069"/>
    <w:rsid w:val="009B3362"/>
    <w:rsid w:val="009B3564"/>
    <w:rsid w:val="009B35E5"/>
    <w:rsid w:val="009B37C2"/>
    <w:rsid w:val="009B3B57"/>
    <w:rsid w:val="009B3F1F"/>
    <w:rsid w:val="009B4226"/>
    <w:rsid w:val="009B42EA"/>
    <w:rsid w:val="009B44C3"/>
    <w:rsid w:val="009B4552"/>
    <w:rsid w:val="009B4789"/>
    <w:rsid w:val="009B48E6"/>
    <w:rsid w:val="009B4A2E"/>
    <w:rsid w:val="009B4BDD"/>
    <w:rsid w:val="009B4EC7"/>
    <w:rsid w:val="009B558C"/>
    <w:rsid w:val="009B559A"/>
    <w:rsid w:val="009B5A25"/>
    <w:rsid w:val="009B5ABB"/>
    <w:rsid w:val="009B5AD1"/>
    <w:rsid w:val="009B5AE1"/>
    <w:rsid w:val="009B5CEE"/>
    <w:rsid w:val="009B5D50"/>
    <w:rsid w:val="009B5DA4"/>
    <w:rsid w:val="009B5EA4"/>
    <w:rsid w:val="009B5FA8"/>
    <w:rsid w:val="009B6154"/>
    <w:rsid w:val="009B6D40"/>
    <w:rsid w:val="009B6D81"/>
    <w:rsid w:val="009B6E0D"/>
    <w:rsid w:val="009B7067"/>
    <w:rsid w:val="009B70F8"/>
    <w:rsid w:val="009B7414"/>
    <w:rsid w:val="009B776E"/>
    <w:rsid w:val="009B7922"/>
    <w:rsid w:val="009B797C"/>
    <w:rsid w:val="009B7AC6"/>
    <w:rsid w:val="009B7C4B"/>
    <w:rsid w:val="009B7D17"/>
    <w:rsid w:val="009C014C"/>
    <w:rsid w:val="009C070F"/>
    <w:rsid w:val="009C0D39"/>
    <w:rsid w:val="009C0DCF"/>
    <w:rsid w:val="009C0DFC"/>
    <w:rsid w:val="009C1766"/>
    <w:rsid w:val="009C19C1"/>
    <w:rsid w:val="009C1A75"/>
    <w:rsid w:val="009C1AF0"/>
    <w:rsid w:val="009C1B23"/>
    <w:rsid w:val="009C1CE2"/>
    <w:rsid w:val="009C1EF5"/>
    <w:rsid w:val="009C21F8"/>
    <w:rsid w:val="009C2458"/>
    <w:rsid w:val="009C2789"/>
    <w:rsid w:val="009C2797"/>
    <w:rsid w:val="009C2DFD"/>
    <w:rsid w:val="009C34B7"/>
    <w:rsid w:val="009C35E2"/>
    <w:rsid w:val="009C376A"/>
    <w:rsid w:val="009C3809"/>
    <w:rsid w:val="009C432E"/>
    <w:rsid w:val="009C443E"/>
    <w:rsid w:val="009C4502"/>
    <w:rsid w:val="009C49E8"/>
    <w:rsid w:val="009C4CC2"/>
    <w:rsid w:val="009C51BD"/>
    <w:rsid w:val="009C5280"/>
    <w:rsid w:val="009C52E7"/>
    <w:rsid w:val="009C571C"/>
    <w:rsid w:val="009C58EF"/>
    <w:rsid w:val="009C5AAE"/>
    <w:rsid w:val="009C5AB6"/>
    <w:rsid w:val="009C5C8E"/>
    <w:rsid w:val="009C5CE9"/>
    <w:rsid w:val="009C5FCE"/>
    <w:rsid w:val="009C5FDE"/>
    <w:rsid w:val="009C610C"/>
    <w:rsid w:val="009C63BA"/>
    <w:rsid w:val="009C68D1"/>
    <w:rsid w:val="009C6ABF"/>
    <w:rsid w:val="009C6C1A"/>
    <w:rsid w:val="009C6FCB"/>
    <w:rsid w:val="009C728B"/>
    <w:rsid w:val="009C7735"/>
    <w:rsid w:val="009C7794"/>
    <w:rsid w:val="009C77E0"/>
    <w:rsid w:val="009C7849"/>
    <w:rsid w:val="009C78BD"/>
    <w:rsid w:val="009C79D3"/>
    <w:rsid w:val="009C7FD1"/>
    <w:rsid w:val="009D0074"/>
    <w:rsid w:val="009D020C"/>
    <w:rsid w:val="009D041B"/>
    <w:rsid w:val="009D0476"/>
    <w:rsid w:val="009D047C"/>
    <w:rsid w:val="009D0513"/>
    <w:rsid w:val="009D0637"/>
    <w:rsid w:val="009D0687"/>
    <w:rsid w:val="009D077F"/>
    <w:rsid w:val="009D098D"/>
    <w:rsid w:val="009D0A3C"/>
    <w:rsid w:val="009D0C90"/>
    <w:rsid w:val="009D1047"/>
    <w:rsid w:val="009D12FF"/>
    <w:rsid w:val="009D1406"/>
    <w:rsid w:val="009D1698"/>
    <w:rsid w:val="009D1736"/>
    <w:rsid w:val="009D18AB"/>
    <w:rsid w:val="009D1A0E"/>
    <w:rsid w:val="009D1B4B"/>
    <w:rsid w:val="009D2277"/>
    <w:rsid w:val="009D247B"/>
    <w:rsid w:val="009D2507"/>
    <w:rsid w:val="009D26EE"/>
    <w:rsid w:val="009D27A3"/>
    <w:rsid w:val="009D285B"/>
    <w:rsid w:val="009D2A89"/>
    <w:rsid w:val="009D2DEF"/>
    <w:rsid w:val="009D2FB7"/>
    <w:rsid w:val="009D30FE"/>
    <w:rsid w:val="009D338E"/>
    <w:rsid w:val="009D35E6"/>
    <w:rsid w:val="009D364A"/>
    <w:rsid w:val="009D370B"/>
    <w:rsid w:val="009D37E9"/>
    <w:rsid w:val="009D38BD"/>
    <w:rsid w:val="009D3CAA"/>
    <w:rsid w:val="009D3EDE"/>
    <w:rsid w:val="009D3FD8"/>
    <w:rsid w:val="009D408C"/>
    <w:rsid w:val="009D42E6"/>
    <w:rsid w:val="009D46E0"/>
    <w:rsid w:val="009D47B9"/>
    <w:rsid w:val="009D492B"/>
    <w:rsid w:val="009D4CD1"/>
    <w:rsid w:val="009D4D90"/>
    <w:rsid w:val="009D4DE9"/>
    <w:rsid w:val="009D51C4"/>
    <w:rsid w:val="009D5280"/>
    <w:rsid w:val="009D52EF"/>
    <w:rsid w:val="009D5759"/>
    <w:rsid w:val="009D59E0"/>
    <w:rsid w:val="009D59F9"/>
    <w:rsid w:val="009D5A9D"/>
    <w:rsid w:val="009D5BB0"/>
    <w:rsid w:val="009D6031"/>
    <w:rsid w:val="009D6510"/>
    <w:rsid w:val="009D66EC"/>
    <w:rsid w:val="009D6777"/>
    <w:rsid w:val="009D688B"/>
    <w:rsid w:val="009D6A1B"/>
    <w:rsid w:val="009D6AB2"/>
    <w:rsid w:val="009D6B66"/>
    <w:rsid w:val="009D6C21"/>
    <w:rsid w:val="009D7585"/>
    <w:rsid w:val="009D7B6D"/>
    <w:rsid w:val="009D7BE8"/>
    <w:rsid w:val="009D7C9E"/>
    <w:rsid w:val="009D7DA0"/>
    <w:rsid w:val="009E00BA"/>
    <w:rsid w:val="009E020C"/>
    <w:rsid w:val="009E0221"/>
    <w:rsid w:val="009E02D1"/>
    <w:rsid w:val="009E04B3"/>
    <w:rsid w:val="009E09BD"/>
    <w:rsid w:val="009E0A3E"/>
    <w:rsid w:val="009E0DDD"/>
    <w:rsid w:val="009E0E04"/>
    <w:rsid w:val="009E0FE0"/>
    <w:rsid w:val="009E1156"/>
    <w:rsid w:val="009E160B"/>
    <w:rsid w:val="009E163D"/>
    <w:rsid w:val="009E18A7"/>
    <w:rsid w:val="009E1A78"/>
    <w:rsid w:val="009E1B0B"/>
    <w:rsid w:val="009E202A"/>
    <w:rsid w:val="009E216B"/>
    <w:rsid w:val="009E21E9"/>
    <w:rsid w:val="009E23E1"/>
    <w:rsid w:val="009E2484"/>
    <w:rsid w:val="009E2555"/>
    <w:rsid w:val="009E2610"/>
    <w:rsid w:val="009E28DD"/>
    <w:rsid w:val="009E2A75"/>
    <w:rsid w:val="009E2CB7"/>
    <w:rsid w:val="009E2CE2"/>
    <w:rsid w:val="009E2EA8"/>
    <w:rsid w:val="009E3432"/>
    <w:rsid w:val="009E3816"/>
    <w:rsid w:val="009E420C"/>
    <w:rsid w:val="009E4270"/>
    <w:rsid w:val="009E4381"/>
    <w:rsid w:val="009E4545"/>
    <w:rsid w:val="009E4677"/>
    <w:rsid w:val="009E4913"/>
    <w:rsid w:val="009E4950"/>
    <w:rsid w:val="009E4A6A"/>
    <w:rsid w:val="009E4AFC"/>
    <w:rsid w:val="009E4F72"/>
    <w:rsid w:val="009E553F"/>
    <w:rsid w:val="009E5595"/>
    <w:rsid w:val="009E574E"/>
    <w:rsid w:val="009E58EB"/>
    <w:rsid w:val="009E5968"/>
    <w:rsid w:val="009E5AB1"/>
    <w:rsid w:val="009E5AD4"/>
    <w:rsid w:val="009E5B40"/>
    <w:rsid w:val="009E5CF4"/>
    <w:rsid w:val="009E5D08"/>
    <w:rsid w:val="009E5D29"/>
    <w:rsid w:val="009E5D4A"/>
    <w:rsid w:val="009E5DFA"/>
    <w:rsid w:val="009E5F61"/>
    <w:rsid w:val="009E5F82"/>
    <w:rsid w:val="009E60F2"/>
    <w:rsid w:val="009E62DF"/>
    <w:rsid w:val="009E62FF"/>
    <w:rsid w:val="009E6311"/>
    <w:rsid w:val="009E63B4"/>
    <w:rsid w:val="009E65B1"/>
    <w:rsid w:val="009E65F2"/>
    <w:rsid w:val="009E6611"/>
    <w:rsid w:val="009E67F4"/>
    <w:rsid w:val="009E6802"/>
    <w:rsid w:val="009E6A59"/>
    <w:rsid w:val="009E6BF3"/>
    <w:rsid w:val="009E6C44"/>
    <w:rsid w:val="009E6DC7"/>
    <w:rsid w:val="009E701B"/>
    <w:rsid w:val="009E7567"/>
    <w:rsid w:val="009E7621"/>
    <w:rsid w:val="009E769D"/>
    <w:rsid w:val="009E7E23"/>
    <w:rsid w:val="009F0303"/>
    <w:rsid w:val="009F0597"/>
    <w:rsid w:val="009F068D"/>
    <w:rsid w:val="009F07B6"/>
    <w:rsid w:val="009F0A04"/>
    <w:rsid w:val="009F0D52"/>
    <w:rsid w:val="009F0DFD"/>
    <w:rsid w:val="009F0E51"/>
    <w:rsid w:val="009F1034"/>
    <w:rsid w:val="009F114C"/>
    <w:rsid w:val="009F1262"/>
    <w:rsid w:val="009F1431"/>
    <w:rsid w:val="009F1507"/>
    <w:rsid w:val="009F1596"/>
    <w:rsid w:val="009F15AC"/>
    <w:rsid w:val="009F1707"/>
    <w:rsid w:val="009F17FC"/>
    <w:rsid w:val="009F1853"/>
    <w:rsid w:val="009F1869"/>
    <w:rsid w:val="009F1CE8"/>
    <w:rsid w:val="009F1DDB"/>
    <w:rsid w:val="009F1EDF"/>
    <w:rsid w:val="009F2870"/>
    <w:rsid w:val="009F2F46"/>
    <w:rsid w:val="009F30FE"/>
    <w:rsid w:val="009F33A5"/>
    <w:rsid w:val="009F34BF"/>
    <w:rsid w:val="009F3769"/>
    <w:rsid w:val="009F37F0"/>
    <w:rsid w:val="009F3C27"/>
    <w:rsid w:val="009F3F23"/>
    <w:rsid w:val="009F3F5A"/>
    <w:rsid w:val="009F4292"/>
    <w:rsid w:val="009F45DA"/>
    <w:rsid w:val="009F483B"/>
    <w:rsid w:val="009F4A38"/>
    <w:rsid w:val="009F4BD6"/>
    <w:rsid w:val="009F4D02"/>
    <w:rsid w:val="009F4D1B"/>
    <w:rsid w:val="009F4E22"/>
    <w:rsid w:val="009F53E6"/>
    <w:rsid w:val="009F5623"/>
    <w:rsid w:val="009F56C7"/>
    <w:rsid w:val="009F5773"/>
    <w:rsid w:val="009F57A4"/>
    <w:rsid w:val="009F5BB3"/>
    <w:rsid w:val="009F5C44"/>
    <w:rsid w:val="009F5CC2"/>
    <w:rsid w:val="009F5E0F"/>
    <w:rsid w:val="009F5EEA"/>
    <w:rsid w:val="009F63D5"/>
    <w:rsid w:val="009F641F"/>
    <w:rsid w:val="009F6432"/>
    <w:rsid w:val="009F6916"/>
    <w:rsid w:val="009F697D"/>
    <w:rsid w:val="009F69B0"/>
    <w:rsid w:val="009F69E7"/>
    <w:rsid w:val="009F69F9"/>
    <w:rsid w:val="009F6B45"/>
    <w:rsid w:val="009F6D25"/>
    <w:rsid w:val="009F6D63"/>
    <w:rsid w:val="009F73DF"/>
    <w:rsid w:val="009F7692"/>
    <w:rsid w:val="009F76D1"/>
    <w:rsid w:val="009F78F2"/>
    <w:rsid w:val="009F78F5"/>
    <w:rsid w:val="009F7BDD"/>
    <w:rsid w:val="009F7D97"/>
    <w:rsid w:val="009F7DD9"/>
    <w:rsid w:val="009F7F37"/>
    <w:rsid w:val="00A00013"/>
    <w:rsid w:val="00A00141"/>
    <w:rsid w:val="00A00746"/>
    <w:rsid w:val="00A0097B"/>
    <w:rsid w:val="00A00A44"/>
    <w:rsid w:val="00A00A9D"/>
    <w:rsid w:val="00A00AE6"/>
    <w:rsid w:val="00A00CB4"/>
    <w:rsid w:val="00A00E1B"/>
    <w:rsid w:val="00A00F8E"/>
    <w:rsid w:val="00A01087"/>
    <w:rsid w:val="00A014AE"/>
    <w:rsid w:val="00A01500"/>
    <w:rsid w:val="00A01609"/>
    <w:rsid w:val="00A017CF"/>
    <w:rsid w:val="00A01ABF"/>
    <w:rsid w:val="00A01E0F"/>
    <w:rsid w:val="00A02653"/>
    <w:rsid w:val="00A0274B"/>
    <w:rsid w:val="00A02819"/>
    <w:rsid w:val="00A02948"/>
    <w:rsid w:val="00A02E78"/>
    <w:rsid w:val="00A02F46"/>
    <w:rsid w:val="00A02FD1"/>
    <w:rsid w:val="00A02FE5"/>
    <w:rsid w:val="00A03090"/>
    <w:rsid w:val="00A030FD"/>
    <w:rsid w:val="00A03201"/>
    <w:rsid w:val="00A03205"/>
    <w:rsid w:val="00A0324C"/>
    <w:rsid w:val="00A033E6"/>
    <w:rsid w:val="00A03628"/>
    <w:rsid w:val="00A03A94"/>
    <w:rsid w:val="00A03B23"/>
    <w:rsid w:val="00A03C18"/>
    <w:rsid w:val="00A03DC8"/>
    <w:rsid w:val="00A03E39"/>
    <w:rsid w:val="00A03E5C"/>
    <w:rsid w:val="00A03F51"/>
    <w:rsid w:val="00A04200"/>
    <w:rsid w:val="00A042E1"/>
    <w:rsid w:val="00A043DF"/>
    <w:rsid w:val="00A0442B"/>
    <w:rsid w:val="00A0445E"/>
    <w:rsid w:val="00A044CF"/>
    <w:rsid w:val="00A04585"/>
    <w:rsid w:val="00A04DB3"/>
    <w:rsid w:val="00A051DA"/>
    <w:rsid w:val="00A05277"/>
    <w:rsid w:val="00A0531C"/>
    <w:rsid w:val="00A057FA"/>
    <w:rsid w:val="00A05A8A"/>
    <w:rsid w:val="00A05B0A"/>
    <w:rsid w:val="00A05D7D"/>
    <w:rsid w:val="00A05E3F"/>
    <w:rsid w:val="00A05F56"/>
    <w:rsid w:val="00A05FA6"/>
    <w:rsid w:val="00A06102"/>
    <w:rsid w:val="00A06462"/>
    <w:rsid w:val="00A06694"/>
    <w:rsid w:val="00A067EF"/>
    <w:rsid w:val="00A06B5E"/>
    <w:rsid w:val="00A06C6D"/>
    <w:rsid w:val="00A0755C"/>
    <w:rsid w:val="00A075F2"/>
    <w:rsid w:val="00A07735"/>
    <w:rsid w:val="00A07ACB"/>
    <w:rsid w:val="00A07B2B"/>
    <w:rsid w:val="00A07DCB"/>
    <w:rsid w:val="00A07E37"/>
    <w:rsid w:val="00A10092"/>
    <w:rsid w:val="00A10284"/>
    <w:rsid w:val="00A10334"/>
    <w:rsid w:val="00A10393"/>
    <w:rsid w:val="00A103BF"/>
    <w:rsid w:val="00A108E0"/>
    <w:rsid w:val="00A108F8"/>
    <w:rsid w:val="00A112C3"/>
    <w:rsid w:val="00A113A4"/>
    <w:rsid w:val="00A1157F"/>
    <w:rsid w:val="00A11597"/>
    <w:rsid w:val="00A11723"/>
    <w:rsid w:val="00A1174C"/>
    <w:rsid w:val="00A117C4"/>
    <w:rsid w:val="00A1196E"/>
    <w:rsid w:val="00A1197D"/>
    <w:rsid w:val="00A11B31"/>
    <w:rsid w:val="00A11DE2"/>
    <w:rsid w:val="00A1237F"/>
    <w:rsid w:val="00A1253D"/>
    <w:rsid w:val="00A1286E"/>
    <w:rsid w:val="00A1296D"/>
    <w:rsid w:val="00A12A31"/>
    <w:rsid w:val="00A12CF9"/>
    <w:rsid w:val="00A13096"/>
    <w:rsid w:val="00A1320A"/>
    <w:rsid w:val="00A1331D"/>
    <w:rsid w:val="00A1349B"/>
    <w:rsid w:val="00A13642"/>
    <w:rsid w:val="00A13682"/>
    <w:rsid w:val="00A138FC"/>
    <w:rsid w:val="00A13C5C"/>
    <w:rsid w:val="00A13C81"/>
    <w:rsid w:val="00A13F1F"/>
    <w:rsid w:val="00A13F67"/>
    <w:rsid w:val="00A13FB5"/>
    <w:rsid w:val="00A14133"/>
    <w:rsid w:val="00A14137"/>
    <w:rsid w:val="00A14376"/>
    <w:rsid w:val="00A146A7"/>
    <w:rsid w:val="00A146D4"/>
    <w:rsid w:val="00A1488D"/>
    <w:rsid w:val="00A14913"/>
    <w:rsid w:val="00A14A72"/>
    <w:rsid w:val="00A14D98"/>
    <w:rsid w:val="00A14E57"/>
    <w:rsid w:val="00A14E89"/>
    <w:rsid w:val="00A14F29"/>
    <w:rsid w:val="00A14F65"/>
    <w:rsid w:val="00A14FE8"/>
    <w:rsid w:val="00A15143"/>
    <w:rsid w:val="00A153CF"/>
    <w:rsid w:val="00A15590"/>
    <w:rsid w:val="00A156B5"/>
    <w:rsid w:val="00A15772"/>
    <w:rsid w:val="00A157EE"/>
    <w:rsid w:val="00A1594F"/>
    <w:rsid w:val="00A15BC2"/>
    <w:rsid w:val="00A15C43"/>
    <w:rsid w:val="00A15D89"/>
    <w:rsid w:val="00A15DC0"/>
    <w:rsid w:val="00A15F85"/>
    <w:rsid w:val="00A1616B"/>
    <w:rsid w:val="00A161A3"/>
    <w:rsid w:val="00A161BC"/>
    <w:rsid w:val="00A161C1"/>
    <w:rsid w:val="00A1651C"/>
    <w:rsid w:val="00A166C2"/>
    <w:rsid w:val="00A1698C"/>
    <w:rsid w:val="00A16E39"/>
    <w:rsid w:val="00A172B1"/>
    <w:rsid w:val="00A1752B"/>
    <w:rsid w:val="00A17643"/>
    <w:rsid w:val="00A1777C"/>
    <w:rsid w:val="00A178AA"/>
    <w:rsid w:val="00A178FD"/>
    <w:rsid w:val="00A17A75"/>
    <w:rsid w:val="00A17C27"/>
    <w:rsid w:val="00A17D17"/>
    <w:rsid w:val="00A17F9B"/>
    <w:rsid w:val="00A20554"/>
    <w:rsid w:val="00A205F1"/>
    <w:rsid w:val="00A20A6E"/>
    <w:rsid w:val="00A21392"/>
    <w:rsid w:val="00A21561"/>
    <w:rsid w:val="00A21750"/>
    <w:rsid w:val="00A21B99"/>
    <w:rsid w:val="00A21C62"/>
    <w:rsid w:val="00A21E0E"/>
    <w:rsid w:val="00A21FC6"/>
    <w:rsid w:val="00A2209D"/>
    <w:rsid w:val="00A220A7"/>
    <w:rsid w:val="00A224C6"/>
    <w:rsid w:val="00A22601"/>
    <w:rsid w:val="00A22656"/>
    <w:rsid w:val="00A227BB"/>
    <w:rsid w:val="00A2282F"/>
    <w:rsid w:val="00A2297D"/>
    <w:rsid w:val="00A22E7B"/>
    <w:rsid w:val="00A22E9F"/>
    <w:rsid w:val="00A22F4A"/>
    <w:rsid w:val="00A23056"/>
    <w:rsid w:val="00A230AA"/>
    <w:rsid w:val="00A2362B"/>
    <w:rsid w:val="00A239CE"/>
    <w:rsid w:val="00A23F36"/>
    <w:rsid w:val="00A23F84"/>
    <w:rsid w:val="00A23F8B"/>
    <w:rsid w:val="00A240F8"/>
    <w:rsid w:val="00A24359"/>
    <w:rsid w:val="00A24968"/>
    <w:rsid w:val="00A2497B"/>
    <w:rsid w:val="00A24B50"/>
    <w:rsid w:val="00A24EB7"/>
    <w:rsid w:val="00A24EC8"/>
    <w:rsid w:val="00A25112"/>
    <w:rsid w:val="00A25389"/>
    <w:rsid w:val="00A254CA"/>
    <w:rsid w:val="00A25519"/>
    <w:rsid w:val="00A2597C"/>
    <w:rsid w:val="00A25BAC"/>
    <w:rsid w:val="00A25C39"/>
    <w:rsid w:val="00A26311"/>
    <w:rsid w:val="00A26530"/>
    <w:rsid w:val="00A26567"/>
    <w:rsid w:val="00A265E2"/>
    <w:rsid w:val="00A26618"/>
    <w:rsid w:val="00A2669D"/>
    <w:rsid w:val="00A26BEA"/>
    <w:rsid w:val="00A26FB8"/>
    <w:rsid w:val="00A275B3"/>
    <w:rsid w:val="00A27A32"/>
    <w:rsid w:val="00A27B9C"/>
    <w:rsid w:val="00A27BFC"/>
    <w:rsid w:val="00A27E34"/>
    <w:rsid w:val="00A27EBF"/>
    <w:rsid w:val="00A30132"/>
    <w:rsid w:val="00A3029A"/>
    <w:rsid w:val="00A302C6"/>
    <w:rsid w:val="00A303AC"/>
    <w:rsid w:val="00A304E5"/>
    <w:rsid w:val="00A30551"/>
    <w:rsid w:val="00A30724"/>
    <w:rsid w:val="00A307FC"/>
    <w:rsid w:val="00A3082A"/>
    <w:rsid w:val="00A30878"/>
    <w:rsid w:val="00A3088F"/>
    <w:rsid w:val="00A308E5"/>
    <w:rsid w:val="00A30AC9"/>
    <w:rsid w:val="00A30B28"/>
    <w:rsid w:val="00A30B50"/>
    <w:rsid w:val="00A30BD8"/>
    <w:rsid w:val="00A31666"/>
    <w:rsid w:val="00A31699"/>
    <w:rsid w:val="00A317E9"/>
    <w:rsid w:val="00A318F6"/>
    <w:rsid w:val="00A31B1E"/>
    <w:rsid w:val="00A31BBB"/>
    <w:rsid w:val="00A31C0A"/>
    <w:rsid w:val="00A31F87"/>
    <w:rsid w:val="00A320EF"/>
    <w:rsid w:val="00A324AF"/>
    <w:rsid w:val="00A324C8"/>
    <w:rsid w:val="00A324DA"/>
    <w:rsid w:val="00A3259F"/>
    <w:rsid w:val="00A32659"/>
    <w:rsid w:val="00A328A9"/>
    <w:rsid w:val="00A32907"/>
    <w:rsid w:val="00A3290C"/>
    <w:rsid w:val="00A330F0"/>
    <w:rsid w:val="00A3315F"/>
    <w:rsid w:val="00A33692"/>
    <w:rsid w:val="00A33BFC"/>
    <w:rsid w:val="00A33F8C"/>
    <w:rsid w:val="00A34033"/>
    <w:rsid w:val="00A34427"/>
    <w:rsid w:val="00A34448"/>
    <w:rsid w:val="00A348C2"/>
    <w:rsid w:val="00A3495B"/>
    <w:rsid w:val="00A34CBB"/>
    <w:rsid w:val="00A35053"/>
    <w:rsid w:val="00A35230"/>
    <w:rsid w:val="00A3534B"/>
    <w:rsid w:val="00A35719"/>
    <w:rsid w:val="00A3595A"/>
    <w:rsid w:val="00A35999"/>
    <w:rsid w:val="00A35B2B"/>
    <w:rsid w:val="00A35FD4"/>
    <w:rsid w:val="00A36264"/>
    <w:rsid w:val="00A362E8"/>
    <w:rsid w:val="00A364B0"/>
    <w:rsid w:val="00A36653"/>
    <w:rsid w:val="00A36E9F"/>
    <w:rsid w:val="00A36EB9"/>
    <w:rsid w:val="00A3706A"/>
    <w:rsid w:val="00A370D5"/>
    <w:rsid w:val="00A3748A"/>
    <w:rsid w:val="00A375C4"/>
    <w:rsid w:val="00A375F1"/>
    <w:rsid w:val="00A37C74"/>
    <w:rsid w:val="00A37C8E"/>
    <w:rsid w:val="00A40101"/>
    <w:rsid w:val="00A40128"/>
    <w:rsid w:val="00A403FE"/>
    <w:rsid w:val="00A40699"/>
    <w:rsid w:val="00A406F0"/>
    <w:rsid w:val="00A40706"/>
    <w:rsid w:val="00A407F2"/>
    <w:rsid w:val="00A40A79"/>
    <w:rsid w:val="00A40EA3"/>
    <w:rsid w:val="00A4116C"/>
    <w:rsid w:val="00A41289"/>
    <w:rsid w:val="00A41343"/>
    <w:rsid w:val="00A416EA"/>
    <w:rsid w:val="00A41BAE"/>
    <w:rsid w:val="00A41BB9"/>
    <w:rsid w:val="00A41C12"/>
    <w:rsid w:val="00A41D1C"/>
    <w:rsid w:val="00A41F05"/>
    <w:rsid w:val="00A42016"/>
    <w:rsid w:val="00A4205B"/>
    <w:rsid w:val="00A420AA"/>
    <w:rsid w:val="00A42476"/>
    <w:rsid w:val="00A4252B"/>
    <w:rsid w:val="00A425B1"/>
    <w:rsid w:val="00A425FC"/>
    <w:rsid w:val="00A4261A"/>
    <w:rsid w:val="00A42B4B"/>
    <w:rsid w:val="00A42BCB"/>
    <w:rsid w:val="00A42C64"/>
    <w:rsid w:val="00A42CDC"/>
    <w:rsid w:val="00A42CEA"/>
    <w:rsid w:val="00A433FF"/>
    <w:rsid w:val="00A434BF"/>
    <w:rsid w:val="00A43583"/>
    <w:rsid w:val="00A435F2"/>
    <w:rsid w:val="00A43672"/>
    <w:rsid w:val="00A436DC"/>
    <w:rsid w:val="00A436DE"/>
    <w:rsid w:val="00A43701"/>
    <w:rsid w:val="00A43D2D"/>
    <w:rsid w:val="00A43F9C"/>
    <w:rsid w:val="00A4436E"/>
    <w:rsid w:val="00A4465D"/>
    <w:rsid w:val="00A4469D"/>
    <w:rsid w:val="00A44AE8"/>
    <w:rsid w:val="00A44D49"/>
    <w:rsid w:val="00A44EB0"/>
    <w:rsid w:val="00A44F6C"/>
    <w:rsid w:val="00A44F93"/>
    <w:rsid w:val="00A455F2"/>
    <w:rsid w:val="00A45613"/>
    <w:rsid w:val="00A458EE"/>
    <w:rsid w:val="00A45AFD"/>
    <w:rsid w:val="00A45BE5"/>
    <w:rsid w:val="00A45BFD"/>
    <w:rsid w:val="00A45D12"/>
    <w:rsid w:val="00A45E6A"/>
    <w:rsid w:val="00A45EAF"/>
    <w:rsid w:val="00A45F45"/>
    <w:rsid w:val="00A4609C"/>
    <w:rsid w:val="00A46104"/>
    <w:rsid w:val="00A463C1"/>
    <w:rsid w:val="00A468FC"/>
    <w:rsid w:val="00A46A9D"/>
    <w:rsid w:val="00A46AF1"/>
    <w:rsid w:val="00A46C89"/>
    <w:rsid w:val="00A46CF4"/>
    <w:rsid w:val="00A46D7D"/>
    <w:rsid w:val="00A46EEA"/>
    <w:rsid w:val="00A47007"/>
    <w:rsid w:val="00A47050"/>
    <w:rsid w:val="00A47106"/>
    <w:rsid w:val="00A47113"/>
    <w:rsid w:val="00A4728B"/>
    <w:rsid w:val="00A472D0"/>
    <w:rsid w:val="00A47382"/>
    <w:rsid w:val="00A47585"/>
    <w:rsid w:val="00A475E5"/>
    <w:rsid w:val="00A47646"/>
    <w:rsid w:val="00A47684"/>
    <w:rsid w:val="00A47748"/>
    <w:rsid w:val="00A477C6"/>
    <w:rsid w:val="00A47B0A"/>
    <w:rsid w:val="00A47BC0"/>
    <w:rsid w:val="00A47DD5"/>
    <w:rsid w:val="00A47ED1"/>
    <w:rsid w:val="00A50100"/>
    <w:rsid w:val="00A507A7"/>
    <w:rsid w:val="00A50836"/>
    <w:rsid w:val="00A50A67"/>
    <w:rsid w:val="00A50ACB"/>
    <w:rsid w:val="00A50BC9"/>
    <w:rsid w:val="00A50D11"/>
    <w:rsid w:val="00A50D2D"/>
    <w:rsid w:val="00A50E56"/>
    <w:rsid w:val="00A50E99"/>
    <w:rsid w:val="00A50ECC"/>
    <w:rsid w:val="00A50FD4"/>
    <w:rsid w:val="00A5131D"/>
    <w:rsid w:val="00A51417"/>
    <w:rsid w:val="00A514F7"/>
    <w:rsid w:val="00A51596"/>
    <w:rsid w:val="00A518DB"/>
    <w:rsid w:val="00A51ABC"/>
    <w:rsid w:val="00A51B3C"/>
    <w:rsid w:val="00A52097"/>
    <w:rsid w:val="00A52130"/>
    <w:rsid w:val="00A522A4"/>
    <w:rsid w:val="00A522F1"/>
    <w:rsid w:val="00A522F6"/>
    <w:rsid w:val="00A52736"/>
    <w:rsid w:val="00A52868"/>
    <w:rsid w:val="00A528B0"/>
    <w:rsid w:val="00A528B4"/>
    <w:rsid w:val="00A529BF"/>
    <w:rsid w:val="00A52CFA"/>
    <w:rsid w:val="00A53100"/>
    <w:rsid w:val="00A534EE"/>
    <w:rsid w:val="00A53502"/>
    <w:rsid w:val="00A53507"/>
    <w:rsid w:val="00A53ACE"/>
    <w:rsid w:val="00A53DB6"/>
    <w:rsid w:val="00A54127"/>
    <w:rsid w:val="00A541C4"/>
    <w:rsid w:val="00A5424F"/>
    <w:rsid w:val="00A545E2"/>
    <w:rsid w:val="00A546A4"/>
    <w:rsid w:val="00A54969"/>
    <w:rsid w:val="00A54AC3"/>
    <w:rsid w:val="00A54BF0"/>
    <w:rsid w:val="00A54DB0"/>
    <w:rsid w:val="00A54F47"/>
    <w:rsid w:val="00A55022"/>
    <w:rsid w:val="00A55109"/>
    <w:rsid w:val="00A55200"/>
    <w:rsid w:val="00A5532F"/>
    <w:rsid w:val="00A554CE"/>
    <w:rsid w:val="00A55505"/>
    <w:rsid w:val="00A55A20"/>
    <w:rsid w:val="00A55AA1"/>
    <w:rsid w:val="00A55BCE"/>
    <w:rsid w:val="00A55FAC"/>
    <w:rsid w:val="00A5608B"/>
    <w:rsid w:val="00A5664E"/>
    <w:rsid w:val="00A56815"/>
    <w:rsid w:val="00A56BD7"/>
    <w:rsid w:val="00A56C43"/>
    <w:rsid w:val="00A56D37"/>
    <w:rsid w:val="00A56D8D"/>
    <w:rsid w:val="00A56E38"/>
    <w:rsid w:val="00A56EBB"/>
    <w:rsid w:val="00A56FA5"/>
    <w:rsid w:val="00A57125"/>
    <w:rsid w:val="00A57281"/>
    <w:rsid w:val="00A5733F"/>
    <w:rsid w:val="00A57438"/>
    <w:rsid w:val="00A57515"/>
    <w:rsid w:val="00A57A9A"/>
    <w:rsid w:val="00A57E7B"/>
    <w:rsid w:val="00A60172"/>
    <w:rsid w:val="00A601C2"/>
    <w:rsid w:val="00A603DC"/>
    <w:rsid w:val="00A6057D"/>
    <w:rsid w:val="00A607CC"/>
    <w:rsid w:val="00A60AFD"/>
    <w:rsid w:val="00A60B52"/>
    <w:rsid w:val="00A60BA9"/>
    <w:rsid w:val="00A60BFF"/>
    <w:rsid w:val="00A60D00"/>
    <w:rsid w:val="00A60DC0"/>
    <w:rsid w:val="00A60E6D"/>
    <w:rsid w:val="00A60E88"/>
    <w:rsid w:val="00A60E9F"/>
    <w:rsid w:val="00A60F5E"/>
    <w:rsid w:val="00A61017"/>
    <w:rsid w:val="00A61206"/>
    <w:rsid w:val="00A6125D"/>
    <w:rsid w:val="00A61620"/>
    <w:rsid w:val="00A617D4"/>
    <w:rsid w:val="00A618F2"/>
    <w:rsid w:val="00A61BD2"/>
    <w:rsid w:val="00A61D51"/>
    <w:rsid w:val="00A61E45"/>
    <w:rsid w:val="00A62252"/>
    <w:rsid w:val="00A6227C"/>
    <w:rsid w:val="00A62487"/>
    <w:rsid w:val="00A6263B"/>
    <w:rsid w:val="00A626AA"/>
    <w:rsid w:val="00A62A09"/>
    <w:rsid w:val="00A62A4A"/>
    <w:rsid w:val="00A62B7A"/>
    <w:rsid w:val="00A62D2D"/>
    <w:rsid w:val="00A63225"/>
    <w:rsid w:val="00A632D5"/>
    <w:rsid w:val="00A638DE"/>
    <w:rsid w:val="00A638EF"/>
    <w:rsid w:val="00A6394F"/>
    <w:rsid w:val="00A63CDB"/>
    <w:rsid w:val="00A63E6E"/>
    <w:rsid w:val="00A641FA"/>
    <w:rsid w:val="00A64350"/>
    <w:rsid w:val="00A6476D"/>
    <w:rsid w:val="00A64999"/>
    <w:rsid w:val="00A649EE"/>
    <w:rsid w:val="00A65156"/>
    <w:rsid w:val="00A6544D"/>
    <w:rsid w:val="00A65615"/>
    <w:rsid w:val="00A65873"/>
    <w:rsid w:val="00A658C6"/>
    <w:rsid w:val="00A65B22"/>
    <w:rsid w:val="00A65D05"/>
    <w:rsid w:val="00A6627B"/>
    <w:rsid w:val="00A667D7"/>
    <w:rsid w:val="00A669FA"/>
    <w:rsid w:val="00A66A46"/>
    <w:rsid w:val="00A66D1D"/>
    <w:rsid w:val="00A67058"/>
    <w:rsid w:val="00A67073"/>
    <w:rsid w:val="00A6708D"/>
    <w:rsid w:val="00A67534"/>
    <w:rsid w:val="00A67636"/>
    <w:rsid w:val="00A6773B"/>
    <w:rsid w:val="00A6787C"/>
    <w:rsid w:val="00A678DA"/>
    <w:rsid w:val="00A67970"/>
    <w:rsid w:val="00A67B8D"/>
    <w:rsid w:val="00A67C0F"/>
    <w:rsid w:val="00A67CFA"/>
    <w:rsid w:val="00A67E56"/>
    <w:rsid w:val="00A67EC1"/>
    <w:rsid w:val="00A67FB3"/>
    <w:rsid w:val="00A67FD6"/>
    <w:rsid w:val="00A7002B"/>
    <w:rsid w:val="00A7015E"/>
    <w:rsid w:val="00A703F8"/>
    <w:rsid w:val="00A703FF"/>
    <w:rsid w:val="00A7066F"/>
    <w:rsid w:val="00A7073D"/>
    <w:rsid w:val="00A70B29"/>
    <w:rsid w:val="00A70C4D"/>
    <w:rsid w:val="00A70CD0"/>
    <w:rsid w:val="00A70E60"/>
    <w:rsid w:val="00A70F3D"/>
    <w:rsid w:val="00A70FBF"/>
    <w:rsid w:val="00A71097"/>
    <w:rsid w:val="00A710BF"/>
    <w:rsid w:val="00A715B4"/>
    <w:rsid w:val="00A716C5"/>
    <w:rsid w:val="00A7177F"/>
    <w:rsid w:val="00A718F9"/>
    <w:rsid w:val="00A71A68"/>
    <w:rsid w:val="00A71B45"/>
    <w:rsid w:val="00A71B7D"/>
    <w:rsid w:val="00A71F49"/>
    <w:rsid w:val="00A72022"/>
    <w:rsid w:val="00A72088"/>
    <w:rsid w:val="00A72327"/>
    <w:rsid w:val="00A72361"/>
    <w:rsid w:val="00A7249B"/>
    <w:rsid w:val="00A725ED"/>
    <w:rsid w:val="00A72890"/>
    <w:rsid w:val="00A72A2E"/>
    <w:rsid w:val="00A72D9A"/>
    <w:rsid w:val="00A72FD9"/>
    <w:rsid w:val="00A73097"/>
    <w:rsid w:val="00A7364C"/>
    <w:rsid w:val="00A7373C"/>
    <w:rsid w:val="00A737A6"/>
    <w:rsid w:val="00A737D4"/>
    <w:rsid w:val="00A73955"/>
    <w:rsid w:val="00A73A18"/>
    <w:rsid w:val="00A73B42"/>
    <w:rsid w:val="00A73D9A"/>
    <w:rsid w:val="00A74238"/>
    <w:rsid w:val="00A74308"/>
    <w:rsid w:val="00A744FB"/>
    <w:rsid w:val="00A7454C"/>
    <w:rsid w:val="00A745E5"/>
    <w:rsid w:val="00A74995"/>
    <w:rsid w:val="00A74DFC"/>
    <w:rsid w:val="00A74EF6"/>
    <w:rsid w:val="00A74FD4"/>
    <w:rsid w:val="00A75328"/>
    <w:rsid w:val="00A753C6"/>
    <w:rsid w:val="00A755BD"/>
    <w:rsid w:val="00A7578B"/>
    <w:rsid w:val="00A757D8"/>
    <w:rsid w:val="00A7588C"/>
    <w:rsid w:val="00A75C13"/>
    <w:rsid w:val="00A75E02"/>
    <w:rsid w:val="00A75E98"/>
    <w:rsid w:val="00A76268"/>
    <w:rsid w:val="00A762FC"/>
    <w:rsid w:val="00A763A7"/>
    <w:rsid w:val="00A76629"/>
    <w:rsid w:val="00A76955"/>
    <w:rsid w:val="00A76ACD"/>
    <w:rsid w:val="00A76C76"/>
    <w:rsid w:val="00A76FC2"/>
    <w:rsid w:val="00A76FC3"/>
    <w:rsid w:val="00A77077"/>
    <w:rsid w:val="00A77191"/>
    <w:rsid w:val="00A77310"/>
    <w:rsid w:val="00A7740A"/>
    <w:rsid w:val="00A7745F"/>
    <w:rsid w:val="00A77539"/>
    <w:rsid w:val="00A77AC2"/>
    <w:rsid w:val="00A77C56"/>
    <w:rsid w:val="00A77C8A"/>
    <w:rsid w:val="00A77D42"/>
    <w:rsid w:val="00A8040A"/>
    <w:rsid w:val="00A80485"/>
    <w:rsid w:val="00A80522"/>
    <w:rsid w:val="00A80533"/>
    <w:rsid w:val="00A8093A"/>
    <w:rsid w:val="00A8099C"/>
    <w:rsid w:val="00A8099E"/>
    <w:rsid w:val="00A80AF3"/>
    <w:rsid w:val="00A80C19"/>
    <w:rsid w:val="00A80EBE"/>
    <w:rsid w:val="00A80F49"/>
    <w:rsid w:val="00A814CF"/>
    <w:rsid w:val="00A81AA2"/>
    <w:rsid w:val="00A81C28"/>
    <w:rsid w:val="00A81CC2"/>
    <w:rsid w:val="00A81CF1"/>
    <w:rsid w:val="00A81D86"/>
    <w:rsid w:val="00A823BB"/>
    <w:rsid w:val="00A823F1"/>
    <w:rsid w:val="00A82562"/>
    <w:rsid w:val="00A82686"/>
    <w:rsid w:val="00A8290A"/>
    <w:rsid w:val="00A82D28"/>
    <w:rsid w:val="00A82E0D"/>
    <w:rsid w:val="00A82EB6"/>
    <w:rsid w:val="00A83190"/>
    <w:rsid w:val="00A831B7"/>
    <w:rsid w:val="00A836F4"/>
    <w:rsid w:val="00A838D1"/>
    <w:rsid w:val="00A838F2"/>
    <w:rsid w:val="00A840BE"/>
    <w:rsid w:val="00A84132"/>
    <w:rsid w:val="00A84414"/>
    <w:rsid w:val="00A84448"/>
    <w:rsid w:val="00A8464C"/>
    <w:rsid w:val="00A847C8"/>
    <w:rsid w:val="00A848A9"/>
    <w:rsid w:val="00A84ABA"/>
    <w:rsid w:val="00A84DCB"/>
    <w:rsid w:val="00A84E1F"/>
    <w:rsid w:val="00A853C2"/>
    <w:rsid w:val="00A85832"/>
    <w:rsid w:val="00A85844"/>
    <w:rsid w:val="00A85D81"/>
    <w:rsid w:val="00A85DF3"/>
    <w:rsid w:val="00A85E6B"/>
    <w:rsid w:val="00A85FD5"/>
    <w:rsid w:val="00A85FDD"/>
    <w:rsid w:val="00A86174"/>
    <w:rsid w:val="00A8654E"/>
    <w:rsid w:val="00A865B3"/>
    <w:rsid w:val="00A8660C"/>
    <w:rsid w:val="00A86814"/>
    <w:rsid w:val="00A8699B"/>
    <w:rsid w:val="00A86C2F"/>
    <w:rsid w:val="00A86C42"/>
    <w:rsid w:val="00A86DD3"/>
    <w:rsid w:val="00A8708E"/>
    <w:rsid w:val="00A872A3"/>
    <w:rsid w:val="00A87531"/>
    <w:rsid w:val="00A879EA"/>
    <w:rsid w:val="00A87AD5"/>
    <w:rsid w:val="00A87C1B"/>
    <w:rsid w:val="00A87C96"/>
    <w:rsid w:val="00A87DC0"/>
    <w:rsid w:val="00A87FE1"/>
    <w:rsid w:val="00A90171"/>
    <w:rsid w:val="00A901F8"/>
    <w:rsid w:val="00A90268"/>
    <w:rsid w:val="00A902DE"/>
    <w:rsid w:val="00A906BA"/>
    <w:rsid w:val="00A90A9B"/>
    <w:rsid w:val="00A90AD7"/>
    <w:rsid w:val="00A90CF1"/>
    <w:rsid w:val="00A90EB9"/>
    <w:rsid w:val="00A90F17"/>
    <w:rsid w:val="00A90F2A"/>
    <w:rsid w:val="00A90F51"/>
    <w:rsid w:val="00A912B7"/>
    <w:rsid w:val="00A913C9"/>
    <w:rsid w:val="00A913FD"/>
    <w:rsid w:val="00A914F3"/>
    <w:rsid w:val="00A915CF"/>
    <w:rsid w:val="00A91635"/>
    <w:rsid w:val="00A91804"/>
    <w:rsid w:val="00A91809"/>
    <w:rsid w:val="00A9190F"/>
    <w:rsid w:val="00A91D1A"/>
    <w:rsid w:val="00A91D2E"/>
    <w:rsid w:val="00A91F0F"/>
    <w:rsid w:val="00A91F7E"/>
    <w:rsid w:val="00A91F80"/>
    <w:rsid w:val="00A922F4"/>
    <w:rsid w:val="00A92808"/>
    <w:rsid w:val="00A92879"/>
    <w:rsid w:val="00A929E3"/>
    <w:rsid w:val="00A92C2F"/>
    <w:rsid w:val="00A92EBC"/>
    <w:rsid w:val="00A93284"/>
    <w:rsid w:val="00A932B7"/>
    <w:rsid w:val="00A93581"/>
    <w:rsid w:val="00A9364B"/>
    <w:rsid w:val="00A93799"/>
    <w:rsid w:val="00A938D1"/>
    <w:rsid w:val="00A93AA1"/>
    <w:rsid w:val="00A93AA7"/>
    <w:rsid w:val="00A93C5C"/>
    <w:rsid w:val="00A93CF4"/>
    <w:rsid w:val="00A93D93"/>
    <w:rsid w:val="00A93F78"/>
    <w:rsid w:val="00A93FC5"/>
    <w:rsid w:val="00A93FD4"/>
    <w:rsid w:val="00A940FE"/>
    <w:rsid w:val="00A9427B"/>
    <w:rsid w:val="00A944A1"/>
    <w:rsid w:val="00A94563"/>
    <w:rsid w:val="00A9491B"/>
    <w:rsid w:val="00A94962"/>
    <w:rsid w:val="00A949E2"/>
    <w:rsid w:val="00A94B5D"/>
    <w:rsid w:val="00A94C05"/>
    <w:rsid w:val="00A94CDD"/>
    <w:rsid w:val="00A94E95"/>
    <w:rsid w:val="00A94FD0"/>
    <w:rsid w:val="00A951BB"/>
    <w:rsid w:val="00A951E3"/>
    <w:rsid w:val="00A954F9"/>
    <w:rsid w:val="00A956CF"/>
    <w:rsid w:val="00A957B8"/>
    <w:rsid w:val="00A95CB7"/>
    <w:rsid w:val="00A95F47"/>
    <w:rsid w:val="00A95F5E"/>
    <w:rsid w:val="00A961E6"/>
    <w:rsid w:val="00A96495"/>
    <w:rsid w:val="00A96857"/>
    <w:rsid w:val="00A96980"/>
    <w:rsid w:val="00A969B2"/>
    <w:rsid w:val="00A96C84"/>
    <w:rsid w:val="00A9705E"/>
    <w:rsid w:val="00A971FB"/>
    <w:rsid w:val="00A974F1"/>
    <w:rsid w:val="00A97503"/>
    <w:rsid w:val="00A975CF"/>
    <w:rsid w:val="00A9768A"/>
    <w:rsid w:val="00A97842"/>
    <w:rsid w:val="00A978B9"/>
    <w:rsid w:val="00A97A3C"/>
    <w:rsid w:val="00AA01BF"/>
    <w:rsid w:val="00AA03D5"/>
    <w:rsid w:val="00AA0570"/>
    <w:rsid w:val="00AA06CC"/>
    <w:rsid w:val="00AA07AA"/>
    <w:rsid w:val="00AA0E22"/>
    <w:rsid w:val="00AA1081"/>
    <w:rsid w:val="00AA11BD"/>
    <w:rsid w:val="00AA1508"/>
    <w:rsid w:val="00AA164C"/>
    <w:rsid w:val="00AA1970"/>
    <w:rsid w:val="00AA19AC"/>
    <w:rsid w:val="00AA1BD2"/>
    <w:rsid w:val="00AA1ECB"/>
    <w:rsid w:val="00AA1EF3"/>
    <w:rsid w:val="00AA2088"/>
    <w:rsid w:val="00AA2252"/>
    <w:rsid w:val="00AA225A"/>
    <w:rsid w:val="00AA235E"/>
    <w:rsid w:val="00AA257F"/>
    <w:rsid w:val="00AA25F3"/>
    <w:rsid w:val="00AA2710"/>
    <w:rsid w:val="00AA2750"/>
    <w:rsid w:val="00AA2A1C"/>
    <w:rsid w:val="00AA2B75"/>
    <w:rsid w:val="00AA2DA0"/>
    <w:rsid w:val="00AA2DB5"/>
    <w:rsid w:val="00AA2EF9"/>
    <w:rsid w:val="00AA2F59"/>
    <w:rsid w:val="00AA3280"/>
    <w:rsid w:val="00AA3354"/>
    <w:rsid w:val="00AA37A8"/>
    <w:rsid w:val="00AA38BA"/>
    <w:rsid w:val="00AA3ABC"/>
    <w:rsid w:val="00AA3B9D"/>
    <w:rsid w:val="00AA3BBF"/>
    <w:rsid w:val="00AA3E2E"/>
    <w:rsid w:val="00AA3F0B"/>
    <w:rsid w:val="00AA3FF2"/>
    <w:rsid w:val="00AA40E8"/>
    <w:rsid w:val="00AA412C"/>
    <w:rsid w:val="00AA4527"/>
    <w:rsid w:val="00AA458F"/>
    <w:rsid w:val="00AA4629"/>
    <w:rsid w:val="00AA46E7"/>
    <w:rsid w:val="00AA47C7"/>
    <w:rsid w:val="00AA4E25"/>
    <w:rsid w:val="00AA4F50"/>
    <w:rsid w:val="00AA4FBE"/>
    <w:rsid w:val="00AA517A"/>
    <w:rsid w:val="00AA536F"/>
    <w:rsid w:val="00AA567C"/>
    <w:rsid w:val="00AA5732"/>
    <w:rsid w:val="00AA5950"/>
    <w:rsid w:val="00AA5953"/>
    <w:rsid w:val="00AA5981"/>
    <w:rsid w:val="00AA5B3B"/>
    <w:rsid w:val="00AA6401"/>
    <w:rsid w:val="00AA64E0"/>
    <w:rsid w:val="00AA64E5"/>
    <w:rsid w:val="00AA65C0"/>
    <w:rsid w:val="00AA6618"/>
    <w:rsid w:val="00AA6645"/>
    <w:rsid w:val="00AA67EF"/>
    <w:rsid w:val="00AA683E"/>
    <w:rsid w:val="00AA68FF"/>
    <w:rsid w:val="00AA699D"/>
    <w:rsid w:val="00AA6A49"/>
    <w:rsid w:val="00AA6BBB"/>
    <w:rsid w:val="00AA6C28"/>
    <w:rsid w:val="00AA6ED9"/>
    <w:rsid w:val="00AA7653"/>
    <w:rsid w:val="00AA7768"/>
    <w:rsid w:val="00AA78D1"/>
    <w:rsid w:val="00AA78DF"/>
    <w:rsid w:val="00AA790D"/>
    <w:rsid w:val="00AA7A92"/>
    <w:rsid w:val="00AA7ADE"/>
    <w:rsid w:val="00AA7AF1"/>
    <w:rsid w:val="00AA7BA7"/>
    <w:rsid w:val="00AA7C7F"/>
    <w:rsid w:val="00AA7E27"/>
    <w:rsid w:val="00AA7E6B"/>
    <w:rsid w:val="00AA7F46"/>
    <w:rsid w:val="00AB016C"/>
    <w:rsid w:val="00AB0553"/>
    <w:rsid w:val="00AB05E9"/>
    <w:rsid w:val="00AB068E"/>
    <w:rsid w:val="00AB06EB"/>
    <w:rsid w:val="00AB07F8"/>
    <w:rsid w:val="00AB0872"/>
    <w:rsid w:val="00AB09DA"/>
    <w:rsid w:val="00AB0B5D"/>
    <w:rsid w:val="00AB0D67"/>
    <w:rsid w:val="00AB0DFF"/>
    <w:rsid w:val="00AB0EB3"/>
    <w:rsid w:val="00AB0F0F"/>
    <w:rsid w:val="00AB165A"/>
    <w:rsid w:val="00AB16EB"/>
    <w:rsid w:val="00AB1AB1"/>
    <w:rsid w:val="00AB1E38"/>
    <w:rsid w:val="00AB20EA"/>
    <w:rsid w:val="00AB2331"/>
    <w:rsid w:val="00AB258A"/>
    <w:rsid w:val="00AB2777"/>
    <w:rsid w:val="00AB2B7E"/>
    <w:rsid w:val="00AB2D42"/>
    <w:rsid w:val="00AB2D84"/>
    <w:rsid w:val="00AB3408"/>
    <w:rsid w:val="00AB347F"/>
    <w:rsid w:val="00AB3720"/>
    <w:rsid w:val="00AB37CC"/>
    <w:rsid w:val="00AB37EB"/>
    <w:rsid w:val="00AB3805"/>
    <w:rsid w:val="00AB3878"/>
    <w:rsid w:val="00AB3C5A"/>
    <w:rsid w:val="00AB3F34"/>
    <w:rsid w:val="00AB462D"/>
    <w:rsid w:val="00AB48B2"/>
    <w:rsid w:val="00AB4BFB"/>
    <w:rsid w:val="00AB4D2F"/>
    <w:rsid w:val="00AB4EE3"/>
    <w:rsid w:val="00AB4F2C"/>
    <w:rsid w:val="00AB4FCD"/>
    <w:rsid w:val="00AB515B"/>
    <w:rsid w:val="00AB518E"/>
    <w:rsid w:val="00AB51B7"/>
    <w:rsid w:val="00AB51CE"/>
    <w:rsid w:val="00AB54BF"/>
    <w:rsid w:val="00AB5546"/>
    <w:rsid w:val="00AB57D4"/>
    <w:rsid w:val="00AB59E6"/>
    <w:rsid w:val="00AB5CD5"/>
    <w:rsid w:val="00AB5EC1"/>
    <w:rsid w:val="00AB5F54"/>
    <w:rsid w:val="00AB60BE"/>
    <w:rsid w:val="00AB649B"/>
    <w:rsid w:val="00AB64FE"/>
    <w:rsid w:val="00AB655F"/>
    <w:rsid w:val="00AB6795"/>
    <w:rsid w:val="00AB6C0A"/>
    <w:rsid w:val="00AB6D4D"/>
    <w:rsid w:val="00AB6DA1"/>
    <w:rsid w:val="00AB6EA3"/>
    <w:rsid w:val="00AB702C"/>
    <w:rsid w:val="00AB724A"/>
    <w:rsid w:val="00AB753E"/>
    <w:rsid w:val="00AB7669"/>
    <w:rsid w:val="00AB795F"/>
    <w:rsid w:val="00AB7C13"/>
    <w:rsid w:val="00AB7C6E"/>
    <w:rsid w:val="00AB7D32"/>
    <w:rsid w:val="00AB7DC6"/>
    <w:rsid w:val="00AB7F87"/>
    <w:rsid w:val="00AC011E"/>
    <w:rsid w:val="00AC0398"/>
    <w:rsid w:val="00AC04B7"/>
    <w:rsid w:val="00AC06F6"/>
    <w:rsid w:val="00AC0A46"/>
    <w:rsid w:val="00AC0B51"/>
    <w:rsid w:val="00AC0BAD"/>
    <w:rsid w:val="00AC0BC6"/>
    <w:rsid w:val="00AC0E35"/>
    <w:rsid w:val="00AC0E40"/>
    <w:rsid w:val="00AC0EAD"/>
    <w:rsid w:val="00AC1728"/>
    <w:rsid w:val="00AC17F8"/>
    <w:rsid w:val="00AC188F"/>
    <w:rsid w:val="00AC191E"/>
    <w:rsid w:val="00AC1A37"/>
    <w:rsid w:val="00AC1AF3"/>
    <w:rsid w:val="00AC2321"/>
    <w:rsid w:val="00AC252D"/>
    <w:rsid w:val="00AC2E39"/>
    <w:rsid w:val="00AC2F0F"/>
    <w:rsid w:val="00AC2F8F"/>
    <w:rsid w:val="00AC327B"/>
    <w:rsid w:val="00AC347C"/>
    <w:rsid w:val="00AC382B"/>
    <w:rsid w:val="00AC3F02"/>
    <w:rsid w:val="00AC4120"/>
    <w:rsid w:val="00AC4234"/>
    <w:rsid w:val="00AC4260"/>
    <w:rsid w:val="00AC4266"/>
    <w:rsid w:val="00AC4746"/>
    <w:rsid w:val="00AC48FB"/>
    <w:rsid w:val="00AC4A71"/>
    <w:rsid w:val="00AC4C89"/>
    <w:rsid w:val="00AC4F35"/>
    <w:rsid w:val="00AC509C"/>
    <w:rsid w:val="00AC5137"/>
    <w:rsid w:val="00AC5540"/>
    <w:rsid w:val="00AC59F2"/>
    <w:rsid w:val="00AC5CC8"/>
    <w:rsid w:val="00AC5D04"/>
    <w:rsid w:val="00AC5E88"/>
    <w:rsid w:val="00AC5F2E"/>
    <w:rsid w:val="00AC61EC"/>
    <w:rsid w:val="00AC62FF"/>
    <w:rsid w:val="00AC69BD"/>
    <w:rsid w:val="00AC6B2F"/>
    <w:rsid w:val="00AC6BF2"/>
    <w:rsid w:val="00AC7042"/>
    <w:rsid w:val="00AC707A"/>
    <w:rsid w:val="00AC708A"/>
    <w:rsid w:val="00AC78D4"/>
    <w:rsid w:val="00AC79F8"/>
    <w:rsid w:val="00AC7A16"/>
    <w:rsid w:val="00AD00AB"/>
    <w:rsid w:val="00AD01A1"/>
    <w:rsid w:val="00AD02CE"/>
    <w:rsid w:val="00AD0344"/>
    <w:rsid w:val="00AD038D"/>
    <w:rsid w:val="00AD073D"/>
    <w:rsid w:val="00AD0743"/>
    <w:rsid w:val="00AD0900"/>
    <w:rsid w:val="00AD09A1"/>
    <w:rsid w:val="00AD0CB3"/>
    <w:rsid w:val="00AD0D34"/>
    <w:rsid w:val="00AD0EAD"/>
    <w:rsid w:val="00AD0F96"/>
    <w:rsid w:val="00AD12D8"/>
    <w:rsid w:val="00AD16D3"/>
    <w:rsid w:val="00AD1888"/>
    <w:rsid w:val="00AD195F"/>
    <w:rsid w:val="00AD207D"/>
    <w:rsid w:val="00AD2125"/>
    <w:rsid w:val="00AD21F1"/>
    <w:rsid w:val="00AD228E"/>
    <w:rsid w:val="00AD249C"/>
    <w:rsid w:val="00AD24BC"/>
    <w:rsid w:val="00AD2599"/>
    <w:rsid w:val="00AD2A17"/>
    <w:rsid w:val="00AD2A9B"/>
    <w:rsid w:val="00AD2AD2"/>
    <w:rsid w:val="00AD2C34"/>
    <w:rsid w:val="00AD2CBA"/>
    <w:rsid w:val="00AD2E98"/>
    <w:rsid w:val="00AD2FEC"/>
    <w:rsid w:val="00AD30B0"/>
    <w:rsid w:val="00AD30F9"/>
    <w:rsid w:val="00AD31D5"/>
    <w:rsid w:val="00AD335D"/>
    <w:rsid w:val="00AD38DD"/>
    <w:rsid w:val="00AD3B68"/>
    <w:rsid w:val="00AD3C36"/>
    <w:rsid w:val="00AD3C70"/>
    <w:rsid w:val="00AD3E5C"/>
    <w:rsid w:val="00AD3F9E"/>
    <w:rsid w:val="00AD40E7"/>
    <w:rsid w:val="00AD472F"/>
    <w:rsid w:val="00AD4CF5"/>
    <w:rsid w:val="00AD4D30"/>
    <w:rsid w:val="00AD5010"/>
    <w:rsid w:val="00AD506C"/>
    <w:rsid w:val="00AD5458"/>
    <w:rsid w:val="00AD54E2"/>
    <w:rsid w:val="00AD5B81"/>
    <w:rsid w:val="00AD60B1"/>
    <w:rsid w:val="00AD6107"/>
    <w:rsid w:val="00AD65AA"/>
    <w:rsid w:val="00AD6A3B"/>
    <w:rsid w:val="00AD6F32"/>
    <w:rsid w:val="00AD7158"/>
    <w:rsid w:val="00AD7311"/>
    <w:rsid w:val="00AD7368"/>
    <w:rsid w:val="00AD738C"/>
    <w:rsid w:val="00AD7472"/>
    <w:rsid w:val="00AD750F"/>
    <w:rsid w:val="00AD7865"/>
    <w:rsid w:val="00AD7AB0"/>
    <w:rsid w:val="00AD7AF3"/>
    <w:rsid w:val="00AD7C37"/>
    <w:rsid w:val="00AD7F50"/>
    <w:rsid w:val="00AD7F7D"/>
    <w:rsid w:val="00AD7FA3"/>
    <w:rsid w:val="00AE0127"/>
    <w:rsid w:val="00AE0186"/>
    <w:rsid w:val="00AE0497"/>
    <w:rsid w:val="00AE0A2A"/>
    <w:rsid w:val="00AE0B55"/>
    <w:rsid w:val="00AE0CDD"/>
    <w:rsid w:val="00AE10DE"/>
    <w:rsid w:val="00AE11D1"/>
    <w:rsid w:val="00AE135A"/>
    <w:rsid w:val="00AE1540"/>
    <w:rsid w:val="00AE1812"/>
    <w:rsid w:val="00AE1824"/>
    <w:rsid w:val="00AE1A30"/>
    <w:rsid w:val="00AE1B7E"/>
    <w:rsid w:val="00AE1B94"/>
    <w:rsid w:val="00AE1E9E"/>
    <w:rsid w:val="00AE27F2"/>
    <w:rsid w:val="00AE2BE3"/>
    <w:rsid w:val="00AE2EAC"/>
    <w:rsid w:val="00AE31DD"/>
    <w:rsid w:val="00AE3602"/>
    <w:rsid w:val="00AE3670"/>
    <w:rsid w:val="00AE387B"/>
    <w:rsid w:val="00AE39FE"/>
    <w:rsid w:val="00AE3E06"/>
    <w:rsid w:val="00AE3E35"/>
    <w:rsid w:val="00AE40C5"/>
    <w:rsid w:val="00AE40DF"/>
    <w:rsid w:val="00AE417C"/>
    <w:rsid w:val="00AE4381"/>
    <w:rsid w:val="00AE4812"/>
    <w:rsid w:val="00AE4AC3"/>
    <w:rsid w:val="00AE4ADC"/>
    <w:rsid w:val="00AE4B7F"/>
    <w:rsid w:val="00AE4EAB"/>
    <w:rsid w:val="00AE4EC2"/>
    <w:rsid w:val="00AE511B"/>
    <w:rsid w:val="00AE513D"/>
    <w:rsid w:val="00AE5159"/>
    <w:rsid w:val="00AE51D8"/>
    <w:rsid w:val="00AE520E"/>
    <w:rsid w:val="00AE56F2"/>
    <w:rsid w:val="00AE5737"/>
    <w:rsid w:val="00AE5777"/>
    <w:rsid w:val="00AE57CC"/>
    <w:rsid w:val="00AE59BF"/>
    <w:rsid w:val="00AE5A02"/>
    <w:rsid w:val="00AE5A99"/>
    <w:rsid w:val="00AE5B86"/>
    <w:rsid w:val="00AE5E47"/>
    <w:rsid w:val="00AE636A"/>
    <w:rsid w:val="00AE63D3"/>
    <w:rsid w:val="00AE64CC"/>
    <w:rsid w:val="00AE67C3"/>
    <w:rsid w:val="00AE6897"/>
    <w:rsid w:val="00AE69DF"/>
    <w:rsid w:val="00AE6B92"/>
    <w:rsid w:val="00AE6F4A"/>
    <w:rsid w:val="00AE70A3"/>
    <w:rsid w:val="00AE7317"/>
    <w:rsid w:val="00AE736C"/>
    <w:rsid w:val="00AE7550"/>
    <w:rsid w:val="00AE7756"/>
    <w:rsid w:val="00AE7DAD"/>
    <w:rsid w:val="00AF002D"/>
    <w:rsid w:val="00AF0428"/>
    <w:rsid w:val="00AF0F12"/>
    <w:rsid w:val="00AF1644"/>
    <w:rsid w:val="00AF1695"/>
    <w:rsid w:val="00AF1780"/>
    <w:rsid w:val="00AF178B"/>
    <w:rsid w:val="00AF2B0B"/>
    <w:rsid w:val="00AF2EA4"/>
    <w:rsid w:val="00AF2EB0"/>
    <w:rsid w:val="00AF319A"/>
    <w:rsid w:val="00AF32D3"/>
    <w:rsid w:val="00AF358B"/>
    <w:rsid w:val="00AF35A3"/>
    <w:rsid w:val="00AF38F6"/>
    <w:rsid w:val="00AF3BE7"/>
    <w:rsid w:val="00AF3E67"/>
    <w:rsid w:val="00AF40BC"/>
    <w:rsid w:val="00AF41A4"/>
    <w:rsid w:val="00AF41BA"/>
    <w:rsid w:val="00AF4492"/>
    <w:rsid w:val="00AF47CE"/>
    <w:rsid w:val="00AF4871"/>
    <w:rsid w:val="00AF4BC0"/>
    <w:rsid w:val="00AF4BDA"/>
    <w:rsid w:val="00AF4D5A"/>
    <w:rsid w:val="00AF5798"/>
    <w:rsid w:val="00AF57DE"/>
    <w:rsid w:val="00AF5B51"/>
    <w:rsid w:val="00AF5DCD"/>
    <w:rsid w:val="00AF5E97"/>
    <w:rsid w:val="00AF6085"/>
    <w:rsid w:val="00AF60DC"/>
    <w:rsid w:val="00AF6136"/>
    <w:rsid w:val="00AF618E"/>
    <w:rsid w:val="00AF64BB"/>
    <w:rsid w:val="00AF667E"/>
    <w:rsid w:val="00AF66C0"/>
    <w:rsid w:val="00AF6823"/>
    <w:rsid w:val="00AF6892"/>
    <w:rsid w:val="00AF6B96"/>
    <w:rsid w:val="00AF6BD9"/>
    <w:rsid w:val="00AF6CC5"/>
    <w:rsid w:val="00AF6D09"/>
    <w:rsid w:val="00AF6EAB"/>
    <w:rsid w:val="00AF6F09"/>
    <w:rsid w:val="00AF6FCE"/>
    <w:rsid w:val="00AF7321"/>
    <w:rsid w:val="00AF750C"/>
    <w:rsid w:val="00AF78DD"/>
    <w:rsid w:val="00AF794E"/>
    <w:rsid w:val="00AF79FF"/>
    <w:rsid w:val="00AF7A97"/>
    <w:rsid w:val="00AF7BDD"/>
    <w:rsid w:val="00B00007"/>
    <w:rsid w:val="00B0000C"/>
    <w:rsid w:val="00B0031E"/>
    <w:rsid w:val="00B0039C"/>
    <w:rsid w:val="00B0076F"/>
    <w:rsid w:val="00B0093B"/>
    <w:rsid w:val="00B00C86"/>
    <w:rsid w:val="00B011DF"/>
    <w:rsid w:val="00B01222"/>
    <w:rsid w:val="00B0142F"/>
    <w:rsid w:val="00B015CC"/>
    <w:rsid w:val="00B0170B"/>
    <w:rsid w:val="00B017D3"/>
    <w:rsid w:val="00B017E3"/>
    <w:rsid w:val="00B01C5E"/>
    <w:rsid w:val="00B01D24"/>
    <w:rsid w:val="00B01E02"/>
    <w:rsid w:val="00B01F61"/>
    <w:rsid w:val="00B01F66"/>
    <w:rsid w:val="00B024E1"/>
    <w:rsid w:val="00B0288F"/>
    <w:rsid w:val="00B029E6"/>
    <w:rsid w:val="00B02A45"/>
    <w:rsid w:val="00B02A65"/>
    <w:rsid w:val="00B02D81"/>
    <w:rsid w:val="00B02DFF"/>
    <w:rsid w:val="00B03102"/>
    <w:rsid w:val="00B031A2"/>
    <w:rsid w:val="00B03230"/>
    <w:rsid w:val="00B03268"/>
    <w:rsid w:val="00B032E9"/>
    <w:rsid w:val="00B034D8"/>
    <w:rsid w:val="00B03627"/>
    <w:rsid w:val="00B039E1"/>
    <w:rsid w:val="00B03B09"/>
    <w:rsid w:val="00B03B13"/>
    <w:rsid w:val="00B03BA3"/>
    <w:rsid w:val="00B03C6B"/>
    <w:rsid w:val="00B03D62"/>
    <w:rsid w:val="00B03DE0"/>
    <w:rsid w:val="00B03F19"/>
    <w:rsid w:val="00B040B1"/>
    <w:rsid w:val="00B040CD"/>
    <w:rsid w:val="00B044BF"/>
    <w:rsid w:val="00B04593"/>
    <w:rsid w:val="00B0460F"/>
    <w:rsid w:val="00B04850"/>
    <w:rsid w:val="00B04852"/>
    <w:rsid w:val="00B04867"/>
    <w:rsid w:val="00B04D8C"/>
    <w:rsid w:val="00B04F33"/>
    <w:rsid w:val="00B050CF"/>
    <w:rsid w:val="00B052C0"/>
    <w:rsid w:val="00B05394"/>
    <w:rsid w:val="00B0575B"/>
    <w:rsid w:val="00B05973"/>
    <w:rsid w:val="00B05C4F"/>
    <w:rsid w:val="00B05D56"/>
    <w:rsid w:val="00B05D5B"/>
    <w:rsid w:val="00B05E64"/>
    <w:rsid w:val="00B05FC2"/>
    <w:rsid w:val="00B0619C"/>
    <w:rsid w:val="00B0630E"/>
    <w:rsid w:val="00B065E4"/>
    <w:rsid w:val="00B06706"/>
    <w:rsid w:val="00B06BA7"/>
    <w:rsid w:val="00B06C86"/>
    <w:rsid w:val="00B06D9F"/>
    <w:rsid w:val="00B06FBB"/>
    <w:rsid w:val="00B0709F"/>
    <w:rsid w:val="00B071DA"/>
    <w:rsid w:val="00B072AB"/>
    <w:rsid w:val="00B073BF"/>
    <w:rsid w:val="00B079E5"/>
    <w:rsid w:val="00B07DBB"/>
    <w:rsid w:val="00B1008F"/>
    <w:rsid w:val="00B10370"/>
    <w:rsid w:val="00B1045A"/>
    <w:rsid w:val="00B104AE"/>
    <w:rsid w:val="00B1056A"/>
    <w:rsid w:val="00B10651"/>
    <w:rsid w:val="00B1077E"/>
    <w:rsid w:val="00B107A1"/>
    <w:rsid w:val="00B10870"/>
    <w:rsid w:val="00B10A1D"/>
    <w:rsid w:val="00B10BEA"/>
    <w:rsid w:val="00B11435"/>
    <w:rsid w:val="00B11439"/>
    <w:rsid w:val="00B1151B"/>
    <w:rsid w:val="00B11550"/>
    <w:rsid w:val="00B1188E"/>
    <w:rsid w:val="00B11990"/>
    <w:rsid w:val="00B11BA4"/>
    <w:rsid w:val="00B11D09"/>
    <w:rsid w:val="00B11EE6"/>
    <w:rsid w:val="00B11FA1"/>
    <w:rsid w:val="00B12287"/>
    <w:rsid w:val="00B123DF"/>
    <w:rsid w:val="00B12787"/>
    <w:rsid w:val="00B128C7"/>
    <w:rsid w:val="00B12A5B"/>
    <w:rsid w:val="00B12AD2"/>
    <w:rsid w:val="00B12ADC"/>
    <w:rsid w:val="00B12C30"/>
    <w:rsid w:val="00B12C9E"/>
    <w:rsid w:val="00B12CAA"/>
    <w:rsid w:val="00B12DC7"/>
    <w:rsid w:val="00B12EAF"/>
    <w:rsid w:val="00B12EB0"/>
    <w:rsid w:val="00B12FF1"/>
    <w:rsid w:val="00B1352D"/>
    <w:rsid w:val="00B13BF8"/>
    <w:rsid w:val="00B13BFD"/>
    <w:rsid w:val="00B13D9C"/>
    <w:rsid w:val="00B14131"/>
    <w:rsid w:val="00B1423D"/>
    <w:rsid w:val="00B1428F"/>
    <w:rsid w:val="00B145E9"/>
    <w:rsid w:val="00B14769"/>
    <w:rsid w:val="00B14C1B"/>
    <w:rsid w:val="00B14C5B"/>
    <w:rsid w:val="00B14C71"/>
    <w:rsid w:val="00B15181"/>
    <w:rsid w:val="00B152B7"/>
    <w:rsid w:val="00B1530A"/>
    <w:rsid w:val="00B1537F"/>
    <w:rsid w:val="00B1545E"/>
    <w:rsid w:val="00B15636"/>
    <w:rsid w:val="00B156E2"/>
    <w:rsid w:val="00B15739"/>
    <w:rsid w:val="00B15EDA"/>
    <w:rsid w:val="00B15FE4"/>
    <w:rsid w:val="00B16124"/>
    <w:rsid w:val="00B1632D"/>
    <w:rsid w:val="00B16334"/>
    <w:rsid w:val="00B163F5"/>
    <w:rsid w:val="00B16733"/>
    <w:rsid w:val="00B16BC2"/>
    <w:rsid w:val="00B16C4A"/>
    <w:rsid w:val="00B16C84"/>
    <w:rsid w:val="00B16FD2"/>
    <w:rsid w:val="00B1738A"/>
    <w:rsid w:val="00B1751C"/>
    <w:rsid w:val="00B1757C"/>
    <w:rsid w:val="00B17583"/>
    <w:rsid w:val="00B17682"/>
    <w:rsid w:val="00B1770D"/>
    <w:rsid w:val="00B1784A"/>
    <w:rsid w:val="00B17D2E"/>
    <w:rsid w:val="00B17D38"/>
    <w:rsid w:val="00B17D9E"/>
    <w:rsid w:val="00B17E31"/>
    <w:rsid w:val="00B17F6A"/>
    <w:rsid w:val="00B17FAB"/>
    <w:rsid w:val="00B200B8"/>
    <w:rsid w:val="00B20930"/>
    <w:rsid w:val="00B20B05"/>
    <w:rsid w:val="00B20B64"/>
    <w:rsid w:val="00B20BDD"/>
    <w:rsid w:val="00B20DAE"/>
    <w:rsid w:val="00B20F08"/>
    <w:rsid w:val="00B20F73"/>
    <w:rsid w:val="00B21014"/>
    <w:rsid w:val="00B210D5"/>
    <w:rsid w:val="00B210FB"/>
    <w:rsid w:val="00B21168"/>
    <w:rsid w:val="00B21273"/>
    <w:rsid w:val="00B2135B"/>
    <w:rsid w:val="00B213B7"/>
    <w:rsid w:val="00B21735"/>
    <w:rsid w:val="00B21805"/>
    <w:rsid w:val="00B218A2"/>
    <w:rsid w:val="00B218E8"/>
    <w:rsid w:val="00B21C97"/>
    <w:rsid w:val="00B21DBF"/>
    <w:rsid w:val="00B2247A"/>
    <w:rsid w:val="00B2297B"/>
    <w:rsid w:val="00B2298A"/>
    <w:rsid w:val="00B2299E"/>
    <w:rsid w:val="00B22A40"/>
    <w:rsid w:val="00B22BCC"/>
    <w:rsid w:val="00B22DA6"/>
    <w:rsid w:val="00B23038"/>
    <w:rsid w:val="00B23093"/>
    <w:rsid w:val="00B231EC"/>
    <w:rsid w:val="00B2324D"/>
    <w:rsid w:val="00B23316"/>
    <w:rsid w:val="00B234C2"/>
    <w:rsid w:val="00B23520"/>
    <w:rsid w:val="00B236AD"/>
    <w:rsid w:val="00B236BD"/>
    <w:rsid w:val="00B23753"/>
    <w:rsid w:val="00B23935"/>
    <w:rsid w:val="00B23CC6"/>
    <w:rsid w:val="00B24153"/>
    <w:rsid w:val="00B2415C"/>
    <w:rsid w:val="00B24392"/>
    <w:rsid w:val="00B24505"/>
    <w:rsid w:val="00B2469F"/>
    <w:rsid w:val="00B249E8"/>
    <w:rsid w:val="00B24AEE"/>
    <w:rsid w:val="00B24BAF"/>
    <w:rsid w:val="00B24BE9"/>
    <w:rsid w:val="00B24CBC"/>
    <w:rsid w:val="00B24E19"/>
    <w:rsid w:val="00B24EF9"/>
    <w:rsid w:val="00B25059"/>
    <w:rsid w:val="00B250EC"/>
    <w:rsid w:val="00B25110"/>
    <w:rsid w:val="00B257B5"/>
    <w:rsid w:val="00B2591E"/>
    <w:rsid w:val="00B25A31"/>
    <w:rsid w:val="00B25BBA"/>
    <w:rsid w:val="00B26538"/>
    <w:rsid w:val="00B26730"/>
    <w:rsid w:val="00B26AA9"/>
    <w:rsid w:val="00B26C60"/>
    <w:rsid w:val="00B26C63"/>
    <w:rsid w:val="00B26DAD"/>
    <w:rsid w:val="00B27045"/>
    <w:rsid w:val="00B270E0"/>
    <w:rsid w:val="00B2710E"/>
    <w:rsid w:val="00B271C0"/>
    <w:rsid w:val="00B272F6"/>
    <w:rsid w:val="00B27357"/>
    <w:rsid w:val="00B2747B"/>
    <w:rsid w:val="00B278F8"/>
    <w:rsid w:val="00B27A2B"/>
    <w:rsid w:val="00B27B45"/>
    <w:rsid w:val="00B27C94"/>
    <w:rsid w:val="00B27DFA"/>
    <w:rsid w:val="00B30273"/>
    <w:rsid w:val="00B303B3"/>
    <w:rsid w:val="00B30637"/>
    <w:rsid w:val="00B308D0"/>
    <w:rsid w:val="00B30DBD"/>
    <w:rsid w:val="00B30F5E"/>
    <w:rsid w:val="00B30FE4"/>
    <w:rsid w:val="00B3108E"/>
    <w:rsid w:val="00B312C6"/>
    <w:rsid w:val="00B319ED"/>
    <w:rsid w:val="00B31A04"/>
    <w:rsid w:val="00B31A33"/>
    <w:rsid w:val="00B31DCA"/>
    <w:rsid w:val="00B31F57"/>
    <w:rsid w:val="00B3220C"/>
    <w:rsid w:val="00B322AB"/>
    <w:rsid w:val="00B32415"/>
    <w:rsid w:val="00B32543"/>
    <w:rsid w:val="00B3257B"/>
    <w:rsid w:val="00B32681"/>
    <w:rsid w:val="00B32C40"/>
    <w:rsid w:val="00B32E7C"/>
    <w:rsid w:val="00B32F43"/>
    <w:rsid w:val="00B331B2"/>
    <w:rsid w:val="00B331B8"/>
    <w:rsid w:val="00B3333B"/>
    <w:rsid w:val="00B33362"/>
    <w:rsid w:val="00B3395E"/>
    <w:rsid w:val="00B33AA3"/>
    <w:rsid w:val="00B33B5E"/>
    <w:rsid w:val="00B33BE9"/>
    <w:rsid w:val="00B33D87"/>
    <w:rsid w:val="00B33FDF"/>
    <w:rsid w:val="00B341AA"/>
    <w:rsid w:val="00B34363"/>
    <w:rsid w:val="00B34428"/>
    <w:rsid w:val="00B34457"/>
    <w:rsid w:val="00B344BB"/>
    <w:rsid w:val="00B345D8"/>
    <w:rsid w:val="00B34659"/>
    <w:rsid w:val="00B348DF"/>
    <w:rsid w:val="00B3492E"/>
    <w:rsid w:val="00B349AF"/>
    <w:rsid w:val="00B34C31"/>
    <w:rsid w:val="00B3511E"/>
    <w:rsid w:val="00B351C9"/>
    <w:rsid w:val="00B3522C"/>
    <w:rsid w:val="00B35923"/>
    <w:rsid w:val="00B35A20"/>
    <w:rsid w:val="00B35BDA"/>
    <w:rsid w:val="00B35ECF"/>
    <w:rsid w:val="00B35FA8"/>
    <w:rsid w:val="00B35FD7"/>
    <w:rsid w:val="00B36275"/>
    <w:rsid w:val="00B36769"/>
    <w:rsid w:val="00B36A60"/>
    <w:rsid w:val="00B36B50"/>
    <w:rsid w:val="00B36D0F"/>
    <w:rsid w:val="00B370DC"/>
    <w:rsid w:val="00B3710D"/>
    <w:rsid w:val="00B371D0"/>
    <w:rsid w:val="00B37257"/>
    <w:rsid w:val="00B37452"/>
    <w:rsid w:val="00B37533"/>
    <w:rsid w:val="00B3784D"/>
    <w:rsid w:val="00B3793D"/>
    <w:rsid w:val="00B379E4"/>
    <w:rsid w:val="00B37C2F"/>
    <w:rsid w:val="00B37D9C"/>
    <w:rsid w:val="00B37EFC"/>
    <w:rsid w:val="00B37F38"/>
    <w:rsid w:val="00B37FC8"/>
    <w:rsid w:val="00B40002"/>
    <w:rsid w:val="00B4004C"/>
    <w:rsid w:val="00B40118"/>
    <w:rsid w:val="00B404E8"/>
    <w:rsid w:val="00B4069B"/>
    <w:rsid w:val="00B406F8"/>
    <w:rsid w:val="00B406FF"/>
    <w:rsid w:val="00B40B70"/>
    <w:rsid w:val="00B40EA7"/>
    <w:rsid w:val="00B40F17"/>
    <w:rsid w:val="00B40F6F"/>
    <w:rsid w:val="00B41063"/>
    <w:rsid w:val="00B410F2"/>
    <w:rsid w:val="00B4156E"/>
    <w:rsid w:val="00B41762"/>
    <w:rsid w:val="00B41861"/>
    <w:rsid w:val="00B41955"/>
    <w:rsid w:val="00B419F3"/>
    <w:rsid w:val="00B41CAB"/>
    <w:rsid w:val="00B4201F"/>
    <w:rsid w:val="00B4203B"/>
    <w:rsid w:val="00B420D0"/>
    <w:rsid w:val="00B4273F"/>
    <w:rsid w:val="00B42E31"/>
    <w:rsid w:val="00B43199"/>
    <w:rsid w:val="00B43289"/>
    <w:rsid w:val="00B43373"/>
    <w:rsid w:val="00B43381"/>
    <w:rsid w:val="00B435BA"/>
    <w:rsid w:val="00B4367F"/>
    <w:rsid w:val="00B43786"/>
    <w:rsid w:val="00B438F1"/>
    <w:rsid w:val="00B43ED0"/>
    <w:rsid w:val="00B43F25"/>
    <w:rsid w:val="00B440B6"/>
    <w:rsid w:val="00B44230"/>
    <w:rsid w:val="00B4450F"/>
    <w:rsid w:val="00B44519"/>
    <w:rsid w:val="00B4464E"/>
    <w:rsid w:val="00B446BE"/>
    <w:rsid w:val="00B44969"/>
    <w:rsid w:val="00B44A74"/>
    <w:rsid w:val="00B44B91"/>
    <w:rsid w:val="00B44C3C"/>
    <w:rsid w:val="00B44CE2"/>
    <w:rsid w:val="00B45326"/>
    <w:rsid w:val="00B45373"/>
    <w:rsid w:val="00B453A5"/>
    <w:rsid w:val="00B453EC"/>
    <w:rsid w:val="00B454A9"/>
    <w:rsid w:val="00B4552A"/>
    <w:rsid w:val="00B45578"/>
    <w:rsid w:val="00B4564C"/>
    <w:rsid w:val="00B45796"/>
    <w:rsid w:val="00B459D8"/>
    <w:rsid w:val="00B45CEA"/>
    <w:rsid w:val="00B45D0A"/>
    <w:rsid w:val="00B4627F"/>
    <w:rsid w:val="00B463C5"/>
    <w:rsid w:val="00B4646B"/>
    <w:rsid w:val="00B464E7"/>
    <w:rsid w:val="00B465B4"/>
    <w:rsid w:val="00B46ECB"/>
    <w:rsid w:val="00B47159"/>
    <w:rsid w:val="00B47228"/>
    <w:rsid w:val="00B47395"/>
    <w:rsid w:val="00B474DC"/>
    <w:rsid w:val="00B4768D"/>
    <w:rsid w:val="00B47798"/>
    <w:rsid w:val="00B47870"/>
    <w:rsid w:val="00B47C72"/>
    <w:rsid w:val="00B47D8D"/>
    <w:rsid w:val="00B47DE3"/>
    <w:rsid w:val="00B501C5"/>
    <w:rsid w:val="00B50320"/>
    <w:rsid w:val="00B5095C"/>
    <w:rsid w:val="00B50B89"/>
    <w:rsid w:val="00B50CC3"/>
    <w:rsid w:val="00B50CFA"/>
    <w:rsid w:val="00B50EF6"/>
    <w:rsid w:val="00B50F30"/>
    <w:rsid w:val="00B51382"/>
    <w:rsid w:val="00B5147D"/>
    <w:rsid w:val="00B51542"/>
    <w:rsid w:val="00B51791"/>
    <w:rsid w:val="00B5180B"/>
    <w:rsid w:val="00B51A3E"/>
    <w:rsid w:val="00B51A4F"/>
    <w:rsid w:val="00B51AED"/>
    <w:rsid w:val="00B51BDE"/>
    <w:rsid w:val="00B51D8B"/>
    <w:rsid w:val="00B51EEE"/>
    <w:rsid w:val="00B51FB1"/>
    <w:rsid w:val="00B52074"/>
    <w:rsid w:val="00B520CC"/>
    <w:rsid w:val="00B5210C"/>
    <w:rsid w:val="00B521AC"/>
    <w:rsid w:val="00B522D5"/>
    <w:rsid w:val="00B5259F"/>
    <w:rsid w:val="00B526D5"/>
    <w:rsid w:val="00B527C1"/>
    <w:rsid w:val="00B528B0"/>
    <w:rsid w:val="00B52950"/>
    <w:rsid w:val="00B52E0A"/>
    <w:rsid w:val="00B531C7"/>
    <w:rsid w:val="00B531FD"/>
    <w:rsid w:val="00B5332E"/>
    <w:rsid w:val="00B53842"/>
    <w:rsid w:val="00B53AEB"/>
    <w:rsid w:val="00B53BEC"/>
    <w:rsid w:val="00B53BF1"/>
    <w:rsid w:val="00B53EEF"/>
    <w:rsid w:val="00B53F0C"/>
    <w:rsid w:val="00B53F87"/>
    <w:rsid w:val="00B540B7"/>
    <w:rsid w:val="00B540CD"/>
    <w:rsid w:val="00B541C3"/>
    <w:rsid w:val="00B542E4"/>
    <w:rsid w:val="00B543E8"/>
    <w:rsid w:val="00B543E9"/>
    <w:rsid w:val="00B5466A"/>
    <w:rsid w:val="00B54939"/>
    <w:rsid w:val="00B549B1"/>
    <w:rsid w:val="00B54EC4"/>
    <w:rsid w:val="00B55044"/>
    <w:rsid w:val="00B5512C"/>
    <w:rsid w:val="00B55302"/>
    <w:rsid w:val="00B553E4"/>
    <w:rsid w:val="00B556A1"/>
    <w:rsid w:val="00B55953"/>
    <w:rsid w:val="00B55956"/>
    <w:rsid w:val="00B55DBD"/>
    <w:rsid w:val="00B55EA2"/>
    <w:rsid w:val="00B55F6D"/>
    <w:rsid w:val="00B560D1"/>
    <w:rsid w:val="00B560E6"/>
    <w:rsid w:val="00B563D7"/>
    <w:rsid w:val="00B563F3"/>
    <w:rsid w:val="00B565FC"/>
    <w:rsid w:val="00B567C6"/>
    <w:rsid w:val="00B56B67"/>
    <w:rsid w:val="00B56D18"/>
    <w:rsid w:val="00B56D2A"/>
    <w:rsid w:val="00B56D52"/>
    <w:rsid w:val="00B56E57"/>
    <w:rsid w:val="00B57014"/>
    <w:rsid w:val="00B57023"/>
    <w:rsid w:val="00B57119"/>
    <w:rsid w:val="00B57199"/>
    <w:rsid w:val="00B571F5"/>
    <w:rsid w:val="00B572AD"/>
    <w:rsid w:val="00B5749C"/>
    <w:rsid w:val="00B57816"/>
    <w:rsid w:val="00B57C28"/>
    <w:rsid w:val="00B57D09"/>
    <w:rsid w:val="00B6036D"/>
    <w:rsid w:val="00B603B7"/>
    <w:rsid w:val="00B60491"/>
    <w:rsid w:val="00B6061C"/>
    <w:rsid w:val="00B60A44"/>
    <w:rsid w:val="00B60C74"/>
    <w:rsid w:val="00B60D9C"/>
    <w:rsid w:val="00B6101D"/>
    <w:rsid w:val="00B611CB"/>
    <w:rsid w:val="00B614BC"/>
    <w:rsid w:val="00B616D0"/>
    <w:rsid w:val="00B619BD"/>
    <w:rsid w:val="00B61D0C"/>
    <w:rsid w:val="00B61DC0"/>
    <w:rsid w:val="00B6202D"/>
    <w:rsid w:val="00B620A6"/>
    <w:rsid w:val="00B620C1"/>
    <w:rsid w:val="00B623B9"/>
    <w:rsid w:val="00B62511"/>
    <w:rsid w:val="00B6253A"/>
    <w:rsid w:val="00B627BE"/>
    <w:rsid w:val="00B627DF"/>
    <w:rsid w:val="00B6294E"/>
    <w:rsid w:val="00B62B5E"/>
    <w:rsid w:val="00B62B74"/>
    <w:rsid w:val="00B62BBF"/>
    <w:rsid w:val="00B62CAA"/>
    <w:rsid w:val="00B62DA0"/>
    <w:rsid w:val="00B62F45"/>
    <w:rsid w:val="00B63016"/>
    <w:rsid w:val="00B630F4"/>
    <w:rsid w:val="00B636DD"/>
    <w:rsid w:val="00B637C8"/>
    <w:rsid w:val="00B63854"/>
    <w:rsid w:val="00B6386C"/>
    <w:rsid w:val="00B63A5D"/>
    <w:rsid w:val="00B63DC6"/>
    <w:rsid w:val="00B63FF3"/>
    <w:rsid w:val="00B64245"/>
    <w:rsid w:val="00B64605"/>
    <w:rsid w:val="00B64B4C"/>
    <w:rsid w:val="00B64CDE"/>
    <w:rsid w:val="00B64D26"/>
    <w:rsid w:val="00B64E03"/>
    <w:rsid w:val="00B650D2"/>
    <w:rsid w:val="00B65113"/>
    <w:rsid w:val="00B65431"/>
    <w:rsid w:val="00B65CC3"/>
    <w:rsid w:val="00B65E3D"/>
    <w:rsid w:val="00B65EA4"/>
    <w:rsid w:val="00B65FAD"/>
    <w:rsid w:val="00B6602F"/>
    <w:rsid w:val="00B66077"/>
    <w:rsid w:val="00B660BE"/>
    <w:rsid w:val="00B6613A"/>
    <w:rsid w:val="00B665E2"/>
    <w:rsid w:val="00B6669C"/>
    <w:rsid w:val="00B666F3"/>
    <w:rsid w:val="00B66918"/>
    <w:rsid w:val="00B669EE"/>
    <w:rsid w:val="00B66A46"/>
    <w:rsid w:val="00B66ADD"/>
    <w:rsid w:val="00B66C88"/>
    <w:rsid w:val="00B66D89"/>
    <w:rsid w:val="00B66E82"/>
    <w:rsid w:val="00B66FCE"/>
    <w:rsid w:val="00B67001"/>
    <w:rsid w:val="00B67235"/>
    <w:rsid w:val="00B67407"/>
    <w:rsid w:val="00B67754"/>
    <w:rsid w:val="00B67C20"/>
    <w:rsid w:val="00B67DFC"/>
    <w:rsid w:val="00B67E8E"/>
    <w:rsid w:val="00B67EED"/>
    <w:rsid w:val="00B7043B"/>
    <w:rsid w:val="00B7095C"/>
    <w:rsid w:val="00B709DE"/>
    <w:rsid w:val="00B70D65"/>
    <w:rsid w:val="00B70E88"/>
    <w:rsid w:val="00B7152D"/>
    <w:rsid w:val="00B7169A"/>
    <w:rsid w:val="00B71740"/>
    <w:rsid w:val="00B71838"/>
    <w:rsid w:val="00B718B5"/>
    <w:rsid w:val="00B71C2F"/>
    <w:rsid w:val="00B71CCB"/>
    <w:rsid w:val="00B71D2C"/>
    <w:rsid w:val="00B71E61"/>
    <w:rsid w:val="00B72034"/>
    <w:rsid w:val="00B72123"/>
    <w:rsid w:val="00B72210"/>
    <w:rsid w:val="00B7234B"/>
    <w:rsid w:val="00B72366"/>
    <w:rsid w:val="00B725A1"/>
    <w:rsid w:val="00B7266A"/>
    <w:rsid w:val="00B727AF"/>
    <w:rsid w:val="00B727FF"/>
    <w:rsid w:val="00B732C7"/>
    <w:rsid w:val="00B733C9"/>
    <w:rsid w:val="00B73708"/>
    <w:rsid w:val="00B73891"/>
    <w:rsid w:val="00B73926"/>
    <w:rsid w:val="00B739BC"/>
    <w:rsid w:val="00B73C63"/>
    <w:rsid w:val="00B73DF3"/>
    <w:rsid w:val="00B73FA0"/>
    <w:rsid w:val="00B741A5"/>
    <w:rsid w:val="00B74840"/>
    <w:rsid w:val="00B748B1"/>
    <w:rsid w:val="00B7491C"/>
    <w:rsid w:val="00B7499E"/>
    <w:rsid w:val="00B74AA8"/>
    <w:rsid w:val="00B74B44"/>
    <w:rsid w:val="00B74B72"/>
    <w:rsid w:val="00B75119"/>
    <w:rsid w:val="00B75417"/>
    <w:rsid w:val="00B75465"/>
    <w:rsid w:val="00B7568A"/>
    <w:rsid w:val="00B758B3"/>
    <w:rsid w:val="00B75ADA"/>
    <w:rsid w:val="00B7658B"/>
    <w:rsid w:val="00B76734"/>
    <w:rsid w:val="00B767A6"/>
    <w:rsid w:val="00B76803"/>
    <w:rsid w:val="00B76983"/>
    <w:rsid w:val="00B76D0D"/>
    <w:rsid w:val="00B76D8E"/>
    <w:rsid w:val="00B76E17"/>
    <w:rsid w:val="00B76F72"/>
    <w:rsid w:val="00B76FD7"/>
    <w:rsid w:val="00B772BA"/>
    <w:rsid w:val="00B772DE"/>
    <w:rsid w:val="00B7757B"/>
    <w:rsid w:val="00B776B1"/>
    <w:rsid w:val="00B777DA"/>
    <w:rsid w:val="00B778CB"/>
    <w:rsid w:val="00B779E7"/>
    <w:rsid w:val="00B77E89"/>
    <w:rsid w:val="00B77F53"/>
    <w:rsid w:val="00B8000D"/>
    <w:rsid w:val="00B802B6"/>
    <w:rsid w:val="00B80538"/>
    <w:rsid w:val="00B8093A"/>
    <w:rsid w:val="00B80A0E"/>
    <w:rsid w:val="00B80A2E"/>
    <w:rsid w:val="00B80A94"/>
    <w:rsid w:val="00B810BE"/>
    <w:rsid w:val="00B81192"/>
    <w:rsid w:val="00B81390"/>
    <w:rsid w:val="00B8144E"/>
    <w:rsid w:val="00B81677"/>
    <w:rsid w:val="00B81BB4"/>
    <w:rsid w:val="00B81E9B"/>
    <w:rsid w:val="00B81FCD"/>
    <w:rsid w:val="00B82193"/>
    <w:rsid w:val="00B825C7"/>
    <w:rsid w:val="00B825E1"/>
    <w:rsid w:val="00B82A5C"/>
    <w:rsid w:val="00B82BCB"/>
    <w:rsid w:val="00B82C88"/>
    <w:rsid w:val="00B82FBF"/>
    <w:rsid w:val="00B8310B"/>
    <w:rsid w:val="00B83178"/>
    <w:rsid w:val="00B832CF"/>
    <w:rsid w:val="00B83363"/>
    <w:rsid w:val="00B8353F"/>
    <w:rsid w:val="00B836B5"/>
    <w:rsid w:val="00B836CB"/>
    <w:rsid w:val="00B83ACD"/>
    <w:rsid w:val="00B83B31"/>
    <w:rsid w:val="00B83C2F"/>
    <w:rsid w:val="00B83E8D"/>
    <w:rsid w:val="00B8404B"/>
    <w:rsid w:val="00B841C5"/>
    <w:rsid w:val="00B846DF"/>
    <w:rsid w:val="00B847B6"/>
    <w:rsid w:val="00B847FA"/>
    <w:rsid w:val="00B84981"/>
    <w:rsid w:val="00B84CE2"/>
    <w:rsid w:val="00B84CFD"/>
    <w:rsid w:val="00B84F46"/>
    <w:rsid w:val="00B84F6A"/>
    <w:rsid w:val="00B84FF8"/>
    <w:rsid w:val="00B85146"/>
    <w:rsid w:val="00B851A2"/>
    <w:rsid w:val="00B8524C"/>
    <w:rsid w:val="00B855F2"/>
    <w:rsid w:val="00B85895"/>
    <w:rsid w:val="00B8593D"/>
    <w:rsid w:val="00B85B85"/>
    <w:rsid w:val="00B85D9C"/>
    <w:rsid w:val="00B85E81"/>
    <w:rsid w:val="00B85F7D"/>
    <w:rsid w:val="00B86167"/>
    <w:rsid w:val="00B862D5"/>
    <w:rsid w:val="00B86310"/>
    <w:rsid w:val="00B86400"/>
    <w:rsid w:val="00B864C5"/>
    <w:rsid w:val="00B86584"/>
    <w:rsid w:val="00B865DD"/>
    <w:rsid w:val="00B8686F"/>
    <w:rsid w:val="00B86923"/>
    <w:rsid w:val="00B86950"/>
    <w:rsid w:val="00B869BF"/>
    <w:rsid w:val="00B86A92"/>
    <w:rsid w:val="00B86E06"/>
    <w:rsid w:val="00B86FB5"/>
    <w:rsid w:val="00B8797E"/>
    <w:rsid w:val="00B87F93"/>
    <w:rsid w:val="00B900A9"/>
    <w:rsid w:val="00B90192"/>
    <w:rsid w:val="00B9028E"/>
    <w:rsid w:val="00B9071A"/>
    <w:rsid w:val="00B90760"/>
    <w:rsid w:val="00B909C7"/>
    <w:rsid w:val="00B90C78"/>
    <w:rsid w:val="00B90F88"/>
    <w:rsid w:val="00B91288"/>
    <w:rsid w:val="00B912F8"/>
    <w:rsid w:val="00B9154D"/>
    <w:rsid w:val="00B91690"/>
    <w:rsid w:val="00B91903"/>
    <w:rsid w:val="00B91BEB"/>
    <w:rsid w:val="00B920D9"/>
    <w:rsid w:val="00B923AC"/>
    <w:rsid w:val="00B9245D"/>
    <w:rsid w:val="00B9270E"/>
    <w:rsid w:val="00B92859"/>
    <w:rsid w:val="00B92AD8"/>
    <w:rsid w:val="00B931AA"/>
    <w:rsid w:val="00B9322F"/>
    <w:rsid w:val="00B93455"/>
    <w:rsid w:val="00B934CD"/>
    <w:rsid w:val="00B93685"/>
    <w:rsid w:val="00B937D8"/>
    <w:rsid w:val="00B93998"/>
    <w:rsid w:val="00B93CB7"/>
    <w:rsid w:val="00B93F3C"/>
    <w:rsid w:val="00B93F9A"/>
    <w:rsid w:val="00B942D0"/>
    <w:rsid w:val="00B94489"/>
    <w:rsid w:val="00B944D1"/>
    <w:rsid w:val="00B94916"/>
    <w:rsid w:val="00B94ED4"/>
    <w:rsid w:val="00B94FB0"/>
    <w:rsid w:val="00B95028"/>
    <w:rsid w:val="00B95029"/>
    <w:rsid w:val="00B95039"/>
    <w:rsid w:val="00B95347"/>
    <w:rsid w:val="00B954C8"/>
    <w:rsid w:val="00B957CC"/>
    <w:rsid w:val="00B95AA0"/>
    <w:rsid w:val="00B95BEA"/>
    <w:rsid w:val="00B95D5F"/>
    <w:rsid w:val="00B95DBC"/>
    <w:rsid w:val="00B95FB2"/>
    <w:rsid w:val="00B96103"/>
    <w:rsid w:val="00B9612B"/>
    <w:rsid w:val="00B96234"/>
    <w:rsid w:val="00B964F3"/>
    <w:rsid w:val="00B96747"/>
    <w:rsid w:val="00B969B1"/>
    <w:rsid w:val="00B96E50"/>
    <w:rsid w:val="00B97090"/>
    <w:rsid w:val="00B97111"/>
    <w:rsid w:val="00B97125"/>
    <w:rsid w:val="00B97294"/>
    <w:rsid w:val="00B972DD"/>
    <w:rsid w:val="00B97459"/>
    <w:rsid w:val="00B975F1"/>
    <w:rsid w:val="00B978AD"/>
    <w:rsid w:val="00B978DB"/>
    <w:rsid w:val="00B978EF"/>
    <w:rsid w:val="00B978F5"/>
    <w:rsid w:val="00B9790D"/>
    <w:rsid w:val="00B97C79"/>
    <w:rsid w:val="00B97CA3"/>
    <w:rsid w:val="00B97D04"/>
    <w:rsid w:val="00B97D08"/>
    <w:rsid w:val="00B97D6D"/>
    <w:rsid w:val="00B97EE8"/>
    <w:rsid w:val="00BA0035"/>
    <w:rsid w:val="00BA022F"/>
    <w:rsid w:val="00BA043A"/>
    <w:rsid w:val="00BA08D9"/>
    <w:rsid w:val="00BA09C2"/>
    <w:rsid w:val="00BA0A22"/>
    <w:rsid w:val="00BA0BB9"/>
    <w:rsid w:val="00BA0DEF"/>
    <w:rsid w:val="00BA0F93"/>
    <w:rsid w:val="00BA1298"/>
    <w:rsid w:val="00BA1B84"/>
    <w:rsid w:val="00BA1C9A"/>
    <w:rsid w:val="00BA2131"/>
    <w:rsid w:val="00BA227B"/>
    <w:rsid w:val="00BA2937"/>
    <w:rsid w:val="00BA296F"/>
    <w:rsid w:val="00BA2F21"/>
    <w:rsid w:val="00BA2F51"/>
    <w:rsid w:val="00BA30F5"/>
    <w:rsid w:val="00BA31BE"/>
    <w:rsid w:val="00BA32D7"/>
    <w:rsid w:val="00BA3514"/>
    <w:rsid w:val="00BA37BC"/>
    <w:rsid w:val="00BA3982"/>
    <w:rsid w:val="00BA489F"/>
    <w:rsid w:val="00BA4BAA"/>
    <w:rsid w:val="00BA4EEF"/>
    <w:rsid w:val="00BA5095"/>
    <w:rsid w:val="00BA52B8"/>
    <w:rsid w:val="00BA5594"/>
    <w:rsid w:val="00BA5617"/>
    <w:rsid w:val="00BA577E"/>
    <w:rsid w:val="00BA5C67"/>
    <w:rsid w:val="00BA5CF6"/>
    <w:rsid w:val="00BA5D1F"/>
    <w:rsid w:val="00BA5E55"/>
    <w:rsid w:val="00BA5FB9"/>
    <w:rsid w:val="00BA60A6"/>
    <w:rsid w:val="00BA6249"/>
    <w:rsid w:val="00BA64A6"/>
    <w:rsid w:val="00BA6785"/>
    <w:rsid w:val="00BA6835"/>
    <w:rsid w:val="00BA69E6"/>
    <w:rsid w:val="00BA6DDE"/>
    <w:rsid w:val="00BA6F83"/>
    <w:rsid w:val="00BA6FA1"/>
    <w:rsid w:val="00BA712A"/>
    <w:rsid w:val="00BA7278"/>
    <w:rsid w:val="00BA7387"/>
    <w:rsid w:val="00BA7562"/>
    <w:rsid w:val="00BA75BA"/>
    <w:rsid w:val="00BA766F"/>
    <w:rsid w:val="00BA7865"/>
    <w:rsid w:val="00BA788A"/>
    <w:rsid w:val="00BA7BA5"/>
    <w:rsid w:val="00BA7D0C"/>
    <w:rsid w:val="00BA7DC0"/>
    <w:rsid w:val="00BA7DCB"/>
    <w:rsid w:val="00BA7F5A"/>
    <w:rsid w:val="00BB00FA"/>
    <w:rsid w:val="00BB0328"/>
    <w:rsid w:val="00BB0697"/>
    <w:rsid w:val="00BB0710"/>
    <w:rsid w:val="00BB0730"/>
    <w:rsid w:val="00BB0810"/>
    <w:rsid w:val="00BB092D"/>
    <w:rsid w:val="00BB0AED"/>
    <w:rsid w:val="00BB0C94"/>
    <w:rsid w:val="00BB0DE5"/>
    <w:rsid w:val="00BB0FE8"/>
    <w:rsid w:val="00BB105C"/>
    <w:rsid w:val="00BB10DF"/>
    <w:rsid w:val="00BB1191"/>
    <w:rsid w:val="00BB1224"/>
    <w:rsid w:val="00BB1379"/>
    <w:rsid w:val="00BB14B9"/>
    <w:rsid w:val="00BB15CD"/>
    <w:rsid w:val="00BB18DF"/>
    <w:rsid w:val="00BB1920"/>
    <w:rsid w:val="00BB1A09"/>
    <w:rsid w:val="00BB1CF5"/>
    <w:rsid w:val="00BB1F06"/>
    <w:rsid w:val="00BB1FB9"/>
    <w:rsid w:val="00BB2003"/>
    <w:rsid w:val="00BB2101"/>
    <w:rsid w:val="00BB213B"/>
    <w:rsid w:val="00BB2357"/>
    <w:rsid w:val="00BB267F"/>
    <w:rsid w:val="00BB2A07"/>
    <w:rsid w:val="00BB2D00"/>
    <w:rsid w:val="00BB2E09"/>
    <w:rsid w:val="00BB2EC2"/>
    <w:rsid w:val="00BB2F59"/>
    <w:rsid w:val="00BB32E6"/>
    <w:rsid w:val="00BB33D0"/>
    <w:rsid w:val="00BB3412"/>
    <w:rsid w:val="00BB349B"/>
    <w:rsid w:val="00BB34F7"/>
    <w:rsid w:val="00BB3663"/>
    <w:rsid w:val="00BB3691"/>
    <w:rsid w:val="00BB3692"/>
    <w:rsid w:val="00BB37D3"/>
    <w:rsid w:val="00BB3D3D"/>
    <w:rsid w:val="00BB3F2A"/>
    <w:rsid w:val="00BB400E"/>
    <w:rsid w:val="00BB426C"/>
    <w:rsid w:val="00BB43AA"/>
    <w:rsid w:val="00BB4504"/>
    <w:rsid w:val="00BB47E4"/>
    <w:rsid w:val="00BB480C"/>
    <w:rsid w:val="00BB484A"/>
    <w:rsid w:val="00BB4B17"/>
    <w:rsid w:val="00BB5048"/>
    <w:rsid w:val="00BB5179"/>
    <w:rsid w:val="00BB5208"/>
    <w:rsid w:val="00BB5329"/>
    <w:rsid w:val="00BB53B1"/>
    <w:rsid w:val="00BB54CD"/>
    <w:rsid w:val="00BB55CA"/>
    <w:rsid w:val="00BB57A2"/>
    <w:rsid w:val="00BB5ADC"/>
    <w:rsid w:val="00BB5BCC"/>
    <w:rsid w:val="00BB5E8D"/>
    <w:rsid w:val="00BB5F45"/>
    <w:rsid w:val="00BB6285"/>
    <w:rsid w:val="00BB65F1"/>
    <w:rsid w:val="00BB6B3C"/>
    <w:rsid w:val="00BB6B89"/>
    <w:rsid w:val="00BB6C15"/>
    <w:rsid w:val="00BB6D46"/>
    <w:rsid w:val="00BB6F65"/>
    <w:rsid w:val="00BB726F"/>
    <w:rsid w:val="00BB72D0"/>
    <w:rsid w:val="00BB737E"/>
    <w:rsid w:val="00BB73E4"/>
    <w:rsid w:val="00BB74E1"/>
    <w:rsid w:val="00BB77A9"/>
    <w:rsid w:val="00BB7862"/>
    <w:rsid w:val="00BB7D6C"/>
    <w:rsid w:val="00BC0216"/>
    <w:rsid w:val="00BC06FF"/>
    <w:rsid w:val="00BC08ED"/>
    <w:rsid w:val="00BC092C"/>
    <w:rsid w:val="00BC0964"/>
    <w:rsid w:val="00BC0A14"/>
    <w:rsid w:val="00BC0E00"/>
    <w:rsid w:val="00BC11AD"/>
    <w:rsid w:val="00BC11DC"/>
    <w:rsid w:val="00BC129F"/>
    <w:rsid w:val="00BC156A"/>
    <w:rsid w:val="00BC15E0"/>
    <w:rsid w:val="00BC17D9"/>
    <w:rsid w:val="00BC1847"/>
    <w:rsid w:val="00BC1967"/>
    <w:rsid w:val="00BC1AAC"/>
    <w:rsid w:val="00BC1B17"/>
    <w:rsid w:val="00BC1B7D"/>
    <w:rsid w:val="00BC1E7A"/>
    <w:rsid w:val="00BC219A"/>
    <w:rsid w:val="00BC222E"/>
    <w:rsid w:val="00BC22A6"/>
    <w:rsid w:val="00BC23B0"/>
    <w:rsid w:val="00BC24A0"/>
    <w:rsid w:val="00BC2669"/>
    <w:rsid w:val="00BC2882"/>
    <w:rsid w:val="00BC2980"/>
    <w:rsid w:val="00BC2BD9"/>
    <w:rsid w:val="00BC2D1F"/>
    <w:rsid w:val="00BC2DA2"/>
    <w:rsid w:val="00BC2DE6"/>
    <w:rsid w:val="00BC314C"/>
    <w:rsid w:val="00BC3285"/>
    <w:rsid w:val="00BC32C7"/>
    <w:rsid w:val="00BC3343"/>
    <w:rsid w:val="00BC3486"/>
    <w:rsid w:val="00BC354C"/>
    <w:rsid w:val="00BC3680"/>
    <w:rsid w:val="00BC3734"/>
    <w:rsid w:val="00BC384E"/>
    <w:rsid w:val="00BC38FC"/>
    <w:rsid w:val="00BC39BD"/>
    <w:rsid w:val="00BC3A5E"/>
    <w:rsid w:val="00BC3CF6"/>
    <w:rsid w:val="00BC3F28"/>
    <w:rsid w:val="00BC3FBC"/>
    <w:rsid w:val="00BC4177"/>
    <w:rsid w:val="00BC41C8"/>
    <w:rsid w:val="00BC41F6"/>
    <w:rsid w:val="00BC43D6"/>
    <w:rsid w:val="00BC4A76"/>
    <w:rsid w:val="00BC4A77"/>
    <w:rsid w:val="00BC4C06"/>
    <w:rsid w:val="00BC4D51"/>
    <w:rsid w:val="00BC510F"/>
    <w:rsid w:val="00BC5145"/>
    <w:rsid w:val="00BC516C"/>
    <w:rsid w:val="00BC52A3"/>
    <w:rsid w:val="00BC5465"/>
    <w:rsid w:val="00BC59E4"/>
    <w:rsid w:val="00BC5A1A"/>
    <w:rsid w:val="00BC5B51"/>
    <w:rsid w:val="00BC5C5E"/>
    <w:rsid w:val="00BC5C81"/>
    <w:rsid w:val="00BC5DB1"/>
    <w:rsid w:val="00BC605D"/>
    <w:rsid w:val="00BC60AA"/>
    <w:rsid w:val="00BC6453"/>
    <w:rsid w:val="00BC67E9"/>
    <w:rsid w:val="00BC69F0"/>
    <w:rsid w:val="00BC6A55"/>
    <w:rsid w:val="00BC6E49"/>
    <w:rsid w:val="00BC715D"/>
    <w:rsid w:val="00BC7509"/>
    <w:rsid w:val="00BC7585"/>
    <w:rsid w:val="00BC777E"/>
    <w:rsid w:val="00BC7960"/>
    <w:rsid w:val="00BC7D40"/>
    <w:rsid w:val="00BD0246"/>
    <w:rsid w:val="00BD0708"/>
    <w:rsid w:val="00BD071D"/>
    <w:rsid w:val="00BD0AEC"/>
    <w:rsid w:val="00BD0B7F"/>
    <w:rsid w:val="00BD0B8E"/>
    <w:rsid w:val="00BD0D0B"/>
    <w:rsid w:val="00BD107C"/>
    <w:rsid w:val="00BD12F4"/>
    <w:rsid w:val="00BD15EF"/>
    <w:rsid w:val="00BD17B7"/>
    <w:rsid w:val="00BD17EA"/>
    <w:rsid w:val="00BD181F"/>
    <w:rsid w:val="00BD19C0"/>
    <w:rsid w:val="00BD1A7B"/>
    <w:rsid w:val="00BD1D6F"/>
    <w:rsid w:val="00BD1DBC"/>
    <w:rsid w:val="00BD1F9A"/>
    <w:rsid w:val="00BD1FD7"/>
    <w:rsid w:val="00BD227D"/>
    <w:rsid w:val="00BD2308"/>
    <w:rsid w:val="00BD234C"/>
    <w:rsid w:val="00BD253C"/>
    <w:rsid w:val="00BD274E"/>
    <w:rsid w:val="00BD2753"/>
    <w:rsid w:val="00BD2ACD"/>
    <w:rsid w:val="00BD2B7C"/>
    <w:rsid w:val="00BD2BFD"/>
    <w:rsid w:val="00BD2DB6"/>
    <w:rsid w:val="00BD3680"/>
    <w:rsid w:val="00BD3C07"/>
    <w:rsid w:val="00BD3D75"/>
    <w:rsid w:val="00BD3DF2"/>
    <w:rsid w:val="00BD3E90"/>
    <w:rsid w:val="00BD3F4F"/>
    <w:rsid w:val="00BD403B"/>
    <w:rsid w:val="00BD42AA"/>
    <w:rsid w:val="00BD433A"/>
    <w:rsid w:val="00BD463B"/>
    <w:rsid w:val="00BD479D"/>
    <w:rsid w:val="00BD4A28"/>
    <w:rsid w:val="00BD4A64"/>
    <w:rsid w:val="00BD4B33"/>
    <w:rsid w:val="00BD4C5B"/>
    <w:rsid w:val="00BD4EF5"/>
    <w:rsid w:val="00BD53A9"/>
    <w:rsid w:val="00BD5518"/>
    <w:rsid w:val="00BD5A42"/>
    <w:rsid w:val="00BD5BCE"/>
    <w:rsid w:val="00BD5C1E"/>
    <w:rsid w:val="00BD5D86"/>
    <w:rsid w:val="00BD5DC9"/>
    <w:rsid w:val="00BD5E84"/>
    <w:rsid w:val="00BD6146"/>
    <w:rsid w:val="00BD622B"/>
    <w:rsid w:val="00BD66BD"/>
    <w:rsid w:val="00BD6755"/>
    <w:rsid w:val="00BD697F"/>
    <w:rsid w:val="00BD6A06"/>
    <w:rsid w:val="00BD6DC2"/>
    <w:rsid w:val="00BD6FB3"/>
    <w:rsid w:val="00BD7085"/>
    <w:rsid w:val="00BD74F3"/>
    <w:rsid w:val="00BD7612"/>
    <w:rsid w:val="00BD761C"/>
    <w:rsid w:val="00BD76A8"/>
    <w:rsid w:val="00BD776D"/>
    <w:rsid w:val="00BD79BD"/>
    <w:rsid w:val="00BD7A63"/>
    <w:rsid w:val="00BD7CB4"/>
    <w:rsid w:val="00BD7E2F"/>
    <w:rsid w:val="00BD7F05"/>
    <w:rsid w:val="00BD7FA4"/>
    <w:rsid w:val="00BE0000"/>
    <w:rsid w:val="00BE0128"/>
    <w:rsid w:val="00BE01B7"/>
    <w:rsid w:val="00BE01FD"/>
    <w:rsid w:val="00BE0657"/>
    <w:rsid w:val="00BE0925"/>
    <w:rsid w:val="00BE0941"/>
    <w:rsid w:val="00BE0951"/>
    <w:rsid w:val="00BE0BA0"/>
    <w:rsid w:val="00BE0BEC"/>
    <w:rsid w:val="00BE0C2C"/>
    <w:rsid w:val="00BE0D0A"/>
    <w:rsid w:val="00BE1162"/>
    <w:rsid w:val="00BE12A2"/>
    <w:rsid w:val="00BE1574"/>
    <w:rsid w:val="00BE16D2"/>
    <w:rsid w:val="00BE1D34"/>
    <w:rsid w:val="00BE1E98"/>
    <w:rsid w:val="00BE211B"/>
    <w:rsid w:val="00BE24A9"/>
    <w:rsid w:val="00BE2745"/>
    <w:rsid w:val="00BE2752"/>
    <w:rsid w:val="00BE294C"/>
    <w:rsid w:val="00BE2C05"/>
    <w:rsid w:val="00BE2C9A"/>
    <w:rsid w:val="00BE2D7D"/>
    <w:rsid w:val="00BE2ED2"/>
    <w:rsid w:val="00BE2F9A"/>
    <w:rsid w:val="00BE3587"/>
    <w:rsid w:val="00BE3788"/>
    <w:rsid w:val="00BE3994"/>
    <w:rsid w:val="00BE3A2A"/>
    <w:rsid w:val="00BE3AE0"/>
    <w:rsid w:val="00BE3D25"/>
    <w:rsid w:val="00BE3DF4"/>
    <w:rsid w:val="00BE3E80"/>
    <w:rsid w:val="00BE4191"/>
    <w:rsid w:val="00BE442A"/>
    <w:rsid w:val="00BE4574"/>
    <w:rsid w:val="00BE465C"/>
    <w:rsid w:val="00BE475D"/>
    <w:rsid w:val="00BE487F"/>
    <w:rsid w:val="00BE49BE"/>
    <w:rsid w:val="00BE49FF"/>
    <w:rsid w:val="00BE4A89"/>
    <w:rsid w:val="00BE4C53"/>
    <w:rsid w:val="00BE4D9E"/>
    <w:rsid w:val="00BE4F23"/>
    <w:rsid w:val="00BE4FAC"/>
    <w:rsid w:val="00BE4FB8"/>
    <w:rsid w:val="00BE514E"/>
    <w:rsid w:val="00BE51F9"/>
    <w:rsid w:val="00BE529E"/>
    <w:rsid w:val="00BE56BF"/>
    <w:rsid w:val="00BE578A"/>
    <w:rsid w:val="00BE59E2"/>
    <w:rsid w:val="00BE5CE1"/>
    <w:rsid w:val="00BE600D"/>
    <w:rsid w:val="00BE604F"/>
    <w:rsid w:val="00BE6099"/>
    <w:rsid w:val="00BE623F"/>
    <w:rsid w:val="00BE6747"/>
    <w:rsid w:val="00BE6748"/>
    <w:rsid w:val="00BE68D5"/>
    <w:rsid w:val="00BE6B0F"/>
    <w:rsid w:val="00BE6BE0"/>
    <w:rsid w:val="00BE6C4D"/>
    <w:rsid w:val="00BE6C58"/>
    <w:rsid w:val="00BE6CCE"/>
    <w:rsid w:val="00BE6D16"/>
    <w:rsid w:val="00BE6D66"/>
    <w:rsid w:val="00BE6D74"/>
    <w:rsid w:val="00BE797F"/>
    <w:rsid w:val="00BE7A29"/>
    <w:rsid w:val="00BE7C67"/>
    <w:rsid w:val="00BE7CAB"/>
    <w:rsid w:val="00BF005F"/>
    <w:rsid w:val="00BF0534"/>
    <w:rsid w:val="00BF107B"/>
    <w:rsid w:val="00BF1269"/>
    <w:rsid w:val="00BF12BE"/>
    <w:rsid w:val="00BF175F"/>
    <w:rsid w:val="00BF1A42"/>
    <w:rsid w:val="00BF1B09"/>
    <w:rsid w:val="00BF20CF"/>
    <w:rsid w:val="00BF219C"/>
    <w:rsid w:val="00BF2314"/>
    <w:rsid w:val="00BF23E8"/>
    <w:rsid w:val="00BF2420"/>
    <w:rsid w:val="00BF24D2"/>
    <w:rsid w:val="00BF25C5"/>
    <w:rsid w:val="00BF2603"/>
    <w:rsid w:val="00BF27EE"/>
    <w:rsid w:val="00BF327F"/>
    <w:rsid w:val="00BF3529"/>
    <w:rsid w:val="00BF35B6"/>
    <w:rsid w:val="00BF38C9"/>
    <w:rsid w:val="00BF39F8"/>
    <w:rsid w:val="00BF3AA4"/>
    <w:rsid w:val="00BF3BBE"/>
    <w:rsid w:val="00BF3EAF"/>
    <w:rsid w:val="00BF42F2"/>
    <w:rsid w:val="00BF43D7"/>
    <w:rsid w:val="00BF44A2"/>
    <w:rsid w:val="00BF46F9"/>
    <w:rsid w:val="00BF4C20"/>
    <w:rsid w:val="00BF4D92"/>
    <w:rsid w:val="00BF50B7"/>
    <w:rsid w:val="00BF516D"/>
    <w:rsid w:val="00BF53AD"/>
    <w:rsid w:val="00BF5410"/>
    <w:rsid w:val="00BF5922"/>
    <w:rsid w:val="00BF59BF"/>
    <w:rsid w:val="00BF5A64"/>
    <w:rsid w:val="00BF5FCB"/>
    <w:rsid w:val="00BF6239"/>
    <w:rsid w:val="00BF6263"/>
    <w:rsid w:val="00BF627C"/>
    <w:rsid w:val="00BF63ED"/>
    <w:rsid w:val="00BF69AF"/>
    <w:rsid w:val="00BF6A18"/>
    <w:rsid w:val="00BF6AEA"/>
    <w:rsid w:val="00BF6CEA"/>
    <w:rsid w:val="00BF700A"/>
    <w:rsid w:val="00BF7064"/>
    <w:rsid w:val="00BF72EE"/>
    <w:rsid w:val="00BF7387"/>
    <w:rsid w:val="00BF786C"/>
    <w:rsid w:val="00BF78BE"/>
    <w:rsid w:val="00BF7D3F"/>
    <w:rsid w:val="00BF7D7F"/>
    <w:rsid w:val="00C000B1"/>
    <w:rsid w:val="00C001ED"/>
    <w:rsid w:val="00C00205"/>
    <w:rsid w:val="00C00537"/>
    <w:rsid w:val="00C00791"/>
    <w:rsid w:val="00C00895"/>
    <w:rsid w:val="00C008C2"/>
    <w:rsid w:val="00C00906"/>
    <w:rsid w:val="00C00A91"/>
    <w:rsid w:val="00C00CB8"/>
    <w:rsid w:val="00C01162"/>
    <w:rsid w:val="00C01517"/>
    <w:rsid w:val="00C01677"/>
    <w:rsid w:val="00C01734"/>
    <w:rsid w:val="00C0191B"/>
    <w:rsid w:val="00C01BB4"/>
    <w:rsid w:val="00C01E50"/>
    <w:rsid w:val="00C022AA"/>
    <w:rsid w:val="00C02549"/>
    <w:rsid w:val="00C026C7"/>
    <w:rsid w:val="00C02BF5"/>
    <w:rsid w:val="00C02DDC"/>
    <w:rsid w:val="00C02F59"/>
    <w:rsid w:val="00C0305A"/>
    <w:rsid w:val="00C030C9"/>
    <w:rsid w:val="00C033E4"/>
    <w:rsid w:val="00C0341E"/>
    <w:rsid w:val="00C03587"/>
    <w:rsid w:val="00C03680"/>
    <w:rsid w:val="00C038F7"/>
    <w:rsid w:val="00C039EF"/>
    <w:rsid w:val="00C03E3F"/>
    <w:rsid w:val="00C03F4B"/>
    <w:rsid w:val="00C04153"/>
    <w:rsid w:val="00C04414"/>
    <w:rsid w:val="00C0461A"/>
    <w:rsid w:val="00C04696"/>
    <w:rsid w:val="00C04698"/>
    <w:rsid w:val="00C047B8"/>
    <w:rsid w:val="00C047DD"/>
    <w:rsid w:val="00C04E96"/>
    <w:rsid w:val="00C04F2D"/>
    <w:rsid w:val="00C0556C"/>
    <w:rsid w:val="00C06452"/>
    <w:rsid w:val="00C0665B"/>
    <w:rsid w:val="00C06672"/>
    <w:rsid w:val="00C06698"/>
    <w:rsid w:val="00C0672D"/>
    <w:rsid w:val="00C068BA"/>
    <w:rsid w:val="00C0729F"/>
    <w:rsid w:val="00C0743F"/>
    <w:rsid w:val="00C079C4"/>
    <w:rsid w:val="00C07B59"/>
    <w:rsid w:val="00C07BA8"/>
    <w:rsid w:val="00C07C43"/>
    <w:rsid w:val="00C07D1D"/>
    <w:rsid w:val="00C07E74"/>
    <w:rsid w:val="00C07F54"/>
    <w:rsid w:val="00C10318"/>
    <w:rsid w:val="00C1037E"/>
    <w:rsid w:val="00C105DB"/>
    <w:rsid w:val="00C10CDE"/>
    <w:rsid w:val="00C10DCD"/>
    <w:rsid w:val="00C110B1"/>
    <w:rsid w:val="00C110D2"/>
    <w:rsid w:val="00C110E8"/>
    <w:rsid w:val="00C11325"/>
    <w:rsid w:val="00C119DC"/>
    <w:rsid w:val="00C11B80"/>
    <w:rsid w:val="00C11E13"/>
    <w:rsid w:val="00C11FE4"/>
    <w:rsid w:val="00C12228"/>
    <w:rsid w:val="00C122B4"/>
    <w:rsid w:val="00C12301"/>
    <w:rsid w:val="00C1282F"/>
    <w:rsid w:val="00C1284F"/>
    <w:rsid w:val="00C12950"/>
    <w:rsid w:val="00C12B5A"/>
    <w:rsid w:val="00C12F77"/>
    <w:rsid w:val="00C130EF"/>
    <w:rsid w:val="00C13213"/>
    <w:rsid w:val="00C1325C"/>
    <w:rsid w:val="00C13443"/>
    <w:rsid w:val="00C1344A"/>
    <w:rsid w:val="00C134C3"/>
    <w:rsid w:val="00C13669"/>
    <w:rsid w:val="00C137D9"/>
    <w:rsid w:val="00C13973"/>
    <w:rsid w:val="00C13A9D"/>
    <w:rsid w:val="00C13BC4"/>
    <w:rsid w:val="00C13D49"/>
    <w:rsid w:val="00C13D52"/>
    <w:rsid w:val="00C145A9"/>
    <w:rsid w:val="00C14701"/>
    <w:rsid w:val="00C147BF"/>
    <w:rsid w:val="00C149C0"/>
    <w:rsid w:val="00C14BDD"/>
    <w:rsid w:val="00C14C1A"/>
    <w:rsid w:val="00C1507F"/>
    <w:rsid w:val="00C15504"/>
    <w:rsid w:val="00C15672"/>
    <w:rsid w:val="00C159C6"/>
    <w:rsid w:val="00C15A84"/>
    <w:rsid w:val="00C15D15"/>
    <w:rsid w:val="00C15D8C"/>
    <w:rsid w:val="00C15DB1"/>
    <w:rsid w:val="00C1620A"/>
    <w:rsid w:val="00C1637A"/>
    <w:rsid w:val="00C163A9"/>
    <w:rsid w:val="00C16758"/>
    <w:rsid w:val="00C16A47"/>
    <w:rsid w:val="00C16B61"/>
    <w:rsid w:val="00C16BAF"/>
    <w:rsid w:val="00C16DE6"/>
    <w:rsid w:val="00C1711C"/>
    <w:rsid w:val="00C176FC"/>
    <w:rsid w:val="00C17993"/>
    <w:rsid w:val="00C17ACA"/>
    <w:rsid w:val="00C17ACF"/>
    <w:rsid w:val="00C17B7D"/>
    <w:rsid w:val="00C17C8D"/>
    <w:rsid w:val="00C17C99"/>
    <w:rsid w:val="00C17D58"/>
    <w:rsid w:val="00C202DB"/>
    <w:rsid w:val="00C2078E"/>
    <w:rsid w:val="00C208E2"/>
    <w:rsid w:val="00C20AEC"/>
    <w:rsid w:val="00C20F02"/>
    <w:rsid w:val="00C21059"/>
    <w:rsid w:val="00C21195"/>
    <w:rsid w:val="00C2124C"/>
    <w:rsid w:val="00C21256"/>
    <w:rsid w:val="00C2161F"/>
    <w:rsid w:val="00C21BAB"/>
    <w:rsid w:val="00C21E53"/>
    <w:rsid w:val="00C220B9"/>
    <w:rsid w:val="00C221AC"/>
    <w:rsid w:val="00C2248E"/>
    <w:rsid w:val="00C224D9"/>
    <w:rsid w:val="00C22A2F"/>
    <w:rsid w:val="00C22AE5"/>
    <w:rsid w:val="00C22B4E"/>
    <w:rsid w:val="00C22B9D"/>
    <w:rsid w:val="00C22BF5"/>
    <w:rsid w:val="00C22C6D"/>
    <w:rsid w:val="00C22D55"/>
    <w:rsid w:val="00C23026"/>
    <w:rsid w:val="00C230CD"/>
    <w:rsid w:val="00C23158"/>
    <w:rsid w:val="00C2355C"/>
    <w:rsid w:val="00C235ED"/>
    <w:rsid w:val="00C23D93"/>
    <w:rsid w:val="00C240C5"/>
    <w:rsid w:val="00C245D3"/>
    <w:rsid w:val="00C245E1"/>
    <w:rsid w:val="00C24941"/>
    <w:rsid w:val="00C24AB7"/>
    <w:rsid w:val="00C24B58"/>
    <w:rsid w:val="00C24B99"/>
    <w:rsid w:val="00C24EFD"/>
    <w:rsid w:val="00C25296"/>
    <w:rsid w:val="00C2531C"/>
    <w:rsid w:val="00C255D0"/>
    <w:rsid w:val="00C25C55"/>
    <w:rsid w:val="00C25F58"/>
    <w:rsid w:val="00C260FC"/>
    <w:rsid w:val="00C2633F"/>
    <w:rsid w:val="00C266F2"/>
    <w:rsid w:val="00C267F2"/>
    <w:rsid w:val="00C26CC5"/>
    <w:rsid w:val="00C26DA6"/>
    <w:rsid w:val="00C2704D"/>
    <w:rsid w:val="00C27644"/>
    <w:rsid w:val="00C278FC"/>
    <w:rsid w:val="00C279B3"/>
    <w:rsid w:val="00C27A37"/>
    <w:rsid w:val="00C27D62"/>
    <w:rsid w:val="00C27DFE"/>
    <w:rsid w:val="00C303A8"/>
    <w:rsid w:val="00C303E3"/>
    <w:rsid w:val="00C30517"/>
    <w:rsid w:val="00C30613"/>
    <w:rsid w:val="00C30A45"/>
    <w:rsid w:val="00C30B31"/>
    <w:rsid w:val="00C30D11"/>
    <w:rsid w:val="00C30FA4"/>
    <w:rsid w:val="00C31005"/>
    <w:rsid w:val="00C311C1"/>
    <w:rsid w:val="00C312FC"/>
    <w:rsid w:val="00C316A1"/>
    <w:rsid w:val="00C31AEF"/>
    <w:rsid w:val="00C31C79"/>
    <w:rsid w:val="00C31C7B"/>
    <w:rsid w:val="00C3205F"/>
    <w:rsid w:val="00C32206"/>
    <w:rsid w:val="00C3235B"/>
    <w:rsid w:val="00C3242C"/>
    <w:rsid w:val="00C32765"/>
    <w:rsid w:val="00C3277F"/>
    <w:rsid w:val="00C32922"/>
    <w:rsid w:val="00C32B74"/>
    <w:rsid w:val="00C3312D"/>
    <w:rsid w:val="00C333F8"/>
    <w:rsid w:val="00C33B22"/>
    <w:rsid w:val="00C33D67"/>
    <w:rsid w:val="00C33F63"/>
    <w:rsid w:val="00C34037"/>
    <w:rsid w:val="00C34038"/>
    <w:rsid w:val="00C34115"/>
    <w:rsid w:val="00C34BD6"/>
    <w:rsid w:val="00C34C8D"/>
    <w:rsid w:val="00C34CFD"/>
    <w:rsid w:val="00C35014"/>
    <w:rsid w:val="00C35144"/>
    <w:rsid w:val="00C3523F"/>
    <w:rsid w:val="00C35340"/>
    <w:rsid w:val="00C35440"/>
    <w:rsid w:val="00C35958"/>
    <w:rsid w:val="00C35BA6"/>
    <w:rsid w:val="00C35D3D"/>
    <w:rsid w:val="00C35DB7"/>
    <w:rsid w:val="00C35E9A"/>
    <w:rsid w:val="00C35F5D"/>
    <w:rsid w:val="00C36001"/>
    <w:rsid w:val="00C3602E"/>
    <w:rsid w:val="00C364E0"/>
    <w:rsid w:val="00C36611"/>
    <w:rsid w:val="00C367B0"/>
    <w:rsid w:val="00C37265"/>
    <w:rsid w:val="00C37355"/>
    <w:rsid w:val="00C375ED"/>
    <w:rsid w:val="00C377BC"/>
    <w:rsid w:val="00C377C0"/>
    <w:rsid w:val="00C37973"/>
    <w:rsid w:val="00C37B06"/>
    <w:rsid w:val="00C37C35"/>
    <w:rsid w:val="00C37E54"/>
    <w:rsid w:val="00C40015"/>
    <w:rsid w:val="00C4021F"/>
    <w:rsid w:val="00C40250"/>
    <w:rsid w:val="00C403B5"/>
    <w:rsid w:val="00C403E4"/>
    <w:rsid w:val="00C40723"/>
    <w:rsid w:val="00C40964"/>
    <w:rsid w:val="00C40A6F"/>
    <w:rsid w:val="00C40FAB"/>
    <w:rsid w:val="00C4110E"/>
    <w:rsid w:val="00C415C3"/>
    <w:rsid w:val="00C4193D"/>
    <w:rsid w:val="00C419A0"/>
    <w:rsid w:val="00C41AC9"/>
    <w:rsid w:val="00C41C66"/>
    <w:rsid w:val="00C41CEA"/>
    <w:rsid w:val="00C42018"/>
    <w:rsid w:val="00C42271"/>
    <w:rsid w:val="00C42A69"/>
    <w:rsid w:val="00C42BA9"/>
    <w:rsid w:val="00C42E7B"/>
    <w:rsid w:val="00C430D0"/>
    <w:rsid w:val="00C43200"/>
    <w:rsid w:val="00C43E4A"/>
    <w:rsid w:val="00C43E74"/>
    <w:rsid w:val="00C43E75"/>
    <w:rsid w:val="00C44256"/>
    <w:rsid w:val="00C442DF"/>
    <w:rsid w:val="00C44451"/>
    <w:rsid w:val="00C44511"/>
    <w:rsid w:val="00C44570"/>
    <w:rsid w:val="00C446FA"/>
    <w:rsid w:val="00C44784"/>
    <w:rsid w:val="00C447E4"/>
    <w:rsid w:val="00C449DA"/>
    <w:rsid w:val="00C44B6D"/>
    <w:rsid w:val="00C44EE5"/>
    <w:rsid w:val="00C45219"/>
    <w:rsid w:val="00C4522A"/>
    <w:rsid w:val="00C45313"/>
    <w:rsid w:val="00C45590"/>
    <w:rsid w:val="00C456F0"/>
    <w:rsid w:val="00C45868"/>
    <w:rsid w:val="00C45995"/>
    <w:rsid w:val="00C45B85"/>
    <w:rsid w:val="00C45BBD"/>
    <w:rsid w:val="00C45BF3"/>
    <w:rsid w:val="00C45C6A"/>
    <w:rsid w:val="00C46412"/>
    <w:rsid w:val="00C466F4"/>
    <w:rsid w:val="00C467A5"/>
    <w:rsid w:val="00C4686D"/>
    <w:rsid w:val="00C46D6D"/>
    <w:rsid w:val="00C46DC8"/>
    <w:rsid w:val="00C46E58"/>
    <w:rsid w:val="00C47E3C"/>
    <w:rsid w:val="00C47F29"/>
    <w:rsid w:val="00C5015B"/>
    <w:rsid w:val="00C502F4"/>
    <w:rsid w:val="00C5048B"/>
    <w:rsid w:val="00C50BE4"/>
    <w:rsid w:val="00C50BEE"/>
    <w:rsid w:val="00C50E0E"/>
    <w:rsid w:val="00C50ED7"/>
    <w:rsid w:val="00C50FBA"/>
    <w:rsid w:val="00C5108A"/>
    <w:rsid w:val="00C51181"/>
    <w:rsid w:val="00C51329"/>
    <w:rsid w:val="00C51370"/>
    <w:rsid w:val="00C514CA"/>
    <w:rsid w:val="00C5152D"/>
    <w:rsid w:val="00C51959"/>
    <w:rsid w:val="00C51D79"/>
    <w:rsid w:val="00C5213C"/>
    <w:rsid w:val="00C52196"/>
    <w:rsid w:val="00C5219B"/>
    <w:rsid w:val="00C5269D"/>
    <w:rsid w:val="00C527BF"/>
    <w:rsid w:val="00C52931"/>
    <w:rsid w:val="00C52A1A"/>
    <w:rsid w:val="00C52BE9"/>
    <w:rsid w:val="00C53086"/>
    <w:rsid w:val="00C531EA"/>
    <w:rsid w:val="00C533D8"/>
    <w:rsid w:val="00C534A0"/>
    <w:rsid w:val="00C53619"/>
    <w:rsid w:val="00C537AB"/>
    <w:rsid w:val="00C53B53"/>
    <w:rsid w:val="00C53D90"/>
    <w:rsid w:val="00C54325"/>
    <w:rsid w:val="00C54391"/>
    <w:rsid w:val="00C54451"/>
    <w:rsid w:val="00C5478D"/>
    <w:rsid w:val="00C547B7"/>
    <w:rsid w:val="00C54979"/>
    <w:rsid w:val="00C54AFD"/>
    <w:rsid w:val="00C54D12"/>
    <w:rsid w:val="00C54F0D"/>
    <w:rsid w:val="00C5513E"/>
    <w:rsid w:val="00C552E2"/>
    <w:rsid w:val="00C55B76"/>
    <w:rsid w:val="00C55B99"/>
    <w:rsid w:val="00C55C24"/>
    <w:rsid w:val="00C56390"/>
    <w:rsid w:val="00C5663A"/>
    <w:rsid w:val="00C569BA"/>
    <w:rsid w:val="00C56B86"/>
    <w:rsid w:val="00C57017"/>
    <w:rsid w:val="00C574B7"/>
    <w:rsid w:val="00C578AE"/>
    <w:rsid w:val="00C57B10"/>
    <w:rsid w:val="00C57D3D"/>
    <w:rsid w:val="00C57DC2"/>
    <w:rsid w:val="00C57F39"/>
    <w:rsid w:val="00C57F5D"/>
    <w:rsid w:val="00C600E0"/>
    <w:rsid w:val="00C6013B"/>
    <w:rsid w:val="00C6036D"/>
    <w:rsid w:val="00C604D7"/>
    <w:rsid w:val="00C606A0"/>
    <w:rsid w:val="00C6093D"/>
    <w:rsid w:val="00C60B0A"/>
    <w:rsid w:val="00C60CC4"/>
    <w:rsid w:val="00C60FE4"/>
    <w:rsid w:val="00C61055"/>
    <w:rsid w:val="00C6111F"/>
    <w:rsid w:val="00C612D8"/>
    <w:rsid w:val="00C61503"/>
    <w:rsid w:val="00C6154F"/>
    <w:rsid w:val="00C618F2"/>
    <w:rsid w:val="00C61923"/>
    <w:rsid w:val="00C619DE"/>
    <w:rsid w:val="00C61BAF"/>
    <w:rsid w:val="00C61BC9"/>
    <w:rsid w:val="00C61D45"/>
    <w:rsid w:val="00C61E56"/>
    <w:rsid w:val="00C620AF"/>
    <w:rsid w:val="00C621DE"/>
    <w:rsid w:val="00C62294"/>
    <w:rsid w:val="00C622C0"/>
    <w:rsid w:val="00C624F9"/>
    <w:rsid w:val="00C62706"/>
    <w:rsid w:val="00C62772"/>
    <w:rsid w:val="00C629E3"/>
    <w:rsid w:val="00C62A18"/>
    <w:rsid w:val="00C62AFF"/>
    <w:rsid w:val="00C62D92"/>
    <w:rsid w:val="00C62DF5"/>
    <w:rsid w:val="00C63085"/>
    <w:rsid w:val="00C6328B"/>
    <w:rsid w:val="00C63385"/>
    <w:rsid w:val="00C633BE"/>
    <w:rsid w:val="00C633EF"/>
    <w:rsid w:val="00C63593"/>
    <w:rsid w:val="00C635AA"/>
    <w:rsid w:val="00C63A0E"/>
    <w:rsid w:val="00C63D63"/>
    <w:rsid w:val="00C6439E"/>
    <w:rsid w:val="00C643EC"/>
    <w:rsid w:val="00C64409"/>
    <w:rsid w:val="00C644F1"/>
    <w:rsid w:val="00C64794"/>
    <w:rsid w:val="00C649A1"/>
    <w:rsid w:val="00C64FF5"/>
    <w:rsid w:val="00C65141"/>
    <w:rsid w:val="00C6544D"/>
    <w:rsid w:val="00C6562A"/>
    <w:rsid w:val="00C656E1"/>
    <w:rsid w:val="00C65A6B"/>
    <w:rsid w:val="00C66028"/>
    <w:rsid w:val="00C660CA"/>
    <w:rsid w:val="00C66123"/>
    <w:rsid w:val="00C662BA"/>
    <w:rsid w:val="00C662CB"/>
    <w:rsid w:val="00C66376"/>
    <w:rsid w:val="00C663CB"/>
    <w:rsid w:val="00C6668F"/>
    <w:rsid w:val="00C667C2"/>
    <w:rsid w:val="00C66917"/>
    <w:rsid w:val="00C669C2"/>
    <w:rsid w:val="00C669CB"/>
    <w:rsid w:val="00C66B18"/>
    <w:rsid w:val="00C66BB2"/>
    <w:rsid w:val="00C66EE4"/>
    <w:rsid w:val="00C672BA"/>
    <w:rsid w:val="00C67342"/>
    <w:rsid w:val="00C676BE"/>
    <w:rsid w:val="00C67760"/>
    <w:rsid w:val="00C67772"/>
    <w:rsid w:val="00C67BA9"/>
    <w:rsid w:val="00C67C87"/>
    <w:rsid w:val="00C67E1F"/>
    <w:rsid w:val="00C67E22"/>
    <w:rsid w:val="00C67E9B"/>
    <w:rsid w:val="00C67FE9"/>
    <w:rsid w:val="00C700A2"/>
    <w:rsid w:val="00C70221"/>
    <w:rsid w:val="00C703AA"/>
    <w:rsid w:val="00C70444"/>
    <w:rsid w:val="00C70884"/>
    <w:rsid w:val="00C70C41"/>
    <w:rsid w:val="00C70C8A"/>
    <w:rsid w:val="00C71025"/>
    <w:rsid w:val="00C711A2"/>
    <w:rsid w:val="00C7123C"/>
    <w:rsid w:val="00C713EE"/>
    <w:rsid w:val="00C7161D"/>
    <w:rsid w:val="00C7167F"/>
    <w:rsid w:val="00C71870"/>
    <w:rsid w:val="00C71A28"/>
    <w:rsid w:val="00C71A65"/>
    <w:rsid w:val="00C720DA"/>
    <w:rsid w:val="00C7216C"/>
    <w:rsid w:val="00C721AF"/>
    <w:rsid w:val="00C72322"/>
    <w:rsid w:val="00C723B2"/>
    <w:rsid w:val="00C723D8"/>
    <w:rsid w:val="00C726B8"/>
    <w:rsid w:val="00C726E3"/>
    <w:rsid w:val="00C7280C"/>
    <w:rsid w:val="00C72CE6"/>
    <w:rsid w:val="00C72CED"/>
    <w:rsid w:val="00C73019"/>
    <w:rsid w:val="00C7304E"/>
    <w:rsid w:val="00C7320D"/>
    <w:rsid w:val="00C73385"/>
    <w:rsid w:val="00C735AB"/>
    <w:rsid w:val="00C7367D"/>
    <w:rsid w:val="00C73921"/>
    <w:rsid w:val="00C73AE8"/>
    <w:rsid w:val="00C73C3B"/>
    <w:rsid w:val="00C73CB3"/>
    <w:rsid w:val="00C73EED"/>
    <w:rsid w:val="00C73F3A"/>
    <w:rsid w:val="00C740C6"/>
    <w:rsid w:val="00C740EC"/>
    <w:rsid w:val="00C74284"/>
    <w:rsid w:val="00C7465B"/>
    <w:rsid w:val="00C7478E"/>
    <w:rsid w:val="00C7482F"/>
    <w:rsid w:val="00C74CD2"/>
    <w:rsid w:val="00C75369"/>
    <w:rsid w:val="00C753A5"/>
    <w:rsid w:val="00C75486"/>
    <w:rsid w:val="00C75554"/>
    <w:rsid w:val="00C75873"/>
    <w:rsid w:val="00C758FB"/>
    <w:rsid w:val="00C75AA2"/>
    <w:rsid w:val="00C75D57"/>
    <w:rsid w:val="00C75EDA"/>
    <w:rsid w:val="00C75F30"/>
    <w:rsid w:val="00C75F5D"/>
    <w:rsid w:val="00C76071"/>
    <w:rsid w:val="00C763E7"/>
    <w:rsid w:val="00C76981"/>
    <w:rsid w:val="00C76AAE"/>
    <w:rsid w:val="00C76AF3"/>
    <w:rsid w:val="00C76CFB"/>
    <w:rsid w:val="00C76E9B"/>
    <w:rsid w:val="00C77015"/>
    <w:rsid w:val="00C77135"/>
    <w:rsid w:val="00C779BD"/>
    <w:rsid w:val="00C77ABC"/>
    <w:rsid w:val="00C77B71"/>
    <w:rsid w:val="00C77BAB"/>
    <w:rsid w:val="00C77C53"/>
    <w:rsid w:val="00C8001B"/>
    <w:rsid w:val="00C800B0"/>
    <w:rsid w:val="00C802ED"/>
    <w:rsid w:val="00C80377"/>
    <w:rsid w:val="00C8055D"/>
    <w:rsid w:val="00C805EE"/>
    <w:rsid w:val="00C808B3"/>
    <w:rsid w:val="00C808CB"/>
    <w:rsid w:val="00C80D47"/>
    <w:rsid w:val="00C80DBC"/>
    <w:rsid w:val="00C80E8D"/>
    <w:rsid w:val="00C81036"/>
    <w:rsid w:val="00C8109B"/>
    <w:rsid w:val="00C812B6"/>
    <w:rsid w:val="00C81516"/>
    <w:rsid w:val="00C81607"/>
    <w:rsid w:val="00C819BD"/>
    <w:rsid w:val="00C81CAE"/>
    <w:rsid w:val="00C81E6D"/>
    <w:rsid w:val="00C81F40"/>
    <w:rsid w:val="00C82077"/>
    <w:rsid w:val="00C82119"/>
    <w:rsid w:val="00C82328"/>
    <w:rsid w:val="00C8270C"/>
    <w:rsid w:val="00C8296D"/>
    <w:rsid w:val="00C82B9B"/>
    <w:rsid w:val="00C82E14"/>
    <w:rsid w:val="00C8337D"/>
    <w:rsid w:val="00C833E9"/>
    <w:rsid w:val="00C83427"/>
    <w:rsid w:val="00C8342B"/>
    <w:rsid w:val="00C83572"/>
    <w:rsid w:val="00C8363B"/>
    <w:rsid w:val="00C836A3"/>
    <w:rsid w:val="00C83847"/>
    <w:rsid w:val="00C83B24"/>
    <w:rsid w:val="00C83CBC"/>
    <w:rsid w:val="00C83F6A"/>
    <w:rsid w:val="00C84109"/>
    <w:rsid w:val="00C8432B"/>
    <w:rsid w:val="00C844B1"/>
    <w:rsid w:val="00C847F7"/>
    <w:rsid w:val="00C84AC5"/>
    <w:rsid w:val="00C84DD6"/>
    <w:rsid w:val="00C8570E"/>
    <w:rsid w:val="00C85828"/>
    <w:rsid w:val="00C85891"/>
    <w:rsid w:val="00C8597D"/>
    <w:rsid w:val="00C85E07"/>
    <w:rsid w:val="00C86061"/>
    <w:rsid w:val="00C8608D"/>
    <w:rsid w:val="00C86329"/>
    <w:rsid w:val="00C8663D"/>
    <w:rsid w:val="00C86AE6"/>
    <w:rsid w:val="00C86C94"/>
    <w:rsid w:val="00C86D75"/>
    <w:rsid w:val="00C870AB"/>
    <w:rsid w:val="00C87409"/>
    <w:rsid w:val="00C8745B"/>
    <w:rsid w:val="00C87525"/>
    <w:rsid w:val="00C87535"/>
    <w:rsid w:val="00C876C8"/>
    <w:rsid w:val="00C879E3"/>
    <w:rsid w:val="00C87B94"/>
    <w:rsid w:val="00C87FE4"/>
    <w:rsid w:val="00C9006C"/>
    <w:rsid w:val="00C90259"/>
    <w:rsid w:val="00C90390"/>
    <w:rsid w:val="00C909B5"/>
    <w:rsid w:val="00C90BF2"/>
    <w:rsid w:val="00C91074"/>
    <w:rsid w:val="00C9130A"/>
    <w:rsid w:val="00C914FE"/>
    <w:rsid w:val="00C91506"/>
    <w:rsid w:val="00C918B1"/>
    <w:rsid w:val="00C91AEA"/>
    <w:rsid w:val="00C91E39"/>
    <w:rsid w:val="00C91E76"/>
    <w:rsid w:val="00C92047"/>
    <w:rsid w:val="00C92176"/>
    <w:rsid w:val="00C92277"/>
    <w:rsid w:val="00C924EF"/>
    <w:rsid w:val="00C9258A"/>
    <w:rsid w:val="00C9267F"/>
    <w:rsid w:val="00C92B41"/>
    <w:rsid w:val="00C92C0A"/>
    <w:rsid w:val="00C92C6A"/>
    <w:rsid w:val="00C92C6E"/>
    <w:rsid w:val="00C93159"/>
    <w:rsid w:val="00C9315E"/>
    <w:rsid w:val="00C931C1"/>
    <w:rsid w:val="00C937B9"/>
    <w:rsid w:val="00C93AFD"/>
    <w:rsid w:val="00C93C28"/>
    <w:rsid w:val="00C93DC3"/>
    <w:rsid w:val="00C940C3"/>
    <w:rsid w:val="00C9411B"/>
    <w:rsid w:val="00C941EE"/>
    <w:rsid w:val="00C9463B"/>
    <w:rsid w:val="00C94CE9"/>
    <w:rsid w:val="00C94E81"/>
    <w:rsid w:val="00C94F21"/>
    <w:rsid w:val="00C94FF7"/>
    <w:rsid w:val="00C950FD"/>
    <w:rsid w:val="00C95163"/>
    <w:rsid w:val="00C9518E"/>
    <w:rsid w:val="00C95224"/>
    <w:rsid w:val="00C95384"/>
    <w:rsid w:val="00C953EC"/>
    <w:rsid w:val="00C95E80"/>
    <w:rsid w:val="00C96016"/>
    <w:rsid w:val="00C96099"/>
    <w:rsid w:val="00C96393"/>
    <w:rsid w:val="00C96404"/>
    <w:rsid w:val="00C96428"/>
    <w:rsid w:val="00C9697B"/>
    <w:rsid w:val="00C96D5C"/>
    <w:rsid w:val="00C972D0"/>
    <w:rsid w:val="00C97401"/>
    <w:rsid w:val="00C975AE"/>
    <w:rsid w:val="00C9783D"/>
    <w:rsid w:val="00C97A3E"/>
    <w:rsid w:val="00C97AFB"/>
    <w:rsid w:val="00CA024F"/>
    <w:rsid w:val="00CA04DF"/>
    <w:rsid w:val="00CA055E"/>
    <w:rsid w:val="00CA0682"/>
    <w:rsid w:val="00CA075F"/>
    <w:rsid w:val="00CA0873"/>
    <w:rsid w:val="00CA0A7E"/>
    <w:rsid w:val="00CA0D9A"/>
    <w:rsid w:val="00CA10E8"/>
    <w:rsid w:val="00CA1340"/>
    <w:rsid w:val="00CA15AB"/>
    <w:rsid w:val="00CA1637"/>
    <w:rsid w:val="00CA167E"/>
    <w:rsid w:val="00CA169B"/>
    <w:rsid w:val="00CA185A"/>
    <w:rsid w:val="00CA185C"/>
    <w:rsid w:val="00CA18C0"/>
    <w:rsid w:val="00CA19E9"/>
    <w:rsid w:val="00CA1C5B"/>
    <w:rsid w:val="00CA1C74"/>
    <w:rsid w:val="00CA1F06"/>
    <w:rsid w:val="00CA2260"/>
    <w:rsid w:val="00CA2605"/>
    <w:rsid w:val="00CA282E"/>
    <w:rsid w:val="00CA29E0"/>
    <w:rsid w:val="00CA3071"/>
    <w:rsid w:val="00CA35EA"/>
    <w:rsid w:val="00CA3645"/>
    <w:rsid w:val="00CA3664"/>
    <w:rsid w:val="00CA3717"/>
    <w:rsid w:val="00CA3917"/>
    <w:rsid w:val="00CA3A10"/>
    <w:rsid w:val="00CA3A60"/>
    <w:rsid w:val="00CA3EED"/>
    <w:rsid w:val="00CA4069"/>
    <w:rsid w:val="00CA4084"/>
    <w:rsid w:val="00CA436E"/>
    <w:rsid w:val="00CA4607"/>
    <w:rsid w:val="00CA472E"/>
    <w:rsid w:val="00CA4734"/>
    <w:rsid w:val="00CA4923"/>
    <w:rsid w:val="00CA4AF4"/>
    <w:rsid w:val="00CA52C4"/>
    <w:rsid w:val="00CA539F"/>
    <w:rsid w:val="00CA57B7"/>
    <w:rsid w:val="00CA5AFE"/>
    <w:rsid w:val="00CA607C"/>
    <w:rsid w:val="00CA637A"/>
    <w:rsid w:val="00CA6456"/>
    <w:rsid w:val="00CA6690"/>
    <w:rsid w:val="00CA6D13"/>
    <w:rsid w:val="00CA7321"/>
    <w:rsid w:val="00CA7434"/>
    <w:rsid w:val="00CA7464"/>
    <w:rsid w:val="00CA7AFB"/>
    <w:rsid w:val="00CB01E5"/>
    <w:rsid w:val="00CB02E7"/>
    <w:rsid w:val="00CB03C4"/>
    <w:rsid w:val="00CB07FA"/>
    <w:rsid w:val="00CB0C1A"/>
    <w:rsid w:val="00CB1205"/>
    <w:rsid w:val="00CB16AA"/>
    <w:rsid w:val="00CB1798"/>
    <w:rsid w:val="00CB186E"/>
    <w:rsid w:val="00CB1959"/>
    <w:rsid w:val="00CB1B6A"/>
    <w:rsid w:val="00CB202C"/>
    <w:rsid w:val="00CB217F"/>
    <w:rsid w:val="00CB2368"/>
    <w:rsid w:val="00CB26D4"/>
    <w:rsid w:val="00CB279E"/>
    <w:rsid w:val="00CB27CD"/>
    <w:rsid w:val="00CB2A99"/>
    <w:rsid w:val="00CB2C37"/>
    <w:rsid w:val="00CB2D95"/>
    <w:rsid w:val="00CB2DFF"/>
    <w:rsid w:val="00CB2EA2"/>
    <w:rsid w:val="00CB354B"/>
    <w:rsid w:val="00CB35A3"/>
    <w:rsid w:val="00CB379E"/>
    <w:rsid w:val="00CB3CAB"/>
    <w:rsid w:val="00CB4550"/>
    <w:rsid w:val="00CB4571"/>
    <w:rsid w:val="00CB4896"/>
    <w:rsid w:val="00CB4B63"/>
    <w:rsid w:val="00CB4CFB"/>
    <w:rsid w:val="00CB4DBC"/>
    <w:rsid w:val="00CB4ED9"/>
    <w:rsid w:val="00CB50E2"/>
    <w:rsid w:val="00CB5111"/>
    <w:rsid w:val="00CB53DB"/>
    <w:rsid w:val="00CB5920"/>
    <w:rsid w:val="00CB5AE0"/>
    <w:rsid w:val="00CB5BA2"/>
    <w:rsid w:val="00CB5BC5"/>
    <w:rsid w:val="00CB5C3A"/>
    <w:rsid w:val="00CB5EEE"/>
    <w:rsid w:val="00CB5F1E"/>
    <w:rsid w:val="00CB5FD3"/>
    <w:rsid w:val="00CB6207"/>
    <w:rsid w:val="00CB63CE"/>
    <w:rsid w:val="00CB6640"/>
    <w:rsid w:val="00CB688F"/>
    <w:rsid w:val="00CB69B1"/>
    <w:rsid w:val="00CB6A6E"/>
    <w:rsid w:val="00CB6B20"/>
    <w:rsid w:val="00CB6ED6"/>
    <w:rsid w:val="00CB725D"/>
    <w:rsid w:val="00CB74C3"/>
    <w:rsid w:val="00CB74E9"/>
    <w:rsid w:val="00CB75E0"/>
    <w:rsid w:val="00CB7949"/>
    <w:rsid w:val="00CB7A00"/>
    <w:rsid w:val="00CB7B43"/>
    <w:rsid w:val="00CB7C66"/>
    <w:rsid w:val="00CB7DA6"/>
    <w:rsid w:val="00CB7FCB"/>
    <w:rsid w:val="00CC0289"/>
    <w:rsid w:val="00CC0322"/>
    <w:rsid w:val="00CC037F"/>
    <w:rsid w:val="00CC03D9"/>
    <w:rsid w:val="00CC06A3"/>
    <w:rsid w:val="00CC071A"/>
    <w:rsid w:val="00CC0FCD"/>
    <w:rsid w:val="00CC1204"/>
    <w:rsid w:val="00CC1308"/>
    <w:rsid w:val="00CC18EF"/>
    <w:rsid w:val="00CC1D7D"/>
    <w:rsid w:val="00CC1F75"/>
    <w:rsid w:val="00CC223B"/>
    <w:rsid w:val="00CC24CC"/>
    <w:rsid w:val="00CC277C"/>
    <w:rsid w:val="00CC283D"/>
    <w:rsid w:val="00CC2D92"/>
    <w:rsid w:val="00CC2F0E"/>
    <w:rsid w:val="00CC30B7"/>
    <w:rsid w:val="00CC316C"/>
    <w:rsid w:val="00CC324B"/>
    <w:rsid w:val="00CC3270"/>
    <w:rsid w:val="00CC3349"/>
    <w:rsid w:val="00CC3503"/>
    <w:rsid w:val="00CC35C8"/>
    <w:rsid w:val="00CC3632"/>
    <w:rsid w:val="00CC374F"/>
    <w:rsid w:val="00CC3E32"/>
    <w:rsid w:val="00CC3EE0"/>
    <w:rsid w:val="00CC3F87"/>
    <w:rsid w:val="00CC3F94"/>
    <w:rsid w:val="00CC3FFC"/>
    <w:rsid w:val="00CC423D"/>
    <w:rsid w:val="00CC4570"/>
    <w:rsid w:val="00CC4581"/>
    <w:rsid w:val="00CC4908"/>
    <w:rsid w:val="00CC4A7C"/>
    <w:rsid w:val="00CC4ADF"/>
    <w:rsid w:val="00CC4BDD"/>
    <w:rsid w:val="00CC4CA3"/>
    <w:rsid w:val="00CC4EFC"/>
    <w:rsid w:val="00CC4FBB"/>
    <w:rsid w:val="00CC5214"/>
    <w:rsid w:val="00CC52F0"/>
    <w:rsid w:val="00CC557E"/>
    <w:rsid w:val="00CC55B5"/>
    <w:rsid w:val="00CC56B9"/>
    <w:rsid w:val="00CC593A"/>
    <w:rsid w:val="00CC5C5B"/>
    <w:rsid w:val="00CC5CA9"/>
    <w:rsid w:val="00CC5ED3"/>
    <w:rsid w:val="00CC5EFF"/>
    <w:rsid w:val="00CC6279"/>
    <w:rsid w:val="00CC63DA"/>
    <w:rsid w:val="00CC6905"/>
    <w:rsid w:val="00CC6F43"/>
    <w:rsid w:val="00CC6FF4"/>
    <w:rsid w:val="00CC7320"/>
    <w:rsid w:val="00CC76AE"/>
    <w:rsid w:val="00CC7719"/>
    <w:rsid w:val="00CC79EC"/>
    <w:rsid w:val="00CC7AFB"/>
    <w:rsid w:val="00CC7D12"/>
    <w:rsid w:val="00CC7E3A"/>
    <w:rsid w:val="00CC7F73"/>
    <w:rsid w:val="00CD00D7"/>
    <w:rsid w:val="00CD010E"/>
    <w:rsid w:val="00CD027B"/>
    <w:rsid w:val="00CD03E7"/>
    <w:rsid w:val="00CD04CF"/>
    <w:rsid w:val="00CD0512"/>
    <w:rsid w:val="00CD05EA"/>
    <w:rsid w:val="00CD0AAF"/>
    <w:rsid w:val="00CD0AC6"/>
    <w:rsid w:val="00CD0BA9"/>
    <w:rsid w:val="00CD0BF5"/>
    <w:rsid w:val="00CD0C40"/>
    <w:rsid w:val="00CD12A1"/>
    <w:rsid w:val="00CD14B0"/>
    <w:rsid w:val="00CD16F0"/>
    <w:rsid w:val="00CD1720"/>
    <w:rsid w:val="00CD181D"/>
    <w:rsid w:val="00CD1CCE"/>
    <w:rsid w:val="00CD1D7F"/>
    <w:rsid w:val="00CD1EAC"/>
    <w:rsid w:val="00CD2055"/>
    <w:rsid w:val="00CD2113"/>
    <w:rsid w:val="00CD2143"/>
    <w:rsid w:val="00CD259B"/>
    <w:rsid w:val="00CD25A5"/>
    <w:rsid w:val="00CD2724"/>
    <w:rsid w:val="00CD2A64"/>
    <w:rsid w:val="00CD2A70"/>
    <w:rsid w:val="00CD2B37"/>
    <w:rsid w:val="00CD2B43"/>
    <w:rsid w:val="00CD2FC4"/>
    <w:rsid w:val="00CD3216"/>
    <w:rsid w:val="00CD345F"/>
    <w:rsid w:val="00CD35D1"/>
    <w:rsid w:val="00CD367F"/>
    <w:rsid w:val="00CD3953"/>
    <w:rsid w:val="00CD3A3D"/>
    <w:rsid w:val="00CD3ACD"/>
    <w:rsid w:val="00CD3B80"/>
    <w:rsid w:val="00CD3CD9"/>
    <w:rsid w:val="00CD3F05"/>
    <w:rsid w:val="00CD4099"/>
    <w:rsid w:val="00CD414C"/>
    <w:rsid w:val="00CD44B0"/>
    <w:rsid w:val="00CD4CC2"/>
    <w:rsid w:val="00CD4DF4"/>
    <w:rsid w:val="00CD4F02"/>
    <w:rsid w:val="00CD4F24"/>
    <w:rsid w:val="00CD4F54"/>
    <w:rsid w:val="00CD4FC7"/>
    <w:rsid w:val="00CD50A3"/>
    <w:rsid w:val="00CD50D0"/>
    <w:rsid w:val="00CD50FA"/>
    <w:rsid w:val="00CD5156"/>
    <w:rsid w:val="00CD5250"/>
    <w:rsid w:val="00CD5578"/>
    <w:rsid w:val="00CD5690"/>
    <w:rsid w:val="00CD59AE"/>
    <w:rsid w:val="00CD5D8C"/>
    <w:rsid w:val="00CD5E21"/>
    <w:rsid w:val="00CD5F62"/>
    <w:rsid w:val="00CD5F9E"/>
    <w:rsid w:val="00CD6488"/>
    <w:rsid w:val="00CD6723"/>
    <w:rsid w:val="00CD68D3"/>
    <w:rsid w:val="00CD6A3D"/>
    <w:rsid w:val="00CD6BA7"/>
    <w:rsid w:val="00CD6EE9"/>
    <w:rsid w:val="00CD7164"/>
    <w:rsid w:val="00CD71AF"/>
    <w:rsid w:val="00CD71F9"/>
    <w:rsid w:val="00CD7249"/>
    <w:rsid w:val="00CD7370"/>
    <w:rsid w:val="00CD7E6B"/>
    <w:rsid w:val="00CD7EDA"/>
    <w:rsid w:val="00CE0071"/>
    <w:rsid w:val="00CE00A5"/>
    <w:rsid w:val="00CE053B"/>
    <w:rsid w:val="00CE05BD"/>
    <w:rsid w:val="00CE08B4"/>
    <w:rsid w:val="00CE0B89"/>
    <w:rsid w:val="00CE0F9D"/>
    <w:rsid w:val="00CE1025"/>
    <w:rsid w:val="00CE145B"/>
    <w:rsid w:val="00CE1706"/>
    <w:rsid w:val="00CE1722"/>
    <w:rsid w:val="00CE19F0"/>
    <w:rsid w:val="00CE1C9F"/>
    <w:rsid w:val="00CE1E7D"/>
    <w:rsid w:val="00CE1E9F"/>
    <w:rsid w:val="00CE222C"/>
    <w:rsid w:val="00CE22D4"/>
    <w:rsid w:val="00CE2626"/>
    <w:rsid w:val="00CE2658"/>
    <w:rsid w:val="00CE2882"/>
    <w:rsid w:val="00CE2902"/>
    <w:rsid w:val="00CE2C05"/>
    <w:rsid w:val="00CE2EB7"/>
    <w:rsid w:val="00CE2F2C"/>
    <w:rsid w:val="00CE306A"/>
    <w:rsid w:val="00CE35FB"/>
    <w:rsid w:val="00CE3B34"/>
    <w:rsid w:val="00CE3BDA"/>
    <w:rsid w:val="00CE3F77"/>
    <w:rsid w:val="00CE40A8"/>
    <w:rsid w:val="00CE4105"/>
    <w:rsid w:val="00CE42C9"/>
    <w:rsid w:val="00CE475C"/>
    <w:rsid w:val="00CE4857"/>
    <w:rsid w:val="00CE48FF"/>
    <w:rsid w:val="00CE494E"/>
    <w:rsid w:val="00CE4BF4"/>
    <w:rsid w:val="00CE4CFC"/>
    <w:rsid w:val="00CE4D91"/>
    <w:rsid w:val="00CE4EF4"/>
    <w:rsid w:val="00CE50D1"/>
    <w:rsid w:val="00CE5163"/>
    <w:rsid w:val="00CE53DE"/>
    <w:rsid w:val="00CE54AF"/>
    <w:rsid w:val="00CE5631"/>
    <w:rsid w:val="00CE570A"/>
    <w:rsid w:val="00CE5979"/>
    <w:rsid w:val="00CE59AC"/>
    <w:rsid w:val="00CE5C2C"/>
    <w:rsid w:val="00CE60A1"/>
    <w:rsid w:val="00CE60D8"/>
    <w:rsid w:val="00CE62A4"/>
    <w:rsid w:val="00CE7581"/>
    <w:rsid w:val="00CE758C"/>
    <w:rsid w:val="00CE7A7D"/>
    <w:rsid w:val="00CE7ACE"/>
    <w:rsid w:val="00CE7B3A"/>
    <w:rsid w:val="00CE7B75"/>
    <w:rsid w:val="00CE7B7E"/>
    <w:rsid w:val="00CE7BCE"/>
    <w:rsid w:val="00CE7BE4"/>
    <w:rsid w:val="00CE7CD0"/>
    <w:rsid w:val="00CE7FC6"/>
    <w:rsid w:val="00CF03CF"/>
    <w:rsid w:val="00CF04A0"/>
    <w:rsid w:val="00CF052D"/>
    <w:rsid w:val="00CF05A2"/>
    <w:rsid w:val="00CF07BA"/>
    <w:rsid w:val="00CF0969"/>
    <w:rsid w:val="00CF0A45"/>
    <w:rsid w:val="00CF0E4E"/>
    <w:rsid w:val="00CF106F"/>
    <w:rsid w:val="00CF1194"/>
    <w:rsid w:val="00CF119C"/>
    <w:rsid w:val="00CF11BE"/>
    <w:rsid w:val="00CF11E4"/>
    <w:rsid w:val="00CF1200"/>
    <w:rsid w:val="00CF140B"/>
    <w:rsid w:val="00CF1565"/>
    <w:rsid w:val="00CF18E2"/>
    <w:rsid w:val="00CF1A4C"/>
    <w:rsid w:val="00CF1D33"/>
    <w:rsid w:val="00CF267F"/>
    <w:rsid w:val="00CF28DA"/>
    <w:rsid w:val="00CF2B14"/>
    <w:rsid w:val="00CF2B65"/>
    <w:rsid w:val="00CF31F6"/>
    <w:rsid w:val="00CF34E2"/>
    <w:rsid w:val="00CF36D8"/>
    <w:rsid w:val="00CF3880"/>
    <w:rsid w:val="00CF3BCD"/>
    <w:rsid w:val="00CF3CCD"/>
    <w:rsid w:val="00CF3CCF"/>
    <w:rsid w:val="00CF3D73"/>
    <w:rsid w:val="00CF3FC0"/>
    <w:rsid w:val="00CF40DD"/>
    <w:rsid w:val="00CF4137"/>
    <w:rsid w:val="00CF416C"/>
    <w:rsid w:val="00CF42B2"/>
    <w:rsid w:val="00CF42EA"/>
    <w:rsid w:val="00CF4886"/>
    <w:rsid w:val="00CF488A"/>
    <w:rsid w:val="00CF4BC6"/>
    <w:rsid w:val="00CF4BD5"/>
    <w:rsid w:val="00CF4CD3"/>
    <w:rsid w:val="00CF4DF9"/>
    <w:rsid w:val="00CF4F3F"/>
    <w:rsid w:val="00CF4FE7"/>
    <w:rsid w:val="00CF4FFA"/>
    <w:rsid w:val="00CF514D"/>
    <w:rsid w:val="00CF527E"/>
    <w:rsid w:val="00CF5305"/>
    <w:rsid w:val="00CF534D"/>
    <w:rsid w:val="00CF5DEA"/>
    <w:rsid w:val="00CF619D"/>
    <w:rsid w:val="00CF61DF"/>
    <w:rsid w:val="00CF6283"/>
    <w:rsid w:val="00CF6344"/>
    <w:rsid w:val="00CF68E7"/>
    <w:rsid w:val="00CF6A72"/>
    <w:rsid w:val="00CF6B87"/>
    <w:rsid w:val="00CF70F5"/>
    <w:rsid w:val="00CF71F2"/>
    <w:rsid w:val="00CF77D6"/>
    <w:rsid w:val="00CF7859"/>
    <w:rsid w:val="00CF78AE"/>
    <w:rsid w:val="00CF7B8D"/>
    <w:rsid w:val="00CF7E13"/>
    <w:rsid w:val="00D00011"/>
    <w:rsid w:val="00D00228"/>
    <w:rsid w:val="00D004BB"/>
    <w:rsid w:val="00D005EB"/>
    <w:rsid w:val="00D00841"/>
    <w:rsid w:val="00D00F4B"/>
    <w:rsid w:val="00D0139E"/>
    <w:rsid w:val="00D014A7"/>
    <w:rsid w:val="00D01844"/>
    <w:rsid w:val="00D019EE"/>
    <w:rsid w:val="00D01BB8"/>
    <w:rsid w:val="00D02013"/>
    <w:rsid w:val="00D0212C"/>
    <w:rsid w:val="00D0218F"/>
    <w:rsid w:val="00D02445"/>
    <w:rsid w:val="00D024F0"/>
    <w:rsid w:val="00D0299A"/>
    <w:rsid w:val="00D02EE4"/>
    <w:rsid w:val="00D030C1"/>
    <w:rsid w:val="00D03400"/>
    <w:rsid w:val="00D0346A"/>
    <w:rsid w:val="00D034D9"/>
    <w:rsid w:val="00D0350B"/>
    <w:rsid w:val="00D0351B"/>
    <w:rsid w:val="00D03606"/>
    <w:rsid w:val="00D03694"/>
    <w:rsid w:val="00D0371F"/>
    <w:rsid w:val="00D03EAE"/>
    <w:rsid w:val="00D03F49"/>
    <w:rsid w:val="00D03FD0"/>
    <w:rsid w:val="00D0485C"/>
    <w:rsid w:val="00D05267"/>
    <w:rsid w:val="00D058BA"/>
    <w:rsid w:val="00D05A6D"/>
    <w:rsid w:val="00D05D38"/>
    <w:rsid w:val="00D05DB2"/>
    <w:rsid w:val="00D06105"/>
    <w:rsid w:val="00D06236"/>
    <w:rsid w:val="00D0674A"/>
    <w:rsid w:val="00D0682D"/>
    <w:rsid w:val="00D06C1B"/>
    <w:rsid w:val="00D06E74"/>
    <w:rsid w:val="00D06F90"/>
    <w:rsid w:val="00D07150"/>
    <w:rsid w:val="00D071C5"/>
    <w:rsid w:val="00D07638"/>
    <w:rsid w:val="00D07963"/>
    <w:rsid w:val="00D0798B"/>
    <w:rsid w:val="00D07A91"/>
    <w:rsid w:val="00D07AAE"/>
    <w:rsid w:val="00D07B68"/>
    <w:rsid w:val="00D07E22"/>
    <w:rsid w:val="00D07E4D"/>
    <w:rsid w:val="00D102BD"/>
    <w:rsid w:val="00D102D4"/>
    <w:rsid w:val="00D102EA"/>
    <w:rsid w:val="00D10AE5"/>
    <w:rsid w:val="00D10BC5"/>
    <w:rsid w:val="00D10D00"/>
    <w:rsid w:val="00D11811"/>
    <w:rsid w:val="00D119E9"/>
    <w:rsid w:val="00D11C6F"/>
    <w:rsid w:val="00D12253"/>
    <w:rsid w:val="00D12291"/>
    <w:rsid w:val="00D12313"/>
    <w:rsid w:val="00D1259D"/>
    <w:rsid w:val="00D125B3"/>
    <w:rsid w:val="00D12605"/>
    <w:rsid w:val="00D12818"/>
    <w:rsid w:val="00D12868"/>
    <w:rsid w:val="00D129D4"/>
    <w:rsid w:val="00D12DAE"/>
    <w:rsid w:val="00D12DED"/>
    <w:rsid w:val="00D12EBE"/>
    <w:rsid w:val="00D12F86"/>
    <w:rsid w:val="00D13033"/>
    <w:rsid w:val="00D13509"/>
    <w:rsid w:val="00D1352B"/>
    <w:rsid w:val="00D135D2"/>
    <w:rsid w:val="00D13605"/>
    <w:rsid w:val="00D1360C"/>
    <w:rsid w:val="00D13681"/>
    <w:rsid w:val="00D13693"/>
    <w:rsid w:val="00D13B8C"/>
    <w:rsid w:val="00D13BD4"/>
    <w:rsid w:val="00D13D93"/>
    <w:rsid w:val="00D13E1E"/>
    <w:rsid w:val="00D13E53"/>
    <w:rsid w:val="00D13E6C"/>
    <w:rsid w:val="00D14125"/>
    <w:rsid w:val="00D14137"/>
    <w:rsid w:val="00D1429C"/>
    <w:rsid w:val="00D14422"/>
    <w:rsid w:val="00D144E9"/>
    <w:rsid w:val="00D14564"/>
    <w:rsid w:val="00D14DDE"/>
    <w:rsid w:val="00D15174"/>
    <w:rsid w:val="00D151A9"/>
    <w:rsid w:val="00D152EA"/>
    <w:rsid w:val="00D15460"/>
    <w:rsid w:val="00D155B1"/>
    <w:rsid w:val="00D15711"/>
    <w:rsid w:val="00D15BBA"/>
    <w:rsid w:val="00D15F3A"/>
    <w:rsid w:val="00D161A4"/>
    <w:rsid w:val="00D161A6"/>
    <w:rsid w:val="00D164C2"/>
    <w:rsid w:val="00D16A97"/>
    <w:rsid w:val="00D16CA2"/>
    <w:rsid w:val="00D16E4F"/>
    <w:rsid w:val="00D16FAD"/>
    <w:rsid w:val="00D17169"/>
    <w:rsid w:val="00D1738E"/>
    <w:rsid w:val="00D174F5"/>
    <w:rsid w:val="00D176B4"/>
    <w:rsid w:val="00D176EF"/>
    <w:rsid w:val="00D179DB"/>
    <w:rsid w:val="00D17A6F"/>
    <w:rsid w:val="00D17A9B"/>
    <w:rsid w:val="00D17D19"/>
    <w:rsid w:val="00D17D54"/>
    <w:rsid w:val="00D17E4C"/>
    <w:rsid w:val="00D20283"/>
    <w:rsid w:val="00D20381"/>
    <w:rsid w:val="00D203B8"/>
    <w:rsid w:val="00D20462"/>
    <w:rsid w:val="00D2071C"/>
    <w:rsid w:val="00D208B5"/>
    <w:rsid w:val="00D20A2D"/>
    <w:rsid w:val="00D20AE4"/>
    <w:rsid w:val="00D20CA0"/>
    <w:rsid w:val="00D20DF8"/>
    <w:rsid w:val="00D20F9E"/>
    <w:rsid w:val="00D2126C"/>
    <w:rsid w:val="00D21414"/>
    <w:rsid w:val="00D214BB"/>
    <w:rsid w:val="00D2172E"/>
    <w:rsid w:val="00D21917"/>
    <w:rsid w:val="00D21958"/>
    <w:rsid w:val="00D21A1F"/>
    <w:rsid w:val="00D21BCE"/>
    <w:rsid w:val="00D21C0A"/>
    <w:rsid w:val="00D21CEB"/>
    <w:rsid w:val="00D22314"/>
    <w:rsid w:val="00D22370"/>
    <w:rsid w:val="00D2247B"/>
    <w:rsid w:val="00D2269F"/>
    <w:rsid w:val="00D2270C"/>
    <w:rsid w:val="00D22713"/>
    <w:rsid w:val="00D2275E"/>
    <w:rsid w:val="00D2279F"/>
    <w:rsid w:val="00D22823"/>
    <w:rsid w:val="00D229D8"/>
    <w:rsid w:val="00D22A5A"/>
    <w:rsid w:val="00D22B4A"/>
    <w:rsid w:val="00D22D6A"/>
    <w:rsid w:val="00D22D6E"/>
    <w:rsid w:val="00D2320B"/>
    <w:rsid w:val="00D232C5"/>
    <w:rsid w:val="00D23386"/>
    <w:rsid w:val="00D2351A"/>
    <w:rsid w:val="00D2365E"/>
    <w:rsid w:val="00D23705"/>
    <w:rsid w:val="00D2374E"/>
    <w:rsid w:val="00D23757"/>
    <w:rsid w:val="00D23B94"/>
    <w:rsid w:val="00D23C36"/>
    <w:rsid w:val="00D24151"/>
    <w:rsid w:val="00D242B1"/>
    <w:rsid w:val="00D24321"/>
    <w:rsid w:val="00D243BF"/>
    <w:rsid w:val="00D244BF"/>
    <w:rsid w:val="00D24727"/>
    <w:rsid w:val="00D248C2"/>
    <w:rsid w:val="00D24BB5"/>
    <w:rsid w:val="00D24C52"/>
    <w:rsid w:val="00D24C5E"/>
    <w:rsid w:val="00D24C60"/>
    <w:rsid w:val="00D24C9D"/>
    <w:rsid w:val="00D24D47"/>
    <w:rsid w:val="00D250DE"/>
    <w:rsid w:val="00D25434"/>
    <w:rsid w:val="00D25735"/>
    <w:rsid w:val="00D25B11"/>
    <w:rsid w:val="00D25B13"/>
    <w:rsid w:val="00D25BB9"/>
    <w:rsid w:val="00D25C5E"/>
    <w:rsid w:val="00D25D43"/>
    <w:rsid w:val="00D2607F"/>
    <w:rsid w:val="00D261FB"/>
    <w:rsid w:val="00D26280"/>
    <w:rsid w:val="00D269ED"/>
    <w:rsid w:val="00D26A64"/>
    <w:rsid w:val="00D26CCC"/>
    <w:rsid w:val="00D26D0C"/>
    <w:rsid w:val="00D26F0E"/>
    <w:rsid w:val="00D27045"/>
    <w:rsid w:val="00D27047"/>
    <w:rsid w:val="00D270F5"/>
    <w:rsid w:val="00D2747B"/>
    <w:rsid w:val="00D275BF"/>
    <w:rsid w:val="00D27628"/>
    <w:rsid w:val="00D2765E"/>
    <w:rsid w:val="00D276F5"/>
    <w:rsid w:val="00D27B4F"/>
    <w:rsid w:val="00D27E95"/>
    <w:rsid w:val="00D27EC2"/>
    <w:rsid w:val="00D27FE5"/>
    <w:rsid w:val="00D30289"/>
    <w:rsid w:val="00D304FB"/>
    <w:rsid w:val="00D30543"/>
    <w:rsid w:val="00D30917"/>
    <w:rsid w:val="00D309B6"/>
    <w:rsid w:val="00D30ED2"/>
    <w:rsid w:val="00D3113E"/>
    <w:rsid w:val="00D311E0"/>
    <w:rsid w:val="00D31386"/>
    <w:rsid w:val="00D314BD"/>
    <w:rsid w:val="00D31535"/>
    <w:rsid w:val="00D31666"/>
    <w:rsid w:val="00D31690"/>
    <w:rsid w:val="00D31713"/>
    <w:rsid w:val="00D317EC"/>
    <w:rsid w:val="00D31846"/>
    <w:rsid w:val="00D31CAA"/>
    <w:rsid w:val="00D320EC"/>
    <w:rsid w:val="00D32329"/>
    <w:rsid w:val="00D3237E"/>
    <w:rsid w:val="00D324F0"/>
    <w:rsid w:val="00D3272C"/>
    <w:rsid w:val="00D32A3B"/>
    <w:rsid w:val="00D32AA2"/>
    <w:rsid w:val="00D32CEE"/>
    <w:rsid w:val="00D32E17"/>
    <w:rsid w:val="00D32E4B"/>
    <w:rsid w:val="00D32EDB"/>
    <w:rsid w:val="00D32F4B"/>
    <w:rsid w:val="00D338B6"/>
    <w:rsid w:val="00D3390E"/>
    <w:rsid w:val="00D339A3"/>
    <w:rsid w:val="00D33E6E"/>
    <w:rsid w:val="00D33E9B"/>
    <w:rsid w:val="00D340DD"/>
    <w:rsid w:val="00D3412A"/>
    <w:rsid w:val="00D341BF"/>
    <w:rsid w:val="00D343F0"/>
    <w:rsid w:val="00D345D6"/>
    <w:rsid w:val="00D346CA"/>
    <w:rsid w:val="00D346D3"/>
    <w:rsid w:val="00D347A0"/>
    <w:rsid w:val="00D347CB"/>
    <w:rsid w:val="00D3490D"/>
    <w:rsid w:val="00D34B28"/>
    <w:rsid w:val="00D34CD6"/>
    <w:rsid w:val="00D34FDE"/>
    <w:rsid w:val="00D35031"/>
    <w:rsid w:val="00D350D4"/>
    <w:rsid w:val="00D35203"/>
    <w:rsid w:val="00D3543E"/>
    <w:rsid w:val="00D3577E"/>
    <w:rsid w:val="00D358AC"/>
    <w:rsid w:val="00D35A01"/>
    <w:rsid w:val="00D35A11"/>
    <w:rsid w:val="00D35CF3"/>
    <w:rsid w:val="00D35F8A"/>
    <w:rsid w:val="00D35FA9"/>
    <w:rsid w:val="00D3600B"/>
    <w:rsid w:val="00D3661A"/>
    <w:rsid w:val="00D36690"/>
    <w:rsid w:val="00D36743"/>
    <w:rsid w:val="00D36747"/>
    <w:rsid w:val="00D369A3"/>
    <w:rsid w:val="00D36F14"/>
    <w:rsid w:val="00D36FCC"/>
    <w:rsid w:val="00D370DF"/>
    <w:rsid w:val="00D37569"/>
    <w:rsid w:val="00D376DA"/>
    <w:rsid w:val="00D3788B"/>
    <w:rsid w:val="00D37CD8"/>
    <w:rsid w:val="00D37D70"/>
    <w:rsid w:val="00D4013C"/>
    <w:rsid w:val="00D40639"/>
    <w:rsid w:val="00D40A58"/>
    <w:rsid w:val="00D40B08"/>
    <w:rsid w:val="00D40E78"/>
    <w:rsid w:val="00D41132"/>
    <w:rsid w:val="00D41229"/>
    <w:rsid w:val="00D414C6"/>
    <w:rsid w:val="00D416C7"/>
    <w:rsid w:val="00D41846"/>
    <w:rsid w:val="00D41B88"/>
    <w:rsid w:val="00D41E20"/>
    <w:rsid w:val="00D41EE9"/>
    <w:rsid w:val="00D4210A"/>
    <w:rsid w:val="00D4212E"/>
    <w:rsid w:val="00D42247"/>
    <w:rsid w:val="00D42354"/>
    <w:rsid w:val="00D423BF"/>
    <w:rsid w:val="00D42802"/>
    <w:rsid w:val="00D42D37"/>
    <w:rsid w:val="00D42D96"/>
    <w:rsid w:val="00D43114"/>
    <w:rsid w:val="00D43369"/>
    <w:rsid w:val="00D433A5"/>
    <w:rsid w:val="00D434F7"/>
    <w:rsid w:val="00D434FB"/>
    <w:rsid w:val="00D43558"/>
    <w:rsid w:val="00D438B3"/>
    <w:rsid w:val="00D4393B"/>
    <w:rsid w:val="00D43FC6"/>
    <w:rsid w:val="00D4433E"/>
    <w:rsid w:val="00D44535"/>
    <w:rsid w:val="00D4462F"/>
    <w:rsid w:val="00D446D1"/>
    <w:rsid w:val="00D4483E"/>
    <w:rsid w:val="00D44996"/>
    <w:rsid w:val="00D449AD"/>
    <w:rsid w:val="00D44B0B"/>
    <w:rsid w:val="00D44D2E"/>
    <w:rsid w:val="00D44DAD"/>
    <w:rsid w:val="00D44F17"/>
    <w:rsid w:val="00D44FA4"/>
    <w:rsid w:val="00D450F9"/>
    <w:rsid w:val="00D453BB"/>
    <w:rsid w:val="00D4554D"/>
    <w:rsid w:val="00D457A5"/>
    <w:rsid w:val="00D457CA"/>
    <w:rsid w:val="00D45806"/>
    <w:rsid w:val="00D45894"/>
    <w:rsid w:val="00D45899"/>
    <w:rsid w:val="00D45CD3"/>
    <w:rsid w:val="00D45EA2"/>
    <w:rsid w:val="00D461B2"/>
    <w:rsid w:val="00D4645B"/>
    <w:rsid w:val="00D46520"/>
    <w:rsid w:val="00D46608"/>
    <w:rsid w:val="00D46806"/>
    <w:rsid w:val="00D46986"/>
    <w:rsid w:val="00D469EC"/>
    <w:rsid w:val="00D46B6E"/>
    <w:rsid w:val="00D46F11"/>
    <w:rsid w:val="00D47126"/>
    <w:rsid w:val="00D47181"/>
    <w:rsid w:val="00D47327"/>
    <w:rsid w:val="00D4779E"/>
    <w:rsid w:val="00D47922"/>
    <w:rsid w:val="00D47FDA"/>
    <w:rsid w:val="00D50015"/>
    <w:rsid w:val="00D5010D"/>
    <w:rsid w:val="00D5025F"/>
    <w:rsid w:val="00D50471"/>
    <w:rsid w:val="00D5050F"/>
    <w:rsid w:val="00D507A0"/>
    <w:rsid w:val="00D50931"/>
    <w:rsid w:val="00D509B9"/>
    <w:rsid w:val="00D50B06"/>
    <w:rsid w:val="00D50BE7"/>
    <w:rsid w:val="00D50FEE"/>
    <w:rsid w:val="00D5116E"/>
    <w:rsid w:val="00D51288"/>
    <w:rsid w:val="00D5133C"/>
    <w:rsid w:val="00D51573"/>
    <w:rsid w:val="00D51641"/>
    <w:rsid w:val="00D517B8"/>
    <w:rsid w:val="00D518C2"/>
    <w:rsid w:val="00D51906"/>
    <w:rsid w:val="00D51AAC"/>
    <w:rsid w:val="00D51DF8"/>
    <w:rsid w:val="00D51DFA"/>
    <w:rsid w:val="00D51ED1"/>
    <w:rsid w:val="00D51F64"/>
    <w:rsid w:val="00D51F65"/>
    <w:rsid w:val="00D5207D"/>
    <w:rsid w:val="00D5220C"/>
    <w:rsid w:val="00D5226A"/>
    <w:rsid w:val="00D522D8"/>
    <w:rsid w:val="00D5240D"/>
    <w:rsid w:val="00D52436"/>
    <w:rsid w:val="00D525F6"/>
    <w:rsid w:val="00D52AB3"/>
    <w:rsid w:val="00D52D9D"/>
    <w:rsid w:val="00D52DEA"/>
    <w:rsid w:val="00D532ED"/>
    <w:rsid w:val="00D533F5"/>
    <w:rsid w:val="00D537DE"/>
    <w:rsid w:val="00D53BD6"/>
    <w:rsid w:val="00D53C96"/>
    <w:rsid w:val="00D53E3A"/>
    <w:rsid w:val="00D541D5"/>
    <w:rsid w:val="00D54227"/>
    <w:rsid w:val="00D54294"/>
    <w:rsid w:val="00D542C0"/>
    <w:rsid w:val="00D54468"/>
    <w:rsid w:val="00D544DE"/>
    <w:rsid w:val="00D549A0"/>
    <w:rsid w:val="00D54A1D"/>
    <w:rsid w:val="00D54A7B"/>
    <w:rsid w:val="00D54B4A"/>
    <w:rsid w:val="00D54CAD"/>
    <w:rsid w:val="00D54D2D"/>
    <w:rsid w:val="00D55434"/>
    <w:rsid w:val="00D55672"/>
    <w:rsid w:val="00D55715"/>
    <w:rsid w:val="00D557F6"/>
    <w:rsid w:val="00D557FC"/>
    <w:rsid w:val="00D55C82"/>
    <w:rsid w:val="00D55EFC"/>
    <w:rsid w:val="00D5644C"/>
    <w:rsid w:val="00D56977"/>
    <w:rsid w:val="00D569C3"/>
    <w:rsid w:val="00D56A96"/>
    <w:rsid w:val="00D56B47"/>
    <w:rsid w:val="00D56B7D"/>
    <w:rsid w:val="00D56CF6"/>
    <w:rsid w:val="00D56E5D"/>
    <w:rsid w:val="00D56F31"/>
    <w:rsid w:val="00D56FC4"/>
    <w:rsid w:val="00D57031"/>
    <w:rsid w:val="00D57106"/>
    <w:rsid w:val="00D57624"/>
    <w:rsid w:val="00D5797B"/>
    <w:rsid w:val="00D57C17"/>
    <w:rsid w:val="00D57D16"/>
    <w:rsid w:val="00D602A4"/>
    <w:rsid w:val="00D6096D"/>
    <w:rsid w:val="00D60A01"/>
    <w:rsid w:val="00D60DB6"/>
    <w:rsid w:val="00D60EA9"/>
    <w:rsid w:val="00D60F0F"/>
    <w:rsid w:val="00D614A0"/>
    <w:rsid w:val="00D61527"/>
    <w:rsid w:val="00D617C2"/>
    <w:rsid w:val="00D61959"/>
    <w:rsid w:val="00D61BD1"/>
    <w:rsid w:val="00D61D62"/>
    <w:rsid w:val="00D61E21"/>
    <w:rsid w:val="00D6204C"/>
    <w:rsid w:val="00D620E4"/>
    <w:rsid w:val="00D62238"/>
    <w:rsid w:val="00D62364"/>
    <w:rsid w:val="00D62699"/>
    <w:rsid w:val="00D62867"/>
    <w:rsid w:val="00D628B2"/>
    <w:rsid w:val="00D62B6B"/>
    <w:rsid w:val="00D62C01"/>
    <w:rsid w:val="00D62C9F"/>
    <w:rsid w:val="00D62CEC"/>
    <w:rsid w:val="00D62F63"/>
    <w:rsid w:val="00D63175"/>
    <w:rsid w:val="00D6348F"/>
    <w:rsid w:val="00D635A6"/>
    <w:rsid w:val="00D637D4"/>
    <w:rsid w:val="00D6392D"/>
    <w:rsid w:val="00D63BF2"/>
    <w:rsid w:val="00D63C09"/>
    <w:rsid w:val="00D63DEB"/>
    <w:rsid w:val="00D63EAD"/>
    <w:rsid w:val="00D63EFA"/>
    <w:rsid w:val="00D64141"/>
    <w:rsid w:val="00D643A7"/>
    <w:rsid w:val="00D64671"/>
    <w:rsid w:val="00D647A3"/>
    <w:rsid w:val="00D64CAD"/>
    <w:rsid w:val="00D64D51"/>
    <w:rsid w:val="00D64EDA"/>
    <w:rsid w:val="00D65146"/>
    <w:rsid w:val="00D6515C"/>
    <w:rsid w:val="00D652AF"/>
    <w:rsid w:val="00D65616"/>
    <w:rsid w:val="00D65649"/>
    <w:rsid w:val="00D6607C"/>
    <w:rsid w:val="00D663BD"/>
    <w:rsid w:val="00D6678E"/>
    <w:rsid w:val="00D668B8"/>
    <w:rsid w:val="00D66BC8"/>
    <w:rsid w:val="00D66D99"/>
    <w:rsid w:val="00D66DEB"/>
    <w:rsid w:val="00D671AC"/>
    <w:rsid w:val="00D67442"/>
    <w:rsid w:val="00D6754C"/>
    <w:rsid w:val="00D67681"/>
    <w:rsid w:val="00D678AE"/>
    <w:rsid w:val="00D678FA"/>
    <w:rsid w:val="00D6794E"/>
    <w:rsid w:val="00D67962"/>
    <w:rsid w:val="00D67D68"/>
    <w:rsid w:val="00D67E7E"/>
    <w:rsid w:val="00D67F66"/>
    <w:rsid w:val="00D70064"/>
    <w:rsid w:val="00D700DB"/>
    <w:rsid w:val="00D70951"/>
    <w:rsid w:val="00D70A54"/>
    <w:rsid w:val="00D70D25"/>
    <w:rsid w:val="00D70E80"/>
    <w:rsid w:val="00D71273"/>
    <w:rsid w:val="00D713AA"/>
    <w:rsid w:val="00D714F5"/>
    <w:rsid w:val="00D71729"/>
    <w:rsid w:val="00D71858"/>
    <w:rsid w:val="00D71B2C"/>
    <w:rsid w:val="00D71C85"/>
    <w:rsid w:val="00D71E60"/>
    <w:rsid w:val="00D7203F"/>
    <w:rsid w:val="00D720A3"/>
    <w:rsid w:val="00D720BA"/>
    <w:rsid w:val="00D72109"/>
    <w:rsid w:val="00D72390"/>
    <w:rsid w:val="00D723FE"/>
    <w:rsid w:val="00D7266C"/>
    <w:rsid w:val="00D727A7"/>
    <w:rsid w:val="00D727C2"/>
    <w:rsid w:val="00D72970"/>
    <w:rsid w:val="00D72D40"/>
    <w:rsid w:val="00D72ECC"/>
    <w:rsid w:val="00D72EFB"/>
    <w:rsid w:val="00D72FC1"/>
    <w:rsid w:val="00D733CA"/>
    <w:rsid w:val="00D73446"/>
    <w:rsid w:val="00D7352D"/>
    <w:rsid w:val="00D7352E"/>
    <w:rsid w:val="00D73918"/>
    <w:rsid w:val="00D73CE3"/>
    <w:rsid w:val="00D73E1B"/>
    <w:rsid w:val="00D73EE7"/>
    <w:rsid w:val="00D73FEF"/>
    <w:rsid w:val="00D740ED"/>
    <w:rsid w:val="00D7424F"/>
    <w:rsid w:val="00D748E2"/>
    <w:rsid w:val="00D74951"/>
    <w:rsid w:val="00D74A52"/>
    <w:rsid w:val="00D74DB9"/>
    <w:rsid w:val="00D74FD5"/>
    <w:rsid w:val="00D75101"/>
    <w:rsid w:val="00D751A0"/>
    <w:rsid w:val="00D75654"/>
    <w:rsid w:val="00D75BFE"/>
    <w:rsid w:val="00D75D15"/>
    <w:rsid w:val="00D75E88"/>
    <w:rsid w:val="00D761B3"/>
    <w:rsid w:val="00D7639D"/>
    <w:rsid w:val="00D76625"/>
    <w:rsid w:val="00D7680D"/>
    <w:rsid w:val="00D76AEB"/>
    <w:rsid w:val="00D76B85"/>
    <w:rsid w:val="00D76CA5"/>
    <w:rsid w:val="00D76CEE"/>
    <w:rsid w:val="00D76D71"/>
    <w:rsid w:val="00D76F24"/>
    <w:rsid w:val="00D76F33"/>
    <w:rsid w:val="00D7765B"/>
    <w:rsid w:val="00D77680"/>
    <w:rsid w:val="00D77955"/>
    <w:rsid w:val="00D77969"/>
    <w:rsid w:val="00D77AF5"/>
    <w:rsid w:val="00D77C9C"/>
    <w:rsid w:val="00D77E8A"/>
    <w:rsid w:val="00D77F1C"/>
    <w:rsid w:val="00D803BF"/>
    <w:rsid w:val="00D806F4"/>
    <w:rsid w:val="00D807F0"/>
    <w:rsid w:val="00D80B8F"/>
    <w:rsid w:val="00D80CCB"/>
    <w:rsid w:val="00D80F3D"/>
    <w:rsid w:val="00D80F4F"/>
    <w:rsid w:val="00D81680"/>
    <w:rsid w:val="00D816A4"/>
    <w:rsid w:val="00D81711"/>
    <w:rsid w:val="00D8175E"/>
    <w:rsid w:val="00D81A63"/>
    <w:rsid w:val="00D81CE2"/>
    <w:rsid w:val="00D81D31"/>
    <w:rsid w:val="00D81FFB"/>
    <w:rsid w:val="00D8201A"/>
    <w:rsid w:val="00D823A0"/>
    <w:rsid w:val="00D82679"/>
    <w:rsid w:val="00D82AB5"/>
    <w:rsid w:val="00D82D30"/>
    <w:rsid w:val="00D82E0A"/>
    <w:rsid w:val="00D82F25"/>
    <w:rsid w:val="00D8312B"/>
    <w:rsid w:val="00D837D8"/>
    <w:rsid w:val="00D84070"/>
    <w:rsid w:val="00D84843"/>
    <w:rsid w:val="00D84C1E"/>
    <w:rsid w:val="00D84F77"/>
    <w:rsid w:val="00D850D9"/>
    <w:rsid w:val="00D85363"/>
    <w:rsid w:val="00D853C9"/>
    <w:rsid w:val="00D8555E"/>
    <w:rsid w:val="00D855A5"/>
    <w:rsid w:val="00D8594A"/>
    <w:rsid w:val="00D859CE"/>
    <w:rsid w:val="00D859D0"/>
    <w:rsid w:val="00D85AC0"/>
    <w:rsid w:val="00D85ADF"/>
    <w:rsid w:val="00D85CF7"/>
    <w:rsid w:val="00D85E17"/>
    <w:rsid w:val="00D85F95"/>
    <w:rsid w:val="00D861A8"/>
    <w:rsid w:val="00D86205"/>
    <w:rsid w:val="00D86245"/>
    <w:rsid w:val="00D8625C"/>
    <w:rsid w:val="00D86398"/>
    <w:rsid w:val="00D8645F"/>
    <w:rsid w:val="00D864CF"/>
    <w:rsid w:val="00D86551"/>
    <w:rsid w:val="00D8659A"/>
    <w:rsid w:val="00D865A7"/>
    <w:rsid w:val="00D86B02"/>
    <w:rsid w:val="00D86B34"/>
    <w:rsid w:val="00D86CAB"/>
    <w:rsid w:val="00D86CB9"/>
    <w:rsid w:val="00D86EF0"/>
    <w:rsid w:val="00D871BA"/>
    <w:rsid w:val="00D87502"/>
    <w:rsid w:val="00D8774A"/>
    <w:rsid w:val="00D8778D"/>
    <w:rsid w:val="00D877FA"/>
    <w:rsid w:val="00D87873"/>
    <w:rsid w:val="00D87924"/>
    <w:rsid w:val="00D879F8"/>
    <w:rsid w:val="00D87ADD"/>
    <w:rsid w:val="00D87B97"/>
    <w:rsid w:val="00D87BFD"/>
    <w:rsid w:val="00D87D04"/>
    <w:rsid w:val="00D87DF7"/>
    <w:rsid w:val="00D90073"/>
    <w:rsid w:val="00D90110"/>
    <w:rsid w:val="00D90146"/>
    <w:rsid w:val="00D903A0"/>
    <w:rsid w:val="00D9049A"/>
    <w:rsid w:val="00D90789"/>
    <w:rsid w:val="00D90931"/>
    <w:rsid w:val="00D90B06"/>
    <w:rsid w:val="00D90C01"/>
    <w:rsid w:val="00D90D38"/>
    <w:rsid w:val="00D90D39"/>
    <w:rsid w:val="00D90E3F"/>
    <w:rsid w:val="00D91226"/>
    <w:rsid w:val="00D912B3"/>
    <w:rsid w:val="00D9166C"/>
    <w:rsid w:val="00D91695"/>
    <w:rsid w:val="00D91828"/>
    <w:rsid w:val="00D9182D"/>
    <w:rsid w:val="00D9183E"/>
    <w:rsid w:val="00D91C0F"/>
    <w:rsid w:val="00D91E10"/>
    <w:rsid w:val="00D91E25"/>
    <w:rsid w:val="00D921B4"/>
    <w:rsid w:val="00D927BF"/>
    <w:rsid w:val="00D9298A"/>
    <w:rsid w:val="00D92B2A"/>
    <w:rsid w:val="00D92CE9"/>
    <w:rsid w:val="00D92D5C"/>
    <w:rsid w:val="00D92EAE"/>
    <w:rsid w:val="00D931AE"/>
    <w:rsid w:val="00D9350D"/>
    <w:rsid w:val="00D93A3A"/>
    <w:rsid w:val="00D93C27"/>
    <w:rsid w:val="00D93D69"/>
    <w:rsid w:val="00D9400C"/>
    <w:rsid w:val="00D9411C"/>
    <w:rsid w:val="00D94160"/>
    <w:rsid w:val="00D947B6"/>
    <w:rsid w:val="00D94864"/>
    <w:rsid w:val="00D94A04"/>
    <w:rsid w:val="00D94A5C"/>
    <w:rsid w:val="00D94AEF"/>
    <w:rsid w:val="00D94D2E"/>
    <w:rsid w:val="00D94ED6"/>
    <w:rsid w:val="00D94EFD"/>
    <w:rsid w:val="00D94FE4"/>
    <w:rsid w:val="00D9509C"/>
    <w:rsid w:val="00D95BF7"/>
    <w:rsid w:val="00D95DD0"/>
    <w:rsid w:val="00D95FDB"/>
    <w:rsid w:val="00D96219"/>
    <w:rsid w:val="00D9638C"/>
    <w:rsid w:val="00D9639E"/>
    <w:rsid w:val="00D9642F"/>
    <w:rsid w:val="00D96B58"/>
    <w:rsid w:val="00D96CC7"/>
    <w:rsid w:val="00D972EC"/>
    <w:rsid w:val="00D979B9"/>
    <w:rsid w:val="00D97D82"/>
    <w:rsid w:val="00D97DD9"/>
    <w:rsid w:val="00D97FFE"/>
    <w:rsid w:val="00DA0047"/>
    <w:rsid w:val="00DA0094"/>
    <w:rsid w:val="00DA0339"/>
    <w:rsid w:val="00DA0348"/>
    <w:rsid w:val="00DA03B6"/>
    <w:rsid w:val="00DA0577"/>
    <w:rsid w:val="00DA06F4"/>
    <w:rsid w:val="00DA07A7"/>
    <w:rsid w:val="00DA0ABD"/>
    <w:rsid w:val="00DA0BC0"/>
    <w:rsid w:val="00DA1224"/>
    <w:rsid w:val="00DA1277"/>
    <w:rsid w:val="00DA12CC"/>
    <w:rsid w:val="00DA152C"/>
    <w:rsid w:val="00DA1709"/>
    <w:rsid w:val="00DA18C1"/>
    <w:rsid w:val="00DA1A1B"/>
    <w:rsid w:val="00DA1F48"/>
    <w:rsid w:val="00DA2200"/>
    <w:rsid w:val="00DA2224"/>
    <w:rsid w:val="00DA26C9"/>
    <w:rsid w:val="00DA2B03"/>
    <w:rsid w:val="00DA2B2D"/>
    <w:rsid w:val="00DA2CD7"/>
    <w:rsid w:val="00DA3138"/>
    <w:rsid w:val="00DA3529"/>
    <w:rsid w:val="00DA3695"/>
    <w:rsid w:val="00DA36D0"/>
    <w:rsid w:val="00DA376F"/>
    <w:rsid w:val="00DA39A3"/>
    <w:rsid w:val="00DA3C36"/>
    <w:rsid w:val="00DA3D10"/>
    <w:rsid w:val="00DA4232"/>
    <w:rsid w:val="00DA4471"/>
    <w:rsid w:val="00DA44B4"/>
    <w:rsid w:val="00DA44B9"/>
    <w:rsid w:val="00DA456B"/>
    <w:rsid w:val="00DA479B"/>
    <w:rsid w:val="00DA491F"/>
    <w:rsid w:val="00DA49B7"/>
    <w:rsid w:val="00DA4C35"/>
    <w:rsid w:val="00DA4D1A"/>
    <w:rsid w:val="00DA5107"/>
    <w:rsid w:val="00DA517A"/>
    <w:rsid w:val="00DA5196"/>
    <w:rsid w:val="00DA51D0"/>
    <w:rsid w:val="00DA5576"/>
    <w:rsid w:val="00DA5581"/>
    <w:rsid w:val="00DA55FC"/>
    <w:rsid w:val="00DA5615"/>
    <w:rsid w:val="00DA57A3"/>
    <w:rsid w:val="00DA57F5"/>
    <w:rsid w:val="00DA58A6"/>
    <w:rsid w:val="00DA594B"/>
    <w:rsid w:val="00DA59EE"/>
    <w:rsid w:val="00DA5B68"/>
    <w:rsid w:val="00DA5C58"/>
    <w:rsid w:val="00DA5C6F"/>
    <w:rsid w:val="00DA5D05"/>
    <w:rsid w:val="00DA5D3B"/>
    <w:rsid w:val="00DA648A"/>
    <w:rsid w:val="00DA674D"/>
    <w:rsid w:val="00DA6C28"/>
    <w:rsid w:val="00DA706A"/>
    <w:rsid w:val="00DA70D5"/>
    <w:rsid w:val="00DA70E3"/>
    <w:rsid w:val="00DA72B8"/>
    <w:rsid w:val="00DA759C"/>
    <w:rsid w:val="00DA7C0A"/>
    <w:rsid w:val="00DA7DDE"/>
    <w:rsid w:val="00DA7E88"/>
    <w:rsid w:val="00DA7FD4"/>
    <w:rsid w:val="00DB0049"/>
    <w:rsid w:val="00DB0589"/>
    <w:rsid w:val="00DB06EF"/>
    <w:rsid w:val="00DB0910"/>
    <w:rsid w:val="00DB10D4"/>
    <w:rsid w:val="00DB12A6"/>
    <w:rsid w:val="00DB159A"/>
    <w:rsid w:val="00DB16F5"/>
    <w:rsid w:val="00DB18E1"/>
    <w:rsid w:val="00DB1966"/>
    <w:rsid w:val="00DB1CA8"/>
    <w:rsid w:val="00DB1CE8"/>
    <w:rsid w:val="00DB1D1B"/>
    <w:rsid w:val="00DB1E46"/>
    <w:rsid w:val="00DB1F0A"/>
    <w:rsid w:val="00DB253D"/>
    <w:rsid w:val="00DB25B9"/>
    <w:rsid w:val="00DB2ACC"/>
    <w:rsid w:val="00DB2C88"/>
    <w:rsid w:val="00DB2DBE"/>
    <w:rsid w:val="00DB30AB"/>
    <w:rsid w:val="00DB30E3"/>
    <w:rsid w:val="00DB3600"/>
    <w:rsid w:val="00DB36C6"/>
    <w:rsid w:val="00DB3722"/>
    <w:rsid w:val="00DB3968"/>
    <w:rsid w:val="00DB3ADE"/>
    <w:rsid w:val="00DB3CB2"/>
    <w:rsid w:val="00DB3D92"/>
    <w:rsid w:val="00DB3E04"/>
    <w:rsid w:val="00DB42BF"/>
    <w:rsid w:val="00DB42FD"/>
    <w:rsid w:val="00DB4369"/>
    <w:rsid w:val="00DB479A"/>
    <w:rsid w:val="00DB4929"/>
    <w:rsid w:val="00DB4A66"/>
    <w:rsid w:val="00DB4C0C"/>
    <w:rsid w:val="00DB4CEB"/>
    <w:rsid w:val="00DB5041"/>
    <w:rsid w:val="00DB50A1"/>
    <w:rsid w:val="00DB50DB"/>
    <w:rsid w:val="00DB5111"/>
    <w:rsid w:val="00DB5115"/>
    <w:rsid w:val="00DB52E6"/>
    <w:rsid w:val="00DB5526"/>
    <w:rsid w:val="00DB5634"/>
    <w:rsid w:val="00DB5805"/>
    <w:rsid w:val="00DB5A39"/>
    <w:rsid w:val="00DB5AF1"/>
    <w:rsid w:val="00DB5D46"/>
    <w:rsid w:val="00DB6142"/>
    <w:rsid w:val="00DB6299"/>
    <w:rsid w:val="00DB6488"/>
    <w:rsid w:val="00DB6852"/>
    <w:rsid w:val="00DB6B27"/>
    <w:rsid w:val="00DB6C26"/>
    <w:rsid w:val="00DB6D6C"/>
    <w:rsid w:val="00DB6E01"/>
    <w:rsid w:val="00DB6E54"/>
    <w:rsid w:val="00DB7182"/>
    <w:rsid w:val="00DB723A"/>
    <w:rsid w:val="00DB72F5"/>
    <w:rsid w:val="00DB7A2B"/>
    <w:rsid w:val="00DB7BA0"/>
    <w:rsid w:val="00DB7C23"/>
    <w:rsid w:val="00DB7CAF"/>
    <w:rsid w:val="00DB7E28"/>
    <w:rsid w:val="00DB7E29"/>
    <w:rsid w:val="00DB7F4C"/>
    <w:rsid w:val="00DB7FAE"/>
    <w:rsid w:val="00DC0159"/>
    <w:rsid w:val="00DC02FE"/>
    <w:rsid w:val="00DC0443"/>
    <w:rsid w:val="00DC05DD"/>
    <w:rsid w:val="00DC0B43"/>
    <w:rsid w:val="00DC0D49"/>
    <w:rsid w:val="00DC0F10"/>
    <w:rsid w:val="00DC0F22"/>
    <w:rsid w:val="00DC0FA4"/>
    <w:rsid w:val="00DC1052"/>
    <w:rsid w:val="00DC1640"/>
    <w:rsid w:val="00DC1683"/>
    <w:rsid w:val="00DC16D7"/>
    <w:rsid w:val="00DC17F9"/>
    <w:rsid w:val="00DC1FC9"/>
    <w:rsid w:val="00DC217C"/>
    <w:rsid w:val="00DC21F7"/>
    <w:rsid w:val="00DC2406"/>
    <w:rsid w:val="00DC24CD"/>
    <w:rsid w:val="00DC24E4"/>
    <w:rsid w:val="00DC264B"/>
    <w:rsid w:val="00DC2A7D"/>
    <w:rsid w:val="00DC2BB4"/>
    <w:rsid w:val="00DC2EA9"/>
    <w:rsid w:val="00DC3035"/>
    <w:rsid w:val="00DC31B7"/>
    <w:rsid w:val="00DC353C"/>
    <w:rsid w:val="00DC3578"/>
    <w:rsid w:val="00DC37F9"/>
    <w:rsid w:val="00DC3D42"/>
    <w:rsid w:val="00DC3DEE"/>
    <w:rsid w:val="00DC3F26"/>
    <w:rsid w:val="00DC4168"/>
    <w:rsid w:val="00DC431B"/>
    <w:rsid w:val="00DC4555"/>
    <w:rsid w:val="00DC45E8"/>
    <w:rsid w:val="00DC4649"/>
    <w:rsid w:val="00DC46FF"/>
    <w:rsid w:val="00DC47A4"/>
    <w:rsid w:val="00DC47C0"/>
    <w:rsid w:val="00DC4813"/>
    <w:rsid w:val="00DC4C95"/>
    <w:rsid w:val="00DC546F"/>
    <w:rsid w:val="00DC5B7C"/>
    <w:rsid w:val="00DC5C8A"/>
    <w:rsid w:val="00DC620B"/>
    <w:rsid w:val="00DC62F6"/>
    <w:rsid w:val="00DC635B"/>
    <w:rsid w:val="00DC6475"/>
    <w:rsid w:val="00DC6546"/>
    <w:rsid w:val="00DC69FB"/>
    <w:rsid w:val="00DC6B47"/>
    <w:rsid w:val="00DC6D1E"/>
    <w:rsid w:val="00DC6F20"/>
    <w:rsid w:val="00DC7057"/>
    <w:rsid w:val="00DC71DE"/>
    <w:rsid w:val="00DC738E"/>
    <w:rsid w:val="00DC75C8"/>
    <w:rsid w:val="00DC762C"/>
    <w:rsid w:val="00DC7763"/>
    <w:rsid w:val="00DC7970"/>
    <w:rsid w:val="00DC7B3B"/>
    <w:rsid w:val="00DC7BFB"/>
    <w:rsid w:val="00DC7FCD"/>
    <w:rsid w:val="00DD0169"/>
    <w:rsid w:val="00DD06D7"/>
    <w:rsid w:val="00DD0829"/>
    <w:rsid w:val="00DD09E5"/>
    <w:rsid w:val="00DD0DAE"/>
    <w:rsid w:val="00DD0F4C"/>
    <w:rsid w:val="00DD1031"/>
    <w:rsid w:val="00DD109E"/>
    <w:rsid w:val="00DD10FA"/>
    <w:rsid w:val="00DD112B"/>
    <w:rsid w:val="00DD126E"/>
    <w:rsid w:val="00DD22EF"/>
    <w:rsid w:val="00DD269B"/>
    <w:rsid w:val="00DD2849"/>
    <w:rsid w:val="00DD2AE6"/>
    <w:rsid w:val="00DD30DD"/>
    <w:rsid w:val="00DD319A"/>
    <w:rsid w:val="00DD3345"/>
    <w:rsid w:val="00DD3372"/>
    <w:rsid w:val="00DD33C9"/>
    <w:rsid w:val="00DD363E"/>
    <w:rsid w:val="00DD3686"/>
    <w:rsid w:val="00DD38A7"/>
    <w:rsid w:val="00DD3A5E"/>
    <w:rsid w:val="00DD3BC5"/>
    <w:rsid w:val="00DD3CA7"/>
    <w:rsid w:val="00DD3DAF"/>
    <w:rsid w:val="00DD439D"/>
    <w:rsid w:val="00DD4448"/>
    <w:rsid w:val="00DD4AD7"/>
    <w:rsid w:val="00DD4BE8"/>
    <w:rsid w:val="00DD4C5C"/>
    <w:rsid w:val="00DD4E7D"/>
    <w:rsid w:val="00DD4EF9"/>
    <w:rsid w:val="00DD5299"/>
    <w:rsid w:val="00DD541A"/>
    <w:rsid w:val="00DD553A"/>
    <w:rsid w:val="00DD55FA"/>
    <w:rsid w:val="00DD6185"/>
    <w:rsid w:val="00DD62CA"/>
    <w:rsid w:val="00DD62F0"/>
    <w:rsid w:val="00DD6379"/>
    <w:rsid w:val="00DD64E2"/>
    <w:rsid w:val="00DD65B0"/>
    <w:rsid w:val="00DD66A7"/>
    <w:rsid w:val="00DD68A7"/>
    <w:rsid w:val="00DD68EC"/>
    <w:rsid w:val="00DD6E2E"/>
    <w:rsid w:val="00DD7112"/>
    <w:rsid w:val="00DD71E8"/>
    <w:rsid w:val="00DD74F7"/>
    <w:rsid w:val="00DD7602"/>
    <w:rsid w:val="00DD7A16"/>
    <w:rsid w:val="00DD7DB5"/>
    <w:rsid w:val="00DD7F1A"/>
    <w:rsid w:val="00DE0037"/>
    <w:rsid w:val="00DE05CE"/>
    <w:rsid w:val="00DE08DC"/>
    <w:rsid w:val="00DE09D7"/>
    <w:rsid w:val="00DE0A9C"/>
    <w:rsid w:val="00DE0C45"/>
    <w:rsid w:val="00DE0D99"/>
    <w:rsid w:val="00DE1019"/>
    <w:rsid w:val="00DE1388"/>
    <w:rsid w:val="00DE144D"/>
    <w:rsid w:val="00DE158B"/>
    <w:rsid w:val="00DE15E6"/>
    <w:rsid w:val="00DE167F"/>
    <w:rsid w:val="00DE1CD1"/>
    <w:rsid w:val="00DE1CF4"/>
    <w:rsid w:val="00DE1D38"/>
    <w:rsid w:val="00DE1F05"/>
    <w:rsid w:val="00DE2009"/>
    <w:rsid w:val="00DE22E7"/>
    <w:rsid w:val="00DE238E"/>
    <w:rsid w:val="00DE25A5"/>
    <w:rsid w:val="00DE25B2"/>
    <w:rsid w:val="00DE29E2"/>
    <w:rsid w:val="00DE2B02"/>
    <w:rsid w:val="00DE2B0F"/>
    <w:rsid w:val="00DE2B74"/>
    <w:rsid w:val="00DE32F4"/>
    <w:rsid w:val="00DE32F8"/>
    <w:rsid w:val="00DE3352"/>
    <w:rsid w:val="00DE3436"/>
    <w:rsid w:val="00DE37BF"/>
    <w:rsid w:val="00DE381B"/>
    <w:rsid w:val="00DE392F"/>
    <w:rsid w:val="00DE3B8C"/>
    <w:rsid w:val="00DE3BE2"/>
    <w:rsid w:val="00DE3E2D"/>
    <w:rsid w:val="00DE3EAE"/>
    <w:rsid w:val="00DE421F"/>
    <w:rsid w:val="00DE42DC"/>
    <w:rsid w:val="00DE4305"/>
    <w:rsid w:val="00DE43F0"/>
    <w:rsid w:val="00DE45F7"/>
    <w:rsid w:val="00DE4982"/>
    <w:rsid w:val="00DE4C91"/>
    <w:rsid w:val="00DE521E"/>
    <w:rsid w:val="00DE5249"/>
    <w:rsid w:val="00DE578B"/>
    <w:rsid w:val="00DE57C4"/>
    <w:rsid w:val="00DE58D4"/>
    <w:rsid w:val="00DE5C45"/>
    <w:rsid w:val="00DE5CC3"/>
    <w:rsid w:val="00DE5CFF"/>
    <w:rsid w:val="00DE5F25"/>
    <w:rsid w:val="00DE6212"/>
    <w:rsid w:val="00DE6336"/>
    <w:rsid w:val="00DE63F3"/>
    <w:rsid w:val="00DE64EA"/>
    <w:rsid w:val="00DE65C3"/>
    <w:rsid w:val="00DE6801"/>
    <w:rsid w:val="00DE6932"/>
    <w:rsid w:val="00DE6AC6"/>
    <w:rsid w:val="00DE6CB1"/>
    <w:rsid w:val="00DE74C1"/>
    <w:rsid w:val="00DE76FD"/>
    <w:rsid w:val="00DE7906"/>
    <w:rsid w:val="00DE7917"/>
    <w:rsid w:val="00DE7957"/>
    <w:rsid w:val="00DE79DF"/>
    <w:rsid w:val="00DE7A1E"/>
    <w:rsid w:val="00DE7D0F"/>
    <w:rsid w:val="00DE7E48"/>
    <w:rsid w:val="00DE7E64"/>
    <w:rsid w:val="00DF0055"/>
    <w:rsid w:val="00DF01B0"/>
    <w:rsid w:val="00DF046A"/>
    <w:rsid w:val="00DF0777"/>
    <w:rsid w:val="00DF07BA"/>
    <w:rsid w:val="00DF0984"/>
    <w:rsid w:val="00DF0B5A"/>
    <w:rsid w:val="00DF0B86"/>
    <w:rsid w:val="00DF0D04"/>
    <w:rsid w:val="00DF0DB3"/>
    <w:rsid w:val="00DF0EAF"/>
    <w:rsid w:val="00DF1148"/>
    <w:rsid w:val="00DF13F4"/>
    <w:rsid w:val="00DF146A"/>
    <w:rsid w:val="00DF14D7"/>
    <w:rsid w:val="00DF1563"/>
    <w:rsid w:val="00DF1AAF"/>
    <w:rsid w:val="00DF1BA5"/>
    <w:rsid w:val="00DF1BEF"/>
    <w:rsid w:val="00DF1EB4"/>
    <w:rsid w:val="00DF23FE"/>
    <w:rsid w:val="00DF26B3"/>
    <w:rsid w:val="00DF2741"/>
    <w:rsid w:val="00DF29D4"/>
    <w:rsid w:val="00DF2B9F"/>
    <w:rsid w:val="00DF2C7A"/>
    <w:rsid w:val="00DF2F5E"/>
    <w:rsid w:val="00DF315D"/>
    <w:rsid w:val="00DF34B1"/>
    <w:rsid w:val="00DF3519"/>
    <w:rsid w:val="00DF3924"/>
    <w:rsid w:val="00DF39D5"/>
    <w:rsid w:val="00DF3AA8"/>
    <w:rsid w:val="00DF3B54"/>
    <w:rsid w:val="00DF3CDC"/>
    <w:rsid w:val="00DF4092"/>
    <w:rsid w:val="00DF41A2"/>
    <w:rsid w:val="00DF43EC"/>
    <w:rsid w:val="00DF4560"/>
    <w:rsid w:val="00DF4B3D"/>
    <w:rsid w:val="00DF4BC5"/>
    <w:rsid w:val="00DF4C1E"/>
    <w:rsid w:val="00DF4CD2"/>
    <w:rsid w:val="00DF4DB3"/>
    <w:rsid w:val="00DF4ECF"/>
    <w:rsid w:val="00DF5050"/>
    <w:rsid w:val="00DF5804"/>
    <w:rsid w:val="00DF5811"/>
    <w:rsid w:val="00DF585E"/>
    <w:rsid w:val="00DF5AF8"/>
    <w:rsid w:val="00DF5B0A"/>
    <w:rsid w:val="00DF5B57"/>
    <w:rsid w:val="00DF5B8F"/>
    <w:rsid w:val="00DF5DDD"/>
    <w:rsid w:val="00DF5F20"/>
    <w:rsid w:val="00DF6095"/>
    <w:rsid w:val="00DF65F7"/>
    <w:rsid w:val="00DF67C6"/>
    <w:rsid w:val="00DF746B"/>
    <w:rsid w:val="00DF7553"/>
    <w:rsid w:val="00DF7898"/>
    <w:rsid w:val="00DF7E12"/>
    <w:rsid w:val="00DF7F9F"/>
    <w:rsid w:val="00E00538"/>
    <w:rsid w:val="00E0059D"/>
    <w:rsid w:val="00E00692"/>
    <w:rsid w:val="00E00B7F"/>
    <w:rsid w:val="00E00D8B"/>
    <w:rsid w:val="00E00DBA"/>
    <w:rsid w:val="00E01067"/>
    <w:rsid w:val="00E01679"/>
    <w:rsid w:val="00E01959"/>
    <w:rsid w:val="00E0198E"/>
    <w:rsid w:val="00E019F2"/>
    <w:rsid w:val="00E01B13"/>
    <w:rsid w:val="00E01D64"/>
    <w:rsid w:val="00E01E4F"/>
    <w:rsid w:val="00E01F3C"/>
    <w:rsid w:val="00E0218D"/>
    <w:rsid w:val="00E02207"/>
    <w:rsid w:val="00E0222E"/>
    <w:rsid w:val="00E02993"/>
    <w:rsid w:val="00E029D0"/>
    <w:rsid w:val="00E02A0C"/>
    <w:rsid w:val="00E02A11"/>
    <w:rsid w:val="00E02D9F"/>
    <w:rsid w:val="00E02DCD"/>
    <w:rsid w:val="00E02DE4"/>
    <w:rsid w:val="00E02DF4"/>
    <w:rsid w:val="00E02EBF"/>
    <w:rsid w:val="00E0314A"/>
    <w:rsid w:val="00E03159"/>
    <w:rsid w:val="00E0328E"/>
    <w:rsid w:val="00E0338C"/>
    <w:rsid w:val="00E033AA"/>
    <w:rsid w:val="00E0371E"/>
    <w:rsid w:val="00E037D8"/>
    <w:rsid w:val="00E03807"/>
    <w:rsid w:val="00E03BEC"/>
    <w:rsid w:val="00E03E6E"/>
    <w:rsid w:val="00E03F18"/>
    <w:rsid w:val="00E04077"/>
    <w:rsid w:val="00E0421D"/>
    <w:rsid w:val="00E04244"/>
    <w:rsid w:val="00E04268"/>
    <w:rsid w:val="00E0432F"/>
    <w:rsid w:val="00E04400"/>
    <w:rsid w:val="00E0444E"/>
    <w:rsid w:val="00E0455C"/>
    <w:rsid w:val="00E04634"/>
    <w:rsid w:val="00E046F4"/>
    <w:rsid w:val="00E04737"/>
    <w:rsid w:val="00E049AF"/>
    <w:rsid w:val="00E04A28"/>
    <w:rsid w:val="00E04BA4"/>
    <w:rsid w:val="00E04C62"/>
    <w:rsid w:val="00E04E53"/>
    <w:rsid w:val="00E04F8E"/>
    <w:rsid w:val="00E04FD3"/>
    <w:rsid w:val="00E05082"/>
    <w:rsid w:val="00E050AC"/>
    <w:rsid w:val="00E051CE"/>
    <w:rsid w:val="00E052C7"/>
    <w:rsid w:val="00E05390"/>
    <w:rsid w:val="00E053E4"/>
    <w:rsid w:val="00E05429"/>
    <w:rsid w:val="00E05469"/>
    <w:rsid w:val="00E056A4"/>
    <w:rsid w:val="00E059C9"/>
    <w:rsid w:val="00E059EB"/>
    <w:rsid w:val="00E05B17"/>
    <w:rsid w:val="00E05D79"/>
    <w:rsid w:val="00E05D85"/>
    <w:rsid w:val="00E05DD9"/>
    <w:rsid w:val="00E05E71"/>
    <w:rsid w:val="00E05EF8"/>
    <w:rsid w:val="00E05F2D"/>
    <w:rsid w:val="00E06071"/>
    <w:rsid w:val="00E06075"/>
    <w:rsid w:val="00E0615F"/>
    <w:rsid w:val="00E06419"/>
    <w:rsid w:val="00E065C0"/>
    <w:rsid w:val="00E065CE"/>
    <w:rsid w:val="00E06918"/>
    <w:rsid w:val="00E06D4A"/>
    <w:rsid w:val="00E06F6F"/>
    <w:rsid w:val="00E06FC6"/>
    <w:rsid w:val="00E070D8"/>
    <w:rsid w:val="00E071DB"/>
    <w:rsid w:val="00E07368"/>
    <w:rsid w:val="00E0774F"/>
    <w:rsid w:val="00E078AC"/>
    <w:rsid w:val="00E07CB4"/>
    <w:rsid w:val="00E07CC1"/>
    <w:rsid w:val="00E07CC6"/>
    <w:rsid w:val="00E07FDC"/>
    <w:rsid w:val="00E1006C"/>
    <w:rsid w:val="00E101E1"/>
    <w:rsid w:val="00E103F7"/>
    <w:rsid w:val="00E10455"/>
    <w:rsid w:val="00E106C0"/>
    <w:rsid w:val="00E10C3F"/>
    <w:rsid w:val="00E10D5D"/>
    <w:rsid w:val="00E10EDC"/>
    <w:rsid w:val="00E11171"/>
    <w:rsid w:val="00E11177"/>
    <w:rsid w:val="00E1142A"/>
    <w:rsid w:val="00E11ACD"/>
    <w:rsid w:val="00E11C1A"/>
    <w:rsid w:val="00E11C65"/>
    <w:rsid w:val="00E11E5D"/>
    <w:rsid w:val="00E11ECD"/>
    <w:rsid w:val="00E12026"/>
    <w:rsid w:val="00E12129"/>
    <w:rsid w:val="00E123B5"/>
    <w:rsid w:val="00E1297A"/>
    <w:rsid w:val="00E12E27"/>
    <w:rsid w:val="00E12E4C"/>
    <w:rsid w:val="00E133B6"/>
    <w:rsid w:val="00E13611"/>
    <w:rsid w:val="00E13772"/>
    <w:rsid w:val="00E1394D"/>
    <w:rsid w:val="00E13D0A"/>
    <w:rsid w:val="00E13D0F"/>
    <w:rsid w:val="00E140F6"/>
    <w:rsid w:val="00E14242"/>
    <w:rsid w:val="00E14525"/>
    <w:rsid w:val="00E1461D"/>
    <w:rsid w:val="00E1465A"/>
    <w:rsid w:val="00E1492F"/>
    <w:rsid w:val="00E14953"/>
    <w:rsid w:val="00E149E9"/>
    <w:rsid w:val="00E14A84"/>
    <w:rsid w:val="00E14FF1"/>
    <w:rsid w:val="00E151B6"/>
    <w:rsid w:val="00E15480"/>
    <w:rsid w:val="00E155B5"/>
    <w:rsid w:val="00E156C9"/>
    <w:rsid w:val="00E156D2"/>
    <w:rsid w:val="00E1574C"/>
    <w:rsid w:val="00E158B5"/>
    <w:rsid w:val="00E15A62"/>
    <w:rsid w:val="00E15D03"/>
    <w:rsid w:val="00E15DBB"/>
    <w:rsid w:val="00E160BD"/>
    <w:rsid w:val="00E16373"/>
    <w:rsid w:val="00E1675C"/>
    <w:rsid w:val="00E167DA"/>
    <w:rsid w:val="00E16831"/>
    <w:rsid w:val="00E16CA2"/>
    <w:rsid w:val="00E16D99"/>
    <w:rsid w:val="00E17BB8"/>
    <w:rsid w:val="00E17EB9"/>
    <w:rsid w:val="00E17F7F"/>
    <w:rsid w:val="00E2013A"/>
    <w:rsid w:val="00E20155"/>
    <w:rsid w:val="00E205C9"/>
    <w:rsid w:val="00E20A3F"/>
    <w:rsid w:val="00E212F5"/>
    <w:rsid w:val="00E215A0"/>
    <w:rsid w:val="00E218B6"/>
    <w:rsid w:val="00E21AFD"/>
    <w:rsid w:val="00E21F6B"/>
    <w:rsid w:val="00E21FBB"/>
    <w:rsid w:val="00E2246C"/>
    <w:rsid w:val="00E22580"/>
    <w:rsid w:val="00E2263B"/>
    <w:rsid w:val="00E228E3"/>
    <w:rsid w:val="00E229C6"/>
    <w:rsid w:val="00E22A8E"/>
    <w:rsid w:val="00E22CA8"/>
    <w:rsid w:val="00E22DB0"/>
    <w:rsid w:val="00E22F52"/>
    <w:rsid w:val="00E22F76"/>
    <w:rsid w:val="00E22FA3"/>
    <w:rsid w:val="00E23137"/>
    <w:rsid w:val="00E23152"/>
    <w:rsid w:val="00E23312"/>
    <w:rsid w:val="00E233D4"/>
    <w:rsid w:val="00E233E4"/>
    <w:rsid w:val="00E2366C"/>
    <w:rsid w:val="00E23761"/>
    <w:rsid w:val="00E2393E"/>
    <w:rsid w:val="00E23FDA"/>
    <w:rsid w:val="00E240BA"/>
    <w:rsid w:val="00E240D7"/>
    <w:rsid w:val="00E24132"/>
    <w:rsid w:val="00E24524"/>
    <w:rsid w:val="00E24538"/>
    <w:rsid w:val="00E24743"/>
    <w:rsid w:val="00E248BF"/>
    <w:rsid w:val="00E248D9"/>
    <w:rsid w:val="00E24AF4"/>
    <w:rsid w:val="00E24BCA"/>
    <w:rsid w:val="00E24C56"/>
    <w:rsid w:val="00E251BC"/>
    <w:rsid w:val="00E2523F"/>
    <w:rsid w:val="00E25633"/>
    <w:rsid w:val="00E259C4"/>
    <w:rsid w:val="00E25AB7"/>
    <w:rsid w:val="00E26137"/>
    <w:rsid w:val="00E2653F"/>
    <w:rsid w:val="00E2656A"/>
    <w:rsid w:val="00E2673C"/>
    <w:rsid w:val="00E267AF"/>
    <w:rsid w:val="00E26A37"/>
    <w:rsid w:val="00E26B5B"/>
    <w:rsid w:val="00E26C7A"/>
    <w:rsid w:val="00E26D35"/>
    <w:rsid w:val="00E26F3C"/>
    <w:rsid w:val="00E270A2"/>
    <w:rsid w:val="00E272B7"/>
    <w:rsid w:val="00E274DD"/>
    <w:rsid w:val="00E277C2"/>
    <w:rsid w:val="00E277C6"/>
    <w:rsid w:val="00E27828"/>
    <w:rsid w:val="00E27D73"/>
    <w:rsid w:val="00E27E54"/>
    <w:rsid w:val="00E27F34"/>
    <w:rsid w:val="00E300F3"/>
    <w:rsid w:val="00E30836"/>
    <w:rsid w:val="00E309F6"/>
    <w:rsid w:val="00E30CE0"/>
    <w:rsid w:val="00E30D5E"/>
    <w:rsid w:val="00E30E14"/>
    <w:rsid w:val="00E310D8"/>
    <w:rsid w:val="00E31D83"/>
    <w:rsid w:val="00E31DFD"/>
    <w:rsid w:val="00E3207D"/>
    <w:rsid w:val="00E320E3"/>
    <w:rsid w:val="00E32100"/>
    <w:rsid w:val="00E3262D"/>
    <w:rsid w:val="00E3275A"/>
    <w:rsid w:val="00E328D7"/>
    <w:rsid w:val="00E3299E"/>
    <w:rsid w:val="00E32A70"/>
    <w:rsid w:val="00E32D64"/>
    <w:rsid w:val="00E32D8D"/>
    <w:rsid w:val="00E32DAD"/>
    <w:rsid w:val="00E3317C"/>
    <w:rsid w:val="00E3327A"/>
    <w:rsid w:val="00E333E1"/>
    <w:rsid w:val="00E334B7"/>
    <w:rsid w:val="00E3368D"/>
    <w:rsid w:val="00E336DA"/>
    <w:rsid w:val="00E33734"/>
    <w:rsid w:val="00E33758"/>
    <w:rsid w:val="00E33B74"/>
    <w:rsid w:val="00E34138"/>
    <w:rsid w:val="00E341BC"/>
    <w:rsid w:val="00E346A3"/>
    <w:rsid w:val="00E34B51"/>
    <w:rsid w:val="00E34B95"/>
    <w:rsid w:val="00E34FC5"/>
    <w:rsid w:val="00E35084"/>
    <w:rsid w:val="00E357AC"/>
    <w:rsid w:val="00E35B1E"/>
    <w:rsid w:val="00E35B72"/>
    <w:rsid w:val="00E35FF4"/>
    <w:rsid w:val="00E361D1"/>
    <w:rsid w:val="00E3648A"/>
    <w:rsid w:val="00E366FD"/>
    <w:rsid w:val="00E36824"/>
    <w:rsid w:val="00E36909"/>
    <w:rsid w:val="00E3692D"/>
    <w:rsid w:val="00E36A91"/>
    <w:rsid w:val="00E36F63"/>
    <w:rsid w:val="00E37258"/>
    <w:rsid w:val="00E37282"/>
    <w:rsid w:val="00E37450"/>
    <w:rsid w:val="00E377EB"/>
    <w:rsid w:val="00E37CD4"/>
    <w:rsid w:val="00E37EB8"/>
    <w:rsid w:val="00E37F71"/>
    <w:rsid w:val="00E37FE1"/>
    <w:rsid w:val="00E40247"/>
    <w:rsid w:val="00E404CF"/>
    <w:rsid w:val="00E40836"/>
    <w:rsid w:val="00E40C81"/>
    <w:rsid w:val="00E40F27"/>
    <w:rsid w:val="00E41103"/>
    <w:rsid w:val="00E415F8"/>
    <w:rsid w:val="00E41A0F"/>
    <w:rsid w:val="00E41A6A"/>
    <w:rsid w:val="00E41B69"/>
    <w:rsid w:val="00E41BC2"/>
    <w:rsid w:val="00E41EEA"/>
    <w:rsid w:val="00E41FAB"/>
    <w:rsid w:val="00E4210B"/>
    <w:rsid w:val="00E42138"/>
    <w:rsid w:val="00E42176"/>
    <w:rsid w:val="00E421D1"/>
    <w:rsid w:val="00E4226E"/>
    <w:rsid w:val="00E4228C"/>
    <w:rsid w:val="00E4255B"/>
    <w:rsid w:val="00E4265D"/>
    <w:rsid w:val="00E42C3E"/>
    <w:rsid w:val="00E42F73"/>
    <w:rsid w:val="00E43030"/>
    <w:rsid w:val="00E433EF"/>
    <w:rsid w:val="00E43487"/>
    <w:rsid w:val="00E43729"/>
    <w:rsid w:val="00E437B1"/>
    <w:rsid w:val="00E43826"/>
    <w:rsid w:val="00E43C11"/>
    <w:rsid w:val="00E4409B"/>
    <w:rsid w:val="00E4455D"/>
    <w:rsid w:val="00E445C5"/>
    <w:rsid w:val="00E44B92"/>
    <w:rsid w:val="00E44C64"/>
    <w:rsid w:val="00E44DDE"/>
    <w:rsid w:val="00E44E9F"/>
    <w:rsid w:val="00E4515B"/>
    <w:rsid w:val="00E455D5"/>
    <w:rsid w:val="00E45705"/>
    <w:rsid w:val="00E4570C"/>
    <w:rsid w:val="00E457C7"/>
    <w:rsid w:val="00E45BEC"/>
    <w:rsid w:val="00E46093"/>
    <w:rsid w:val="00E461D4"/>
    <w:rsid w:val="00E462BE"/>
    <w:rsid w:val="00E46550"/>
    <w:rsid w:val="00E4656B"/>
    <w:rsid w:val="00E46C3C"/>
    <w:rsid w:val="00E46C98"/>
    <w:rsid w:val="00E46CE2"/>
    <w:rsid w:val="00E46CF5"/>
    <w:rsid w:val="00E46CF7"/>
    <w:rsid w:val="00E46D0C"/>
    <w:rsid w:val="00E46DBA"/>
    <w:rsid w:val="00E471A8"/>
    <w:rsid w:val="00E471D8"/>
    <w:rsid w:val="00E47612"/>
    <w:rsid w:val="00E476C2"/>
    <w:rsid w:val="00E47AAD"/>
    <w:rsid w:val="00E47D88"/>
    <w:rsid w:val="00E47DFA"/>
    <w:rsid w:val="00E50150"/>
    <w:rsid w:val="00E50409"/>
    <w:rsid w:val="00E50504"/>
    <w:rsid w:val="00E50636"/>
    <w:rsid w:val="00E50809"/>
    <w:rsid w:val="00E50983"/>
    <w:rsid w:val="00E50DD8"/>
    <w:rsid w:val="00E50DE1"/>
    <w:rsid w:val="00E51000"/>
    <w:rsid w:val="00E51004"/>
    <w:rsid w:val="00E5110D"/>
    <w:rsid w:val="00E5128E"/>
    <w:rsid w:val="00E5128F"/>
    <w:rsid w:val="00E5158A"/>
    <w:rsid w:val="00E515E2"/>
    <w:rsid w:val="00E516DC"/>
    <w:rsid w:val="00E518C0"/>
    <w:rsid w:val="00E51BCF"/>
    <w:rsid w:val="00E51D3C"/>
    <w:rsid w:val="00E51E0E"/>
    <w:rsid w:val="00E51EAF"/>
    <w:rsid w:val="00E51F8D"/>
    <w:rsid w:val="00E52091"/>
    <w:rsid w:val="00E52210"/>
    <w:rsid w:val="00E5269F"/>
    <w:rsid w:val="00E52781"/>
    <w:rsid w:val="00E52811"/>
    <w:rsid w:val="00E52BEA"/>
    <w:rsid w:val="00E52D67"/>
    <w:rsid w:val="00E52E16"/>
    <w:rsid w:val="00E52FCD"/>
    <w:rsid w:val="00E530C5"/>
    <w:rsid w:val="00E532A3"/>
    <w:rsid w:val="00E53777"/>
    <w:rsid w:val="00E539CA"/>
    <w:rsid w:val="00E53A22"/>
    <w:rsid w:val="00E53B57"/>
    <w:rsid w:val="00E53BD8"/>
    <w:rsid w:val="00E54697"/>
    <w:rsid w:val="00E54845"/>
    <w:rsid w:val="00E54931"/>
    <w:rsid w:val="00E549FB"/>
    <w:rsid w:val="00E54B8D"/>
    <w:rsid w:val="00E54C5B"/>
    <w:rsid w:val="00E54CA1"/>
    <w:rsid w:val="00E54DD8"/>
    <w:rsid w:val="00E54DDA"/>
    <w:rsid w:val="00E5500A"/>
    <w:rsid w:val="00E5516D"/>
    <w:rsid w:val="00E555A3"/>
    <w:rsid w:val="00E55B24"/>
    <w:rsid w:val="00E55B4F"/>
    <w:rsid w:val="00E56102"/>
    <w:rsid w:val="00E562D5"/>
    <w:rsid w:val="00E562FF"/>
    <w:rsid w:val="00E563AD"/>
    <w:rsid w:val="00E563B5"/>
    <w:rsid w:val="00E56434"/>
    <w:rsid w:val="00E56462"/>
    <w:rsid w:val="00E56548"/>
    <w:rsid w:val="00E56672"/>
    <w:rsid w:val="00E566A9"/>
    <w:rsid w:val="00E56715"/>
    <w:rsid w:val="00E56D09"/>
    <w:rsid w:val="00E56F05"/>
    <w:rsid w:val="00E56F20"/>
    <w:rsid w:val="00E56FAD"/>
    <w:rsid w:val="00E57069"/>
    <w:rsid w:val="00E5706C"/>
    <w:rsid w:val="00E57471"/>
    <w:rsid w:val="00E5762B"/>
    <w:rsid w:val="00E57ABE"/>
    <w:rsid w:val="00E57DF9"/>
    <w:rsid w:val="00E57EE3"/>
    <w:rsid w:val="00E60034"/>
    <w:rsid w:val="00E60074"/>
    <w:rsid w:val="00E60184"/>
    <w:rsid w:val="00E60188"/>
    <w:rsid w:val="00E60551"/>
    <w:rsid w:val="00E60917"/>
    <w:rsid w:val="00E60A94"/>
    <w:rsid w:val="00E60EBC"/>
    <w:rsid w:val="00E61109"/>
    <w:rsid w:val="00E613E4"/>
    <w:rsid w:val="00E61412"/>
    <w:rsid w:val="00E61474"/>
    <w:rsid w:val="00E61523"/>
    <w:rsid w:val="00E6197B"/>
    <w:rsid w:val="00E61AE7"/>
    <w:rsid w:val="00E61FC9"/>
    <w:rsid w:val="00E62041"/>
    <w:rsid w:val="00E62201"/>
    <w:rsid w:val="00E62217"/>
    <w:rsid w:val="00E62AE7"/>
    <w:rsid w:val="00E62CF2"/>
    <w:rsid w:val="00E62EBE"/>
    <w:rsid w:val="00E62F04"/>
    <w:rsid w:val="00E62FF6"/>
    <w:rsid w:val="00E63036"/>
    <w:rsid w:val="00E6307C"/>
    <w:rsid w:val="00E63166"/>
    <w:rsid w:val="00E6340C"/>
    <w:rsid w:val="00E63933"/>
    <w:rsid w:val="00E63AC9"/>
    <w:rsid w:val="00E63B22"/>
    <w:rsid w:val="00E63BEB"/>
    <w:rsid w:val="00E63D05"/>
    <w:rsid w:val="00E63E7D"/>
    <w:rsid w:val="00E63EAE"/>
    <w:rsid w:val="00E640E3"/>
    <w:rsid w:val="00E643E1"/>
    <w:rsid w:val="00E6449C"/>
    <w:rsid w:val="00E6480A"/>
    <w:rsid w:val="00E648F5"/>
    <w:rsid w:val="00E64A4A"/>
    <w:rsid w:val="00E64C9F"/>
    <w:rsid w:val="00E64D2A"/>
    <w:rsid w:val="00E64DD4"/>
    <w:rsid w:val="00E64F81"/>
    <w:rsid w:val="00E65060"/>
    <w:rsid w:val="00E650DA"/>
    <w:rsid w:val="00E65148"/>
    <w:rsid w:val="00E652EA"/>
    <w:rsid w:val="00E65476"/>
    <w:rsid w:val="00E658A2"/>
    <w:rsid w:val="00E65AF6"/>
    <w:rsid w:val="00E65C9C"/>
    <w:rsid w:val="00E66081"/>
    <w:rsid w:val="00E66135"/>
    <w:rsid w:val="00E664ED"/>
    <w:rsid w:val="00E66A3B"/>
    <w:rsid w:val="00E66B13"/>
    <w:rsid w:val="00E66BBC"/>
    <w:rsid w:val="00E66D63"/>
    <w:rsid w:val="00E6705A"/>
    <w:rsid w:val="00E6726B"/>
    <w:rsid w:val="00E67535"/>
    <w:rsid w:val="00E67561"/>
    <w:rsid w:val="00E67D3B"/>
    <w:rsid w:val="00E67D41"/>
    <w:rsid w:val="00E70392"/>
    <w:rsid w:val="00E70666"/>
    <w:rsid w:val="00E70723"/>
    <w:rsid w:val="00E70CB4"/>
    <w:rsid w:val="00E70E48"/>
    <w:rsid w:val="00E70F58"/>
    <w:rsid w:val="00E71128"/>
    <w:rsid w:val="00E712C6"/>
    <w:rsid w:val="00E712FA"/>
    <w:rsid w:val="00E71514"/>
    <w:rsid w:val="00E716EA"/>
    <w:rsid w:val="00E71A58"/>
    <w:rsid w:val="00E71DD7"/>
    <w:rsid w:val="00E72100"/>
    <w:rsid w:val="00E72193"/>
    <w:rsid w:val="00E723C6"/>
    <w:rsid w:val="00E727D9"/>
    <w:rsid w:val="00E7281C"/>
    <w:rsid w:val="00E72C12"/>
    <w:rsid w:val="00E72D41"/>
    <w:rsid w:val="00E72DF6"/>
    <w:rsid w:val="00E72F57"/>
    <w:rsid w:val="00E73050"/>
    <w:rsid w:val="00E731BF"/>
    <w:rsid w:val="00E7320C"/>
    <w:rsid w:val="00E73269"/>
    <w:rsid w:val="00E73274"/>
    <w:rsid w:val="00E73379"/>
    <w:rsid w:val="00E73425"/>
    <w:rsid w:val="00E734E0"/>
    <w:rsid w:val="00E734E7"/>
    <w:rsid w:val="00E736CB"/>
    <w:rsid w:val="00E73766"/>
    <w:rsid w:val="00E73B4A"/>
    <w:rsid w:val="00E73BD1"/>
    <w:rsid w:val="00E73C9B"/>
    <w:rsid w:val="00E73D24"/>
    <w:rsid w:val="00E74046"/>
    <w:rsid w:val="00E7413E"/>
    <w:rsid w:val="00E7416B"/>
    <w:rsid w:val="00E741CB"/>
    <w:rsid w:val="00E743AF"/>
    <w:rsid w:val="00E74477"/>
    <w:rsid w:val="00E74841"/>
    <w:rsid w:val="00E74988"/>
    <w:rsid w:val="00E74A0F"/>
    <w:rsid w:val="00E74AC7"/>
    <w:rsid w:val="00E74D5D"/>
    <w:rsid w:val="00E7515A"/>
    <w:rsid w:val="00E752BA"/>
    <w:rsid w:val="00E7544B"/>
    <w:rsid w:val="00E7562E"/>
    <w:rsid w:val="00E757FC"/>
    <w:rsid w:val="00E7582B"/>
    <w:rsid w:val="00E75974"/>
    <w:rsid w:val="00E759DA"/>
    <w:rsid w:val="00E75AA0"/>
    <w:rsid w:val="00E75BFC"/>
    <w:rsid w:val="00E75C19"/>
    <w:rsid w:val="00E75FA7"/>
    <w:rsid w:val="00E76191"/>
    <w:rsid w:val="00E76B03"/>
    <w:rsid w:val="00E76C7E"/>
    <w:rsid w:val="00E7727B"/>
    <w:rsid w:val="00E775C2"/>
    <w:rsid w:val="00E77715"/>
    <w:rsid w:val="00E777E4"/>
    <w:rsid w:val="00E77DEF"/>
    <w:rsid w:val="00E8001C"/>
    <w:rsid w:val="00E8001D"/>
    <w:rsid w:val="00E80032"/>
    <w:rsid w:val="00E80091"/>
    <w:rsid w:val="00E800E4"/>
    <w:rsid w:val="00E80224"/>
    <w:rsid w:val="00E802E1"/>
    <w:rsid w:val="00E80582"/>
    <w:rsid w:val="00E8063D"/>
    <w:rsid w:val="00E80650"/>
    <w:rsid w:val="00E806DC"/>
    <w:rsid w:val="00E80802"/>
    <w:rsid w:val="00E80AE4"/>
    <w:rsid w:val="00E80BB6"/>
    <w:rsid w:val="00E80DA4"/>
    <w:rsid w:val="00E812DF"/>
    <w:rsid w:val="00E8164C"/>
    <w:rsid w:val="00E81754"/>
    <w:rsid w:val="00E8179D"/>
    <w:rsid w:val="00E81901"/>
    <w:rsid w:val="00E81A02"/>
    <w:rsid w:val="00E81AB7"/>
    <w:rsid w:val="00E81C83"/>
    <w:rsid w:val="00E81CFA"/>
    <w:rsid w:val="00E81F5C"/>
    <w:rsid w:val="00E82190"/>
    <w:rsid w:val="00E82378"/>
    <w:rsid w:val="00E82431"/>
    <w:rsid w:val="00E824AE"/>
    <w:rsid w:val="00E82525"/>
    <w:rsid w:val="00E825B9"/>
    <w:rsid w:val="00E8262C"/>
    <w:rsid w:val="00E82C8B"/>
    <w:rsid w:val="00E82E25"/>
    <w:rsid w:val="00E82F4F"/>
    <w:rsid w:val="00E83573"/>
    <w:rsid w:val="00E835C5"/>
    <w:rsid w:val="00E8365F"/>
    <w:rsid w:val="00E83671"/>
    <w:rsid w:val="00E83759"/>
    <w:rsid w:val="00E837EB"/>
    <w:rsid w:val="00E83A6D"/>
    <w:rsid w:val="00E83B31"/>
    <w:rsid w:val="00E83D39"/>
    <w:rsid w:val="00E83D5C"/>
    <w:rsid w:val="00E83E9C"/>
    <w:rsid w:val="00E83EAF"/>
    <w:rsid w:val="00E83F7D"/>
    <w:rsid w:val="00E8416A"/>
    <w:rsid w:val="00E8442C"/>
    <w:rsid w:val="00E8450C"/>
    <w:rsid w:val="00E847A5"/>
    <w:rsid w:val="00E847BF"/>
    <w:rsid w:val="00E84CA9"/>
    <w:rsid w:val="00E84EED"/>
    <w:rsid w:val="00E854BA"/>
    <w:rsid w:val="00E8565A"/>
    <w:rsid w:val="00E8613D"/>
    <w:rsid w:val="00E864CA"/>
    <w:rsid w:val="00E86560"/>
    <w:rsid w:val="00E86669"/>
    <w:rsid w:val="00E86681"/>
    <w:rsid w:val="00E86715"/>
    <w:rsid w:val="00E86763"/>
    <w:rsid w:val="00E86C69"/>
    <w:rsid w:val="00E86EE6"/>
    <w:rsid w:val="00E86F3B"/>
    <w:rsid w:val="00E86F68"/>
    <w:rsid w:val="00E8706F"/>
    <w:rsid w:val="00E8711F"/>
    <w:rsid w:val="00E8721E"/>
    <w:rsid w:val="00E87359"/>
    <w:rsid w:val="00E87785"/>
    <w:rsid w:val="00E8780F"/>
    <w:rsid w:val="00E8783C"/>
    <w:rsid w:val="00E87C96"/>
    <w:rsid w:val="00E87D80"/>
    <w:rsid w:val="00E87DCD"/>
    <w:rsid w:val="00E87FE7"/>
    <w:rsid w:val="00E90065"/>
    <w:rsid w:val="00E900DF"/>
    <w:rsid w:val="00E90139"/>
    <w:rsid w:val="00E90396"/>
    <w:rsid w:val="00E9062C"/>
    <w:rsid w:val="00E9068C"/>
    <w:rsid w:val="00E90ACF"/>
    <w:rsid w:val="00E90B55"/>
    <w:rsid w:val="00E911A1"/>
    <w:rsid w:val="00E912E7"/>
    <w:rsid w:val="00E91311"/>
    <w:rsid w:val="00E91635"/>
    <w:rsid w:val="00E916A2"/>
    <w:rsid w:val="00E917AA"/>
    <w:rsid w:val="00E91DAF"/>
    <w:rsid w:val="00E91E4B"/>
    <w:rsid w:val="00E922A4"/>
    <w:rsid w:val="00E9249D"/>
    <w:rsid w:val="00E924A8"/>
    <w:rsid w:val="00E925A4"/>
    <w:rsid w:val="00E926BB"/>
    <w:rsid w:val="00E92C23"/>
    <w:rsid w:val="00E92C57"/>
    <w:rsid w:val="00E930F4"/>
    <w:rsid w:val="00E93AC2"/>
    <w:rsid w:val="00E93B16"/>
    <w:rsid w:val="00E93C0F"/>
    <w:rsid w:val="00E93CFD"/>
    <w:rsid w:val="00E93D37"/>
    <w:rsid w:val="00E94032"/>
    <w:rsid w:val="00E942DA"/>
    <w:rsid w:val="00E943C0"/>
    <w:rsid w:val="00E94523"/>
    <w:rsid w:val="00E9455D"/>
    <w:rsid w:val="00E9465C"/>
    <w:rsid w:val="00E94BE4"/>
    <w:rsid w:val="00E94C42"/>
    <w:rsid w:val="00E94D1A"/>
    <w:rsid w:val="00E94D1B"/>
    <w:rsid w:val="00E94F3D"/>
    <w:rsid w:val="00E95119"/>
    <w:rsid w:val="00E95261"/>
    <w:rsid w:val="00E953A8"/>
    <w:rsid w:val="00E95426"/>
    <w:rsid w:val="00E9557C"/>
    <w:rsid w:val="00E95B30"/>
    <w:rsid w:val="00E95B3E"/>
    <w:rsid w:val="00E95C57"/>
    <w:rsid w:val="00E95C5E"/>
    <w:rsid w:val="00E95E8B"/>
    <w:rsid w:val="00E9601A"/>
    <w:rsid w:val="00E961C7"/>
    <w:rsid w:val="00E96F5E"/>
    <w:rsid w:val="00E96FF1"/>
    <w:rsid w:val="00E97018"/>
    <w:rsid w:val="00E970C9"/>
    <w:rsid w:val="00E97156"/>
    <w:rsid w:val="00E976B1"/>
    <w:rsid w:val="00E97883"/>
    <w:rsid w:val="00E9798C"/>
    <w:rsid w:val="00E979CD"/>
    <w:rsid w:val="00E97C5D"/>
    <w:rsid w:val="00E97D0A"/>
    <w:rsid w:val="00EA0357"/>
    <w:rsid w:val="00EA0A06"/>
    <w:rsid w:val="00EA0CB4"/>
    <w:rsid w:val="00EA10A5"/>
    <w:rsid w:val="00EA11F7"/>
    <w:rsid w:val="00EA1209"/>
    <w:rsid w:val="00EA12E2"/>
    <w:rsid w:val="00EA19A0"/>
    <w:rsid w:val="00EA1A6D"/>
    <w:rsid w:val="00EA1C81"/>
    <w:rsid w:val="00EA21B4"/>
    <w:rsid w:val="00EA21F8"/>
    <w:rsid w:val="00EA2B4F"/>
    <w:rsid w:val="00EA2E26"/>
    <w:rsid w:val="00EA2EF2"/>
    <w:rsid w:val="00EA3723"/>
    <w:rsid w:val="00EA37A5"/>
    <w:rsid w:val="00EA389F"/>
    <w:rsid w:val="00EA3A45"/>
    <w:rsid w:val="00EA3A4E"/>
    <w:rsid w:val="00EA3C6F"/>
    <w:rsid w:val="00EA3DA1"/>
    <w:rsid w:val="00EA3FFF"/>
    <w:rsid w:val="00EA4213"/>
    <w:rsid w:val="00EA4639"/>
    <w:rsid w:val="00EA46C4"/>
    <w:rsid w:val="00EA4817"/>
    <w:rsid w:val="00EA48A8"/>
    <w:rsid w:val="00EA49AC"/>
    <w:rsid w:val="00EA4D61"/>
    <w:rsid w:val="00EA4F2E"/>
    <w:rsid w:val="00EA4F5C"/>
    <w:rsid w:val="00EA5062"/>
    <w:rsid w:val="00EA52E9"/>
    <w:rsid w:val="00EA5368"/>
    <w:rsid w:val="00EA5375"/>
    <w:rsid w:val="00EA542B"/>
    <w:rsid w:val="00EA54CB"/>
    <w:rsid w:val="00EA54D3"/>
    <w:rsid w:val="00EA5514"/>
    <w:rsid w:val="00EA55BF"/>
    <w:rsid w:val="00EA5AEC"/>
    <w:rsid w:val="00EA5B22"/>
    <w:rsid w:val="00EA5DEE"/>
    <w:rsid w:val="00EA5E10"/>
    <w:rsid w:val="00EA5E53"/>
    <w:rsid w:val="00EA5E6C"/>
    <w:rsid w:val="00EA5FD3"/>
    <w:rsid w:val="00EA60FD"/>
    <w:rsid w:val="00EA6151"/>
    <w:rsid w:val="00EA6EA6"/>
    <w:rsid w:val="00EA7213"/>
    <w:rsid w:val="00EA72EA"/>
    <w:rsid w:val="00EA7317"/>
    <w:rsid w:val="00EA758B"/>
    <w:rsid w:val="00EA7926"/>
    <w:rsid w:val="00EA7A37"/>
    <w:rsid w:val="00EA7C9B"/>
    <w:rsid w:val="00EA7DA2"/>
    <w:rsid w:val="00EA7EFB"/>
    <w:rsid w:val="00EB019C"/>
    <w:rsid w:val="00EB0382"/>
    <w:rsid w:val="00EB0D58"/>
    <w:rsid w:val="00EB0DD3"/>
    <w:rsid w:val="00EB15CD"/>
    <w:rsid w:val="00EB1696"/>
    <w:rsid w:val="00EB1766"/>
    <w:rsid w:val="00EB1B70"/>
    <w:rsid w:val="00EB1DA7"/>
    <w:rsid w:val="00EB1DD1"/>
    <w:rsid w:val="00EB1E05"/>
    <w:rsid w:val="00EB1F61"/>
    <w:rsid w:val="00EB1FE2"/>
    <w:rsid w:val="00EB1FFC"/>
    <w:rsid w:val="00EB2655"/>
    <w:rsid w:val="00EB28BF"/>
    <w:rsid w:val="00EB28E0"/>
    <w:rsid w:val="00EB2B7B"/>
    <w:rsid w:val="00EB2BB2"/>
    <w:rsid w:val="00EB2C66"/>
    <w:rsid w:val="00EB2CFB"/>
    <w:rsid w:val="00EB2D49"/>
    <w:rsid w:val="00EB2D71"/>
    <w:rsid w:val="00EB2F3A"/>
    <w:rsid w:val="00EB2FEF"/>
    <w:rsid w:val="00EB32EC"/>
    <w:rsid w:val="00EB3302"/>
    <w:rsid w:val="00EB344C"/>
    <w:rsid w:val="00EB34F9"/>
    <w:rsid w:val="00EB353B"/>
    <w:rsid w:val="00EB3C33"/>
    <w:rsid w:val="00EB3C72"/>
    <w:rsid w:val="00EB3D9B"/>
    <w:rsid w:val="00EB3E5A"/>
    <w:rsid w:val="00EB3EB7"/>
    <w:rsid w:val="00EB3EC4"/>
    <w:rsid w:val="00EB410A"/>
    <w:rsid w:val="00EB41AE"/>
    <w:rsid w:val="00EB4763"/>
    <w:rsid w:val="00EB48AB"/>
    <w:rsid w:val="00EB492C"/>
    <w:rsid w:val="00EB4C27"/>
    <w:rsid w:val="00EB4E5D"/>
    <w:rsid w:val="00EB4E98"/>
    <w:rsid w:val="00EB51A7"/>
    <w:rsid w:val="00EB5471"/>
    <w:rsid w:val="00EB5532"/>
    <w:rsid w:val="00EB5599"/>
    <w:rsid w:val="00EB56BC"/>
    <w:rsid w:val="00EB5B56"/>
    <w:rsid w:val="00EB5DA9"/>
    <w:rsid w:val="00EB5FAC"/>
    <w:rsid w:val="00EB62BB"/>
    <w:rsid w:val="00EB6356"/>
    <w:rsid w:val="00EB684E"/>
    <w:rsid w:val="00EB691A"/>
    <w:rsid w:val="00EB6AB0"/>
    <w:rsid w:val="00EB6D00"/>
    <w:rsid w:val="00EB6F12"/>
    <w:rsid w:val="00EB6F9E"/>
    <w:rsid w:val="00EB7070"/>
    <w:rsid w:val="00EB76E5"/>
    <w:rsid w:val="00EB783C"/>
    <w:rsid w:val="00EB78B6"/>
    <w:rsid w:val="00EB7AF5"/>
    <w:rsid w:val="00EB7CAC"/>
    <w:rsid w:val="00EC019E"/>
    <w:rsid w:val="00EC043B"/>
    <w:rsid w:val="00EC06D4"/>
    <w:rsid w:val="00EC07E0"/>
    <w:rsid w:val="00EC09A4"/>
    <w:rsid w:val="00EC0BC0"/>
    <w:rsid w:val="00EC0C07"/>
    <w:rsid w:val="00EC0C0A"/>
    <w:rsid w:val="00EC0CA5"/>
    <w:rsid w:val="00EC0D64"/>
    <w:rsid w:val="00EC0E8D"/>
    <w:rsid w:val="00EC0F27"/>
    <w:rsid w:val="00EC0F96"/>
    <w:rsid w:val="00EC1195"/>
    <w:rsid w:val="00EC1396"/>
    <w:rsid w:val="00EC1547"/>
    <w:rsid w:val="00EC159D"/>
    <w:rsid w:val="00EC1758"/>
    <w:rsid w:val="00EC17F0"/>
    <w:rsid w:val="00EC181F"/>
    <w:rsid w:val="00EC1827"/>
    <w:rsid w:val="00EC1949"/>
    <w:rsid w:val="00EC1D6A"/>
    <w:rsid w:val="00EC1F29"/>
    <w:rsid w:val="00EC202D"/>
    <w:rsid w:val="00EC20DD"/>
    <w:rsid w:val="00EC20FE"/>
    <w:rsid w:val="00EC22B6"/>
    <w:rsid w:val="00EC232A"/>
    <w:rsid w:val="00EC2506"/>
    <w:rsid w:val="00EC25B5"/>
    <w:rsid w:val="00EC27CA"/>
    <w:rsid w:val="00EC290A"/>
    <w:rsid w:val="00EC2C1E"/>
    <w:rsid w:val="00EC2C3A"/>
    <w:rsid w:val="00EC30ED"/>
    <w:rsid w:val="00EC313B"/>
    <w:rsid w:val="00EC31FC"/>
    <w:rsid w:val="00EC32D4"/>
    <w:rsid w:val="00EC3343"/>
    <w:rsid w:val="00EC33DF"/>
    <w:rsid w:val="00EC3488"/>
    <w:rsid w:val="00EC395E"/>
    <w:rsid w:val="00EC3EC7"/>
    <w:rsid w:val="00EC3F99"/>
    <w:rsid w:val="00EC4123"/>
    <w:rsid w:val="00EC4381"/>
    <w:rsid w:val="00EC43C0"/>
    <w:rsid w:val="00EC4503"/>
    <w:rsid w:val="00EC466E"/>
    <w:rsid w:val="00EC4A99"/>
    <w:rsid w:val="00EC4B14"/>
    <w:rsid w:val="00EC4C37"/>
    <w:rsid w:val="00EC4DED"/>
    <w:rsid w:val="00EC4F3C"/>
    <w:rsid w:val="00EC4F55"/>
    <w:rsid w:val="00EC507D"/>
    <w:rsid w:val="00EC525A"/>
    <w:rsid w:val="00EC5262"/>
    <w:rsid w:val="00EC532C"/>
    <w:rsid w:val="00EC5394"/>
    <w:rsid w:val="00EC5429"/>
    <w:rsid w:val="00EC579D"/>
    <w:rsid w:val="00EC6039"/>
    <w:rsid w:val="00EC62F0"/>
    <w:rsid w:val="00EC63E7"/>
    <w:rsid w:val="00EC646C"/>
    <w:rsid w:val="00EC6572"/>
    <w:rsid w:val="00EC65A9"/>
    <w:rsid w:val="00EC65BB"/>
    <w:rsid w:val="00EC6653"/>
    <w:rsid w:val="00EC6AF0"/>
    <w:rsid w:val="00EC6E4E"/>
    <w:rsid w:val="00EC6E50"/>
    <w:rsid w:val="00EC6E8A"/>
    <w:rsid w:val="00EC6EBA"/>
    <w:rsid w:val="00EC6FD6"/>
    <w:rsid w:val="00EC74B8"/>
    <w:rsid w:val="00EC7521"/>
    <w:rsid w:val="00EC76A1"/>
    <w:rsid w:val="00EC77FB"/>
    <w:rsid w:val="00EC79DA"/>
    <w:rsid w:val="00EC79E0"/>
    <w:rsid w:val="00EC7A5A"/>
    <w:rsid w:val="00EC7DDC"/>
    <w:rsid w:val="00ED016A"/>
    <w:rsid w:val="00ED0179"/>
    <w:rsid w:val="00ED01EF"/>
    <w:rsid w:val="00ED0435"/>
    <w:rsid w:val="00ED0497"/>
    <w:rsid w:val="00ED06A2"/>
    <w:rsid w:val="00ED0750"/>
    <w:rsid w:val="00ED095F"/>
    <w:rsid w:val="00ED0B34"/>
    <w:rsid w:val="00ED0C98"/>
    <w:rsid w:val="00ED0E21"/>
    <w:rsid w:val="00ED0F71"/>
    <w:rsid w:val="00ED0F7C"/>
    <w:rsid w:val="00ED100A"/>
    <w:rsid w:val="00ED1151"/>
    <w:rsid w:val="00ED1293"/>
    <w:rsid w:val="00ED1368"/>
    <w:rsid w:val="00ED13F9"/>
    <w:rsid w:val="00ED1416"/>
    <w:rsid w:val="00ED15A0"/>
    <w:rsid w:val="00ED1C94"/>
    <w:rsid w:val="00ED1E4D"/>
    <w:rsid w:val="00ED20F5"/>
    <w:rsid w:val="00ED219A"/>
    <w:rsid w:val="00ED234C"/>
    <w:rsid w:val="00ED2829"/>
    <w:rsid w:val="00ED2E4C"/>
    <w:rsid w:val="00ED3073"/>
    <w:rsid w:val="00ED325B"/>
    <w:rsid w:val="00ED33EC"/>
    <w:rsid w:val="00ED387A"/>
    <w:rsid w:val="00ED39FD"/>
    <w:rsid w:val="00ED3A56"/>
    <w:rsid w:val="00ED3CF4"/>
    <w:rsid w:val="00ED3D68"/>
    <w:rsid w:val="00ED407D"/>
    <w:rsid w:val="00ED4817"/>
    <w:rsid w:val="00ED490A"/>
    <w:rsid w:val="00ED4B32"/>
    <w:rsid w:val="00ED4C3B"/>
    <w:rsid w:val="00ED4E1F"/>
    <w:rsid w:val="00ED5776"/>
    <w:rsid w:val="00ED5897"/>
    <w:rsid w:val="00ED5995"/>
    <w:rsid w:val="00ED5999"/>
    <w:rsid w:val="00ED5AD5"/>
    <w:rsid w:val="00ED5D10"/>
    <w:rsid w:val="00ED652D"/>
    <w:rsid w:val="00ED6633"/>
    <w:rsid w:val="00ED67A8"/>
    <w:rsid w:val="00ED67D0"/>
    <w:rsid w:val="00ED69D6"/>
    <w:rsid w:val="00ED6DD3"/>
    <w:rsid w:val="00ED6F6E"/>
    <w:rsid w:val="00ED6FE5"/>
    <w:rsid w:val="00ED72A7"/>
    <w:rsid w:val="00ED744C"/>
    <w:rsid w:val="00ED74F0"/>
    <w:rsid w:val="00ED7505"/>
    <w:rsid w:val="00ED7527"/>
    <w:rsid w:val="00ED7BB9"/>
    <w:rsid w:val="00ED7C3A"/>
    <w:rsid w:val="00ED7C3B"/>
    <w:rsid w:val="00ED7C6F"/>
    <w:rsid w:val="00ED7DBC"/>
    <w:rsid w:val="00ED7EAA"/>
    <w:rsid w:val="00EE02F7"/>
    <w:rsid w:val="00EE0410"/>
    <w:rsid w:val="00EE04EF"/>
    <w:rsid w:val="00EE04FD"/>
    <w:rsid w:val="00EE056E"/>
    <w:rsid w:val="00EE0819"/>
    <w:rsid w:val="00EE0A28"/>
    <w:rsid w:val="00EE0BBB"/>
    <w:rsid w:val="00EE121A"/>
    <w:rsid w:val="00EE1376"/>
    <w:rsid w:val="00EE1444"/>
    <w:rsid w:val="00EE1459"/>
    <w:rsid w:val="00EE14D0"/>
    <w:rsid w:val="00EE1578"/>
    <w:rsid w:val="00EE1814"/>
    <w:rsid w:val="00EE1B51"/>
    <w:rsid w:val="00EE1B7F"/>
    <w:rsid w:val="00EE1E73"/>
    <w:rsid w:val="00EE1F21"/>
    <w:rsid w:val="00EE20B1"/>
    <w:rsid w:val="00EE20E0"/>
    <w:rsid w:val="00EE2185"/>
    <w:rsid w:val="00EE22BA"/>
    <w:rsid w:val="00EE24FD"/>
    <w:rsid w:val="00EE2592"/>
    <w:rsid w:val="00EE2640"/>
    <w:rsid w:val="00EE295F"/>
    <w:rsid w:val="00EE3217"/>
    <w:rsid w:val="00EE32A1"/>
    <w:rsid w:val="00EE33BF"/>
    <w:rsid w:val="00EE347E"/>
    <w:rsid w:val="00EE3601"/>
    <w:rsid w:val="00EE3811"/>
    <w:rsid w:val="00EE3858"/>
    <w:rsid w:val="00EE38B4"/>
    <w:rsid w:val="00EE392C"/>
    <w:rsid w:val="00EE3E4D"/>
    <w:rsid w:val="00EE3FEB"/>
    <w:rsid w:val="00EE416A"/>
    <w:rsid w:val="00EE43D6"/>
    <w:rsid w:val="00EE4B46"/>
    <w:rsid w:val="00EE4F06"/>
    <w:rsid w:val="00EE4F61"/>
    <w:rsid w:val="00EE50BB"/>
    <w:rsid w:val="00EE517B"/>
    <w:rsid w:val="00EE5183"/>
    <w:rsid w:val="00EE5349"/>
    <w:rsid w:val="00EE53E3"/>
    <w:rsid w:val="00EE54E2"/>
    <w:rsid w:val="00EE5508"/>
    <w:rsid w:val="00EE5575"/>
    <w:rsid w:val="00EE55EA"/>
    <w:rsid w:val="00EE56A4"/>
    <w:rsid w:val="00EE5AE5"/>
    <w:rsid w:val="00EE6173"/>
    <w:rsid w:val="00EE62F1"/>
    <w:rsid w:val="00EE6880"/>
    <w:rsid w:val="00EE6904"/>
    <w:rsid w:val="00EE6943"/>
    <w:rsid w:val="00EE6A90"/>
    <w:rsid w:val="00EE6F22"/>
    <w:rsid w:val="00EE732A"/>
    <w:rsid w:val="00EE73B2"/>
    <w:rsid w:val="00EE74E8"/>
    <w:rsid w:val="00EE770C"/>
    <w:rsid w:val="00EE7918"/>
    <w:rsid w:val="00EE7E20"/>
    <w:rsid w:val="00EE7E26"/>
    <w:rsid w:val="00EE7E51"/>
    <w:rsid w:val="00EE7F0A"/>
    <w:rsid w:val="00EF0143"/>
    <w:rsid w:val="00EF02CC"/>
    <w:rsid w:val="00EF0357"/>
    <w:rsid w:val="00EF0822"/>
    <w:rsid w:val="00EF0967"/>
    <w:rsid w:val="00EF0AA7"/>
    <w:rsid w:val="00EF0AF8"/>
    <w:rsid w:val="00EF0B93"/>
    <w:rsid w:val="00EF0DAF"/>
    <w:rsid w:val="00EF0DC9"/>
    <w:rsid w:val="00EF0F48"/>
    <w:rsid w:val="00EF173F"/>
    <w:rsid w:val="00EF1828"/>
    <w:rsid w:val="00EF190B"/>
    <w:rsid w:val="00EF1F78"/>
    <w:rsid w:val="00EF2059"/>
    <w:rsid w:val="00EF2322"/>
    <w:rsid w:val="00EF2561"/>
    <w:rsid w:val="00EF25D9"/>
    <w:rsid w:val="00EF2656"/>
    <w:rsid w:val="00EF26E3"/>
    <w:rsid w:val="00EF2871"/>
    <w:rsid w:val="00EF2879"/>
    <w:rsid w:val="00EF2958"/>
    <w:rsid w:val="00EF2B77"/>
    <w:rsid w:val="00EF347D"/>
    <w:rsid w:val="00EF3517"/>
    <w:rsid w:val="00EF36D7"/>
    <w:rsid w:val="00EF3710"/>
    <w:rsid w:val="00EF3765"/>
    <w:rsid w:val="00EF3815"/>
    <w:rsid w:val="00EF3CA6"/>
    <w:rsid w:val="00EF41A5"/>
    <w:rsid w:val="00EF4328"/>
    <w:rsid w:val="00EF4530"/>
    <w:rsid w:val="00EF45BF"/>
    <w:rsid w:val="00EF4691"/>
    <w:rsid w:val="00EF48D0"/>
    <w:rsid w:val="00EF4B43"/>
    <w:rsid w:val="00EF4C03"/>
    <w:rsid w:val="00EF4D7B"/>
    <w:rsid w:val="00EF4EB6"/>
    <w:rsid w:val="00EF503B"/>
    <w:rsid w:val="00EF51FC"/>
    <w:rsid w:val="00EF520A"/>
    <w:rsid w:val="00EF539F"/>
    <w:rsid w:val="00EF5439"/>
    <w:rsid w:val="00EF54E3"/>
    <w:rsid w:val="00EF567A"/>
    <w:rsid w:val="00EF57F0"/>
    <w:rsid w:val="00EF589A"/>
    <w:rsid w:val="00EF5B85"/>
    <w:rsid w:val="00EF5BAC"/>
    <w:rsid w:val="00EF5E14"/>
    <w:rsid w:val="00EF5E79"/>
    <w:rsid w:val="00EF613A"/>
    <w:rsid w:val="00EF6534"/>
    <w:rsid w:val="00EF66CA"/>
    <w:rsid w:val="00EF69D0"/>
    <w:rsid w:val="00EF6AA3"/>
    <w:rsid w:val="00EF6B2F"/>
    <w:rsid w:val="00EF6E29"/>
    <w:rsid w:val="00EF6E6A"/>
    <w:rsid w:val="00EF6E93"/>
    <w:rsid w:val="00EF702F"/>
    <w:rsid w:val="00EF71A9"/>
    <w:rsid w:val="00EF72F7"/>
    <w:rsid w:val="00EF736B"/>
    <w:rsid w:val="00EF7815"/>
    <w:rsid w:val="00EF7882"/>
    <w:rsid w:val="00EF7A7D"/>
    <w:rsid w:val="00EF7ADE"/>
    <w:rsid w:val="00EF7D44"/>
    <w:rsid w:val="00EF7E25"/>
    <w:rsid w:val="00EF7EC5"/>
    <w:rsid w:val="00F000C8"/>
    <w:rsid w:val="00F0014F"/>
    <w:rsid w:val="00F003F9"/>
    <w:rsid w:val="00F00447"/>
    <w:rsid w:val="00F004F7"/>
    <w:rsid w:val="00F00577"/>
    <w:rsid w:val="00F006CC"/>
    <w:rsid w:val="00F007F0"/>
    <w:rsid w:val="00F00C03"/>
    <w:rsid w:val="00F00CD9"/>
    <w:rsid w:val="00F00D83"/>
    <w:rsid w:val="00F00E8E"/>
    <w:rsid w:val="00F010E9"/>
    <w:rsid w:val="00F0127B"/>
    <w:rsid w:val="00F012FF"/>
    <w:rsid w:val="00F0133B"/>
    <w:rsid w:val="00F0135E"/>
    <w:rsid w:val="00F013E9"/>
    <w:rsid w:val="00F01509"/>
    <w:rsid w:val="00F0162A"/>
    <w:rsid w:val="00F016CE"/>
    <w:rsid w:val="00F01A7D"/>
    <w:rsid w:val="00F01B27"/>
    <w:rsid w:val="00F01CFA"/>
    <w:rsid w:val="00F01DB6"/>
    <w:rsid w:val="00F01F82"/>
    <w:rsid w:val="00F0219A"/>
    <w:rsid w:val="00F02329"/>
    <w:rsid w:val="00F0246C"/>
    <w:rsid w:val="00F025C3"/>
    <w:rsid w:val="00F02F20"/>
    <w:rsid w:val="00F03161"/>
    <w:rsid w:val="00F031F6"/>
    <w:rsid w:val="00F03213"/>
    <w:rsid w:val="00F032AF"/>
    <w:rsid w:val="00F036BE"/>
    <w:rsid w:val="00F03859"/>
    <w:rsid w:val="00F038BE"/>
    <w:rsid w:val="00F03979"/>
    <w:rsid w:val="00F03B21"/>
    <w:rsid w:val="00F03C2B"/>
    <w:rsid w:val="00F03D27"/>
    <w:rsid w:val="00F03D50"/>
    <w:rsid w:val="00F03F3A"/>
    <w:rsid w:val="00F03FA4"/>
    <w:rsid w:val="00F045CF"/>
    <w:rsid w:val="00F0473A"/>
    <w:rsid w:val="00F04902"/>
    <w:rsid w:val="00F04B05"/>
    <w:rsid w:val="00F04B97"/>
    <w:rsid w:val="00F057B5"/>
    <w:rsid w:val="00F0615C"/>
    <w:rsid w:val="00F0625F"/>
    <w:rsid w:val="00F0650A"/>
    <w:rsid w:val="00F065D7"/>
    <w:rsid w:val="00F0691F"/>
    <w:rsid w:val="00F06C2B"/>
    <w:rsid w:val="00F06CB1"/>
    <w:rsid w:val="00F06D31"/>
    <w:rsid w:val="00F06E98"/>
    <w:rsid w:val="00F070DB"/>
    <w:rsid w:val="00F0737F"/>
    <w:rsid w:val="00F07421"/>
    <w:rsid w:val="00F07860"/>
    <w:rsid w:val="00F078D3"/>
    <w:rsid w:val="00F07AC3"/>
    <w:rsid w:val="00F07BDB"/>
    <w:rsid w:val="00F07D05"/>
    <w:rsid w:val="00F10273"/>
    <w:rsid w:val="00F10489"/>
    <w:rsid w:val="00F1059B"/>
    <w:rsid w:val="00F10832"/>
    <w:rsid w:val="00F10CA6"/>
    <w:rsid w:val="00F10CCE"/>
    <w:rsid w:val="00F11046"/>
    <w:rsid w:val="00F112F4"/>
    <w:rsid w:val="00F114FD"/>
    <w:rsid w:val="00F11B84"/>
    <w:rsid w:val="00F11C71"/>
    <w:rsid w:val="00F11CBC"/>
    <w:rsid w:val="00F11D9B"/>
    <w:rsid w:val="00F12103"/>
    <w:rsid w:val="00F1219C"/>
    <w:rsid w:val="00F121AE"/>
    <w:rsid w:val="00F12225"/>
    <w:rsid w:val="00F1231B"/>
    <w:rsid w:val="00F124FB"/>
    <w:rsid w:val="00F12798"/>
    <w:rsid w:val="00F129BF"/>
    <w:rsid w:val="00F12AFE"/>
    <w:rsid w:val="00F12E58"/>
    <w:rsid w:val="00F12EDD"/>
    <w:rsid w:val="00F131A2"/>
    <w:rsid w:val="00F132C4"/>
    <w:rsid w:val="00F13595"/>
    <w:rsid w:val="00F139A2"/>
    <w:rsid w:val="00F13B4F"/>
    <w:rsid w:val="00F13E29"/>
    <w:rsid w:val="00F14327"/>
    <w:rsid w:val="00F14770"/>
    <w:rsid w:val="00F14830"/>
    <w:rsid w:val="00F14868"/>
    <w:rsid w:val="00F148AC"/>
    <w:rsid w:val="00F14A77"/>
    <w:rsid w:val="00F14EB1"/>
    <w:rsid w:val="00F14F64"/>
    <w:rsid w:val="00F14F7F"/>
    <w:rsid w:val="00F14FEA"/>
    <w:rsid w:val="00F15070"/>
    <w:rsid w:val="00F15166"/>
    <w:rsid w:val="00F1563B"/>
    <w:rsid w:val="00F1567D"/>
    <w:rsid w:val="00F15BE9"/>
    <w:rsid w:val="00F15C84"/>
    <w:rsid w:val="00F15CC9"/>
    <w:rsid w:val="00F15FF9"/>
    <w:rsid w:val="00F165BC"/>
    <w:rsid w:val="00F166B6"/>
    <w:rsid w:val="00F16879"/>
    <w:rsid w:val="00F16931"/>
    <w:rsid w:val="00F16962"/>
    <w:rsid w:val="00F16FDE"/>
    <w:rsid w:val="00F173C1"/>
    <w:rsid w:val="00F1778A"/>
    <w:rsid w:val="00F17A29"/>
    <w:rsid w:val="00F17AFC"/>
    <w:rsid w:val="00F17CD1"/>
    <w:rsid w:val="00F17F17"/>
    <w:rsid w:val="00F20297"/>
    <w:rsid w:val="00F204F9"/>
    <w:rsid w:val="00F2053B"/>
    <w:rsid w:val="00F20EEF"/>
    <w:rsid w:val="00F21281"/>
    <w:rsid w:val="00F215A3"/>
    <w:rsid w:val="00F215CD"/>
    <w:rsid w:val="00F215FD"/>
    <w:rsid w:val="00F21754"/>
    <w:rsid w:val="00F21A3A"/>
    <w:rsid w:val="00F21ABB"/>
    <w:rsid w:val="00F21C18"/>
    <w:rsid w:val="00F21ECE"/>
    <w:rsid w:val="00F2203A"/>
    <w:rsid w:val="00F2211A"/>
    <w:rsid w:val="00F22232"/>
    <w:rsid w:val="00F222EC"/>
    <w:rsid w:val="00F222FC"/>
    <w:rsid w:val="00F22457"/>
    <w:rsid w:val="00F22652"/>
    <w:rsid w:val="00F2271F"/>
    <w:rsid w:val="00F228D1"/>
    <w:rsid w:val="00F22A09"/>
    <w:rsid w:val="00F22B3F"/>
    <w:rsid w:val="00F22ECE"/>
    <w:rsid w:val="00F2322D"/>
    <w:rsid w:val="00F234B4"/>
    <w:rsid w:val="00F2380A"/>
    <w:rsid w:val="00F2382D"/>
    <w:rsid w:val="00F23A54"/>
    <w:rsid w:val="00F23ADB"/>
    <w:rsid w:val="00F23BBB"/>
    <w:rsid w:val="00F23D85"/>
    <w:rsid w:val="00F240DF"/>
    <w:rsid w:val="00F2444A"/>
    <w:rsid w:val="00F24583"/>
    <w:rsid w:val="00F2489A"/>
    <w:rsid w:val="00F2492C"/>
    <w:rsid w:val="00F2493E"/>
    <w:rsid w:val="00F2495B"/>
    <w:rsid w:val="00F25577"/>
    <w:rsid w:val="00F255AA"/>
    <w:rsid w:val="00F25AF1"/>
    <w:rsid w:val="00F25B16"/>
    <w:rsid w:val="00F25C0D"/>
    <w:rsid w:val="00F25D73"/>
    <w:rsid w:val="00F25F8A"/>
    <w:rsid w:val="00F26116"/>
    <w:rsid w:val="00F26273"/>
    <w:rsid w:val="00F2637E"/>
    <w:rsid w:val="00F2664D"/>
    <w:rsid w:val="00F26C46"/>
    <w:rsid w:val="00F26D3E"/>
    <w:rsid w:val="00F26D90"/>
    <w:rsid w:val="00F27240"/>
    <w:rsid w:val="00F272AB"/>
    <w:rsid w:val="00F272EA"/>
    <w:rsid w:val="00F27318"/>
    <w:rsid w:val="00F2739F"/>
    <w:rsid w:val="00F27442"/>
    <w:rsid w:val="00F2744C"/>
    <w:rsid w:val="00F301B5"/>
    <w:rsid w:val="00F302EC"/>
    <w:rsid w:val="00F303B5"/>
    <w:rsid w:val="00F306C2"/>
    <w:rsid w:val="00F3073A"/>
    <w:rsid w:val="00F30871"/>
    <w:rsid w:val="00F30A83"/>
    <w:rsid w:val="00F30C8B"/>
    <w:rsid w:val="00F30EA0"/>
    <w:rsid w:val="00F30ED6"/>
    <w:rsid w:val="00F3112A"/>
    <w:rsid w:val="00F31382"/>
    <w:rsid w:val="00F31422"/>
    <w:rsid w:val="00F319A9"/>
    <w:rsid w:val="00F31BD9"/>
    <w:rsid w:val="00F31BF3"/>
    <w:rsid w:val="00F31EB8"/>
    <w:rsid w:val="00F320C1"/>
    <w:rsid w:val="00F320E3"/>
    <w:rsid w:val="00F32211"/>
    <w:rsid w:val="00F323E5"/>
    <w:rsid w:val="00F3264F"/>
    <w:rsid w:val="00F326F8"/>
    <w:rsid w:val="00F328E2"/>
    <w:rsid w:val="00F32961"/>
    <w:rsid w:val="00F32988"/>
    <w:rsid w:val="00F32B05"/>
    <w:rsid w:val="00F32B39"/>
    <w:rsid w:val="00F32B6D"/>
    <w:rsid w:val="00F32C40"/>
    <w:rsid w:val="00F32DD3"/>
    <w:rsid w:val="00F32EE6"/>
    <w:rsid w:val="00F32FB6"/>
    <w:rsid w:val="00F33CFA"/>
    <w:rsid w:val="00F341ED"/>
    <w:rsid w:val="00F3433C"/>
    <w:rsid w:val="00F349B9"/>
    <w:rsid w:val="00F34A3E"/>
    <w:rsid w:val="00F34B33"/>
    <w:rsid w:val="00F34CAB"/>
    <w:rsid w:val="00F34E60"/>
    <w:rsid w:val="00F34F47"/>
    <w:rsid w:val="00F3565B"/>
    <w:rsid w:val="00F3582E"/>
    <w:rsid w:val="00F3588C"/>
    <w:rsid w:val="00F35905"/>
    <w:rsid w:val="00F35948"/>
    <w:rsid w:val="00F359A4"/>
    <w:rsid w:val="00F35B1A"/>
    <w:rsid w:val="00F35C0E"/>
    <w:rsid w:val="00F35D14"/>
    <w:rsid w:val="00F35D40"/>
    <w:rsid w:val="00F35E45"/>
    <w:rsid w:val="00F35E53"/>
    <w:rsid w:val="00F35E72"/>
    <w:rsid w:val="00F36000"/>
    <w:rsid w:val="00F36297"/>
    <w:rsid w:val="00F365CE"/>
    <w:rsid w:val="00F36782"/>
    <w:rsid w:val="00F3684F"/>
    <w:rsid w:val="00F369EF"/>
    <w:rsid w:val="00F36AD9"/>
    <w:rsid w:val="00F37013"/>
    <w:rsid w:val="00F370D1"/>
    <w:rsid w:val="00F37144"/>
    <w:rsid w:val="00F37211"/>
    <w:rsid w:val="00F37281"/>
    <w:rsid w:val="00F3730A"/>
    <w:rsid w:val="00F374AB"/>
    <w:rsid w:val="00F37E6A"/>
    <w:rsid w:val="00F40129"/>
    <w:rsid w:val="00F40167"/>
    <w:rsid w:val="00F401A5"/>
    <w:rsid w:val="00F40292"/>
    <w:rsid w:val="00F405FD"/>
    <w:rsid w:val="00F4079D"/>
    <w:rsid w:val="00F40876"/>
    <w:rsid w:val="00F40CA9"/>
    <w:rsid w:val="00F40E03"/>
    <w:rsid w:val="00F4121F"/>
    <w:rsid w:val="00F413A7"/>
    <w:rsid w:val="00F41421"/>
    <w:rsid w:val="00F41448"/>
    <w:rsid w:val="00F4144E"/>
    <w:rsid w:val="00F414EF"/>
    <w:rsid w:val="00F416BA"/>
    <w:rsid w:val="00F417D0"/>
    <w:rsid w:val="00F41867"/>
    <w:rsid w:val="00F4198D"/>
    <w:rsid w:val="00F41A10"/>
    <w:rsid w:val="00F41BAF"/>
    <w:rsid w:val="00F41CBD"/>
    <w:rsid w:val="00F41DB3"/>
    <w:rsid w:val="00F41E5C"/>
    <w:rsid w:val="00F41E66"/>
    <w:rsid w:val="00F41EEA"/>
    <w:rsid w:val="00F4203E"/>
    <w:rsid w:val="00F42140"/>
    <w:rsid w:val="00F422C3"/>
    <w:rsid w:val="00F423FB"/>
    <w:rsid w:val="00F4242B"/>
    <w:rsid w:val="00F426AE"/>
    <w:rsid w:val="00F42982"/>
    <w:rsid w:val="00F42A42"/>
    <w:rsid w:val="00F42A69"/>
    <w:rsid w:val="00F42AC2"/>
    <w:rsid w:val="00F42B93"/>
    <w:rsid w:val="00F42CC3"/>
    <w:rsid w:val="00F42D0F"/>
    <w:rsid w:val="00F43163"/>
    <w:rsid w:val="00F4347C"/>
    <w:rsid w:val="00F43586"/>
    <w:rsid w:val="00F435F3"/>
    <w:rsid w:val="00F43ABC"/>
    <w:rsid w:val="00F43BB4"/>
    <w:rsid w:val="00F43BFB"/>
    <w:rsid w:val="00F43D45"/>
    <w:rsid w:val="00F43DFF"/>
    <w:rsid w:val="00F44033"/>
    <w:rsid w:val="00F442EB"/>
    <w:rsid w:val="00F44306"/>
    <w:rsid w:val="00F44385"/>
    <w:rsid w:val="00F443AC"/>
    <w:rsid w:val="00F4477C"/>
    <w:rsid w:val="00F44A02"/>
    <w:rsid w:val="00F44A8A"/>
    <w:rsid w:val="00F44BBC"/>
    <w:rsid w:val="00F44F40"/>
    <w:rsid w:val="00F44FA3"/>
    <w:rsid w:val="00F4508F"/>
    <w:rsid w:val="00F45092"/>
    <w:rsid w:val="00F45284"/>
    <w:rsid w:val="00F45724"/>
    <w:rsid w:val="00F45998"/>
    <w:rsid w:val="00F45EC0"/>
    <w:rsid w:val="00F46334"/>
    <w:rsid w:val="00F46892"/>
    <w:rsid w:val="00F46AC7"/>
    <w:rsid w:val="00F46DC5"/>
    <w:rsid w:val="00F46F6F"/>
    <w:rsid w:val="00F472CA"/>
    <w:rsid w:val="00F47360"/>
    <w:rsid w:val="00F47470"/>
    <w:rsid w:val="00F47555"/>
    <w:rsid w:val="00F475E5"/>
    <w:rsid w:val="00F47724"/>
    <w:rsid w:val="00F4778C"/>
    <w:rsid w:val="00F47A0B"/>
    <w:rsid w:val="00F47A2B"/>
    <w:rsid w:val="00F47C1D"/>
    <w:rsid w:val="00F47DCF"/>
    <w:rsid w:val="00F47FBA"/>
    <w:rsid w:val="00F47FE4"/>
    <w:rsid w:val="00F5014C"/>
    <w:rsid w:val="00F5019A"/>
    <w:rsid w:val="00F501B3"/>
    <w:rsid w:val="00F502C9"/>
    <w:rsid w:val="00F5042D"/>
    <w:rsid w:val="00F5043F"/>
    <w:rsid w:val="00F50A8A"/>
    <w:rsid w:val="00F50FBC"/>
    <w:rsid w:val="00F51055"/>
    <w:rsid w:val="00F51535"/>
    <w:rsid w:val="00F51717"/>
    <w:rsid w:val="00F51A86"/>
    <w:rsid w:val="00F51AE3"/>
    <w:rsid w:val="00F51B1C"/>
    <w:rsid w:val="00F51B52"/>
    <w:rsid w:val="00F51CB1"/>
    <w:rsid w:val="00F51D5D"/>
    <w:rsid w:val="00F51F0F"/>
    <w:rsid w:val="00F52666"/>
    <w:rsid w:val="00F527C2"/>
    <w:rsid w:val="00F527E2"/>
    <w:rsid w:val="00F529C2"/>
    <w:rsid w:val="00F52D9F"/>
    <w:rsid w:val="00F5301B"/>
    <w:rsid w:val="00F532F7"/>
    <w:rsid w:val="00F53455"/>
    <w:rsid w:val="00F53473"/>
    <w:rsid w:val="00F53491"/>
    <w:rsid w:val="00F5397B"/>
    <w:rsid w:val="00F53996"/>
    <w:rsid w:val="00F53A21"/>
    <w:rsid w:val="00F53CD4"/>
    <w:rsid w:val="00F54023"/>
    <w:rsid w:val="00F543D8"/>
    <w:rsid w:val="00F54621"/>
    <w:rsid w:val="00F546A1"/>
    <w:rsid w:val="00F54852"/>
    <w:rsid w:val="00F54AE3"/>
    <w:rsid w:val="00F54C90"/>
    <w:rsid w:val="00F54F3D"/>
    <w:rsid w:val="00F552FD"/>
    <w:rsid w:val="00F5546C"/>
    <w:rsid w:val="00F55544"/>
    <w:rsid w:val="00F556B4"/>
    <w:rsid w:val="00F5571C"/>
    <w:rsid w:val="00F5576E"/>
    <w:rsid w:val="00F558BB"/>
    <w:rsid w:val="00F558C5"/>
    <w:rsid w:val="00F561A5"/>
    <w:rsid w:val="00F561CD"/>
    <w:rsid w:val="00F5644A"/>
    <w:rsid w:val="00F56A1C"/>
    <w:rsid w:val="00F56FA9"/>
    <w:rsid w:val="00F57216"/>
    <w:rsid w:val="00F57540"/>
    <w:rsid w:val="00F579D8"/>
    <w:rsid w:val="00F57C75"/>
    <w:rsid w:val="00F60005"/>
    <w:rsid w:val="00F60063"/>
    <w:rsid w:val="00F604C8"/>
    <w:rsid w:val="00F608D9"/>
    <w:rsid w:val="00F609AE"/>
    <w:rsid w:val="00F609D3"/>
    <w:rsid w:val="00F60A29"/>
    <w:rsid w:val="00F60D72"/>
    <w:rsid w:val="00F60F10"/>
    <w:rsid w:val="00F60F70"/>
    <w:rsid w:val="00F617A5"/>
    <w:rsid w:val="00F618BE"/>
    <w:rsid w:val="00F61ACF"/>
    <w:rsid w:val="00F61BD7"/>
    <w:rsid w:val="00F61DAA"/>
    <w:rsid w:val="00F61F14"/>
    <w:rsid w:val="00F624FB"/>
    <w:rsid w:val="00F62514"/>
    <w:rsid w:val="00F6256E"/>
    <w:rsid w:val="00F62649"/>
    <w:rsid w:val="00F6264B"/>
    <w:rsid w:val="00F62683"/>
    <w:rsid w:val="00F6290A"/>
    <w:rsid w:val="00F62A86"/>
    <w:rsid w:val="00F62BD1"/>
    <w:rsid w:val="00F62D41"/>
    <w:rsid w:val="00F62EE7"/>
    <w:rsid w:val="00F63094"/>
    <w:rsid w:val="00F632BE"/>
    <w:rsid w:val="00F63354"/>
    <w:rsid w:val="00F63376"/>
    <w:rsid w:val="00F634E5"/>
    <w:rsid w:val="00F637BC"/>
    <w:rsid w:val="00F637EC"/>
    <w:rsid w:val="00F6408D"/>
    <w:rsid w:val="00F6413C"/>
    <w:rsid w:val="00F64239"/>
    <w:rsid w:val="00F6428A"/>
    <w:rsid w:val="00F64397"/>
    <w:rsid w:val="00F643C4"/>
    <w:rsid w:val="00F644B9"/>
    <w:rsid w:val="00F64559"/>
    <w:rsid w:val="00F64C59"/>
    <w:rsid w:val="00F64C9A"/>
    <w:rsid w:val="00F64CD7"/>
    <w:rsid w:val="00F64D51"/>
    <w:rsid w:val="00F64E1C"/>
    <w:rsid w:val="00F65031"/>
    <w:rsid w:val="00F65094"/>
    <w:rsid w:val="00F651A9"/>
    <w:rsid w:val="00F653DC"/>
    <w:rsid w:val="00F65453"/>
    <w:rsid w:val="00F654BA"/>
    <w:rsid w:val="00F6550D"/>
    <w:rsid w:val="00F65718"/>
    <w:rsid w:val="00F6581A"/>
    <w:rsid w:val="00F65BC1"/>
    <w:rsid w:val="00F65D5C"/>
    <w:rsid w:val="00F65F75"/>
    <w:rsid w:val="00F660AC"/>
    <w:rsid w:val="00F66110"/>
    <w:rsid w:val="00F666A5"/>
    <w:rsid w:val="00F666C3"/>
    <w:rsid w:val="00F666CA"/>
    <w:rsid w:val="00F66940"/>
    <w:rsid w:val="00F66BA2"/>
    <w:rsid w:val="00F66DA4"/>
    <w:rsid w:val="00F66F12"/>
    <w:rsid w:val="00F67485"/>
    <w:rsid w:val="00F678A4"/>
    <w:rsid w:val="00F67A3E"/>
    <w:rsid w:val="00F67CD7"/>
    <w:rsid w:val="00F70430"/>
    <w:rsid w:val="00F70676"/>
    <w:rsid w:val="00F706AB"/>
    <w:rsid w:val="00F70D4B"/>
    <w:rsid w:val="00F70DA1"/>
    <w:rsid w:val="00F70EC2"/>
    <w:rsid w:val="00F70EC8"/>
    <w:rsid w:val="00F710B4"/>
    <w:rsid w:val="00F714E1"/>
    <w:rsid w:val="00F7158D"/>
    <w:rsid w:val="00F719F8"/>
    <w:rsid w:val="00F71B50"/>
    <w:rsid w:val="00F7223C"/>
    <w:rsid w:val="00F725E6"/>
    <w:rsid w:val="00F72970"/>
    <w:rsid w:val="00F72AEC"/>
    <w:rsid w:val="00F72B81"/>
    <w:rsid w:val="00F72DC4"/>
    <w:rsid w:val="00F730DD"/>
    <w:rsid w:val="00F730EB"/>
    <w:rsid w:val="00F73248"/>
    <w:rsid w:val="00F73398"/>
    <w:rsid w:val="00F73BFD"/>
    <w:rsid w:val="00F74061"/>
    <w:rsid w:val="00F7412A"/>
    <w:rsid w:val="00F743BE"/>
    <w:rsid w:val="00F7455D"/>
    <w:rsid w:val="00F74768"/>
    <w:rsid w:val="00F747EE"/>
    <w:rsid w:val="00F74EEC"/>
    <w:rsid w:val="00F750CD"/>
    <w:rsid w:val="00F75203"/>
    <w:rsid w:val="00F7537B"/>
    <w:rsid w:val="00F753EA"/>
    <w:rsid w:val="00F7543C"/>
    <w:rsid w:val="00F75517"/>
    <w:rsid w:val="00F757D4"/>
    <w:rsid w:val="00F758CA"/>
    <w:rsid w:val="00F75CA7"/>
    <w:rsid w:val="00F75D85"/>
    <w:rsid w:val="00F75E8D"/>
    <w:rsid w:val="00F75F47"/>
    <w:rsid w:val="00F76148"/>
    <w:rsid w:val="00F7614B"/>
    <w:rsid w:val="00F76196"/>
    <w:rsid w:val="00F76A7C"/>
    <w:rsid w:val="00F76B9D"/>
    <w:rsid w:val="00F76E0A"/>
    <w:rsid w:val="00F76E53"/>
    <w:rsid w:val="00F76E8A"/>
    <w:rsid w:val="00F771CE"/>
    <w:rsid w:val="00F77260"/>
    <w:rsid w:val="00F77779"/>
    <w:rsid w:val="00F77910"/>
    <w:rsid w:val="00F77A5F"/>
    <w:rsid w:val="00F77B12"/>
    <w:rsid w:val="00F77CC3"/>
    <w:rsid w:val="00F80051"/>
    <w:rsid w:val="00F80391"/>
    <w:rsid w:val="00F805AB"/>
    <w:rsid w:val="00F807D6"/>
    <w:rsid w:val="00F80912"/>
    <w:rsid w:val="00F80978"/>
    <w:rsid w:val="00F809B5"/>
    <w:rsid w:val="00F80B57"/>
    <w:rsid w:val="00F80E17"/>
    <w:rsid w:val="00F80E75"/>
    <w:rsid w:val="00F80E83"/>
    <w:rsid w:val="00F812B5"/>
    <w:rsid w:val="00F8135E"/>
    <w:rsid w:val="00F81687"/>
    <w:rsid w:val="00F8171F"/>
    <w:rsid w:val="00F81936"/>
    <w:rsid w:val="00F81B97"/>
    <w:rsid w:val="00F81BE0"/>
    <w:rsid w:val="00F81CD0"/>
    <w:rsid w:val="00F81DB1"/>
    <w:rsid w:val="00F821B4"/>
    <w:rsid w:val="00F823E7"/>
    <w:rsid w:val="00F82707"/>
    <w:rsid w:val="00F827AF"/>
    <w:rsid w:val="00F827C4"/>
    <w:rsid w:val="00F82A7B"/>
    <w:rsid w:val="00F82B86"/>
    <w:rsid w:val="00F82C4D"/>
    <w:rsid w:val="00F82C6A"/>
    <w:rsid w:val="00F82CEE"/>
    <w:rsid w:val="00F830DF"/>
    <w:rsid w:val="00F8316C"/>
    <w:rsid w:val="00F83266"/>
    <w:rsid w:val="00F83276"/>
    <w:rsid w:val="00F83311"/>
    <w:rsid w:val="00F83478"/>
    <w:rsid w:val="00F83522"/>
    <w:rsid w:val="00F835CA"/>
    <w:rsid w:val="00F83724"/>
    <w:rsid w:val="00F83797"/>
    <w:rsid w:val="00F83B7A"/>
    <w:rsid w:val="00F83DBA"/>
    <w:rsid w:val="00F841E4"/>
    <w:rsid w:val="00F843E6"/>
    <w:rsid w:val="00F848C1"/>
    <w:rsid w:val="00F848E7"/>
    <w:rsid w:val="00F84B5C"/>
    <w:rsid w:val="00F84C81"/>
    <w:rsid w:val="00F84CFB"/>
    <w:rsid w:val="00F850D0"/>
    <w:rsid w:val="00F851EE"/>
    <w:rsid w:val="00F85277"/>
    <w:rsid w:val="00F8534C"/>
    <w:rsid w:val="00F8540A"/>
    <w:rsid w:val="00F854BA"/>
    <w:rsid w:val="00F85530"/>
    <w:rsid w:val="00F8556C"/>
    <w:rsid w:val="00F858A3"/>
    <w:rsid w:val="00F85ABE"/>
    <w:rsid w:val="00F85AFD"/>
    <w:rsid w:val="00F85B4D"/>
    <w:rsid w:val="00F85FB0"/>
    <w:rsid w:val="00F8677E"/>
    <w:rsid w:val="00F8681D"/>
    <w:rsid w:val="00F868ED"/>
    <w:rsid w:val="00F86A59"/>
    <w:rsid w:val="00F86B29"/>
    <w:rsid w:val="00F86C70"/>
    <w:rsid w:val="00F86F14"/>
    <w:rsid w:val="00F87212"/>
    <w:rsid w:val="00F87307"/>
    <w:rsid w:val="00F87456"/>
    <w:rsid w:val="00F877E0"/>
    <w:rsid w:val="00F879C8"/>
    <w:rsid w:val="00F90101"/>
    <w:rsid w:val="00F901EA"/>
    <w:rsid w:val="00F90334"/>
    <w:rsid w:val="00F9053F"/>
    <w:rsid w:val="00F90544"/>
    <w:rsid w:val="00F905AD"/>
    <w:rsid w:val="00F9064D"/>
    <w:rsid w:val="00F906A0"/>
    <w:rsid w:val="00F90B6F"/>
    <w:rsid w:val="00F90CB3"/>
    <w:rsid w:val="00F90F74"/>
    <w:rsid w:val="00F91565"/>
    <w:rsid w:val="00F91A08"/>
    <w:rsid w:val="00F91B1A"/>
    <w:rsid w:val="00F91E10"/>
    <w:rsid w:val="00F920D0"/>
    <w:rsid w:val="00F922C3"/>
    <w:rsid w:val="00F922C6"/>
    <w:rsid w:val="00F923A0"/>
    <w:rsid w:val="00F9258C"/>
    <w:rsid w:val="00F92651"/>
    <w:rsid w:val="00F929C1"/>
    <w:rsid w:val="00F92B83"/>
    <w:rsid w:val="00F932CF"/>
    <w:rsid w:val="00F93399"/>
    <w:rsid w:val="00F9351D"/>
    <w:rsid w:val="00F93AE1"/>
    <w:rsid w:val="00F93B29"/>
    <w:rsid w:val="00F93BD7"/>
    <w:rsid w:val="00F93C43"/>
    <w:rsid w:val="00F93D7D"/>
    <w:rsid w:val="00F93DC9"/>
    <w:rsid w:val="00F944F1"/>
    <w:rsid w:val="00F9476C"/>
    <w:rsid w:val="00F94A70"/>
    <w:rsid w:val="00F94B01"/>
    <w:rsid w:val="00F94E34"/>
    <w:rsid w:val="00F94E43"/>
    <w:rsid w:val="00F952B8"/>
    <w:rsid w:val="00F95463"/>
    <w:rsid w:val="00F9566D"/>
    <w:rsid w:val="00F95892"/>
    <w:rsid w:val="00F95AD8"/>
    <w:rsid w:val="00F95B8B"/>
    <w:rsid w:val="00F962FE"/>
    <w:rsid w:val="00F96385"/>
    <w:rsid w:val="00F963AB"/>
    <w:rsid w:val="00F963F6"/>
    <w:rsid w:val="00F964C7"/>
    <w:rsid w:val="00F96F7F"/>
    <w:rsid w:val="00F970AA"/>
    <w:rsid w:val="00F97180"/>
    <w:rsid w:val="00F97845"/>
    <w:rsid w:val="00F978EE"/>
    <w:rsid w:val="00F979FF"/>
    <w:rsid w:val="00F97AA2"/>
    <w:rsid w:val="00F97C42"/>
    <w:rsid w:val="00F97CA4"/>
    <w:rsid w:val="00F97E9A"/>
    <w:rsid w:val="00FA001B"/>
    <w:rsid w:val="00FA0048"/>
    <w:rsid w:val="00FA037A"/>
    <w:rsid w:val="00FA0520"/>
    <w:rsid w:val="00FA0790"/>
    <w:rsid w:val="00FA0F29"/>
    <w:rsid w:val="00FA143C"/>
    <w:rsid w:val="00FA1550"/>
    <w:rsid w:val="00FA155D"/>
    <w:rsid w:val="00FA1586"/>
    <w:rsid w:val="00FA17BB"/>
    <w:rsid w:val="00FA1896"/>
    <w:rsid w:val="00FA1D16"/>
    <w:rsid w:val="00FA1D1D"/>
    <w:rsid w:val="00FA1D51"/>
    <w:rsid w:val="00FA2076"/>
    <w:rsid w:val="00FA22D7"/>
    <w:rsid w:val="00FA2367"/>
    <w:rsid w:val="00FA2388"/>
    <w:rsid w:val="00FA245E"/>
    <w:rsid w:val="00FA27F5"/>
    <w:rsid w:val="00FA2A90"/>
    <w:rsid w:val="00FA2E32"/>
    <w:rsid w:val="00FA3106"/>
    <w:rsid w:val="00FA3170"/>
    <w:rsid w:val="00FA3992"/>
    <w:rsid w:val="00FA3A33"/>
    <w:rsid w:val="00FA3B5B"/>
    <w:rsid w:val="00FA3C00"/>
    <w:rsid w:val="00FA3D38"/>
    <w:rsid w:val="00FA3D9B"/>
    <w:rsid w:val="00FA3DFB"/>
    <w:rsid w:val="00FA3F73"/>
    <w:rsid w:val="00FA44A8"/>
    <w:rsid w:val="00FA45C7"/>
    <w:rsid w:val="00FA4886"/>
    <w:rsid w:val="00FA4AA2"/>
    <w:rsid w:val="00FA4BBC"/>
    <w:rsid w:val="00FA52BD"/>
    <w:rsid w:val="00FA5477"/>
    <w:rsid w:val="00FA572A"/>
    <w:rsid w:val="00FA5CB0"/>
    <w:rsid w:val="00FA5D0C"/>
    <w:rsid w:val="00FA5D12"/>
    <w:rsid w:val="00FA5E12"/>
    <w:rsid w:val="00FA5F02"/>
    <w:rsid w:val="00FA60BD"/>
    <w:rsid w:val="00FA6494"/>
    <w:rsid w:val="00FA6733"/>
    <w:rsid w:val="00FA67D7"/>
    <w:rsid w:val="00FA688A"/>
    <w:rsid w:val="00FA6BF7"/>
    <w:rsid w:val="00FA6C83"/>
    <w:rsid w:val="00FA6E2E"/>
    <w:rsid w:val="00FA70CF"/>
    <w:rsid w:val="00FA70FC"/>
    <w:rsid w:val="00FA723F"/>
    <w:rsid w:val="00FA728B"/>
    <w:rsid w:val="00FA769B"/>
    <w:rsid w:val="00FA780E"/>
    <w:rsid w:val="00FA7DB6"/>
    <w:rsid w:val="00FA7E4E"/>
    <w:rsid w:val="00FA7F50"/>
    <w:rsid w:val="00FA7F83"/>
    <w:rsid w:val="00FB012C"/>
    <w:rsid w:val="00FB0547"/>
    <w:rsid w:val="00FB0564"/>
    <w:rsid w:val="00FB0912"/>
    <w:rsid w:val="00FB1133"/>
    <w:rsid w:val="00FB146D"/>
    <w:rsid w:val="00FB1938"/>
    <w:rsid w:val="00FB1B94"/>
    <w:rsid w:val="00FB207A"/>
    <w:rsid w:val="00FB20A3"/>
    <w:rsid w:val="00FB248E"/>
    <w:rsid w:val="00FB287A"/>
    <w:rsid w:val="00FB28CC"/>
    <w:rsid w:val="00FB2990"/>
    <w:rsid w:val="00FB2ED4"/>
    <w:rsid w:val="00FB3277"/>
    <w:rsid w:val="00FB32AF"/>
    <w:rsid w:val="00FB33C0"/>
    <w:rsid w:val="00FB344A"/>
    <w:rsid w:val="00FB3781"/>
    <w:rsid w:val="00FB38C0"/>
    <w:rsid w:val="00FB3962"/>
    <w:rsid w:val="00FB3DA0"/>
    <w:rsid w:val="00FB3DF9"/>
    <w:rsid w:val="00FB3EB6"/>
    <w:rsid w:val="00FB3F18"/>
    <w:rsid w:val="00FB4047"/>
    <w:rsid w:val="00FB40ED"/>
    <w:rsid w:val="00FB4249"/>
    <w:rsid w:val="00FB4291"/>
    <w:rsid w:val="00FB447D"/>
    <w:rsid w:val="00FB46A4"/>
    <w:rsid w:val="00FB4862"/>
    <w:rsid w:val="00FB48F5"/>
    <w:rsid w:val="00FB49DE"/>
    <w:rsid w:val="00FB4CC9"/>
    <w:rsid w:val="00FB4DF9"/>
    <w:rsid w:val="00FB4F83"/>
    <w:rsid w:val="00FB4FF0"/>
    <w:rsid w:val="00FB5064"/>
    <w:rsid w:val="00FB51A7"/>
    <w:rsid w:val="00FB51F9"/>
    <w:rsid w:val="00FB5275"/>
    <w:rsid w:val="00FB53F4"/>
    <w:rsid w:val="00FB55D1"/>
    <w:rsid w:val="00FB5788"/>
    <w:rsid w:val="00FB58E5"/>
    <w:rsid w:val="00FB59F6"/>
    <w:rsid w:val="00FB5AC1"/>
    <w:rsid w:val="00FB5DC4"/>
    <w:rsid w:val="00FB5F36"/>
    <w:rsid w:val="00FB64C9"/>
    <w:rsid w:val="00FB6620"/>
    <w:rsid w:val="00FB74E1"/>
    <w:rsid w:val="00FB7548"/>
    <w:rsid w:val="00FB75DE"/>
    <w:rsid w:val="00FB7685"/>
    <w:rsid w:val="00FB7A3A"/>
    <w:rsid w:val="00FB7ED1"/>
    <w:rsid w:val="00FC007A"/>
    <w:rsid w:val="00FC024A"/>
    <w:rsid w:val="00FC0292"/>
    <w:rsid w:val="00FC031B"/>
    <w:rsid w:val="00FC0358"/>
    <w:rsid w:val="00FC037F"/>
    <w:rsid w:val="00FC0633"/>
    <w:rsid w:val="00FC0635"/>
    <w:rsid w:val="00FC093B"/>
    <w:rsid w:val="00FC09B8"/>
    <w:rsid w:val="00FC12BD"/>
    <w:rsid w:val="00FC1DA5"/>
    <w:rsid w:val="00FC1E37"/>
    <w:rsid w:val="00FC20EC"/>
    <w:rsid w:val="00FC2515"/>
    <w:rsid w:val="00FC27C8"/>
    <w:rsid w:val="00FC2BF6"/>
    <w:rsid w:val="00FC3317"/>
    <w:rsid w:val="00FC3322"/>
    <w:rsid w:val="00FC3534"/>
    <w:rsid w:val="00FC355A"/>
    <w:rsid w:val="00FC3638"/>
    <w:rsid w:val="00FC36C4"/>
    <w:rsid w:val="00FC38F8"/>
    <w:rsid w:val="00FC3A64"/>
    <w:rsid w:val="00FC3AB2"/>
    <w:rsid w:val="00FC3B15"/>
    <w:rsid w:val="00FC3C25"/>
    <w:rsid w:val="00FC3DBE"/>
    <w:rsid w:val="00FC42A5"/>
    <w:rsid w:val="00FC44A6"/>
    <w:rsid w:val="00FC456B"/>
    <w:rsid w:val="00FC45A2"/>
    <w:rsid w:val="00FC46EC"/>
    <w:rsid w:val="00FC4FE3"/>
    <w:rsid w:val="00FC5035"/>
    <w:rsid w:val="00FC510B"/>
    <w:rsid w:val="00FC539F"/>
    <w:rsid w:val="00FC5433"/>
    <w:rsid w:val="00FC5888"/>
    <w:rsid w:val="00FC59D6"/>
    <w:rsid w:val="00FC5A71"/>
    <w:rsid w:val="00FC5AB8"/>
    <w:rsid w:val="00FC5B5B"/>
    <w:rsid w:val="00FC5EEC"/>
    <w:rsid w:val="00FC639B"/>
    <w:rsid w:val="00FC6598"/>
    <w:rsid w:val="00FC65FA"/>
    <w:rsid w:val="00FC6738"/>
    <w:rsid w:val="00FC67EA"/>
    <w:rsid w:val="00FC6939"/>
    <w:rsid w:val="00FC6940"/>
    <w:rsid w:val="00FC6964"/>
    <w:rsid w:val="00FC70DD"/>
    <w:rsid w:val="00FC7344"/>
    <w:rsid w:val="00FC7435"/>
    <w:rsid w:val="00FC7525"/>
    <w:rsid w:val="00FC7B19"/>
    <w:rsid w:val="00FC7C74"/>
    <w:rsid w:val="00FC7D90"/>
    <w:rsid w:val="00FC7E31"/>
    <w:rsid w:val="00FC7E81"/>
    <w:rsid w:val="00FC7F2D"/>
    <w:rsid w:val="00FC7FDC"/>
    <w:rsid w:val="00FD0056"/>
    <w:rsid w:val="00FD00AD"/>
    <w:rsid w:val="00FD0354"/>
    <w:rsid w:val="00FD04C1"/>
    <w:rsid w:val="00FD07EF"/>
    <w:rsid w:val="00FD0918"/>
    <w:rsid w:val="00FD0D44"/>
    <w:rsid w:val="00FD11A8"/>
    <w:rsid w:val="00FD1286"/>
    <w:rsid w:val="00FD140A"/>
    <w:rsid w:val="00FD1886"/>
    <w:rsid w:val="00FD1DB0"/>
    <w:rsid w:val="00FD1DD0"/>
    <w:rsid w:val="00FD22A6"/>
    <w:rsid w:val="00FD2810"/>
    <w:rsid w:val="00FD2B8C"/>
    <w:rsid w:val="00FD2FF2"/>
    <w:rsid w:val="00FD30C8"/>
    <w:rsid w:val="00FD3341"/>
    <w:rsid w:val="00FD340B"/>
    <w:rsid w:val="00FD351D"/>
    <w:rsid w:val="00FD35DF"/>
    <w:rsid w:val="00FD36FA"/>
    <w:rsid w:val="00FD3A07"/>
    <w:rsid w:val="00FD3BD2"/>
    <w:rsid w:val="00FD3C93"/>
    <w:rsid w:val="00FD4308"/>
    <w:rsid w:val="00FD443F"/>
    <w:rsid w:val="00FD48D5"/>
    <w:rsid w:val="00FD48DF"/>
    <w:rsid w:val="00FD4AC3"/>
    <w:rsid w:val="00FD4CD5"/>
    <w:rsid w:val="00FD4CFF"/>
    <w:rsid w:val="00FD5138"/>
    <w:rsid w:val="00FD5193"/>
    <w:rsid w:val="00FD5514"/>
    <w:rsid w:val="00FD57A9"/>
    <w:rsid w:val="00FD57BC"/>
    <w:rsid w:val="00FD5A66"/>
    <w:rsid w:val="00FD5B2C"/>
    <w:rsid w:val="00FD5BCA"/>
    <w:rsid w:val="00FD5DA3"/>
    <w:rsid w:val="00FD60F0"/>
    <w:rsid w:val="00FD6375"/>
    <w:rsid w:val="00FD662E"/>
    <w:rsid w:val="00FD6671"/>
    <w:rsid w:val="00FD6680"/>
    <w:rsid w:val="00FD6C38"/>
    <w:rsid w:val="00FD6C82"/>
    <w:rsid w:val="00FD7126"/>
    <w:rsid w:val="00FD7186"/>
    <w:rsid w:val="00FD72C6"/>
    <w:rsid w:val="00FD74F8"/>
    <w:rsid w:val="00FD7664"/>
    <w:rsid w:val="00FD76BB"/>
    <w:rsid w:val="00FD77CF"/>
    <w:rsid w:val="00FD7AD2"/>
    <w:rsid w:val="00FD7BA0"/>
    <w:rsid w:val="00FD7D5D"/>
    <w:rsid w:val="00FD7D74"/>
    <w:rsid w:val="00FD7DA2"/>
    <w:rsid w:val="00FD7EBB"/>
    <w:rsid w:val="00FE00FD"/>
    <w:rsid w:val="00FE0139"/>
    <w:rsid w:val="00FE02CA"/>
    <w:rsid w:val="00FE03D5"/>
    <w:rsid w:val="00FE063A"/>
    <w:rsid w:val="00FE086A"/>
    <w:rsid w:val="00FE0887"/>
    <w:rsid w:val="00FE10AC"/>
    <w:rsid w:val="00FE12E5"/>
    <w:rsid w:val="00FE1470"/>
    <w:rsid w:val="00FE14C7"/>
    <w:rsid w:val="00FE188F"/>
    <w:rsid w:val="00FE1936"/>
    <w:rsid w:val="00FE1A5B"/>
    <w:rsid w:val="00FE1D46"/>
    <w:rsid w:val="00FE1E24"/>
    <w:rsid w:val="00FE20D5"/>
    <w:rsid w:val="00FE22BE"/>
    <w:rsid w:val="00FE2376"/>
    <w:rsid w:val="00FE24D5"/>
    <w:rsid w:val="00FE2641"/>
    <w:rsid w:val="00FE274B"/>
    <w:rsid w:val="00FE2B69"/>
    <w:rsid w:val="00FE2E64"/>
    <w:rsid w:val="00FE2E86"/>
    <w:rsid w:val="00FE308A"/>
    <w:rsid w:val="00FE3279"/>
    <w:rsid w:val="00FE34E2"/>
    <w:rsid w:val="00FE39DA"/>
    <w:rsid w:val="00FE39F2"/>
    <w:rsid w:val="00FE3A6A"/>
    <w:rsid w:val="00FE3E15"/>
    <w:rsid w:val="00FE3E54"/>
    <w:rsid w:val="00FE3F6B"/>
    <w:rsid w:val="00FE409A"/>
    <w:rsid w:val="00FE43C1"/>
    <w:rsid w:val="00FE4582"/>
    <w:rsid w:val="00FE4738"/>
    <w:rsid w:val="00FE4A00"/>
    <w:rsid w:val="00FE4C22"/>
    <w:rsid w:val="00FE4E40"/>
    <w:rsid w:val="00FE51D4"/>
    <w:rsid w:val="00FE53EC"/>
    <w:rsid w:val="00FE596D"/>
    <w:rsid w:val="00FE5A52"/>
    <w:rsid w:val="00FE5BC9"/>
    <w:rsid w:val="00FE6262"/>
    <w:rsid w:val="00FE674A"/>
    <w:rsid w:val="00FE682F"/>
    <w:rsid w:val="00FE6A2D"/>
    <w:rsid w:val="00FE6B74"/>
    <w:rsid w:val="00FE6D19"/>
    <w:rsid w:val="00FE7004"/>
    <w:rsid w:val="00FE727D"/>
    <w:rsid w:val="00FE732E"/>
    <w:rsid w:val="00FE7756"/>
    <w:rsid w:val="00FE778E"/>
    <w:rsid w:val="00FE7A05"/>
    <w:rsid w:val="00FE7E88"/>
    <w:rsid w:val="00FF012F"/>
    <w:rsid w:val="00FF0187"/>
    <w:rsid w:val="00FF04A6"/>
    <w:rsid w:val="00FF054F"/>
    <w:rsid w:val="00FF06BB"/>
    <w:rsid w:val="00FF0769"/>
    <w:rsid w:val="00FF07C9"/>
    <w:rsid w:val="00FF096C"/>
    <w:rsid w:val="00FF09DE"/>
    <w:rsid w:val="00FF0BFD"/>
    <w:rsid w:val="00FF0F82"/>
    <w:rsid w:val="00FF12E8"/>
    <w:rsid w:val="00FF134A"/>
    <w:rsid w:val="00FF14CB"/>
    <w:rsid w:val="00FF1624"/>
    <w:rsid w:val="00FF1740"/>
    <w:rsid w:val="00FF18D4"/>
    <w:rsid w:val="00FF18FE"/>
    <w:rsid w:val="00FF195B"/>
    <w:rsid w:val="00FF1984"/>
    <w:rsid w:val="00FF1A15"/>
    <w:rsid w:val="00FF1BA1"/>
    <w:rsid w:val="00FF1CA2"/>
    <w:rsid w:val="00FF1CA3"/>
    <w:rsid w:val="00FF1CFD"/>
    <w:rsid w:val="00FF1D93"/>
    <w:rsid w:val="00FF1E68"/>
    <w:rsid w:val="00FF2ACC"/>
    <w:rsid w:val="00FF2C49"/>
    <w:rsid w:val="00FF2D6C"/>
    <w:rsid w:val="00FF2DFF"/>
    <w:rsid w:val="00FF2FB0"/>
    <w:rsid w:val="00FF2FD2"/>
    <w:rsid w:val="00FF30D2"/>
    <w:rsid w:val="00FF3495"/>
    <w:rsid w:val="00FF39C2"/>
    <w:rsid w:val="00FF3C74"/>
    <w:rsid w:val="00FF3F2F"/>
    <w:rsid w:val="00FF3FE6"/>
    <w:rsid w:val="00FF40DC"/>
    <w:rsid w:val="00FF4308"/>
    <w:rsid w:val="00FF4342"/>
    <w:rsid w:val="00FF4559"/>
    <w:rsid w:val="00FF48D9"/>
    <w:rsid w:val="00FF4AF9"/>
    <w:rsid w:val="00FF4CD7"/>
    <w:rsid w:val="00FF4DDE"/>
    <w:rsid w:val="00FF5172"/>
    <w:rsid w:val="00FF544D"/>
    <w:rsid w:val="00FF54C4"/>
    <w:rsid w:val="00FF55D6"/>
    <w:rsid w:val="00FF565E"/>
    <w:rsid w:val="00FF56BA"/>
    <w:rsid w:val="00FF56BF"/>
    <w:rsid w:val="00FF5C30"/>
    <w:rsid w:val="00FF5C98"/>
    <w:rsid w:val="00FF5D89"/>
    <w:rsid w:val="00FF5E06"/>
    <w:rsid w:val="00FF6021"/>
    <w:rsid w:val="00FF636F"/>
    <w:rsid w:val="00FF6468"/>
    <w:rsid w:val="00FF6A4D"/>
    <w:rsid w:val="00FF6B04"/>
    <w:rsid w:val="00FF6B5F"/>
    <w:rsid w:val="00FF6BA3"/>
    <w:rsid w:val="00FF6BB3"/>
    <w:rsid w:val="00FF6C6E"/>
    <w:rsid w:val="00FF6CAC"/>
    <w:rsid w:val="00FF6CF6"/>
    <w:rsid w:val="00FF6E3A"/>
    <w:rsid w:val="00FF6E3D"/>
    <w:rsid w:val="00FF717B"/>
    <w:rsid w:val="00FF72A0"/>
    <w:rsid w:val="00FF758A"/>
    <w:rsid w:val="00FF761D"/>
    <w:rsid w:val="00FF7B31"/>
    <w:rsid w:val="00FF7BB0"/>
    <w:rsid w:val="00FF7BF7"/>
    <w:rsid w:val="00FF7E8E"/>
    <w:rsid w:val="00FF7EEE"/>
    <w:rsid w:val="01DAEAC1"/>
    <w:rsid w:val="024852C0"/>
    <w:rsid w:val="0254960C"/>
    <w:rsid w:val="026C0F9B"/>
    <w:rsid w:val="02E728CC"/>
    <w:rsid w:val="02F97FE6"/>
    <w:rsid w:val="04040D13"/>
    <w:rsid w:val="05131598"/>
    <w:rsid w:val="05395592"/>
    <w:rsid w:val="05F989AC"/>
    <w:rsid w:val="06505AE6"/>
    <w:rsid w:val="06C8E9C2"/>
    <w:rsid w:val="070F1E3E"/>
    <w:rsid w:val="070F8EB2"/>
    <w:rsid w:val="07347916"/>
    <w:rsid w:val="0738458D"/>
    <w:rsid w:val="080083EF"/>
    <w:rsid w:val="080252A8"/>
    <w:rsid w:val="084993AE"/>
    <w:rsid w:val="0864D516"/>
    <w:rsid w:val="0871778B"/>
    <w:rsid w:val="0890134F"/>
    <w:rsid w:val="08C3AA07"/>
    <w:rsid w:val="08D0E8BE"/>
    <w:rsid w:val="08DB0622"/>
    <w:rsid w:val="093B09D0"/>
    <w:rsid w:val="0972D3CE"/>
    <w:rsid w:val="098FBA91"/>
    <w:rsid w:val="0A14D204"/>
    <w:rsid w:val="0A4C9104"/>
    <w:rsid w:val="0B2BA4A7"/>
    <w:rsid w:val="0B6D104E"/>
    <w:rsid w:val="0B771C5E"/>
    <w:rsid w:val="0B87AA03"/>
    <w:rsid w:val="0BA99C79"/>
    <w:rsid w:val="0BEF6E0F"/>
    <w:rsid w:val="0C08251D"/>
    <w:rsid w:val="0CC8D366"/>
    <w:rsid w:val="0CD76004"/>
    <w:rsid w:val="0CDD2F7D"/>
    <w:rsid w:val="0D0C60A3"/>
    <w:rsid w:val="0DF5F25A"/>
    <w:rsid w:val="0E1CB21B"/>
    <w:rsid w:val="0E305811"/>
    <w:rsid w:val="0ED2BFB8"/>
    <w:rsid w:val="0F2DA189"/>
    <w:rsid w:val="0F6C3867"/>
    <w:rsid w:val="0FFD9566"/>
    <w:rsid w:val="0FFF4911"/>
    <w:rsid w:val="10096467"/>
    <w:rsid w:val="109F2C61"/>
    <w:rsid w:val="10B974D8"/>
    <w:rsid w:val="118A6538"/>
    <w:rsid w:val="118C12DF"/>
    <w:rsid w:val="11BDCBFB"/>
    <w:rsid w:val="1242E6CB"/>
    <w:rsid w:val="12A7D72B"/>
    <w:rsid w:val="12A9E827"/>
    <w:rsid w:val="12F3D5A7"/>
    <w:rsid w:val="13764CBC"/>
    <w:rsid w:val="1416440A"/>
    <w:rsid w:val="143CDAE8"/>
    <w:rsid w:val="153D7175"/>
    <w:rsid w:val="158C552F"/>
    <w:rsid w:val="158D14FA"/>
    <w:rsid w:val="15DA6A5B"/>
    <w:rsid w:val="15FBFF67"/>
    <w:rsid w:val="160608A3"/>
    <w:rsid w:val="17E5385D"/>
    <w:rsid w:val="183C3562"/>
    <w:rsid w:val="1850F4B9"/>
    <w:rsid w:val="18943478"/>
    <w:rsid w:val="199CD5B1"/>
    <w:rsid w:val="1A0D79B4"/>
    <w:rsid w:val="1A34BCBC"/>
    <w:rsid w:val="1A5262DF"/>
    <w:rsid w:val="1B0F146D"/>
    <w:rsid w:val="1BB6B02E"/>
    <w:rsid w:val="1C4B1D70"/>
    <w:rsid w:val="1CCCC9B9"/>
    <w:rsid w:val="1CE746C9"/>
    <w:rsid w:val="1D2E9D92"/>
    <w:rsid w:val="1D3E383C"/>
    <w:rsid w:val="1D46202C"/>
    <w:rsid w:val="1DFE7A3F"/>
    <w:rsid w:val="1E4839F2"/>
    <w:rsid w:val="1EF1F90B"/>
    <w:rsid w:val="1F045E78"/>
    <w:rsid w:val="1F314EFF"/>
    <w:rsid w:val="1F3F0533"/>
    <w:rsid w:val="1FA9BF8E"/>
    <w:rsid w:val="1FC4AAAA"/>
    <w:rsid w:val="2013DEBC"/>
    <w:rsid w:val="2060592D"/>
    <w:rsid w:val="208A3573"/>
    <w:rsid w:val="20D14A2A"/>
    <w:rsid w:val="212B41BC"/>
    <w:rsid w:val="213A632E"/>
    <w:rsid w:val="216E33F6"/>
    <w:rsid w:val="21B2CD41"/>
    <w:rsid w:val="21B442AA"/>
    <w:rsid w:val="21CB7D2F"/>
    <w:rsid w:val="224DA68B"/>
    <w:rsid w:val="22762C5D"/>
    <w:rsid w:val="22D09527"/>
    <w:rsid w:val="23A237D5"/>
    <w:rsid w:val="23B21CA5"/>
    <w:rsid w:val="23EAA191"/>
    <w:rsid w:val="246719CE"/>
    <w:rsid w:val="25A5A07B"/>
    <w:rsid w:val="2610CD1C"/>
    <w:rsid w:val="261EA27C"/>
    <w:rsid w:val="2648B101"/>
    <w:rsid w:val="26BC283D"/>
    <w:rsid w:val="26FCC3EB"/>
    <w:rsid w:val="270CBCCC"/>
    <w:rsid w:val="272A15E0"/>
    <w:rsid w:val="2773D5B5"/>
    <w:rsid w:val="27E3CF5F"/>
    <w:rsid w:val="2845974B"/>
    <w:rsid w:val="287A230E"/>
    <w:rsid w:val="2883E524"/>
    <w:rsid w:val="28C0E3E1"/>
    <w:rsid w:val="28D0D11D"/>
    <w:rsid w:val="28E96063"/>
    <w:rsid w:val="2975FE5A"/>
    <w:rsid w:val="29C66FD9"/>
    <w:rsid w:val="29FA5842"/>
    <w:rsid w:val="2A0B9E6E"/>
    <w:rsid w:val="2A60B705"/>
    <w:rsid w:val="2A8267B1"/>
    <w:rsid w:val="2ABD1305"/>
    <w:rsid w:val="2B32A0D5"/>
    <w:rsid w:val="2B512374"/>
    <w:rsid w:val="2B92C559"/>
    <w:rsid w:val="2BE04818"/>
    <w:rsid w:val="2CCB233B"/>
    <w:rsid w:val="2D00D271"/>
    <w:rsid w:val="2DE06364"/>
    <w:rsid w:val="2EC1377B"/>
    <w:rsid w:val="2F001ECC"/>
    <w:rsid w:val="2F5D788E"/>
    <w:rsid w:val="2F6DC7F7"/>
    <w:rsid w:val="2FAA04A8"/>
    <w:rsid w:val="300B501A"/>
    <w:rsid w:val="3049E89C"/>
    <w:rsid w:val="305D7507"/>
    <w:rsid w:val="306E0D16"/>
    <w:rsid w:val="30C8A5A2"/>
    <w:rsid w:val="312E4939"/>
    <w:rsid w:val="3147E54A"/>
    <w:rsid w:val="32653EF2"/>
    <w:rsid w:val="33027380"/>
    <w:rsid w:val="331231D0"/>
    <w:rsid w:val="3345764F"/>
    <w:rsid w:val="33BD6922"/>
    <w:rsid w:val="349AA5F1"/>
    <w:rsid w:val="34DBF41C"/>
    <w:rsid w:val="3503F4FE"/>
    <w:rsid w:val="3547C043"/>
    <w:rsid w:val="358D9F0D"/>
    <w:rsid w:val="3630BFD3"/>
    <w:rsid w:val="36EB5821"/>
    <w:rsid w:val="36EF5D87"/>
    <w:rsid w:val="37482BE0"/>
    <w:rsid w:val="378CD0BB"/>
    <w:rsid w:val="37982671"/>
    <w:rsid w:val="379D719E"/>
    <w:rsid w:val="37A49F83"/>
    <w:rsid w:val="387B0C51"/>
    <w:rsid w:val="3971C141"/>
    <w:rsid w:val="39ED5964"/>
    <w:rsid w:val="39F8522A"/>
    <w:rsid w:val="3A2DC0DA"/>
    <w:rsid w:val="3A4C4A8C"/>
    <w:rsid w:val="3A96D3E2"/>
    <w:rsid w:val="3A9AFEFE"/>
    <w:rsid w:val="3AD66BDC"/>
    <w:rsid w:val="3AD8450D"/>
    <w:rsid w:val="3AF99F6F"/>
    <w:rsid w:val="3B099573"/>
    <w:rsid w:val="3C226906"/>
    <w:rsid w:val="3C2C1201"/>
    <w:rsid w:val="3CBA3BBD"/>
    <w:rsid w:val="3D3AC047"/>
    <w:rsid w:val="3D5D37A5"/>
    <w:rsid w:val="3D9CF140"/>
    <w:rsid w:val="3DCA8208"/>
    <w:rsid w:val="3DE861CA"/>
    <w:rsid w:val="3ED76232"/>
    <w:rsid w:val="3F2D126E"/>
    <w:rsid w:val="3F3C6827"/>
    <w:rsid w:val="3F5611A5"/>
    <w:rsid w:val="3F800D25"/>
    <w:rsid w:val="3F81F7CB"/>
    <w:rsid w:val="3F8C9AEC"/>
    <w:rsid w:val="4007DFA0"/>
    <w:rsid w:val="40CB8951"/>
    <w:rsid w:val="4134C1B0"/>
    <w:rsid w:val="413E84BF"/>
    <w:rsid w:val="4162C4E1"/>
    <w:rsid w:val="4171A00D"/>
    <w:rsid w:val="41AAC6E3"/>
    <w:rsid w:val="41B82BA1"/>
    <w:rsid w:val="41BFD235"/>
    <w:rsid w:val="4266B427"/>
    <w:rsid w:val="42F5EA98"/>
    <w:rsid w:val="43354757"/>
    <w:rsid w:val="4356291F"/>
    <w:rsid w:val="436DB397"/>
    <w:rsid w:val="43D8932B"/>
    <w:rsid w:val="43F430C7"/>
    <w:rsid w:val="444703D6"/>
    <w:rsid w:val="44B790B0"/>
    <w:rsid w:val="44BB030C"/>
    <w:rsid w:val="44D34A18"/>
    <w:rsid w:val="45A56640"/>
    <w:rsid w:val="45CD0E6F"/>
    <w:rsid w:val="460686DF"/>
    <w:rsid w:val="4640382C"/>
    <w:rsid w:val="467A7D38"/>
    <w:rsid w:val="467AFA97"/>
    <w:rsid w:val="46B60161"/>
    <w:rsid w:val="46E8257D"/>
    <w:rsid w:val="475DDC67"/>
    <w:rsid w:val="476E3BFA"/>
    <w:rsid w:val="479FCB49"/>
    <w:rsid w:val="484D90B3"/>
    <w:rsid w:val="48C89BF9"/>
    <w:rsid w:val="48EAE2B0"/>
    <w:rsid w:val="48F8A62D"/>
    <w:rsid w:val="48FCE8B8"/>
    <w:rsid w:val="48FEAD2C"/>
    <w:rsid w:val="49002A29"/>
    <w:rsid w:val="494F7728"/>
    <w:rsid w:val="49A244CD"/>
    <w:rsid w:val="49ABB48F"/>
    <w:rsid w:val="49DF8FFC"/>
    <w:rsid w:val="4B36878C"/>
    <w:rsid w:val="4B7C4F46"/>
    <w:rsid w:val="4C44C5CA"/>
    <w:rsid w:val="4C470FFD"/>
    <w:rsid w:val="4C481B62"/>
    <w:rsid w:val="4D076A2B"/>
    <w:rsid w:val="4D0D1710"/>
    <w:rsid w:val="4D50C2D0"/>
    <w:rsid w:val="4D91A2ED"/>
    <w:rsid w:val="4DA0A502"/>
    <w:rsid w:val="4DB5652A"/>
    <w:rsid w:val="4DD43103"/>
    <w:rsid w:val="4E0882EB"/>
    <w:rsid w:val="4E59547D"/>
    <w:rsid w:val="507B9129"/>
    <w:rsid w:val="515A926D"/>
    <w:rsid w:val="51683981"/>
    <w:rsid w:val="51CB62A9"/>
    <w:rsid w:val="51F8F2DC"/>
    <w:rsid w:val="527EEB64"/>
    <w:rsid w:val="52B289CC"/>
    <w:rsid w:val="52E35EE7"/>
    <w:rsid w:val="52E78758"/>
    <w:rsid w:val="532F36B2"/>
    <w:rsid w:val="53EA30A6"/>
    <w:rsid w:val="53FE8D07"/>
    <w:rsid w:val="543515AF"/>
    <w:rsid w:val="544158AF"/>
    <w:rsid w:val="547A3B51"/>
    <w:rsid w:val="550B4536"/>
    <w:rsid w:val="560D9D87"/>
    <w:rsid w:val="5631CD16"/>
    <w:rsid w:val="5645B27C"/>
    <w:rsid w:val="567FB592"/>
    <w:rsid w:val="56AB8A31"/>
    <w:rsid w:val="56FEF3CD"/>
    <w:rsid w:val="5728F8DA"/>
    <w:rsid w:val="57352B66"/>
    <w:rsid w:val="57F73C1E"/>
    <w:rsid w:val="57FEF9A6"/>
    <w:rsid w:val="589A3A9D"/>
    <w:rsid w:val="58B814BE"/>
    <w:rsid w:val="58C355EF"/>
    <w:rsid w:val="58C48320"/>
    <w:rsid w:val="5908A26E"/>
    <w:rsid w:val="59577F31"/>
    <w:rsid w:val="5972ABBF"/>
    <w:rsid w:val="59D65E40"/>
    <w:rsid w:val="5A09FCCA"/>
    <w:rsid w:val="5B1A296D"/>
    <w:rsid w:val="5B40701D"/>
    <w:rsid w:val="5BA21617"/>
    <w:rsid w:val="5BF396EB"/>
    <w:rsid w:val="5C261489"/>
    <w:rsid w:val="5C5F19B1"/>
    <w:rsid w:val="5C6FFFE1"/>
    <w:rsid w:val="5C8ED697"/>
    <w:rsid w:val="5C96F78B"/>
    <w:rsid w:val="5CD67F64"/>
    <w:rsid w:val="5E0746B4"/>
    <w:rsid w:val="5EAB5EB4"/>
    <w:rsid w:val="5EF9D2EA"/>
    <w:rsid w:val="607F6A46"/>
    <w:rsid w:val="6150A4E5"/>
    <w:rsid w:val="615D5D73"/>
    <w:rsid w:val="61F5C596"/>
    <w:rsid w:val="6278A5F1"/>
    <w:rsid w:val="62BCB53F"/>
    <w:rsid w:val="62DA4A65"/>
    <w:rsid w:val="63372D6C"/>
    <w:rsid w:val="63894120"/>
    <w:rsid w:val="64936410"/>
    <w:rsid w:val="64A7A5D5"/>
    <w:rsid w:val="64E72161"/>
    <w:rsid w:val="650DDC3D"/>
    <w:rsid w:val="6535D508"/>
    <w:rsid w:val="65F51BFA"/>
    <w:rsid w:val="66022324"/>
    <w:rsid w:val="661B9A04"/>
    <w:rsid w:val="67EDD51E"/>
    <w:rsid w:val="688EE137"/>
    <w:rsid w:val="68AF2A47"/>
    <w:rsid w:val="69679238"/>
    <w:rsid w:val="69CF153C"/>
    <w:rsid w:val="69EC9DE8"/>
    <w:rsid w:val="6A525F88"/>
    <w:rsid w:val="6A78931F"/>
    <w:rsid w:val="6A935A6E"/>
    <w:rsid w:val="6AD8856C"/>
    <w:rsid w:val="6AECD452"/>
    <w:rsid w:val="6BB2F422"/>
    <w:rsid w:val="6BD62F7B"/>
    <w:rsid w:val="6BDC3BEB"/>
    <w:rsid w:val="6C0902DC"/>
    <w:rsid w:val="6C54679A"/>
    <w:rsid w:val="6CC960FD"/>
    <w:rsid w:val="6CFE22ED"/>
    <w:rsid w:val="6D212F28"/>
    <w:rsid w:val="6D48C1BB"/>
    <w:rsid w:val="6D56711B"/>
    <w:rsid w:val="6DA8B439"/>
    <w:rsid w:val="6E0CE313"/>
    <w:rsid w:val="6EB9654A"/>
    <w:rsid w:val="6F083AE8"/>
    <w:rsid w:val="6F84CEDB"/>
    <w:rsid w:val="706CE0DB"/>
    <w:rsid w:val="712BDE8C"/>
    <w:rsid w:val="718EC994"/>
    <w:rsid w:val="7190567F"/>
    <w:rsid w:val="71922808"/>
    <w:rsid w:val="721ECE94"/>
    <w:rsid w:val="72F986D9"/>
    <w:rsid w:val="7301EF69"/>
    <w:rsid w:val="73117089"/>
    <w:rsid w:val="73785996"/>
    <w:rsid w:val="73CCB1A1"/>
    <w:rsid w:val="7421896E"/>
    <w:rsid w:val="7444161B"/>
    <w:rsid w:val="745C0A97"/>
    <w:rsid w:val="7530EC34"/>
    <w:rsid w:val="75373CCC"/>
    <w:rsid w:val="759CB745"/>
    <w:rsid w:val="761B1080"/>
    <w:rsid w:val="761FB73B"/>
    <w:rsid w:val="762DBC29"/>
    <w:rsid w:val="7716791C"/>
    <w:rsid w:val="77249513"/>
    <w:rsid w:val="775CCC2E"/>
    <w:rsid w:val="776E91BF"/>
    <w:rsid w:val="780EBFD6"/>
    <w:rsid w:val="78293B82"/>
    <w:rsid w:val="795C2E97"/>
    <w:rsid w:val="795E14B4"/>
    <w:rsid w:val="7992F066"/>
    <w:rsid w:val="79CAAF31"/>
    <w:rsid w:val="79FE075E"/>
    <w:rsid w:val="7A9022CB"/>
    <w:rsid w:val="7ACB4400"/>
    <w:rsid w:val="7BA924F2"/>
    <w:rsid w:val="7D066DEA"/>
    <w:rsid w:val="7D2545B7"/>
    <w:rsid w:val="7D3727BB"/>
    <w:rsid w:val="7E2B94FA"/>
    <w:rsid w:val="7E2E05C3"/>
    <w:rsid w:val="7E4E040F"/>
    <w:rsid w:val="7E917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7613B2"/>
  <w15:docId w15:val="{AFDFB524-EA0B-48E8-88C4-82178398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k-SK"/>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0"/>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0"/>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0"/>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FD36FA"/>
    <w:pPr>
      <w:numPr>
        <w:numId w:val="1"/>
      </w:numPr>
      <w:contextualSpacing/>
    </w:pPr>
  </w:style>
  <w:style w:type="paragraph" w:styleId="ListBullet2">
    <w:name w:val="List Bullet 2"/>
    <w:basedOn w:val="Normal"/>
    <w:uiPriority w:val="99"/>
    <w:semiHidden/>
    <w:unhideWhenUsed/>
    <w:rsid w:val="00FD36FA"/>
    <w:pPr>
      <w:numPr>
        <w:numId w:val="2"/>
      </w:numPr>
      <w:contextualSpacing/>
    </w:pPr>
  </w:style>
  <w:style w:type="paragraph" w:styleId="ListBullet3">
    <w:name w:val="List Bullet 3"/>
    <w:basedOn w:val="Normal"/>
    <w:uiPriority w:val="99"/>
    <w:semiHidden/>
    <w:unhideWhenUsed/>
    <w:rsid w:val="00FD36FA"/>
    <w:pPr>
      <w:numPr>
        <w:numId w:val="3"/>
      </w:numPr>
      <w:contextualSpacing/>
    </w:pPr>
  </w:style>
  <w:style w:type="paragraph" w:styleId="ListBullet4">
    <w:name w:val="List Bullet 4"/>
    <w:basedOn w:val="Normal"/>
    <w:uiPriority w:val="99"/>
    <w:semiHidden/>
    <w:unhideWhenUsed/>
    <w:rsid w:val="00FD36FA"/>
    <w:pPr>
      <w:numPr>
        <w:numId w:val="4"/>
      </w:numPr>
      <w:contextualSpacing/>
    </w:pPr>
  </w:style>
  <w:style w:type="character" w:styleId="Hyperlink">
    <w:name w:val="Hyperlink"/>
    <w:basedOn w:val="DefaultParagraphFont"/>
    <w:uiPriority w:val="99"/>
    <w:unhideWhenUsed/>
    <w:rsid w:val="001E431A"/>
    <w:rPr>
      <w:color w:val="0000FF" w:themeColor="hyperlink"/>
      <w:u w:val="single"/>
    </w:rPr>
  </w:style>
  <w:style w:type="paragraph" w:styleId="Revision">
    <w:name w:val="Revision"/>
    <w:hidden/>
    <w:uiPriority w:val="99"/>
    <w:semiHidden/>
    <w:rsid w:val="00066D66"/>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632944"/>
    <w:rPr>
      <w:sz w:val="16"/>
      <w:szCs w:val="16"/>
    </w:rPr>
  </w:style>
  <w:style w:type="paragraph" w:styleId="CommentText">
    <w:name w:val="annotation text"/>
    <w:basedOn w:val="Normal"/>
    <w:link w:val="CommentTextChar"/>
    <w:uiPriority w:val="99"/>
    <w:unhideWhenUsed/>
    <w:rsid w:val="00632944"/>
    <w:rPr>
      <w:sz w:val="20"/>
      <w:szCs w:val="20"/>
    </w:rPr>
  </w:style>
  <w:style w:type="character" w:customStyle="1" w:styleId="CommentTextChar">
    <w:name w:val="Comment Text Char"/>
    <w:basedOn w:val="DefaultParagraphFont"/>
    <w:link w:val="CommentText"/>
    <w:uiPriority w:val="99"/>
    <w:rsid w:val="00632944"/>
    <w:rPr>
      <w:rFonts w:ascii="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unhideWhenUsed/>
    <w:rsid w:val="00632944"/>
    <w:rPr>
      <w:b/>
      <w:bCs/>
    </w:rPr>
  </w:style>
  <w:style w:type="character" w:customStyle="1" w:styleId="CommentSubjectChar">
    <w:name w:val="Comment Subject Char"/>
    <w:basedOn w:val="CommentTextChar"/>
    <w:link w:val="CommentSubject"/>
    <w:uiPriority w:val="99"/>
    <w:semiHidden/>
    <w:rsid w:val="00632944"/>
    <w:rPr>
      <w:rFonts w:ascii="Times New Roman" w:hAnsi="Times New Roman" w:cs="Times New Roman"/>
      <w:b/>
      <w:bCs/>
      <w:sz w:val="20"/>
      <w:szCs w:val="20"/>
      <w:lang w:val="sk-SK"/>
    </w:rPr>
  </w:style>
  <w:style w:type="character" w:customStyle="1" w:styleId="UnresolvedMention">
    <w:name w:val="Unresolved Mention"/>
    <w:basedOn w:val="DefaultParagraphFont"/>
    <w:uiPriority w:val="99"/>
    <w:semiHidden/>
    <w:unhideWhenUsed/>
    <w:rsid w:val="00F326F8"/>
    <w:rPr>
      <w:color w:val="605E5C"/>
      <w:shd w:val="clear" w:color="auto" w:fill="E1DFDD"/>
    </w:rPr>
  </w:style>
  <w:style w:type="character" w:customStyle="1" w:styleId="normaltextrun">
    <w:name w:val="normaltextrun"/>
    <w:basedOn w:val="DefaultParagraphFont"/>
    <w:rsid w:val="00476327"/>
  </w:style>
  <w:style w:type="paragraph" w:styleId="ListParagraph">
    <w:name w:val="List Paragraph"/>
    <w:basedOn w:val="Normal"/>
    <w:uiPriority w:val="34"/>
    <w:qFormat/>
    <w:rsid w:val="00AA3E2E"/>
    <w:pPr>
      <w:ind w:left="720"/>
      <w:contextualSpacing/>
    </w:pPr>
  </w:style>
  <w:style w:type="character" w:styleId="FollowedHyperlink">
    <w:name w:val="FollowedHyperlink"/>
    <w:basedOn w:val="DefaultParagraphFont"/>
    <w:uiPriority w:val="99"/>
    <w:semiHidden/>
    <w:unhideWhenUsed/>
    <w:rsid w:val="006831FA"/>
    <w:rPr>
      <w:color w:val="800080" w:themeColor="followedHyperlink"/>
      <w:u w:val="single"/>
    </w:rPr>
  </w:style>
  <w:style w:type="character" w:customStyle="1" w:styleId="Mention">
    <w:name w:val="Mention"/>
    <w:basedOn w:val="DefaultParagraphFont"/>
    <w:uiPriority w:val="99"/>
    <w:unhideWhenUsed/>
    <w:rsid w:val="00156749"/>
    <w:rPr>
      <w:color w:val="2B579A"/>
      <w:shd w:val="clear" w:color="auto" w:fill="E1DFDD"/>
    </w:rPr>
  </w:style>
  <w:style w:type="paragraph" w:customStyle="1" w:styleId="Tableofcontents">
    <w:name w:val="Table of contents"/>
    <w:basedOn w:val="Normal"/>
    <w:link w:val="TableofcontentsChar"/>
    <w:qFormat/>
    <w:rsid w:val="00033389"/>
    <w:pPr>
      <w:keepNext/>
      <w:spacing w:before="240" w:after="240"/>
      <w:jc w:val="left"/>
    </w:pPr>
    <w:rPr>
      <w:rFonts w:ascii="Arial" w:eastAsia="Times New Roman" w:hAnsi="Arial" w:cs="Arial"/>
      <w:b/>
      <w:szCs w:val="24"/>
      <w:u w:val="single"/>
    </w:rPr>
  </w:style>
  <w:style w:type="character" w:customStyle="1" w:styleId="TableofcontentsChar">
    <w:name w:val="Table of contents Char"/>
    <w:link w:val="Tableofcontents"/>
    <w:rsid w:val="00033389"/>
    <w:rPr>
      <w:rFonts w:ascii="Arial" w:eastAsia="Times New Roman" w:hAnsi="Arial" w:cs="Arial"/>
      <w:b/>
      <w:sz w:val="24"/>
      <w:szCs w:val="24"/>
      <w:u w:val="single"/>
      <w:lang w:val="sk-SK"/>
    </w:rPr>
  </w:style>
  <w:style w:type="paragraph" w:styleId="NormalWeb">
    <w:name w:val="Normal (Web)"/>
    <w:basedOn w:val="Normal"/>
    <w:uiPriority w:val="99"/>
    <w:unhideWhenUsed/>
    <w:rsid w:val="004548A6"/>
    <w:pPr>
      <w:spacing w:before="100" w:beforeAutospacing="1" w:after="100" w:afterAutospacing="1"/>
      <w:jc w:val="left"/>
    </w:pPr>
    <w:rPr>
      <w:rFonts w:eastAsia="Times New Roman"/>
      <w:szCs w:val="24"/>
      <w:lang w:eastAsia="es-ES"/>
    </w:rPr>
  </w:style>
  <w:style w:type="character" w:styleId="Strong">
    <w:name w:val="Strong"/>
    <w:basedOn w:val="DefaultParagraphFont"/>
    <w:uiPriority w:val="22"/>
    <w:qFormat/>
    <w:rsid w:val="00D57106"/>
    <w:rPr>
      <w:b/>
      <w:bCs/>
    </w:rPr>
  </w:style>
  <w:style w:type="paragraph" w:styleId="EndnoteText">
    <w:name w:val="endnote text"/>
    <w:basedOn w:val="Normal"/>
    <w:link w:val="EndnoteTextChar"/>
    <w:uiPriority w:val="99"/>
    <w:semiHidden/>
    <w:unhideWhenUsed/>
    <w:rsid w:val="009A1B56"/>
    <w:pPr>
      <w:spacing w:before="0" w:after="0"/>
    </w:pPr>
    <w:rPr>
      <w:sz w:val="20"/>
      <w:szCs w:val="20"/>
    </w:rPr>
  </w:style>
  <w:style w:type="character" w:customStyle="1" w:styleId="EndnoteTextChar">
    <w:name w:val="Endnote Text Char"/>
    <w:basedOn w:val="DefaultParagraphFont"/>
    <w:link w:val="EndnoteText"/>
    <w:uiPriority w:val="99"/>
    <w:semiHidden/>
    <w:rsid w:val="009A1B56"/>
    <w:rPr>
      <w:rFonts w:ascii="Times New Roman" w:hAnsi="Times New Roman" w:cs="Times New Roman"/>
      <w:sz w:val="20"/>
      <w:szCs w:val="20"/>
      <w:lang w:val="sk-SK"/>
    </w:rPr>
  </w:style>
  <w:style w:type="character" w:styleId="EndnoteReference">
    <w:name w:val="endnote reference"/>
    <w:basedOn w:val="DefaultParagraphFont"/>
    <w:uiPriority w:val="99"/>
    <w:semiHidden/>
    <w:unhideWhenUsed/>
    <w:rsid w:val="009A1B56"/>
    <w:rPr>
      <w:vertAlign w:val="superscript"/>
    </w:rPr>
  </w:style>
  <w:style w:type="character" w:customStyle="1" w:styleId="HeaderChar">
    <w:name w:val="Header Char"/>
    <w:basedOn w:val="DefaultParagraphFont"/>
    <w:link w:val="Header"/>
    <w:uiPriority w:val="99"/>
    <w:rsid w:val="00140F12"/>
    <w:rPr>
      <w:rFonts w:ascii="Times New Roman" w:hAnsi="Times New Roman" w:cs="Times New Roman"/>
      <w:sz w:val="24"/>
      <w:lang w:val="sk-SK"/>
    </w:rPr>
  </w:style>
  <w:style w:type="character" w:customStyle="1" w:styleId="FooterChar">
    <w:name w:val="Footer Char"/>
    <w:basedOn w:val="DefaultParagraphFont"/>
    <w:link w:val="Footer"/>
    <w:uiPriority w:val="99"/>
    <w:rsid w:val="00140F12"/>
    <w:rPr>
      <w:rFonts w:ascii="Times New Roman" w:hAnsi="Times New Roman" w:cs="Times New Roman"/>
      <w:sz w:val="24"/>
      <w:lang w:val="sk-S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140F1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40F12"/>
    <w:pPr>
      <w:spacing w:before="0"/>
      <w:jc w:val="right"/>
    </w:pPr>
    <w:rPr>
      <w:sz w:val="28"/>
    </w:rPr>
  </w:style>
  <w:style w:type="paragraph" w:customStyle="1" w:styleId="FooterSensitivity">
    <w:name w:val="Footer Sensitivity"/>
    <w:basedOn w:val="Normal"/>
    <w:rsid w:val="00140F1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3"/>
      </w:numPr>
    </w:pPr>
  </w:style>
  <w:style w:type="paragraph" w:customStyle="1" w:styleId="Tiret1">
    <w:name w:val="Tiret 1"/>
    <w:basedOn w:val="Point1"/>
    <w:pPr>
      <w:numPr>
        <w:numId w:val="24"/>
      </w:numPr>
    </w:pPr>
  </w:style>
  <w:style w:type="paragraph" w:customStyle="1" w:styleId="Tiret2">
    <w:name w:val="Tiret 2"/>
    <w:basedOn w:val="Point2"/>
    <w:pPr>
      <w:numPr>
        <w:numId w:val="25"/>
      </w:numPr>
    </w:pPr>
  </w:style>
  <w:style w:type="paragraph" w:customStyle="1" w:styleId="Tiret3">
    <w:name w:val="Tiret 3"/>
    <w:basedOn w:val="Point3"/>
    <w:pPr>
      <w:numPr>
        <w:numId w:val="26"/>
      </w:numPr>
    </w:pPr>
  </w:style>
  <w:style w:type="paragraph" w:customStyle="1" w:styleId="Tiret4">
    <w:name w:val="Tiret 4"/>
    <w:basedOn w:val="Point4"/>
    <w:pPr>
      <w:numPr>
        <w:numId w:val="27"/>
      </w:numPr>
    </w:pPr>
  </w:style>
  <w:style w:type="paragraph" w:customStyle="1" w:styleId="Tiret5">
    <w:name w:val="Tiret 5"/>
    <w:basedOn w:val="Point5"/>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NumPar5">
    <w:name w:val="NumPar 5"/>
    <w:basedOn w:val="Normal"/>
    <w:next w:val="Text2"/>
    <w:pPr>
      <w:numPr>
        <w:ilvl w:val="4"/>
        <w:numId w:val="29"/>
      </w:numPr>
    </w:pPr>
  </w:style>
  <w:style w:type="paragraph" w:customStyle="1" w:styleId="NumPar6">
    <w:name w:val="NumPar 6"/>
    <w:basedOn w:val="Normal"/>
    <w:next w:val="Text2"/>
    <w:pPr>
      <w:numPr>
        <w:ilvl w:val="5"/>
        <w:numId w:val="29"/>
      </w:numPr>
    </w:pPr>
  </w:style>
  <w:style w:type="paragraph" w:customStyle="1" w:styleId="NumPar7">
    <w:name w:val="NumPar 7"/>
    <w:basedOn w:val="Normal"/>
    <w:next w:val="Text2"/>
    <w:pPr>
      <w:numPr>
        <w:ilvl w:val="6"/>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140F12"/>
    <w:pPr>
      <w:tabs>
        <w:tab w:val="center" w:pos="4535"/>
        <w:tab w:val="right" w:pos="9071"/>
      </w:tabs>
      <w:spacing w:before="0"/>
    </w:pPr>
  </w:style>
  <w:style w:type="paragraph" w:customStyle="1" w:styleId="HeaderLandscape">
    <w:name w:val="HeaderLandscape"/>
    <w:basedOn w:val="Normal"/>
    <w:rsid w:val="00140F12"/>
    <w:pPr>
      <w:tabs>
        <w:tab w:val="center" w:pos="7285"/>
        <w:tab w:val="right" w:pos="14003"/>
      </w:tabs>
      <w:spacing w:before="0"/>
    </w:pPr>
  </w:style>
  <w:style w:type="paragraph" w:styleId="Footer">
    <w:name w:val="footer"/>
    <w:basedOn w:val="Normal"/>
    <w:link w:val="FooterChar"/>
    <w:uiPriority w:val="99"/>
    <w:unhideWhenUsed/>
    <w:rsid w:val="00140F12"/>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140F12"/>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636">
      <w:bodyDiv w:val="1"/>
      <w:marLeft w:val="0"/>
      <w:marRight w:val="0"/>
      <w:marTop w:val="0"/>
      <w:marBottom w:val="0"/>
      <w:divBdr>
        <w:top w:val="none" w:sz="0" w:space="0" w:color="auto"/>
        <w:left w:val="none" w:sz="0" w:space="0" w:color="auto"/>
        <w:bottom w:val="none" w:sz="0" w:space="0" w:color="auto"/>
        <w:right w:val="none" w:sz="0" w:space="0" w:color="auto"/>
      </w:divBdr>
    </w:div>
    <w:div w:id="3748704">
      <w:bodyDiv w:val="1"/>
      <w:marLeft w:val="0"/>
      <w:marRight w:val="0"/>
      <w:marTop w:val="0"/>
      <w:marBottom w:val="0"/>
      <w:divBdr>
        <w:top w:val="none" w:sz="0" w:space="0" w:color="auto"/>
        <w:left w:val="none" w:sz="0" w:space="0" w:color="auto"/>
        <w:bottom w:val="none" w:sz="0" w:space="0" w:color="auto"/>
        <w:right w:val="none" w:sz="0" w:space="0" w:color="auto"/>
      </w:divBdr>
    </w:div>
    <w:div w:id="8719420">
      <w:bodyDiv w:val="1"/>
      <w:marLeft w:val="0"/>
      <w:marRight w:val="0"/>
      <w:marTop w:val="0"/>
      <w:marBottom w:val="0"/>
      <w:divBdr>
        <w:top w:val="none" w:sz="0" w:space="0" w:color="auto"/>
        <w:left w:val="none" w:sz="0" w:space="0" w:color="auto"/>
        <w:bottom w:val="none" w:sz="0" w:space="0" w:color="auto"/>
        <w:right w:val="none" w:sz="0" w:space="0" w:color="auto"/>
      </w:divBdr>
    </w:div>
    <w:div w:id="16346078">
      <w:bodyDiv w:val="1"/>
      <w:marLeft w:val="0"/>
      <w:marRight w:val="0"/>
      <w:marTop w:val="0"/>
      <w:marBottom w:val="0"/>
      <w:divBdr>
        <w:top w:val="none" w:sz="0" w:space="0" w:color="auto"/>
        <w:left w:val="none" w:sz="0" w:space="0" w:color="auto"/>
        <w:bottom w:val="none" w:sz="0" w:space="0" w:color="auto"/>
        <w:right w:val="none" w:sz="0" w:space="0" w:color="auto"/>
      </w:divBdr>
    </w:div>
    <w:div w:id="76248935">
      <w:bodyDiv w:val="1"/>
      <w:marLeft w:val="0"/>
      <w:marRight w:val="0"/>
      <w:marTop w:val="0"/>
      <w:marBottom w:val="0"/>
      <w:divBdr>
        <w:top w:val="none" w:sz="0" w:space="0" w:color="auto"/>
        <w:left w:val="none" w:sz="0" w:space="0" w:color="auto"/>
        <w:bottom w:val="none" w:sz="0" w:space="0" w:color="auto"/>
        <w:right w:val="none" w:sz="0" w:space="0" w:color="auto"/>
      </w:divBdr>
    </w:div>
    <w:div w:id="94059511">
      <w:bodyDiv w:val="1"/>
      <w:marLeft w:val="0"/>
      <w:marRight w:val="0"/>
      <w:marTop w:val="0"/>
      <w:marBottom w:val="0"/>
      <w:divBdr>
        <w:top w:val="none" w:sz="0" w:space="0" w:color="auto"/>
        <w:left w:val="none" w:sz="0" w:space="0" w:color="auto"/>
        <w:bottom w:val="none" w:sz="0" w:space="0" w:color="auto"/>
        <w:right w:val="none" w:sz="0" w:space="0" w:color="auto"/>
      </w:divBdr>
    </w:div>
    <w:div w:id="102960031">
      <w:bodyDiv w:val="1"/>
      <w:marLeft w:val="0"/>
      <w:marRight w:val="0"/>
      <w:marTop w:val="0"/>
      <w:marBottom w:val="0"/>
      <w:divBdr>
        <w:top w:val="none" w:sz="0" w:space="0" w:color="auto"/>
        <w:left w:val="none" w:sz="0" w:space="0" w:color="auto"/>
        <w:bottom w:val="none" w:sz="0" w:space="0" w:color="auto"/>
        <w:right w:val="none" w:sz="0" w:space="0" w:color="auto"/>
      </w:divBdr>
    </w:div>
    <w:div w:id="117653168">
      <w:bodyDiv w:val="1"/>
      <w:marLeft w:val="0"/>
      <w:marRight w:val="0"/>
      <w:marTop w:val="0"/>
      <w:marBottom w:val="0"/>
      <w:divBdr>
        <w:top w:val="none" w:sz="0" w:space="0" w:color="auto"/>
        <w:left w:val="none" w:sz="0" w:space="0" w:color="auto"/>
        <w:bottom w:val="none" w:sz="0" w:space="0" w:color="auto"/>
        <w:right w:val="none" w:sz="0" w:space="0" w:color="auto"/>
      </w:divBdr>
    </w:div>
    <w:div w:id="127556237">
      <w:bodyDiv w:val="1"/>
      <w:marLeft w:val="0"/>
      <w:marRight w:val="0"/>
      <w:marTop w:val="0"/>
      <w:marBottom w:val="0"/>
      <w:divBdr>
        <w:top w:val="none" w:sz="0" w:space="0" w:color="auto"/>
        <w:left w:val="none" w:sz="0" w:space="0" w:color="auto"/>
        <w:bottom w:val="none" w:sz="0" w:space="0" w:color="auto"/>
        <w:right w:val="none" w:sz="0" w:space="0" w:color="auto"/>
      </w:divBdr>
    </w:div>
    <w:div w:id="130681129">
      <w:bodyDiv w:val="1"/>
      <w:marLeft w:val="0"/>
      <w:marRight w:val="0"/>
      <w:marTop w:val="0"/>
      <w:marBottom w:val="0"/>
      <w:divBdr>
        <w:top w:val="none" w:sz="0" w:space="0" w:color="auto"/>
        <w:left w:val="none" w:sz="0" w:space="0" w:color="auto"/>
        <w:bottom w:val="none" w:sz="0" w:space="0" w:color="auto"/>
        <w:right w:val="none" w:sz="0" w:space="0" w:color="auto"/>
      </w:divBdr>
    </w:div>
    <w:div w:id="137694181">
      <w:bodyDiv w:val="1"/>
      <w:marLeft w:val="0"/>
      <w:marRight w:val="0"/>
      <w:marTop w:val="0"/>
      <w:marBottom w:val="0"/>
      <w:divBdr>
        <w:top w:val="none" w:sz="0" w:space="0" w:color="auto"/>
        <w:left w:val="none" w:sz="0" w:space="0" w:color="auto"/>
        <w:bottom w:val="none" w:sz="0" w:space="0" w:color="auto"/>
        <w:right w:val="none" w:sz="0" w:space="0" w:color="auto"/>
      </w:divBdr>
    </w:div>
    <w:div w:id="147407338">
      <w:bodyDiv w:val="1"/>
      <w:marLeft w:val="0"/>
      <w:marRight w:val="0"/>
      <w:marTop w:val="0"/>
      <w:marBottom w:val="0"/>
      <w:divBdr>
        <w:top w:val="none" w:sz="0" w:space="0" w:color="auto"/>
        <w:left w:val="none" w:sz="0" w:space="0" w:color="auto"/>
        <w:bottom w:val="none" w:sz="0" w:space="0" w:color="auto"/>
        <w:right w:val="none" w:sz="0" w:space="0" w:color="auto"/>
      </w:divBdr>
    </w:div>
    <w:div w:id="155192722">
      <w:bodyDiv w:val="1"/>
      <w:marLeft w:val="0"/>
      <w:marRight w:val="0"/>
      <w:marTop w:val="0"/>
      <w:marBottom w:val="0"/>
      <w:divBdr>
        <w:top w:val="none" w:sz="0" w:space="0" w:color="auto"/>
        <w:left w:val="none" w:sz="0" w:space="0" w:color="auto"/>
        <w:bottom w:val="none" w:sz="0" w:space="0" w:color="auto"/>
        <w:right w:val="none" w:sz="0" w:space="0" w:color="auto"/>
      </w:divBdr>
    </w:div>
    <w:div w:id="170724285">
      <w:bodyDiv w:val="1"/>
      <w:marLeft w:val="0"/>
      <w:marRight w:val="0"/>
      <w:marTop w:val="0"/>
      <w:marBottom w:val="0"/>
      <w:divBdr>
        <w:top w:val="none" w:sz="0" w:space="0" w:color="auto"/>
        <w:left w:val="none" w:sz="0" w:space="0" w:color="auto"/>
        <w:bottom w:val="none" w:sz="0" w:space="0" w:color="auto"/>
        <w:right w:val="none" w:sz="0" w:space="0" w:color="auto"/>
      </w:divBdr>
      <w:divsChild>
        <w:div w:id="95911128">
          <w:marLeft w:val="0"/>
          <w:marRight w:val="0"/>
          <w:marTop w:val="0"/>
          <w:marBottom w:val="0"/>
          <w:divBdr>
            <w:top w:val="none" w:sz="0" w:space="0" w:color="auto"/>
            <w:left w:val="none" w:sz="0" w:space="0" w:color="auto"/>
            <w:bottom w:val="none" w:sz="0" w:space="0" w:color="auto"/>
            <w:right w:val="none" w:sz="0" w:space="0" w:color="auto"/>
          </w:divBdr>
        </w:div>
      </w:divsChild>
    </w:div>
    <w:div w:id="176696675">
      <w:bodyDiv w:val="1"/>
      <w:marLeft w:val="0"/>
      <w:marRight w:val="0"/>
      <w:marTop w:val="0"/>
      <w:marBottom w:val="0"/>
      <w:divBdr>
        <w:top w:val="none" w:sz="0" w:space="0" w:color="auto"/>
        <w:left w:val="none" w:sz="0" w:space="0" w:color="auto"/>
        <w:bottom w:val="none" w:sz="0" w:space="0" w:color="auto"/>
        <w:right w:val="none" w:sz="0" w:space="0" w:color="auto"/>
      </w:divBdr>
    </w:div>
    <w:div w:id="195703837">
      <w:bodyDiv w:val="1"/>
      <w:marLeft w:val="0"/>
      <w:marRight w:val="0"/>
      <w:marTop w:val="0"/>
      <w:marBottom w:val="0"/>
      <w:divBdr>
        <w:top w:val="none" w:sz="0" w:space="0" w:color="auto"/>
        <w:left w:val="none" w:sz="0" w:space="0" w:color="auto"/>
        <w:bottom w:val="none" w:sz="0" w:space="0" w:color="auto"/>
        <w:right w:val="none" w:sz="0" w:space="0" w:color="auto"/>
      </w:divBdr>
      <w:divsChild>
        <w:div w:id="514223555">
          <w:marLeft w:val="0"/>
          <w:marRight w:val="0"/>
          <w:marTop w:val="0"/>
          <w:marBottom w:val="0"/>
          <w:divBdr>
            <w:top w:val="none" w:sz="0" w:space="0" w:color="auto"/>
            <w:left w:val="none" w:sz="0" w:space="0" w:color="auto"/>
            <w:bottom w:val="none" w:sz="0" w:space="0" w:color="auto"/>
            <w:right w:val="none" w:sz="0" w:space="0" w:color="auto"/>
          </w:divBdr>
        </w:div>
      </w:divsChild>
    </w:div>
    <w:div w:id="203173553">
      <w:bodyDiv w:val="1"/>
      <w:marLeft w:val="0"/>
      <w:marRight w:val="0"/>
      <w:marTop w:val="0"/>
      <w:marBottom w:val="0"/>
      <w:divBdr>
        <w:top w:val="none" w:sz="0" w:space="0" w:color="auto"/>
        <w:left w:val="none" w:sz="0" w:space="0" w:color="auto"/>
        <w:bottom w:val="none" w:sz="0" w:space="0" w:color="auto"/>
        <w:right w:val="none" w:sz="0" w:space="0" w:color="auto"/>
      </w:divBdr>
    </w:div>
    <w:div w:id="211311477">
      <w:bodyDiv w:val="1"/>
      <w:marLeft w:val="0"/>
      <w:marRight w:val="0"/>
      <w:marTop w:val="0"/>
      <w:marBottom w:val="0"/>
      <w:divBdr>
        <w:top w:val="none" w:sz="0" w:space="0" w:color="auto"/>
        <w:left w:val="none" w:sz="0" w:space="0" w:color="auto"/>
        <w:bottom w:val="none" w:sz="0" w:space="0" w:color="auto"/>
        <w:right w:val="none" w:sz="0" w:space="0" w:color="auto"/>
      </w:divBdr>
    </w:div>
    <w:div w:id="229581951">
      <w:bodyDiv w:val="1"/>
      <w:marLeft w:val="0"/>
      <w:marRight w:val="0"/>
      <w:marTop w:val="0"/>
      <w:marBottom w:val="0"/>
      <w:divBdr>
        <w:top w:val="none" w:sz="0" w:space="0" w:color="auto"/>
        <w:left w:val="none" w:sz="0" w:space="0" w:color="auto"/>
        <w:bottom w:val="none" w:sz="0" w:space="0" w:color="auto"/>
        <w:right w:val="none" w:sz="0" w:space="0" w:color="auto"/>
      </w:divBdr>
    </w:div>
    <w:div w:id="232669430">
      <w:bodyDiv w:val="1"/>
      <w:marLeft w:val="0"/>
      <w:marRight w:val="0"/>
      <w:marTop w:val="0"/>
      <w:marBottom w:val="0"/>
      <w:divBdr>
        <w:top w:val="none" w:sz="0" w:space="0" w:color="auto"/>
        <w:left w:val="none" w:sz="0" w:space="0" w:color="auto"/>
        <w:bottom w:val="none" w:sz="0" w:space="0" w:color="auto"/>
        <w:right w:val="none" w:sz="0" w:space="0" w:color="auto"/>
      </w:divBdr>
    </w:div>
    <w:div w:id="234047455">
      <w:bodyDiv w:val="1"/>
      <w:marLeft w:val="0"/>
      <w:marRight w:val="0"/>
      <w:marTop w:val="0"/>
      <w:marBottom w:val="0"/>
      <w:divBdr>
        <w:top w:val="none" w:sz="0" w:space="0" w:color="auto"/>
        <w:left w:val="none" w:sz="0" w:space="0" w:color="auto"/>
        <w:bottom w:val="none" w:sz="0" w:space="0" w:color="auto"/>
        <w:right w:val="none" w:sz="0" w:space="0" w:color="auto"/>
      </w:divBdr>
    </w:div>
    <w:div w:id="268389199">
      <w:bodyDiv w:val="1"/>
      <w:marLeft w:val="0"/>
      <w:marRight w:val="0"/>
      <w:marTop w:val="0"/>
      <w:marBottom w:val="0"/>
      <w:divBdr>
        <w:top w:val="none" w:sz="0" w:space="0" w:color="auto"/>
        <w:left w:val="none" w:sz="0" w:space="0" w:color="auto"/>
        <w:bottom w:val="none" w:sz="0" w:space="0" w:color="auto"/>
        <w:right w:val="none" w:sz="0" w:space="0" w:color="auto"/>
      </w:divBdr>
    </w:div>
    <w:div w:id="271133800">
      <w:bodyDiv w:val="1"/>
      <w:marLeft w:val="0"/>
      <w:marRight w:val="0"/>
      <w:marTop w:val="0"/>
      <w:marBottom w:val="0"/>
      <w:divBdr>
        <w:top w:val="none" w:sz="0" w:space="0" w:color="auto"/>
        <w:left w:val="none" w:sz="0" w:space="0" w:color="auto"/>
        <w:bottom w:val="none" w:sz="0" w:space="0" w:color="auto"/>
        <w:right w:val="none" w:sz="0" w:space="0" w:color="auto"/>
      </w:divBdr>
    </w:div>
    <w:div w:id="282923721">
      <w:bodyDiv w:val="1"/>
      <w:marLeft w:val="0"/>
      <w:marRight w:val="0"/>
      <w:marTop w:val="0"/>
      <w:marBottom w:val="0"/>
      <w:divBdr>
        <w:top w:val="none" w:sz="0" w:space="0" w:color="auto"/>
        <w:left w:val="none" w:sz="0" w:space="0" w:color="auto"/>
        <w:bottom w:val="none" w:sz="0" w:space="0" w:color="auto"/>
        <w:right w:val="none" w:sz="0" w:space="0" w:color="auto"/>
      </w:divBdr>
    </w:div>
    <w:div w:id="317659834">
      <w:bodyDiv w:val="1"/>
      <w:marLeft w:val="0"/>
      <w:marRight w:val="0"/>
      <w:marTop w:val="0"/>
      <w:marBottom w:val="0"/>
      <w:divBdr>
        <w:top w:val="none" w:sz="0" w:space="0" w:color="auto"/>
        <w:left w:val="none" w:sz="0" w:space="0" w:color="auto"/>
        <w:bottom w:val="none" w:sz="0" w:space="0" w:color="auto"/>
        <w:right w:val="none" w:sz="0" w:space="0" w:color="auto"/>
      </w:divBdr>
    </w:div>
    <w:div w:id="323632412">
      <w:bodyDiv w:val="1"/>
      <w:marLeft w:val="0"/>
      <w:marRight w:val="0"/>
      <w:marTop w:val="0"/>
      <w:marBottom w:val="0"/>
      <w:divBdr>
        <w:top w:val="none" w:sz="0" w:space="0" w:color="auto"/>
        <w:left w:val="none" w:sz="0" w:space="0" w:color="auto"/>
        <w:bottom w:val="none" w:sz="0" w:space="0" w:color="auto"/>
        <w:right w:val="none" w:sz="0" w:space="0" w:color="auto"/>
      </w:divBdr>
    </w:div>
    <w:div w:id="338434430">
      <w:bodyDiv w:val="1"/>
      <w:marLeft w:val="0"/>
      <w:marRight w:val="0"/>
      <w:marTop w:val="0"/>
      <w:marBottom w:val="0"/>
      <w:divBdr>
        <w:top w:val="none" w:sz="0" w:space="0" w:color="auto"/>
        <w:left w:val="none" w:sz="0" w:space="0" w:color="auto"/>
        <w:bottom w:val="none" w:sz="0" w:space="0" w:color="auto"/>
        <w:right w:val="none" w:sz="0" w:space="0" w:color="auto"/>
      </w:divBdr>
    </w:div>
    <w:div w:id="343745528">
      <w:bodyDiv w:val="1"/>
      <w:marLeft w:val="0"/>
      <w:marRight w:val="0"/>
      <w:marTop w:val="0"/>
      <w:marBottom w:val="0"/>
      <w:divBdr>
        <w:top w:val="none" w:sz="0" w:space="0" w:color="auto"/>
        <w:left w:val="none" w:sz="0" w:space="0" w:color="auto"/>
        <w:bottom w:val="none" w:sz="0" w:space="0" w:color="auto"/>
        <w:right w:val="none" w:sz="0" w:space="0" w:color="auto"/>
      </w:divBdr>
    </w:div>
    <w:div w:id="345600172">
      <w:bodyDiv w:val="1"/>
      <w:marLeft w:val="0"/>
      <w:marRight w:val="0"/>
      <w:marTop w:val="0"/>
      <w:marBottom w:val="0"/>
      <w:divBdr>
        <w:top w:val="none" w:sz="0" w:space="0" w:color="auto"/>
        <w:left w:val="none" w:sz="0" w:space="0" w:color="auto"/>
        <w:bottom w:val="none" w:sz="0" w:space="0" w:color="auto"/>
        <w:right w:val="none" w:sz="0" w:space="0" w:color="auto"/>
      </w:divBdr>
    </w:div>
    <w:div w:id="377169837">
      <w:bodyDiv w:val="1"/>
      <w:marLeft w:val="0"/>
      <w:marRight w:val="0"/>
      <w:marTop w:val="0"/>
      <w:marBottom w:val="0"/>
      <w:divBdr>
        <w:top w:val="none" w:sz="0" w:space="0" w:color="auto"/>
        <w:left w:val="none" w:sz="0" w:space="0" w:color="auto"/>
        <w:bottom w:val="none" w:sz="0" w:space="0" w:color="auto"/>
        <w:right w:val="none" w:sz="0" w:space="0" w:color="auto"/>
      </w:divBdr>
    </w:div>
    <w:div w:id="402990591">
      <w:bodyDiv w:val="1"/>
      <w:marLeft w:val="0"/>
      <w:marRight w:val="0"/>
      <w:marTop w:val="0"/>
      <w:marBottom w:val="0"/>
      <w:divBdr>
        <w:top w:val="none" w:sz="0" w:space="0" w:color="auto"/>
        <w:left w:val="none" w:sz="0" w:space="0" w:color="auto"/>
        <w:bottom w:val="none" w:sz="0" w:space="0" w:color="auto"/>
        <w:right w:val="none" w:sz="0" w:space="0" w:color="auto"/>
      </w:divBdr>
    </w:div>
    <w:div w:id="411703833">
      <w:bodyDiv w:val="1"/>
      <w:marLeft w:val="0"/>
      <w:marRight w:val="0"/>
      <w:marTop w:val="0"/>
      <w:marBottom w:val="0"/>
      <w:divBdr>
        <w:top w:val="none" w:sz="0" w:space="0" w:color="auto"/>
        <w:left w:val="none" w:sz="0" w:space="0" w:color="auto"/>
        <w:bottom w:val="none" w:sz="0" w:space="0" w:color="auto"/>
        <w:right w:val="none" w:sz="0" w:space="0" w:color="auto"/>
      </w:divBdr>
    </w:div>
    <w:div w:id="419764971">
      <w:bodyDiv w:val="1"/>
      <w:marLeft w:val="0"/>
      <w:marRight w:val="0"/>
      <w:marTop w:val="0"/>
      <w:marBottom w:val="0"/>
      <w:divBdr>
        <w:top w:val="none" w:sz="0" w:space="0" w:color="auto"/>
        <w:left w:val="none" w:sz="0" w:space="0" w:color="auto"/>
        <w:bottom w:val="none" w:sz="0" w:space="0" w:color="auto"/>
        <w:right w:val="none" w:sz="0" w:space="0" w:color="auto"/>
      </w:divBdr>
    </w:div>
    <w:div w:id="421218921">
      <w:bodyDiv w:val="1"/>
      <w:marLeft w:val="0"/>
      <w:marRight w:val="0"/>
      <w:marTop w:val="0"/>
      <w:marBottom w:val="0"/>
      <w:divBdr>
        <w:top w:val="none" w:sz="0" w:space="0" w:color="auto"/>
        <w:left w:val="none" w:sz="0" w:space="0" w:color="auto"/>
        <w:bottom w:val="none" w:sz="0" w:space="0" w:color="auto"/>
        <w:right w:val="none" w:sz="0" w:space="0" w:color="auto"/>
      </w:divBdr>
    </w:div>
    <w:div w:id="429395090">
      <w:bodyDiv w:val="1"/>
      <w:marLeft w:val="0"/>
      <w:marRight w:val="0"/>
      <w:marTop w:val="0"/>
      <w:marBottom w:val="0"/>
      <w:divBdr>
        <w:top w:val="none" w:sz="0" w:space="0" w:color="auto"/>
        <w:left w:val="none" w:sz="0" w:space="0" w:color="auto"/>
        <w:bottom w:val="none" w:sz="0" w:space="0" w:color="auto"/>
        <w:right w:val="none" w:sz="0" w:space="0" w:color="auto"/>
      </w:divBdr>
    </w:div>
    <w:div w:id="430273557">
      <w:bodyDiv w:val="1"/>
      <w:marLeft w:val="0"/>
      <w:marRight w:val="0"/>
      <w:marTop w:val="0"/>
      <w:marBottom w:val="0"/>
      <w:divBdr>
        <w:top w:val="none" w:sz="0" w:space="0" w:color="auto"/>
        <w:left w:val="none" w:sz="0" w:space="0" w:color="auto"/>
        <w:bottom w:val="none" w:sz="0" w:space="0" w:color="auto"/>
        <w:right w:val="none" w:sz="0" w:space="0" w:color="auto"/>
      </w:divBdr>
    </w:div>
    <w:div w:id="431128192">
      <w:bodyDiv w:val="1"/>
      <w:marLeft w:val="0"/>
      <w:marRight w:val="0"/>
      <w:marTop w:val="0"/>
      <w:marBottom w:val="0"/>
      <w:divBdr>
        <w:top w:val="none" w:sz="0" w:space="0" w:color="auto"/>
        <w:left w:val="none" w:sz="0" w:space="0" w:color="auto"/>
        <w:bottom w:val="none" w:sz="0" w:space="0" w:color="auto"/>
        <w:right w:val="none" w:sz="0" w:space="0" w:color="auto"/>
      </w:divBdr>
    </w:div>
    <w:div w:id="441414201">
      <w:bodyDiv w:val="1"/>
      <w:marLeft w:val="0"/>
      <w:marRight w:val="0"/>
      <w:marTop w:val="0"/>
      <w:marBottom w:val="0"/>
      <w:divBdr>
        <w:top w:val="none" w:sz="0" w:space="0" w:color="auto"/>
        <w:left w:val="none" w:sz="0" w:space="0" w:color="auto"/>
        <w:bottom w:val="none" w:sz="0" w:space="0" w:color="auto"/>
        <w:right w:val="none" w:sz="0" w:space="0" w:color="auto"/>
      </w:divBdr>
    </w:div>
    <w:div w:id="442303854">
      <w:bodyDiv w:val="1"/>
      <w:marLeft w:val="0"/>
      <w:marRight w:val="0"/>
      <w:marTop w:val="0"/>
      <w:marBottom w:val="0"/>
      <w:divBdr>
        <w:top w:val="none" w:sz="0" w:space="0" w:color="auto"/>
        <w:left w:val="none" w:sz="0" w:space="0" w:color="auto"/>
        <w:bottom w:val="none" w:sz="0" w:space="0" w:color="auto"/>
        <w:right w:val="none" w:sz="0" w:space="0" w:color="auto"/>
      </w:divBdr>
    </w:div>
    <w:div w:id="453523824">
      <w:bodyDiv w:val="1"/>
      <w:marLeft w:val="0"/>
      <w:marRight w:val="0"/>
      <w:marTop w:val="0"/>
      <w:marBottom w:val="0"/>
      <w:divBdr>
        <w:top w:val="none" w:sz="0" w:space="0" w:color="auto"/>
        <w:left w:val="none" w:sz="0" w:space="0" w:color="auto"/>
        <w:bottom w:val="none" w:sz="0" w:space="0" w:color="auto"/>
        <w:right w:val="none" w:sz="0" w:space="0" w:color="auto"/>
      </w:divBdr>
    </w:div>
    <w:div w:id="461270347">
      <w:bodyDiv w:val="1"/>
      <w:marLeft w:val="0"/>
      <w:marRight w:val="0"/>
      <w:marTop w:val="0"/>
      <w:marBottom w:val="0"/>
      <w:divBdr>
        <w:top w:val="none" w:sz="0" w:space="0" w:color="auto"/>
        <w:left w:val="none" w:sz="0" w:space="0" w:color="auto"/>
        <w:bottom w:val="none" w:sz="0" w:space="0" w:color="auto"/>
        <w:right w:val="none" w:sz="0" w:space="0" w:color="auto"/>
      </w:divBdr>
    </w:div>
    <w:div w:id="491992376">
      <w:bodyDiv w:val="1"/>
      <w:marLeft w:val="0"/>
      <w:marRight w:val="0"/>
      <w:marTop w:val="0"/>
      <w:marBottom w:val="0"/>
      <w:divBdr>
        <w:top w:val="none" w:sz="0" w:space="0" w:color="auto"/>
        <w:left w:val="none" w:sz="0" w:space="0" w:color="auto"/>
        <w:bottom w:val="none" w:sz="0" w:space="0" w:color="auto"/>
        <w:right w:val="none" w:sz="0" w:space="0" w:color="auto"/>
      </w:divBdr>
    </w:div>
    <w:div w:id="492453759">
      <w:bodyDiv w:val="1"/>
      <w:marLeft w:val="0"/>
      <w:marRight w:val="0"/>
      <w:marTop w:val="0"/>
      <w:marBottom w:val="0"/>
      <w:divBdr>
        <w:top w:val="none" w:sz="0" w:space="0" w:color="auto"/>
        <w:left w:val="none" w:sz="0" w:space="0" w:color="auto"/>
        <w:bottom w:val="none" w:sz="0" w:space="0" w:color="auto"/>
        <w:right w:val="none" w:sz="0" w:space="0" w:color="auto"/>
      </w:divBdr>
    </w:div>
    <w:div w:id="507060839">
      <w:bodyDiv w:val="1"/>
      <w:marLeft w:val="0"/>
      <w:marRight w:val="0"/>
      <w:marTop w:val="0"/>
      <w:marBottom w:val="0"/>
      <w:divBdr>
        <w:top w:val="none" w:sz="0" w:space="0" w:color="auto"/>
        <w:left w:val="none" w:sz="0" w:space="0" w:color="auto"/>
        <w:bottom w:val="none" w:sz="0" w:space="0" w:color="auto"/>
        <w:right w:val="none" w:sz="0" w:space="0" w:color="auto"/>
      </w:divBdr>
    </w:div>
    <w:div w:id="508716010">
      <w:bodyDiv w:val="1"/>
      <w:marLeft w:val="0"/>
      <w:marRight w:val="0"/>
      <w:marTop w:val="0"/>
      <w:marBottom w:val="0"/>
      <w:divBdr>
        <w:top w:val="none" w:sz="0" w:space="0" w:color="auto"/>
        <w:left w:val="none" w:sz="0" w:space="0" w:color="auto"/>
        <w:bottom w:val="none" w:sz="0" w:space="0" w:color="auto"/>
        <w:right w:val="none" w:sz="0" w:space="0" w:color="auto"/>
      </w:divBdr>
    </w:div>
    <w:div w:id="519897332">
      <w:bodyDiv w:val="1"/>
      <w:marLeft w:val="0"/>
      <w:marRight w:val="0"/>
      <w:marTop w:val="0"/>
      <w:marBottom w:val="0"/>
      <w:divBdr>
        <w:top w:val="none" w:sz="0" w:space="0" w:color="auto"/>
        <w:left w:val="none" w:sz="0" w:space="0" w:color="auto"/>
        <w:bottom w:val="none" w:sz="0" w:space="0" w:color="auto"/>
        <w:right w:val="none" w:sz="0" w:space="0" w:color="auto"/>
      </w:divBdr>
    </w:div>
    <w:div w:id="520048756">
      <w:bodyDiv w:val="1"/>
      <w:marLeft w:val="0"/>
      <w:marRight w:val="0"/>
      <w:marTop w:val="0"/>
      <w:marBottom w:val="0"/>
      <w:divBdr>
        <w:top w:val="none" w:sz="0" w:space="0" w:color="auto"/>
        <w:left w:val="none" w:sz="0" w:space="0" w:color="auto"/>
        <w:bottom w:val="none" w:sz="0" w:space="0" w:color="auto"/>
        <w:right w:val="none" w:sz="0" w:space="0" w:color="auto"/>
      </w:divBdr>
    </w:div>
    <w:div w:id="547494231">
      <w:bodyDiv w:val="1"/>
      <w:marLeft w:val="0"/>
      <w:marRight w:val="0"/>
      <w:marTop w:val="0"/>
      <w:marBottom w:val="0"/>
      <w:divBdr>
        <w:top w:val="none" w:sz="0" w:space="0" w:color="auto"/>
        <w:left w:val="none" w:sz="0" w:space="0" w:color="auto"/>
        <w:bottom w:val="none" w:sz="0" w:space="0" w:color="auto"/>
        <w:right w:val="none" w:sz="0" w:space="0" w:color="auto"/>
      </w:divBdr>
    </w:div>
    <w:div w:id="607589248">
      <w:bodyDiv w:val="1"/>
      <w:marLeft w:val="0"/>
      <w:marRight w:val="0"/>
      <w:marTop w:val="0"/>
      <w:marBottom w:val="0"/>
      <w:divBdr>
        <w:top w:val="none" w:sz="0" w:space="0" w:color="auto"/>
        <w:left w:val="none" w:sz="0" w:space="0" w:color="auto"/>
        <w:bottom w:val="none" w:sz="0" w:space="0" w:color="auto"/>
        <w:right w:val="none" w:sz="0" w:space="0" w:color="auto"/>
      </w:divBdr>
    </w:div>
    <w:div w:id="609700414">
      <w:bodyDiv w:val="1"/>
      <w:marLeft w:val="0"/>
      <w:marRight w:val="0"/>
      <w:marTop w:val="0"/>
      <w:marBottom w:val="0"/>
      <w:divBdr>
        <w:top w:val="none" w:sz="0" w:space="0" w:color="auto"/>
        <w:left w:val="none" w:sz="0" w:space="0" w:color="auto"/>
        <w:bottom w:val="none" w:sz="0" w:space="0" w:color="auto"/>
        <w:right w:val="none" w:sz="0" w:space="0" w:color="auto"/>
      </w:divBdr>
    </w:div>
    <w:div w:id="625891683">
      <w:bodyDiv w:val="1"/>
      <w:marLeft w:val="0"/>
      <w:marRight w:val="0"/>
      <w:marTop w:val="0"/>
      <w:marBottom w:val="0"/>
      <w:divBdr>
        <w:top w:val="none" w:sz="0" w:space="0" w:color="auto"/>
        <w:left w:val="none" w:sz="0" w:space="0" w:color="auto"/>
        <w:bottom w:val="none" w:sz="0" w:space="0" w:color="auto"/>
        <w:right w:val="none" w:sz="0" w:space="0" w:color="auto"/>
      </w:divBdr>
      <w:divsChild>
        <w:div w:id="1907957850">
          <w:marLeft w:val="0"/>
          <w:marRight w:val="0"/>
          <w:marTop w:val="0"/>
          <w:marBottom w:val="0"/>
          <w:divBdr>
            <w:top w:val="none" w:sz="0" w:space="0" w:color="auto"/>
            <w:left w:val="none" w:sz="0" w:space="0" w:color="auto"/>
            <w:bottom w:val="none" w:sz="0" w:space="0" w:color="auto"/>
            <w:right w:val="none" w:sz="0" w:space="0" w:color="auto"/>
          </w:divBdr>
        </w:div>
      </w:divsChild>
    </w:div>
    <w:div w:id="632716915">
      <w:bodyDiv w:val="1"/>
      <w:marLeft w:val="0"/>
      <w:marRight w:val="0"/>
      <w:marTop w:val="0"/>
      <w:marBottom w:val="0"/>
      <w:divBdr>
        <w:top w:val="none" w:sz="0" w:space="0" w:color="auto"/>
        <w:left w:val="none" w:sz="0" w:space="0" w:color="auto"/>
        <w:bottom w:val="none" w:sz="0" w:space="0" w:color="auto"/>
        <w:right w:val="none" w:sz="0" w:space="0" w:color="auto"/>
      </w:divBdr>
    </w:div>
    <w:div w:id="633100520">
      <w:bodyDiv w:val="1"/>
      <w:marLeft w:val="0"/>
      <w:marRight w:val="0"/>
      <w:marTop w:val="0"/>
      <w:marBottom w:val="0"/>
      <w:divBdr>
        <w:top w:val="none" w:sz="0" w:space="0" w:color="auto"/>
        <w:left w:val="none" w:sz="0" w:space="0" w:color="auto"/>
        <w:bottom w:val="none" w:sz="0" w:space="0" w:color="auto"/>
        <w:right w:val="none" w:sz="0" w:space="0" w:color="auto"/>
      </w:divBdr>
    </w:div>
    <w:div w:id="672807450">
      <w:bodyDiv w:val="1"/>
      <w:marLeft w:val="0"/>
      <w:marRight w:val="0"/>
      <w:marTop w:val="0"/>
      <w:marBottom w:val="0"/>
      <w:divBdr>
        <w:top w:val="none" w:sz="0" w:space="0" w:color="auto"/>
        <w:left w:val="none" w:sz="0" w:space="0" w:color="auto"/>
        <w:bottom w:val="none" w:sz="0" w:space="0" w:color="auto"/>
        <w:right w:val="none" w:sz="0" w:space="0" w:color="auto"/>
      </w:divBdr>
    </w:div>
    <w:div w:id="685063769">
      <w:bodyDiv w:val="1"/>
      <w:marLeft w:val="0"/>
      <w:marRight w:val="0"/>
      <w:marTop w:val="0"/>
      <w:marBottom w:val="0"/>
      <w:divBdr>
        <w:top w:val="none" w:sz="0" w:space="0" w:color="auto"/>
        <w:left w:val="none" w:sz="0" w:space="0" w:color="auto"/>
        <w:bottom w:val="none" w:sz="0" w:space="0" w:color="auto"/>
        <w:right w:val="none" w:sz="0" w:space="0" w:color="auto"/>
      </w:divBdr>
    </w:div>
    <w:div w:id="703286503">
      <w:bodyDiv w:val="1"/>
      <w:marLeft w:val="0"/>
      <w:marRight w:val="0"/>
      <w:marTop w:val="0"/>
      <w:marBottom w:val="0"/>
      <w:divBdr>
        <w:top w:val="none" w:sz="0" w:space="0" w:color="auto"/>
        <w:left w:val="none" w:sz="0" w:space="0" w:color="auto"/>
        <w:bottom w:val="none" w:sz="0" w:space="0" w:color="auto"/>
        <w:right w:val="none" w:sz="0" w:space="0" w:color="auto"/>
      </w:divBdr>
    </w:div>
    <w:div w:id="713970862">
      <w:bodyDiv w:val="1"/>
      <w:marLeft w:val="0"/>
      <w:marRight w:val="0"/>
      <w:marTop w:val="0"/>
      <w:marBottom w:val="0"/>
      <w:divBdr>
        <w:top w:val="none" w:sz="0" w:space="0" w:color="auto"/>
        <w:left w:val="none" w:sz="0" w:space="0" w:color="auto"/>
        <w:bottom w:val="none" w:sz="0" w:space="0" w:color="auto"/>
        <w:right w:val="none" w:sz="0" w:space="0" w:color="auto"/>
      </w:divBdr>
    </w:div>
    <w:div w:id="730735100">
      <w:bodyDiv w:val="1"/>
      <w:marLeft w:val="0"/>
      <w:marRight w:val="0"/>
      <w:marTop w:val="0"/>
      <w:marBottom w:val="0"/>
      <w:divBdr>
        <w:top w:val="none" w:sz="0" w:space="0" w:color="auto"/>
        <w:left w:val="none" w:sz="0" w:space="0" w:color="auto"/>
        <w:bottom w:val="none" w:sz="0" w:space="0" w:color="auto"/>
        <w:right w:val="none" w:sz="0" w:space="0" w:color="auto"/>
      </w:divBdr>
    </w:div>
    <w:div w:id="730811259">
      <w:bodyDiv w:val="1"/>
      <w:marLeft w:val="0"/>
      <w:marRight w:val="0"/>
      <w:marTop w:val="0"/>
      <w:marBottom w:val="0"/>
      <w:divBdr>
        <w:top w:val="none" w:sz="0" w:space="0" w:color="auto"/>
        <w:left w:val="none" w:sz="0" w:space="0" w:color="auto"/>
        <w:bottom w:val="none" w:sz="0" w:space="0" w:color="auto"/>
        <w:right w:val="none" w:sz="0" w:space="0" w:color="auto"/>
      </w:divBdr>
    </w:div>
    <w:div w:id="755833384">
      <w:bodyDiv w:val="1"/>
      <w:marLeft w:val="0"/>
      <w:marRight w:val="0"/>
      <w:marTop w:val="0"/>
      <w:marBottom w:val="0"/>
      <w:divBdr>
        <w:top w:val="none" w:sz="0" w:space="0" w:color="auto"/>
        <w:left w:val="none" w:sz="0" w:space="0" w:color="auto"/>
        <w:bottom w:val="none" w:sz="0" w:space="0" w:color="auto"/>
        <w:right w:val="none" w:sz="0" w:space="0" w:color="auto"/>
      </w:divBdr>
    </w:div>
    <w:div w:id="758478695">
      <w:bodyDiv w:val="1"/>
      <w:marLeft w:val="0"/>
      <w:marRight w:val="0"/>
      <w:marTop w:val="0"/>
      <w:marBottom w:val="0"/>
      <w:divBdr>
        <w:top w:val="none" w:sz="0" w:space="0" w:color="auto"/>
        <w:left w:val="none" w:sz="0" w:space="0" w:color="auto"/>
        <w:bottom w:val="none" w:sz="0" w:space="0" w:color="auto"/>
        <w:right w:val="none" w:sz="0" w:space="0" w:color="auto"/>
      </w:divBdr>
    </w:div>
    <w:div w:id="758990242">
      <w:bodyDiv w:val="1"/>
      <w:marLeft w:val="0"/>
      <w:marRight w:val="0"/>
      <w:marTop w:val="0"/>
      <w:marBottom w:val="0"/>
      <w:divBdr>
        <w:top w:val="none" w:sz="0" w:space="0" w:color="auto"/>
        <w:left w:val="none" w:sz="0" w:space="0" w:color="auto"/>
        <w:bottom w:val="none" w:sz="0" w:space="0" w:color="auto"/>
        <w:right w:val="none" w:sz="0" w:space="0" w:color="auto"/>
      </w:divBdr>
    </w:div>
    <w:div w:id="762577018">
      <w:bodyDiv w:val="1"/>
      <w:marLeft w:val="0"/>
      <w:marRight w:val="0"/>
      <w:marTop w:val="0"/>
      <w:marBottom w:val="0"/>
      <w:divBdr>
        <w:top w:val="none" w:sz="0" w:space="0" w:color="auto"/>
        <w:left w:val="none" w:sz="0" w:space="0" w:color="auto"/>
        <w:bottom w:val="none" w:sz="0" w:space="0" w:color="auto"/>
        <w:right w:val="none" w:sz="0" w:space="0" w:color="auto"/>
      </w:divBdr>
    </w:div>
    <w:div w:id="778069223">
      <w:bodyDiv w:val="1"/>
      <w:marLeft w:val="0"/>
      <w:marRight w:val="0"/>
      <w:marTop w:val="0"/>
      <w:marBottom w:val="0"/>
      <w:divBdr>
        <w:top w:val="none" w:sz="0" w:space="0" w:color="auto"/>
        <w:left w:val="none" w:sz="0" w:space="0" w:color="auto"/>
        <w:bottom w:val="none" w:sz="0" w:space="0" w:color="auto"/>
        <w:right w:val="none" w:sz="0" w:space="0" w:color="auto"/>
      </w:divBdr>
    </w:div>
    <w:div w:id="806700067">
      <w:bodyDiv w:val="1"/>
      <w:marLeft w:val="0"/>
      <w:marRight w:val="0"/>
      <w:marTop w:val="0"/>
      <w:marBottom w:val="0"/>
      <w:divBdr>
        <w:top w:val="none" w:sz="0" w:space="0" w:color="auto"/>
        <w:left w:val="none" w:sz="0" w:space="0" w:color="auto"/>
        <w:bottom w:val="none" w:sz="0" w:space="0" w:color="auto"/>
        <w:right w:val="none" w:sz="0" w:space="0" w:color="auto"/>
      </w:divBdr>
    </w:div>
    <w:div w:id="815879923">
      <w:bodyDiv w:val="1"/>
      <w:marLeft w:val="0"/>
      <w:marRight w:val="0"/>
      <w:marTop w:val="0"/>
      <w:marBottom w:val="0"/>
      <w:divBdr>
        <w:top w:val="none" w:sz="0" w:space="0" w:color="auto"/>
        <w:left w:val="none" w:sz="0" w:space="0" w:color="auto"/>
        <w:bottom w:val="none" w:sz="0" w:space="0" w:color="auto"/>
        <w:right w:val="none" w:sz="0" w:space="0" w:color="auto"/>
      </w:divBdr>
    </w:div>
    <w:div w:id="819075054">
      <w:bodyDiv w:val="1"/>
      <w:marLeft w:val="0"/>
      <w:marRight w:val="0"/>
      <w:marTop w:val="0"/>
      <w:marBottom w:val="0"/>
      <w:divBdr>
        <w:top w:val="none" w:sz="0" w:space="0" w:color="auto"/>
        <w:left w:val="none" w:sz="0" w:space="0" w:color="auto"/>
        <w:bottom w:val="none" w:sz="0" w:space="0" w:color="auto"/>
        <w:right w:val="none" w:sz="0" w:space="0" w:color="auto"/>
      </w:divBdr>
    </w:div>
    <w:div w:id="833570034">
      <w:bodyDiv w:val="1"/>
      <w:marLeft w:val="0"/>
      <w:marRight w:val="0"/>
      <w:marTop w:val="0"/>
      <w:marBottom w:val="0"/>
      <w:divBdr>
        <w:top w:val="none" w:sz="0" w:space="0" w:color="auto"/>
        <w:left w:val="none" w:sz="0" w:space="0" w:color="auto"/>
        <w:bottom w:val="none" w:sz="0" w:space="0" w:color="auto"/>
        <w:right w:val="none" w:sz="0" w:space="0" w:color="auto"/>
      </w:divBdr>
    </w:div>
    <w:div w:id="844130729">
      <w:bodyDiv w:val="1"/>
      <w:marLeft w:val="0"/>
      <w:marRight w:val="0"/>
      <w:marTop w:val="0"/>
      <w:marBottom w:val="0"/>
      <w:divBdr>
        <w:top w:val="none" w:sz="0" w:space="0" w:color="auto"/>
        <w:left w:val="none" w:sz="0" w:space="0" w:color="auto"/>
        <w:bottom w:val="none" w:sz="0" w:space="0" w:color="auto"/>
        <w:right w:val="none" w:sz="0" w:space="0" w:color="auto"/>
      </w:divBdr>
    </w:div>
    <w:div w:id="868684583">
      <w:bodyDiv w:val="1"/>
      <w:marLeft w:val="0"/>
      <w:marRight w:val="0"/>
      <w:marTop w:val="0"/>
      <w:marBottom w:val="0"/>
      <w:divBdr>
        <w:top w:val="none" w:sz="0" w:space="0" w:color="auto"/>
        <w:left w:val="none" w:sz="0" w:space="0" w:color="auto"/>
        <w:bottom w:val="none" w:sz="0" w:space="0" w:color="auto"/>
        <w:right w:val="none" w:sz="0" w:space="0" w:color="auto"/>
      </w:divBdr>
    </w:div>
    <w:div w:id="873466307">
      <w:bodyDiv w:val="1"/>
      <w:marLeft w:val="0"/>
      <w:marRight w:val="0"/>
      <w:marTop w:val="0"/>
      <w:marBottom w:val="0"/>
      <w:divBdr>
        <w:top w:val="none" w:sz="0" w:space="0" w:color="auto"/>
        <w:left w:val="none" w:sz="0" w:space="0" w:color="auto"/>
        <w:bottom w:val="none" w:sz="0" w:space="0" w:color="auto"/>
        <w:right w:val="none" w:sz="0" w:space="0" w:color="auto"/>
      </w:divBdr>
    </w:div>
    <w:div w:id="880242810">
      <w:bodyDiv w:val="1"/>
      <w:marLeft w:val="0"/>
      <w:marRight w:val="0"/>
      <w:marTop w:val="0"/>
      <w:marBottom w:val="0"/>
      <w:divBdr>
        <w:top w:val="none" w:sz="0" w:space="0" w:color="auto"/>
        <w:left w:val="none" w:sz="0" w:space="0" w:color="auto"/>
        <w:bottom w:val="none" w:sz="0" w:space="0" w:color="auto"/>
        <w:right w:val="none" w:sz="0" w:space="0" w:color="auto"/>
      </w:divBdr>
    </w:div>
    <w:div w:id="881137145">
      <w:bodyDiv w:val="1"/>
      <w:marLeft w:val="0"/>
      <w:marRight w:val="0"/>
      <w:marTop w:val="0"/>
      <w:marBottom w:val="0"/>
      <w:divBdr>
        <w:top w:val="none" w:sz="0" w:space="0" w:color="auto"/>
        <w:left w:val="none" w:sz="0" w:space="0" w:color="auto"/>
        <w:bottom w:val="none" w:sz="0" w:space="0" w:color="auto"/>
        <w:right w:val="none" w:sz="0" w:space="0" w:color="auto"/>
      </w:divBdr>
    </w:div>
    <w:div w:id="889804569">
      <w:bodyDiv w:val="1"/>
      <w:marLeft w:val="0"/>
      <w:marRight w:val="0"/>
      <w:marTop w:val="0"/>
      <w:marBottom w:val="0"/>
      <w:divBdr>
        <w:top w:val="none" w:sz="0" w:space="0" w:color="auto"/>
        <w:left w:val="none" w:sz="0" w:space="0" w:color="auto"/>
        <w:bottom w:val="none" w:sz="0" w:space="0" w:color="auto"/>
        <w:right w:val="none" w:sz="0" w:space="0" w:color="auto"/>
      </w:divBdr>
    </w:div>
    <w:div w:id="891842995">
      <w:bodyDiv w:val="1"/>
      <w:marLeft w:val="0"/>
      <w:marRight w:val="0"/>
      <w:marTop w:val="0"/>
      <w:marBottom w:val="0"/>
      <w:divBdr>
        <w:top w:val="none" w:sz="0" w:space="0" w:color="auto"/>
        <w:left w:val="none" w:sz="0" w:space="0" w:color="auto"/>
        <w:bottom w:val="none" w:sz="0" w:space="0" w:color="auto"/>
        <w:right w:val="none" w:sz="0" w:space="0" w:color="auto"/>
      </w:divBdr>
    </w:div>
    <w:div w:id="895361938">
      <w:bodyDiv w:val="1"/>
      <w:marLeft w:val="0"/>
      <w:marRight w:val="0"/>
      <w:marTop w:val="0"/>
      <w:marBottom w:val="0"/>
      <w:divBdr>
        <w:top w:val="none" w:sz="0" w:space="0" w:color="auto"/>
        <w:left w:val="none" w:sz="0" w:space="0" w:color="auto"/>
        <w:bottom w:val="none" w:sz="0" w:space="0" w:color="auto"/>
        <w:right w:val="none" w:sz="0" w:space="0" w:color="auto"/>
      </w:divBdr>
    </w:div>
    <w:div w:id="910627703">
      <w:bodyDiv w:val="1"/>
      <w:marLeft w:val="0"/>
      <w:marRight w:val="0"/>
      <w:marTop w:val="0"/>
      <w:marBottom w:val="0"/>
      <w:divBdr>
        <w:top w:val="none" w:sz="0" w:space="0" w:color="auto"/>
        <w:left w:val="none" w:sz="0" w:space="0" w:color="auto"/>
        <w:bottom w:val="none" w:sz="0" w:space="0" w:color="auto"/>
        <w:right w:val="none" w:sz="0" w:space="0" w:color="auto"/>
      </w:divBdr>
    </w:div>
    <w:div w:id="921764285">
      <w:bodyDiv w:val="1"/>
      <w:marLeft w:val="0"/>
      <w:marRight w:val="0"/>
      <w:marTop w:val="0"/>
      <w:marBottom w:val="0"/>
      <w:divBdr>
        <w:top w:val="none" w:sz="0" w:space="0" w:color="auto"/>
        <w:left w:val="none" w:sz="0" w:space="0" w:color="auto"/>
        <w:bottom w:val="none" w:sz="0" w:space="0" w:color="auto"/>
        <w:right w:val="none" w:sz="0" w:space="0" w:color="auto"/>
      </w:divBdr>
    </w:div>
    <w:div w:id="940407622">
      <w:bodyDiv w:val="1"/>
      <w:marLeft w:val="0"/>
      <w:marRight w:val="0"/>
      <w:marTop w:val="0"/>
      <w:marBottom w:val="0"/>
      <w:divBdr>
        <w:top w:val="none" w:sz="0" w:space="0" w:color="auto"/>
        <w:left w:val="none" w:sz="0" w:space="0" w:color="auto"/>
        <w:bottom w:val="none" w:sz="0" w:space="0" w:color="auto"/>
        <w:right w:val="none" w:sz="0" w:space="0" w:color="auto"/>
      </w:divBdr>
    </w:div>
    <w:div w:id="951084264">
      <w:bodyDiv w:val="1"/>
      <w:marLeft w:val="0"/>
      <w:marRight w:val="0"/>
      <w:marTop w:val="0"/>
      <w:marBottom w:val="0"/>
      <w:divBdr>
        <w:top w:val="none" w:sz="0" w:space="0" w:color="auto"/>
        <w:left w:val="none" w:sz="0" w:space="0" w:color="auto"/>
        <w:bottom w:val="none" w:sz="0" w:space="0" w:color="auto"/>
        <w:right w:val="none" w:sz="0" w:space="0" w:color="auto"/>
      </w:divBdr>
    </w:div>
    <w:div w:id="955865028">
      <w:bodyDiv w:val="1"/>
      <w:marLeft w:val="0"/>
      <w:marRight w:val="0"/>
      <w:marTop w:val="0"/>
      <w:marBottom w:val="0"/>
      <w:divBdr>
        <w:top w:val="none" w:sz="0" w:space="0" w:color="auto"/>
        <w:left w:val="none" w:sz="0" w:space="0" w:color="auto"/>
        <w:bottom w:val="none" w:sz="0" w:space="0" w:color="auto"/>
        <w:right w:val="none" w:sz="0" w:space="0" w:color="auto"/>
      </w:divBdr>
    </w:div>
    <w:div w:id="966936440">
      <w:bodyDiv w:val="1"/>
      <w:marLeft w:val="0"/>
      <w:marRight w:val="0"/>
      <w:marTop w:val="0"/>
      <w:marBottom w:val="0"/>
      <w:divBdr>
        <w:top w:val="none" w:sz="0" w:space="0" w:color="auto"/>
        <w:left w:val="none" w:sz="0" w:space="0" w:color="auto"/>
        <w:bottom w:val="none" w:sz="0" w:space="0" w:color="auto"/>
        <w:right w:val="none" w:sz="0" w:space="0" w:color="auto"/>
      </w:divBdr>
    </w:div>
    <w:div w:id="970742469">
      <w:bodyDiv w:val="1"/>
      <w:marLeft w:val="0"/>
      <w:marRight w:val="0"/>
      <w:marTop w:val="0"/>
      <w:marBottom w:val="0"/>
      <w:divBdr>
        <w:top w:val="none" w:sz="0" w:space="0" w:color="auto"/>
        <w:left w:val="none" w:sz="0" w:space="0" w:color="auto"/>
        <w:bottom w:val="none" w:sz="0" w:space="0" w:color="auto"/>
        <w:right w:val="none" w:sz="0" w:space="0" w:color="auto"/>
      </w:divBdr>
    </w:div>
    <w:div w:id="972637697">
      <w:bodyDiv w:val="1"/>
      <w:marLeft w:val="0"/>
      <w:marRight w:val="0"/>
      <w:marTop w:val="0"/>
      <w:marBottom w:val="0"/>
      <w:divBdr>
        <w:top w:val="none" w:sz="0" w:space="0" w:color="auto"/>
        <w:left w:val="none" w:sz="0" w:space="0" w:color="auto"/>
        <w:bottom w:val="none" w:sz="0" w:space="0" w:color="auto"/>
        <w:right w:val="none" w:sz="0" w:space="0" w:color="auto"/>
      </w:divBdr>
    </w:div>
    <w:div w:id="998120889">
      <w:bodyDiv w:val="1"/>
      <w:marLeft w:val="0"/>
      <w:marRight w:val="0"/>
      <w:marTop w:val="0"/>
      <w:marBottom w:val="0"/>
      <w:divBdr>
        <w:top w:val="none" w:sz="0" w:space="0" w:color="auto"/>
        <w:left w:val="none" w:sz="0" w:space="0" w:color="auto"/>
        <w:bottom w:val="none" w:sz="0" w:space="0" w:color="auto"/>
        <w:right w:val="none" w:sz="0" w:space="0" w:color="auto"/>
      </w:divBdr>
    </w:div>
    <w:div w:id="998775856">
      <w:bodyDiv w:val="1"/>
      <w:marLeft w:val="0"/>
      <w:marRight w:val="0"/>
      <w:marTop w:val="0"/>
      <w:marBottom w:val="0"/>
      <w:divBdr>
        <w:top w:val="none" w:sz="0" w:space="0" w:color="auto"/>
        <w:left w:val="none" w:sz="0" w:space="0" w:color="auto"/>
        <w:bottom w:val="none" w:sz="0" w:space="0" w:color="auto"/>
        <w:right w:val="none" w:sz="0" w:space="0" w:color="auto"/>
      </w:divBdr>
    </w:div>
    <w:div w:id="999187719">
      <w:bodyDiv w:val="1"/>
      <w:marLeft w:val="0"/>
      <w:marRight w:val="0"/>
      <w:marTop w:val="0"/>
      <w:marBottom w:val="0"/>
      <w:divBdr>
        <w:top w:val="none" w:sz="0" w:space="0" w:color="auto"/>
        <w:left w:val="none" w:sz="0" w:space="0" w:color="auto"/>
        <w:bottom w:val="none" w:sz="0" w:space="0" w:color="auto"/>
        <w:right w:val="none" w:sz="0" w:space="0" w:color="auto"/>
      </w:divBdr>
    </w:div>
    <w:div w:id="1010792328">
      <w:bodyDiv w:val="1"/>
      <w:marLeft w:val="0"/>
      <w:marRight w:val="0"/>
      <w:marTop w:val="0"/>
      <w:marBottom w:val="0"/>
      <w:divBdr>
        <w:top w:val="none" w:sz="0" w:space="0" w:color="auto"/>
        <w:left w:val="none" w:sz="0" w:space="0" w:color="auto"/>
        <w:bottom w:val="none" w:sz="0" w:space="0" w:color="auto"/>
        <w:right w:val="none" w:sz="0" w:space="0" w:color="auto"/>
      </w:divBdr>
    </w:div>
    <w:div w:id="1014187147">
      <w:bodyDiv w:val="1"/>
      <w:marLeft w:val="0"/>
      <w:marRight w:val="0"/>
      <w:marTop w:val="0"/>
      <w:marBottom w:val="0"/>
      <w:divBdr>
        <w:top w:val="none" w:sz="0" w:space="0" w:color="auto"/>
        <w:left w:val="none" w:sz="0" w:space="0" w:color="auto"/>
        <w:bottom w:val="none" w:sz="0" w:space="0" w:color="auto"/>
        <w:right w:val="none" w:sz="0" w:space="0" w:color="auto"/>
      </w:divBdr>
    </w:div>
    <w:div w:id="1019048019">
      <w:bodyDiv w:val="1"/>
      <w:marLeft w:val="0"/>
      <w:marRight w:val="0"/>
      <w:marTop w:val="0"/>
      <w:marBottom w:val="0"/>
      <w:divBdr>
        <w:top w:val="none" w:sz="0" w:space="0" w:color="auto"/>
        <w:left w:val="none" w:sz="0" w:space="0" w:color="auto"/>
        <w:bottom w:val="none" w:sz="0" w:space="0" w:color="auto"/>
        <w:right w:val="none" w:sz="0" w:space="0" w:color="auto"/>
      </w:divBdr>
    </w:div>
    <w:div w:id="1024091504">
      <w:bodyDiv w:val="1"/>
      <w:marLeft w:val="0"/>
      <w:marRight w:val="0"/>
      <w:marTop w:val="0"/>
      <w:marBottom w:val="0"/>
      <w:divBdr>
        <w:top w:val="none" w:sz="0" w:space="0" w:color="auto"/>
        <w:left w:val="none" w:sz="0" w:space="0" w:color="auto"/>
        <w:bottom w:val="none" w:sz="0" w:space="0" w:color="auto"/>
        <w:right w:val="none" w:sz="0" w:space="0" w:color="auto"/>
      </w:divBdr>
    </w:div>
    <w:div w:id="1030574304">
      <w:bodyDiv w:val="1"/>
      <w:marLeft w:val="0"/>
      <w:marRight w:val="0"/>
      <w:marTop w:val="0"/>
      <w:marBottom w:val="0"/>
      <w:divBdr>
        <w:top w:val="none" w:sz="0" w:space="0" w:color="auto"/>
        <w:left w:val="none" w:sz="0" w:space="0" w:color="auto"/>
        <w:bottom w:val="none" w:sz="0" w:space="0" w:color="auto"/>
        <w:right w:val="none" w:sz="0" w:space="0" w:color="auto"/>
      </w:divBdr>
    </w:div>
    <w:div w:id="1080979815">
      <w:bodyDiv w:val="1"/>
      <w:marLeft w:val="0"/>
      <w:marRight w:val="0"/>
      <w:marTop w:val="0"/>
      <w:marBottom w:val="0"/>
      <w:divBdr>
        <w:top w:val="none" w:sz="0" w:space="0" w:color="auto"/>
        <w:left w:val="none" w:sz="0" w:space="0" w:color="auto"/>
        <w:bottom w:val="none" w:sz="0" w:space="0" w:color="auto"/>
        <w:right w:val="none" w:sz="0" w:space="0" w:color="auto"/>
      </w:divBdr>
    </w:div>
    <w:div w:id="1111172748">
      <w:bodyDiv w:val="1"/>
      <w:marLeft w:val="0"/>
      <w:marRight w:val="0"/>
      <w:marTop w:val="0"/>
      <w:marBottom w:val="0"/>
      <w:divBdr>
        <w:top w:val="none" w:sz="0" w:space="0" w:color="auto"/>
        <w:left w:val="none" w:sz="0" w:space="0" w:color="auto"/>
        <w:bottom w:val="none" w:sz="0" w:space="0" w:color="auto"/>
        <w:right w:val="none" w:sz="0" w:space="0" w:color="auto"/>
      </w:divBdr>
    </w:div>
    <w:div w:id="1121608142">
      <w:bodyDiv w:val="1"/>
      <w:marLeft w:val="0"/>
      <w:marRight w:val="0"/>
      <w:marTop w:val="0"/>
      <w:marBottom w:val="0"/>
      <w:divBdr>
        <w:top w:val="none" w:sz="0" w:space="0" w:color="auto"/>
        <w:left w:val="none" w:sz="0" w:space="0" w:color="auto"/>
        <w:bottom w:val="none" w:sz="0" w:space="0" w:color="auto"/>
        <w:right w:val="none" w:sz="0" w:space="0" w:color="auto"/>
      </w:divBdr>
    </w:div>
    <w:div w:id="1134909840">
      <w:bodyDiv w:val="1"/>
      <w:marLeft w:val="0"/>
      <w:marRight w:val="0"/>
      <w:marTop w:val="0"/>
      <w:marBottom w:val="0"/>
      <w:divBdr>
        <w:top w:val="none" w:sz="0" w:space="0" w:color="auto"/>
        <w:left w:val="none" w:sz="0" w:space="0" w:color="auto"/>
        <w:bottom w:val="none" w:sz="0" w:space="0" w:color="auto"/>
        <w:right w:val="none" w:sz="0" w:space="0" w:color="auto"/>
      </w:divBdr>
    </w:div>
    <w:div w:id="1168404645">
      <w:bodyDiv w:val="1"/>
      <w:marLeft w:val="0"/>
      <w:marRight w:val="0"/>
      <w:marTop w:val="0"/>
      <w:marBottom w:val="0"/>
      <w:divBdr>
        <w:top w:val="none" w:sz="0" w:space="0" w:color="auto"/>
        <w:left w:val="none" w:sz="0" w:space="0" w:color="auto"/>
        <w:bottom w:val="none" w:sz="0" w:space="0" w:color="auto"/>
        <w:right w:val="none" w:sz="0" w:space="0" w:color="auto"/>
      </w:divBdr>
      <w:divsChild>
        <w:div w:id="661741560">
          <w:marLeft w:val="0"/>
          <w:marRight w:val="0"/>
          <w:marTop w:val="0"/>
          <w:marBottom w:val="0"/>
          <w:divBdr>
            <w:top w:val="none" w:sz="0" w:space="0" w:color="auto"/>
            <w:left w:val="none" w:sz="0" w:space="0" w:color="auto"/>
            <w:bottom w:val="none" w:sz="0" w:space="0" w:color="auto"/>
            <w:right w:val="none" w:sz="0" w:space="0" w:color="auto"/>
          </w:divBdr>
        </w:div>
      </w:divsChild>
    </w:div>
    <w:div w:id="1177382036">
      <w:bodyDiv w:val="1"/>
      <w:marLeft w:val="0"/>
      <w:marRight w:val="0"/>
      <w:marTop w:val="0"/>
      <w:marBottom w:val="0"/>
      <w:divBdr>
        <w:top w:val="none" w:sz="0" w:space="0" w:color="auto"/>
        <w:left w:val="none" w:sz="0" w:space="0" w:color="auto"/>
        <w:bottom w:val="none" w:sz="0" w:space="0" w:color="auto"/>
        <w:right w:val="none" w:sz="0" w:space="0" w:color="auto"/>
      </w:divBdr>
    </w:div>
    <w:div w:id="1185904160">
      <w:bodyDiv w:val="1"/>
      <w:marLeft w:val="0"/>
      <w:marRight w:val="0"/>
      <w:marTop w:val="0"/>
      <w:marBottom w:val="0"/>
      <w:divBdr>
        <w:top w:val="none" w:sz="0" w:space="0" w:color="auto"/>
        <w:left w:val="none" w:sz="0" w:space="0" w:color="auto"/>
        <w:bottom w:val="none" w:sz="0" w:space="0" w:color="auto"/>
        <w:right w:val="none" w:sz="0" w:space="0" w:color="auto"/>
      </w:divBdr>
    </w:div>
    <w:div w:id="1187058902">
      <w:bodyDiv w:val="1"/>
      <w:marLeft w:val="0"/>
      <w:marRight w:val="0"/>
      <w:marTop w:val="0"/>
      <w:marBottom w:val="0"/>
      <w:divBdr>
        <w:top w:val="none" w:sz="0" w:space="0" w:color="auto"/>
        <w:left w:val="none" w:sz="0" w:space="0" w:color="auto"/>
        <w:bottom w:val="none" w:sz="0" w:space="0" w:color="auto"/>
        <w:right w:val="none" w:sz="0" w:space="0" w:color="auto"/>
      </w:divBdr>
    </w:div>
    <w:div w:id="1197624186">
      <w:bodyDiv w:val="1"/>
      <w:marLeft w:val="0"/>
      <w:marRight w:val="0"/>
      <w:marTop w:val="0"/>
      <w:marBottom w:val="0"/>
      <w:divBdr>
        <w:top w:val="none" w:sz="0" w:space="0" w:color="auto"/>
        <w:left w:val="none" w:sz="0" w:space="0" w:color="auto"/>
        <w:bottom w:val="none" w:sz="0" w:space="0" w:color="auto"/>
        <w:right w:val="none" w:sz="0" w:space="0" w:color="auto"/>
      </w:divBdr>
    </w:div>
    <w:div w:id="1217428312">
      <w:bodyDiv w:val="1"/>
      <w:marLeft w:val="0"/>
      <w:marRight w:val="0"/>
      <w:marTop w:val="0"/>
      <w:marBottom w:val="0"/>
      <w:divBdr>
        <w:top w:val="none" w:sz="0" w:space="0" w:color="auto"/>
        <w:left w:val="none" w:sz="0" w:space="0" w:color="auto"/>
        <w:bottom w:val="none" w:sz="0" w:space="0" w:color="auto"/>
        <w:right w:val="none" w:sz="0" w:space="0" w:color="auto"/>
      </w:divBdr>
      <w:divsChild>
        <w:div w:id="799500287">
          <w:marLeft w:val="0"/>
          <w:marRight w:val="0"/>
          <w:marTop w:val="0"/>
          <w:marBottom w:val="0"/>
          <w:divBdr>
            <w:top w:val="none" w:sz="0" w:space="0" w:color="auto"/>
            <w:left w:val="none" w:sz="0" w:space="0" w:color="auto"/>
            <w:bottom w:val="none" w:sz="0" w:space="0" w:color="auto"/>
            <w:right w:val="none" w:sz="0" w:space="0" w:color="auto"/>
          </w:divBdr>
        </w:div>
      </w:divsChild>
    </w:div>
    <w:div w:id="1236672569">
      <w:bodyDiv w:val="1"/>
      <w:marLeft w:val="0"/>
      <w:marRight w:val="0"/>
      <w:marTop w:val="0"/>
      <w:marBottom w:val="0"/>
      <w:divBdr>
        <w:top w:val="none" w:sz="0" w:space="0" w:color="auto"/>
        <w:left w:val="none" w:sz="0" w:space="0" w:color="auto"/>
        <w:bottom w:val="none" w:sz="0" w:space="0" w:color="auto"/>
        <w:right w:val="none" w:sz="0" w:space="0" w:color="auto"/>
      </w:divBdr>
    </w:div>
    <w:div w:id="1243639214">
      <w:bodyDiv w:val="1"/>
      <w:marLeft w:val="0"/>
      <w:marRight w:val="0"/>
      <w:marTop w:val="0"/>
      <w:marBottom w:val="0"/>
      <w:divBdr>
        <w:top w:val="none" w:sz="0" w:space="0" w:color="auto"/>
        <w:left w:val="none" w:sz="0" w:space="0" w:color="auto"/>
        <w:bottom w:val="none" w:sz="0" w:space="0" w:color="auto"/>
        <w:right w:val="none" w:sz="0" w:space="0" w:color="auto"/>
      </w:divBdr>
    </w:div>
    <w:div w:id="1245841291">
      <w:bodyDiv w:val="1"/>
      <w:marLeft w:val="0"/>
      <w:marRight w:val="0"/>
      <w:marTop w:val="0"/>
      <w:marBottom w:val="0"/>
      <w:divBdr>
        <w:top w:val="none" w:sz="0" w:space="0" w:color="auto"/>
        <w:left w:val="none" w:sz="0" w:space="0" w:color="auto"/>
        <w:bottom w:val="none" w:sz="0" w:space="0" w:color="auto"/>
        <w:right w:val="none" w:sz="0" w:space="0" w:color="auto"/>
      </w:divBdr>
    </w:div>
    <w:div w:id="1246571994">
      <w:bodyDiv w:val="1"/>
      <w:marLeft w:val="0"/>
      <w:marRight w:val="0"/>
      <w:marTop w:val="0"/>
      <w:marBottom w:val="0"/>
      <w:divBdr>
        <w:top w:val="none" w:sz="0" w:space="0" w:color="auto"/>
        <w:left w:val="none" w:sz="0" w:space="0" w:color="auto"/>
        <w:bottom w:val="none" w:sz="0" w:space="0" w:color="auto"/>
        <w:right w:val="none" w:sz="0" w:space="0" w:color="auto"/>
      </w:divBdr>
    </w:div>
    <w:div w:id="1259370287">
      <w:bodyDiv w:val="1"/>
      <w:marLeft w:val="0"/>
      <w:marRight w:val="0"/>
      <w:marTop w:val="0"/>
      <w:marBottom w:val="0"/>
      <w:divBdr>
        <w:top w:val="none" w:sz="0" w:space="0" w:color="auto"/>
        <w:left w:val="none" w:sz="0" w:space="0" w:color="auto"/>
        <w:bottom w:val="none" w:sz="0" w:space="0" w:color="auto"/>
        <w:right w:val="none" w:sz="0" w:space="0" w:color="auto"/>
      </w:divBdr>
    </w:div>
    <w:div w:id="1276059284">
      <w:bodyDiv w:val="1"/>
      <w:marLeft w:val="0"/>
      <w:marRight w:val="0"/>
      <w:marTop w:val="0"/>
      <w:marBottom w:val="0"/>
      <w:divBdr>
        <w:top w:val="none" w:sz="0" w:space="0" w:color="auto"/>
        <w:left w:val="none" w:sz="0" w:space="0" w:color="auto"/>
        <w:bottom w:val="none" w:sz="0" w:space="0" w:color="auto"/>
        <w:right w:val="none" w:sz="0" w:space="0" w:color="auto"/>
      </w:divBdr>
    </w:div>
    <w:div w:id="1278831634">
      <w:bodyDiv w:val="1"/>
      <w:marLeft w:val="0"/>
      <w:marRight w:val="0"/>
      <w:marTop w:val="0"/>
      <w:marBottom w:val="0"/>
      <w:divBdr>
        <w:top w:val="none" w:sz="0" w:space="0" w:color="auto"/>
        <w:left w:val="none" w:sz="0" w:space="0" w:color="auto"/>
        <w:bottom w:val="none" w:sz="0" w:space="0" w:color="auto"/>
        <w:right w:val="none" w:sz="0" w:space="0" w:color="auto"/>
      </w:divBdr>
    </w:div>
    <w:div w:id="1295255188">
      <w:bodyDiv w:val="1"/>
      <w:marLeft w:val="0"/>
      <w:marRight w:val="0"/>
      <w:marTop w:val="0"/>
      <w:marBottom w:val="0"/>
      <w:divBdr>
        <w:top w:val="none" w:sz="0" w:space="0" w:color="auto"/>
        <w:left w:val="none" w:sz="0" w:space="0" w:color="auto"/>
        <w:bottom w:val="none" w:sz="0" w:space="0" w:color="auto"/>
        <w:right w:val="none" w:sz="0" w:space="0" w:color="auto"/>
      </w:divBdr>
    </w:div>
    <w:div w:id="1314022166">
      <w:bodyDiv w:val="1"/>
      <w:marLeft w:val="0"/>
      <w:marRight w:val="0"/>
      <w:marTop w:val="0"/>
      <w:marBottom w:val="0"/>
      <w:divBdr>
        <w:top w:val="none" w:sz="0" w:space="0" w:color="auto"/>
        <w:left w:val="none" w:sz="0" w:space="0" w:color="auto"/>
        <w:bottom w:val="none" w:sz="0" w:space="0" w:color="auto"/>
        <w:right w:val="none" w:sz="0" w:space="0" w:color="auto"/>
      </w:divBdr>
      <w:divsChild>
        <w:div w:id="1410271028">
          <w:marLeft w:val="0"/>
          <w:marRight w:val="0"/>
          <w:marTop w:val="0"/>
          <w:marBottom w:val="0"/>
          <w:divBdr>
            <w:top w:val="none" w:sz="0" w:space="0" w:color="auto"/>
            <w:left w:val="none" w:sz="0" w:space="0" w:color="auto"/>
            <w:bottom w:val="none" w:sz="0" w:space="0" w:color="auto"/>
            <w:right w:val="none" w:sz="0" w:space="0" w:color="auto"/>
          </w:divBdr>
          <w:divsChild>
            <w:div w:id="1665282247">
              <w:marLeft w:val="0"/>
              <w:marRight w:val="0"/>
              <w:marTop w:val="0"/>
              <w:marBottom w:val="0"/>
              <w:divBdr>
                <w:top w:val="none" w:sz="0" w:space="0" w:color="auto"/>
                <w:left w:val="none" w:sz="0" w:space="0" w:color="auto"/>
                <w:bottom w:val="none" w:sz="0" w:space="0" w:color="auto"/>
                <w:right w:val="none" w:sz="0" w:space="0" w:color="auto"/>
              </w:divBdr>
              <w:divsChild>
                <w:div w:id="1487210165">
                  <w:marLeft w:val="0"/>
                  <w:marRight w:val="0"/>
                  <w:marTop w:val="0"/>
                  <w:marBottom w:val="0"/>
                  <w:divBdr>
                    <w:top w:val="none" w:sz="0" w:space="0" w:color="auto"/>
                    <w:left w:val="none" w:sz="0" w:space="0" w:color="auto"/>
                    <w:bottom w:val="none" w:sz="0" w:space="0" w:color="auto"/>
                    <w:right w:val="none" w:sz="0" w:space="0" w:color="auto"/>
                  </w:divBdr>
                  <w:divsChild>
                    <w:div w:id="1356079138">
                      <w:marLeft w:val="0"/>
                      <w:marRight w:val="0"/>
                      <w:marTop w:val="0"/>
                      <w:marBottom w:val="0"/>
                      <w:divBdr>
                        <w:top w:val="none" w:sz="0" w:space="0" w:color="auto"/>
                        <w:left w:val="none" w:sz="0" w:space="0" w:color="auto"/>
                        <w:bottom w:val="none" w:sz="0" w:space="0" w:color="auto"/>
                        <w:right w:val="none" w:sz="0" w:space="0" w:color="auto"/>
                      </w:divBdr>
                      <w:divsChild>
                        <w:div w:id="8081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855538">
      <w:bodyDiv w:val="1"/>
      <w:marLeft w:val="0"/>
      <w:marRight w:val="0"/>
      <w:marTop w:val="0"/>
      <w:marBottom w:val="0"/>
      <w:divBdr>
        <w:top w:val="none" w:sz="0" w:space="0" w:color="auto"/>
        <w:left w:val="none" w:sz="0" w:space="0" w:color="auto"/>
        <w:bottom w:val="none" w:sz="0" w:space="0" w:color="auto"/>
        <w:right w:val="none" w:sz="0" w:space="0" w:color="auto"/>
      </w:divBdr>
    </w:div>
    <w:div w:id="1404836200">
      <w:bodyDiv w:val="1"/>
      <w:marLeft w:val="0"/>
      <w:marRight w:val="0"/>
      <w:marTop w:val="0"/>
      <w:marBottom w:val="0"/>
      <w:divBdr>
        <w:top w:val="none" w:sz="0" w:space="0" w:color="auto"/>
        <w:left w:val="none" w:sz="0" w:space="0" w:color="auto"/>
        <w:bottom w:val="none" w:sz="0" w:space="0" w:color="auto"/>
        <w:right w:val="none" w:sz="0" w:space="0" w:color="auto"/>
      </w:divBdr>
    </w:div>
    <w:div w:id="1419248871">
      <w:bodyDiv w:val="1"/>
      <w:marLeft w:val="0"/>
      <w:marRight w:val="0"/>
      <w:marTop w:val="0"/>
      <w:marBottom w:val="0"/>
      <w:divBdr>
        <w:top w:val="none" w:sz="0" w:space="0" w:color="auto"/>
        <w:left w:val="none" w:sz="0" w:space="0" w:color="auto"/>
        <w:bottom w:val="none" w:sz="0" w:space="0" w:color="auto"/>
        <w:right w:val="none" w:sz="0" w:space="0" w:color="auto"/>
      </w:divBdr>
    </w:div>
    <w:div w:id="1422990540">
      <w:bodyDiv w:val="1"/>
      <w:marLeft w:val="0"/>
      <w:marRight w:val="0"/>
      <w:marTop w:val="0"/>
      <w:marBottom w:val="0"/>
      <w:divBdr>
        <w:top w:val="none" w:sz="0" w:space="0" w:color="auto"/>
        <w:left w:val="none" w:sz="0" w:space="0" w:color="auto"/>
        <w:bottom w:val="none" w:sz="0" w:space="0" w:color="auto"/>
        <w:right w:val="none" w:sz="0" w:space="0" w:color="auto"/>
      </w:divBdr>
    </w:div>
    <w:div w:id="1432319749">
      <w:bodyDiv w:val="1"/>
      <w:marLeft w:val="0"/>
      <w:marRight w:val="0"/>
      <w:marTop w:val="0"/>
      <w:marBottom w:val="0"/>
      <w:divBdr>
        <w:top w:val="none" w:sz="0" w:space="0" w:color="auto"/>
        <w:left w:val="none" w:sz="0" w:space="0" w:color="auto"/>
        <w:bottom w:val="none" w:sz="0" w:space="0" w:color="auto"/>
        <w:right w:val="none" w:sz="0" w:space="0" w:color="auto"/>
      </w:divBdr>
    </w:div>
    <w:div w:id="1437367200">
      <w:bodyDiv w:val="1"/>
      <w:marLeft w:val="0"/>
      <w:marRight w:val="0"/>
      <w:marTop w:val="0"/>
      <w:marBottom w:val="0"/>
      <w:divBdr>
        <w:top w:val="none" w:sz="0" w:space="0" w:color="auto"/>
        <w:left w:val="none" w:sz="0" w:space="0" w:color="auto"/>
        <w:bottom w:val="none" w:sz="0" w:space="0" w:color="auto"/>
        <w:right w:val="none" w:sz="0" w:space="0" w:color="auto"/>
      </w:divBdr>
    </w:div>
    <w:div w:id="1463157434">
      <w:bodyDiv w:val="1"/>
      <w:marLeft w:val="0"/>
      <w:marRight w:val="0"/>
      <w:marTop w:val="0"/>
      <w:marBottom w:val="0"/>
      <w:divBdr>
        <w:top w:val="none" w:sz="0" w:space="0" w:color="auto"/>
        <w:left w:val="none" w:sz="0" w:space="0" w:color="auto"/>
        <w:bottom w:val="none" w:sz="0" w:space="0" w:color="auto"/>
        <w:right w:val="none" w:sz="0" w:space="0" w:color="auto"/>
      </w:divBdr>
    </w:div>
    <w:div w:id="1471358866">
      <w:bodyDiv w:val="1"/>
      <w:marLeft w:val="0"/>
      <w:marRight w:val="0"/>
      <w:marTop w:val="0"/>
      <w:marBottom w:val="0"/>
      <w:divBdr>
        <w:top w:val="none" w:sz="0" w:space="0" w:color="auto"/>
        <w:left w:val="none" w:sz="0" w:space="0" w:color="auto"/>
        <w:bottom w:val="none" w:sz="0" w:space="0" w:color="auto"/>
        <w:right w:val="none" w:sz="0" w:space="0" w:color="auto"/>
      </w:divBdr>
    </w:div>
    <w:div w:id="1471626910">
      <w:bodyDiv w:val="1"/>
      <w:marLeft w:val="0"/>
      <w:marRight w:val="0"/>
      <w:marTop w:val="0"/>
      <w:marBottom w:val="0"/>
      <w:divBdr>
        <w:top w:val="none" w:sz="0" w:space="0" w:color="auto"/>
        <w:left w:val="none" w:sz="0" w:space="0" w:color="auto"/>
        <w:bottom w:val="none" w:sz="0" w:space="0" w:color="auto"/>
        <w:right w:val="none" w:sz="0" w:space="0" w:color="auto"/>
      </w:divBdr>
    </w:div>
    <w:div w:id="1475485907">
      <w:bodyDiv w:val="1"/>
      <w:marLeft w:val="0"/>
      <w:marRight w:val="0"/>
      <w:marTop w:val="0"/>
      <w:marBottom w:val="0"/>
      <w:divBdr>
        <w:top w:val="none" w:sz="0" w:space="0" w:color="auto"/>
        <w:left w:val="none" w:sz="0" w:space="0" w:color="auto"/>
        <w:bottom w:val="none" w:sz="0" w:space="0" w:color="auto"/>
        <w:right w:val="none" w:sz="0" w:space="0" w:color="auto"/>
      </w:divBdr>
    </w:div>
    <w:div w:id="1507481012">
      <w:bodyDiv w:val="1"/>
      <w:marLeft w:val="0"/>
      <w:marRight w:val="0"/>
      <w:marTop w:val="0"/>
      <w:marBottom w:val="0"/>
      <w:divBdr>
        <w:top w:val="none" w:sz="0" w:space="0" w:color="auto"/>
        <w:left w:val="none" w:sz="0" w:space="0" w:color="auto"/>
        <w:bottom w:val="none" w:sz="0" w:space="0" w:color="auto"/>
        <w:right w:val="none" w:sz="0" w:space="0" w:color="auto"/>
      </w:divBdr>
    </w:div>
    <w:div w:id="1529027536">
      <w:bodyDiv w:val="1"/>
      <w:marLeft w:val="0"/>
      <w:marRight w:val="0"/>
      <w:marTop w:val="0"/>
      <w:marBottom w:val="0"/>
      <w:divBdr>
        <w:top w:val="none" w:sz="0" w:space="0" w:color="auto"/>
        <w:left w:val="none" w:sz="0" w:space="0" w:color="auto"/>
        <w:bottom w:val="none" w:sz="0" w:space="0" w:color="auto"/>
        <w:right w:val="none" w:sz="0" w:space="0" w:color="auto"/>
      </w:divBdr>
    </w:div>
    <w:div w:id="1529563526">
      <w:bodyDiv w:val="1"/>
      <w:marLeft w:val="0"/>
      <w:marRight w:val="0"/>
      <w:marTop w:val="0"/>
      <w:marBottom w:val="0"/>
      <w:divBdr>
        <w:top w:val="none" w:sz="0" w:space="0" w:color="auto"/>
        <w:left w:val="none" w:sz="0" w:space="0" w:color="auto"/>
        <w:bottom w:val="none" w:sz="0" w:space="0" w:color="auto"/>
        <w:right w:val="none" w:sz="0" w:space="0" w:color="auto"/>
      </w:divBdr>
    </w:div>
    <w:div w:id="1538853160">
      <w:bodyDiv w:val="1"/>
      <w:marLeft w:val="0"/>
      <w:marRight w:val="0"/>
      <w:marTop w:val="0"/>
      <w:marBottom w:val="0"/>
      <w:divBdr>
        <w:top w:val="none" w:sz="0" w:space="0" w:color="auto"/>
        <w:left w:val="none" w:sz="0" w:space="0" w:color="auto"/>
        <w:bottom w:val="none" w:sz="0" w:space="0" w:color="auto"/>
        <w:right w:val="none" w:sz="0" w:space="0" w:color="auto"/>
      </w:divBdr>
    </w:div>
    <w:div w:id="1545095130">
      <w:bodyDiv w:val="1"/>
      <w:marLeft w:val="0"/>
      <w:marRight w:val="0"/>
      <w:marTop w:val="0"/>
      <w:marBottom w:val="0"/>
      <w:divBdr>
        <w:top w:val="none" w:sz="0" w:space="0" w:color="auto"/>
        <w:left w:val="none" w:sz="0" w:space="0" w:color="auto"/>
        <w:bottom w:val="none" w:sz="0" w:space="0" w:color="auto"/>
        <w:right w:val="none" w:sz="0" w:space="0" w:color="auto"/>
      </w:divBdr>
    </w:div>
    <w:div w:id="1555040393">
      <w:bodyDiv w:val="1"/>
      <w:marLeft w:val="0"/>
      <w:marRight w:val="0"/>
      <w:marTop w:val="0"/>
      <w:marBottom w:val="0"/>
      <w:divBdr>
        <w:top w:val="none" w:sz="0" w:space="0" w:color="auto"/>
        <w:left w:val="none" w:sz="0" w:space="0" w:color="auto"/>
        <w:bottom w:val="none" w:sz="0" w:space="0" w:color="auto"/>
        <w:right w:val="none" w:sz="0" w:space="0" w:color="auto"/>
      </w:divBdr>
    </w:div>
    <w:div w:id="1569728702">
      <w:bodyDiv w:val="1"/>
      <w:marLeft w:val="0"/>
      <w:marRight w:val="0"/>
      <w:marTop w:val="0"/>
      <w:marBottom w:val="0"/>
      <w:divBdr>
        <w:top w:val="none" w:sz="0" w:space="0" w:color="auto"/>
        <w:left w:val="none" w:sz="0" w:space="0" w:color="auto"/>
        <w:bottom w:val="none" w:sz="0" w:space="0" w:color="auto"/>
        <w:right w:val="none" w:sz="0" w:space="0" w:color="auto"/>
      </w:divBdr>
    </w:div>
    <w:div w:id="1582595096">
      <w:bodyDiv w:val="1"/>
      <w:marLeft w:val="0"/>
      <w:marRight w:val="0"/>
      <w:marTop w:val="0"/>
      <w:marBottom w:val="0"/>
      <w:divBdr>
        <w:top w:val="none" w:sz="0" w:space="0" w:color="auto"/>
        <w:left w:val="none" w:sz="0" w:space="0" w:color="auto"/>
        <w:bottom w:val="none" w:sz="0" w:space="0" w:color="auto"/>
        <w:right w:val="none" w:sz="0" w:space="0" w:color="auto"/>
      </w:divBdr>
    </w:div>
    <w:div w:id="1589389259">
      <w:bodyDiv w:val="1"/>
      <w:marLeft w:val="0"/>
      <w:marRight w:val="0"/>
      <w:marTop w:val="0"/>
      <w:marBottom w:val="0"/>
      <w:divBdr>
        <w:top w:val="none" w:sz="0" w:space="0" w:color="auto"/>
        <w:left w:val="none" w:sz="0" w:space="0" w:color="auto"/>
        <w:bottom w:val="none" w:sz="0" w:space="0" w:color="auto"/>
        <w:right w:val="none" w:sz="0" w:space="0" w:color="auto"/>
      </w:divBdr>
    </w:div>
    <w:div w:id="1609969047">
      <w:bodyDiv w:val="1"/>
      <w:marLeft w:val="0"/>
      <w:marRight w:val="0"/>
      <w:marTop w:val="0"/>
      <w:marBottom w:val="0"/>
      <w:divBdr>
        <w:top w:val="none" w:sz="0" w:space="0" w:color="auto"/>
        <w:left w:val="none" w:sz="0" w:space="0" w:color="auto"/>
        <w:bottom w:val="none" w:sz="0" w:space="0" w:color="auto"/>
        <w:right w:val="none" w:sz="0" w:space="0" w:color="auto"/>
      </w:divBdr>
    </w:div>
    <w:div w:id="1622878791">
      <w:bodyDiv w:val="1"/>
      <w:marLeft w:val="0"/>
      <w:marRight w:val="0"/>
      <w:marTop w:val="0"/>
      <w:marBottom w:val="0"/>
      <w:divBdr>
        <w:top w:val="none" w:sz="0" w:space="0" w:color="auto"/>
        <w:left w:val="none" w:sz="0" w:space="0" w:color="auto"/>
        <w:bottom w:val="none" w:sz="0" w:space="0" w:color="auto"/>
        <w:right w:val="none" w:sz="0" w:space="0" w:color="auto"/>
      </w:divBdr>
    </w:div>
    <w:div w:id="1650550664">
      <w:bodyDiv w:val="1"/>
      <w:marLeft w:val="0"/>
      <w:marRight w:val="0"/>
      <w:marTop w:val="0"/>
      <w:marBottom w:val="0"/>
      <w:divBdr>
        <w:top w:val="none" w:sz="0" w:space="0" w:color="auto"/>
        <w:left w:val="none" w:sz="0" w:space="0" w:color="auto"/>
        <w:bottom w:val="none" w:sz="0" w:space="0" w:color="auto"/>
        <w:right w:val="none" w:sz="0" w:space="0" w:color="auto"/>
      </w:divBdr>
    </w:div>
    <w:div w:id="1653295955">
      <w:bodyDiv w:val="1"/>
      <w:marLeft w:val="0"/>
      <w:marRight w:val="0"/>
      <w:marTop w:val="0"/>
      <w:marBottom w:val="0"/>
      <w:divBdr>
        <w:top w:val="none" w:sz="0" w:space="0" w:color="auto"/>
        <w:left w:val="none" w:sz="0" w:space="0" w:color="auto"/>
        <w:bottom w:val="none" w:sz="0" w:space="0" w:color="auto"/>
        <w:right w:val="none" w:sz="0" w:space="0" w:color="auto"/>
      </w:divBdr>
      <w:divsChild>
        <w:div w:id="1393039000">
          <w:marLeft w:val="0"/>
          <w:marRight w:val="0"/>
          <w:marTop w:val="0"/>
          <w:marBottom w:val="0"/>
          <w:divBdr>
            <w:top w:val="none" w:sz="0" w:space="0" w:color="auto"/>
            <w:left w:val="none" w:sz="0" w:space="0" w:color="auto"/>
            <w:bottom w:val="none" w:sz="0" w:space="0" w:color="auto"/>
            <w:right w:val="none" w:sz="0" w:space="0" w:color="auto"/>
          </w:divBdr>
          <w:divsChild>
            <w:div w:id="1043142586">
              <w:marLeft w:val="0"/>
              <w:marRight w:val="0"/>
              <w:marTop w:val="0"/>
              <w:marBottom w:val="0"/>
              <w:divBdr>
                <w:top w:val="none" w:sz="0" w:space="0" w:color="auto"/>
                <w:left w:val="none" w:sz="0" w:space="0" w:color="auto"/>
                <w:bottom w:val="none" w:sz="0" w:space="0" w:color="auto"/>
                <w:right w:val="none" w:sz="0" w:space="0" w:color="auto"/>
              </w:divBdr>
              <w:divsChild>
                <w:div w:id="299459829">
                  <w:marLeft w:val="0"/>
                  <w:marRight w:val="0"/>
                  <w:marTop w:val="0"/>
                  <w:marBottom w:val="0"/>
                  <w:divBdr>
                    <w:top w:val="none" w:sz="0" w:space="0" w:color="auto"/>
                    <w:left w:val="none" w:sz="0" w:space="0" w:color="auto"/>
                    <w:bottom w:val="none" w:sz="0" w:space="0" w:color="auto"/>
                    <w:right w:val="none" w:sz="0" w:space="0" w:color="auto"/>
                  </w:divBdr>
                  <w:divsChild>
                    <w:div w:id="353851445">
                      <w:marLeft w:val="0"/>
                      <w:marRight w:val="0"/>
                      <w:marTop w:val="0"/>
                      <w:marBottom w:val="0"/>
                      <w:divBdr>
                        <w:top w:val="none" w:sz="0" w:space="0" w:color="auto"/>
                        <w:left w:val="none" w:sz="0" w:space="0" w:color="auto"/>
                        <w:bottom w:val="none" w:sz="0" w:space="0" w:color="auto"/>
                        <w:right w:val="none" w:sz="0" w:space="0" w:color="auto"/>
                      </w:divBdr>
                      <w:divsChild>
                        <w:div w:id="3927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730235">
      <w:bodyDiv w:val="1"/>
      <w:marLeft w:val="0"/>
      <w:marRight w:val="0"/>
      <w:marTop w:val="0"/>
      <w:marBottom w:val="0"/>
      <w:divBdr>
        <w:top w:val="none" w:sz="0" w:space="0" w:color="auto"/>
        <w:left w:val="none" w:sz="0" w:space="0" w:color="auto"/>
        <w:bottom w:val="none" w:sz="0" w:space="0" w:color="auto"/>
        <w:right w:val="none" w:sz="0" w:space="0" w:color="auto"/>
      </w:divBdr>
    </w:div>
    <w:div w:id="1668482955">
      <w:bodyDiv w:val="1"/>
      <w:marLeft w:val="0"/>
      <w:marRight w:val="0"/>
      <w:marTop w:val="0"/>
      <w:marBottom w:val="0"/>
      <w:divBdr>
        <w:top w:val="none" w:sz="0" w:space="0" w:color="auto"/>
        <w:left w:val="none" w:sz="0" w:space="0" w:color="auto"/>
        <w:bottom w:val="none" w:sz="0" w:space="0" w:color="auto"/>
        <w:right w:val="none" w:sz="0" w:space="0" w:color="auto"/>
      </w:divBdr>
    </w:div>
    <w:div w:id="1669015035">
      <w:bodyDiv w:val="1"/>
      <w:marLeft w:val="0"/>
      <w:marRight w:val="0"/>
      <w:marTop w:val="0"/>
      <w:marBottom w:val="0"/>
      <w:divBdr>
        <w:top w:val="none" w:sz="0" w:space="0" w:color="auto"/>
        <w:left w:val="none" w:sz="0" w:space="0" w:color="auto"/>
        <w:bottom w:val="none" w:sz="0" w:space="0" w:color="auto"/>
        <w:right w:val="none" w:sz="0" w:space="0" w:color="auto"/>
      </w:divBdr>
    </w:div>
    <w:div w:id="1683437238">
      <w:bodyDiv w:val="1"/>
      <w:marLeft w:val="0"/>
      <w:marRight w:val="0"/>
      <w:marTop w:val="0"/>
      <w:marBottom w:val="0"/>
      <w:divBdr>
        <w:top w:val="none" w:sz="0" w:space="0" w:color="auto"/>
        <w:left w:val="none" w:sz="0" w:space="0" w:color="auto"/>
        <w:bottom w:val="none" w:sz="0" w:space="0" w:color="auto"/>
        <w:right w:val="none" w:sz="0" w:space="0" w:color="auto"/>
      </w:divBdr>
    </w:div>
    <w:div w:id="1698654843">
      <w:bodyDiv w:val="1"/>
      <w:marLeft w:val="0"/>
      <w:marRight w:val="0"/>
      <w:marTop w:val="0"/>
      <w:marBottom w:val="0"/>
      <w:divBdr>
        <w:top w:val="none" w:sz="0" w:space="0" w:color="auto"/>
        <w:left w:val="none" w:sz="0" w:space="0" w:color="auto"/>
        <w:bottom w:val="none" w:sz="0" w:space="0" w:color="auto"/>
        <w:right w:val="none" w:sz="0" w:space="0" w:color="auto"/>
      </w:divBdr>
    </w:div>
    <w:div w:id="1716544643">
      <w:bodyDiv w:val="1"/>
      <w:marLeft w:val="0"/>
      <w:marRight w:val="0"/>
      <w:marTop w:val="0"/>
      <w:marBottom w:val="0"/>
      <w:divBdr>
        <w:top w:val="none" w:sz="0" w:space="0" w:color="auto"/>
        <w:left w:val="none" w:sz="0" w:space="0" w:color="auto"/>
        <w:bottom w:val="none" w:sz="0" w:space="0" w:color="auto"/>
        <w:right w:val="none" w:sz="0" w:space="0" w:color="auto"/>
      </w:divBdr>
    </w:div>
    <w:div w:id="1749618860">
      <w:bodyDiv w:val="1"/>
      <w:marLeft w:val="0"/>
      <w:marRight w:val="0"/>
      <w:marTop w:val="0"/>
      <w:marBottom w:val="0"/>
      <w:divBdr>
        <w:top w:val="none" w:sz="0" w:space="0" w:color="auto"/>
        <w:left w:val="none" w:sz="0" w:space="0" w:color="auto"/>
        <w:bottom w:val="none" w:sz="0" w:space="0" w:color="auto"/>
        <w:right w:val="none" w:sz="0" w:space="0" w:color="auto"/>
      </w:divBdr>
    </w:div>
    <w:div w:id="1756199274">
      <w:bodyDiv w:val="1"/>
      <w:marLeft w:val="0"/>
      <w:marRight w:val="0"/>
      <w:marTop w:val="0"/>
      <w:marBottom w:val="0"/>
      <w:divBdr>
        <w:top w:val="none" w:sz="0" w:space="0" w:color="auto"/>
        <w:left w:val="none" w:sz="0" w:space="0" w:color="auto"/>
        <w:bottom w:val="none" w:sz="0" w:space="0" w:color="auto"/>
        <w:right w:val="none" w:sz="0" w:space="0" w:color="auto"/>
      </w:divBdr>
      <w:divsChild>
        <w:div w:id="150409703">
          <w:marLeft w:val="0"/>
          <w:marRight w:val="0"/>
          <w:marTop w:val="0"/>
          <w:marBottom w:val="0"/>
          <w:divBdr>
            <w:top w:val="none" w:sz="0" w:space="0" w:color="auto"/>
            <w:left w:val="none" w:sz="0" w:space="0" w:color="auto"/>
            <w:bottom w:val="none" w:sz="0" w:space="0" w:color="auto"/>
            <w:right w:val="none" w:sz="0" w:space="0" w:color="auto"/>
          </w:divBdr>
        </w:div>
      </w:divsChild>
    </w:div>
    <w:div w:id="1770077216">
      <w:bodyDiv w:val="1"/>
      <w:marLeft w:val="0"/>
      <w:marRight w:val="0"/>
      <w:marTop w:val="0"/>
      <w:marBottom w:val="0"/>
      <w:divBdr>
        <w:top w:val="none" w:sz="0" w:space="0" w:color="auto"/>
        <w:left w:val="none" w:sz="0" w:space="0" w:color="auto"/>
        <w:bottom w:val="none" w:sz="0" w:space="0" w:color="auto"/>
        <w:right w:val="none" w:sz="0" w:space="0" w:color="auto"/>
      </w:divBdr>
    </w:div>
    <w:div w:id="1781677999">
      <w:bodyDiv w:val="1"/>
      <w:marLeft w:val="0"/>
      <w:marRight w:val="0"/>
      <w:marTop w:val="0"/>
      <w:marBottom w:val="0"/>
      <w:divBdr>
        <w:top w:val="none" w:sz="0" w:space="0" w:color="auto"/>
        <w:left w:val="none" w:sz="0" w:space="0" w:color="auto"/>
        <w:bottom w:val="none" w:sz="0" w:space="0" w:color="auto"/>
        <w:right w:val="none" w:sz="0" w:space="0" w:color="auto"/>
      </w:divBdr>
    </w:div>
    <w:div w:id="1804813225">
      <w:bodyDiv w:val="1"/>
      <w:marLeft w:val="0"/>
      <w:marRight w:val="0"/>
      <w:marTop w:val="0"/>
      <w:marBottom w:val="0"/>
      <w:divBdr>
        <w:top w:val="none" w:sz="0" w:space="0" w:color="auto"/>
        <w:left w:val="none" w:sz="0" w:space="0" w:color="auto"/>
        <w:bottom w:val="none" w:sz="0" w:space="0" w:color="auto"/>
        <w:right w:val="none" w:sz="0" w:space="0" w:color="auto"/>
      </w:divBdr>
    </w:div>
    <w:div w:id="1816530827">
      <w:bodyDiv w:val="1"/>
      <w:marLeft w:val="0"/>
      <w:marRight w:val="0"/>
      <w:marTop w:val="0"/>
      <w:marBottom w:val="0"/>
      <w:divBdr>
        <w:top w:val="none" w:sz="0" w:space="0" w:color="auto"/>
        <w:left w:val="none" w:sz="0" w:space="0" w:color="auto"/>
        <w:bottom w:val="none" w:sz="0" w:space="0" w:color="auto"/>
        <w:right w:val="none" w:sz="0" w:space="0" w:color="auto"/>
      </w:divBdr>
    </w:div>
    <w:div w:id="1820609650">
      <w:bodyDiv w:val="1"/>
      <w:marLeft w:val="0"/>
      <w:marRight w:val="0"/>
      <w:marTop w:val="0"/>
      <w:marBottom w:val="0"/>
      <w:divBdr>
        <w:top w:val="none" w:sz="0" w:space="0" w:color="auto"/>
        <w:left w:val="none" w:sz="0" w:space="0" w:color="auto"/>
        <w:bottom w:val="none" w:sz="0" w:space="0" w:color="auto"/>
        <w:right w:val="none" w:sz="0" w:space="0" w:color="auto"/>
      </w:divBdr>
    </w:div>
    <w:div w:id="1827894724">
      <w:bodyDiv w:val="1"/>
      <w:marLeft w:val="0"/>
      <w:marRight w:val="0"/>
      <w:marTop w:val="0"/>
      <w:marBottom w:val="0"/>
      <w:divBdr>
        <w:top w:val="none" w:sz="0" w:space="0" w:color="auto"/>
        <w:left w:val="none" w:sz="0" w:space="0" w:color="auto"/>
        <w:bottom w:val="none" w:sz="0" w:space="0" w:color="auto"/>
        <w:right w:val="none" w:sz="0" w:space="0" w:color="auto"/>
      </w:divBdr>
    </w:div>
    <w:div w:id="1834947068">
      <w:bodyDiv w:val="1"/>
      <w:marLeft w:val="0"/>
      <w:marRight w:val="0"/>
      <w:marTop w:val="0"/>
      <w:marBottom w:val="0"/>
      <w:divBdr>
        <w:top w:val="none" w:sz="0" w:space="0" w:color="auto"/>
        <w:left w:val="none" w:sz="0" w:space="0" w:color="auto"/>
        <w:bottom w:val="none" w:sz="0" w:space="0" w:color="auto"/>
        <w:right w:val="none" w:sz="0" w:space="0" w:color="auto"/>
      </w:divBdr>
    </w:div>
    <w:div w:id="1842887761">
      <w:bodyDiv w:val="1"/>
      <w:marLeft w:val="0"/>
      <w:marRight w:val="0"/>
      <w:marTop w:val="0"/>
      <w:marBottom w:val="0"/>
      <w:divBdr>
        <w:top w:val="none" w:sz="0" w:space="0" w:color="auto"/>
        <w:left w:val="none" w:sz="0" w:space="0" w:color="auto"/>
        <w:bottom w:val="none" w:sz="0" w:space="0" w:color="auto"/>
        <w:right w:val="none" w:sz="0" w:space="0" w:color="auto"/>
      </w:divBdr>
    </w:div>
    <w:div w:id="1845706585">
      <w:bodyDiv w:val="1"/>
      <w:marLeft w:val="0"/>
      <w:marRight w:val="0"/>
      <w:marTop w:val="0"/>
      <w:marBottom w:val="0"/>
      <w:divBdr>
        <w:top w:val="none" w:sz="0" w:space="0" w:color="auto"/>
        <w:left w:val="none" w:sz="0" w:space="0" w:color="auto"/>
        <w:bottom w:val="none" w:sz="0" w:space="0" w:color="auto"/>
        <w:right w:val="none" w:sz="0" w:space="0" w:color="auto"/>
      </w:divBdr>
    </w:div>
    <w:div w:id="1862159031">
      <w:bodyDiv w:val="1"/>
      <w:marLeft w:val="0"/>
      <w:marRight w:val="0"/>
      <w:marTop w:val="0"/>
      <w:marBottom w:val="0"/>
      <w:divBdr>
        <w:top w:val="none" w:sz="0" w:space="0" w:color="auto"/>
        <w:left w:val="none" w:sz="0" w:space="0" w:color="auto"/>
        <w:bottom w:val="none" w:sz="0" w:space="0" w:color="auto"/>
        <w:right w:val="none" w:sz="0" w:space="0" w:color="auto"/>
      </w:divBdr>
    </w:div>
    <w:div w:id="1874271357">
      <w:bodyDiv w:val="1"/>
      <w:marLeft w:val="0"/>
      <w:marRight w:val="0"/>
      <w:marTop w:val="0"/>
      <w:marBottom w:val="0"/>
      <w:divBdr>
        <w:top w:val="none" w:sz="0" w:space="0" w:color="auto"/>
        <w:left w:val="none" w:sz="0" w:space="0" w:color="auto"/>
        <w:bottom w:val="none" w:sz="0" w:space="0" w:color="auto"/>
        <w:right w:val="none" w:sz="0" w:space="0" w:color="auto"/>
      </w:divBdr>
    </w:div>
    <w:div w:id="1915121893">
      <w:bodyDiv w:val="1"/>
      <w:marLeft w:val="0"/>
      <w:marRight w:val="0"/>
      <w:marTop w:val="0"/>
      <w:marBottom w:val="0"/>
      <w:divBdr>
        <w:top w:val="none" w:sz="0" w:space="0" w:color="auto"/>
        <w:left w:val="none" w:sz="0" w:space="0" w:color="auto"/>
        <w:bottom w:val="none" w:sz="0" w:space="0" w:color="auto"/>
        <w:right w:val="none" w:sz="0" w:space="0" w:color="auto"/>
      </w:divBdr>
    </w:div>
    <w:div w:id="1941600770">
      <w:bodyDiv w:val="1"/>
      <w:marLeft w:val="0"/>
      <w:marRight w:val="0"/>
      <w:marTop w:val="0"/>
      <w:marBottom w:val="0"/>
      <w:divBdr>
        <w:top w:val="none" w:sz="0" w:space="0" w:color="auto"/>
        <w:left w:val="none" w:sz="0" w:space="0" w:color="auto"/>
        <w:bottom w:val="none" w:sz="0" w:space="0" w:color="auto"/>
        <w:right w:val="none" w:sz="0" w:space="0" w:color="auto"/>
      </w:divBdr>
    </w:div>
    <w:div w:id="1952660797">
      <w:bodyDiv w:val="1"/>
      <w:marLeft w:val="0"/>
      <w:marRight w:val="0"/>
      <w:marTop w:val="0"/>
      <w:marBottom w:val="0"/>
      <w:divBdr>
        <w:top w:val="none" w:sz="0" w:space="0" w:color="auto"/>
        <w:left w:val="none" w:sz="0" w:space="0" w:color="auto"/>
        <w:bottom w:val="none" w:sz="0" w:space="0" w:color="auto"/>
        <w:right w:val="none" w:sz="0" w:space="0" w:color="auto"/>
      </w:divBdr>
    </w:div>
    <w:div w:id="1963877072">
      <w:bodyDiv w:val="1"/>
      <w:marLeft w:val="0"/>
      <w:marRight w:val="0"/>
      <w:marTop w:val="0"/>
      <w:marBottom w:val="0"/>
      <w:divBdr>
        <w:top w:val="none" w:sz="0" w:space="0" w:color="auto"/>
        <w:left w:val="none" w:sz="0" w:space="0" w:color="auto"/>
        <w:bottom w:val="none" w:sz="0" w:space="0" w:color="auto"/>
        <w:right w:val="none" w:sz="0" w:space="0" w:color="auto"/>
      </w:divBdr>
    </w:div>
    <w:div w:id="1968731652">
      <w:bodyDiv w:val="1"/>
      <w:marLeft w:val="0"/>
      <w:marRight w:val="0"/>
      <w:marTop w:val="0"/>
      <w:marBottom w:val="0"/>
      <w:divBdr>
        <w:top w:val="none" w:sz="0" w:space="0" w:color="auto"/>
        <w:left w:val="none" w:sz="0" w:space="0" w:color="auto"/>
        <w:bottom w:val="none" w:sz="0" w:space="0" w:color="auto"/>
        <w:right w:val="none" w:sz="0" w:space="0" w:color="auto"/>
      </w:divBdr>
    </w:div>
    <w:div w:id="2014214285">
      <w:bodyDiv w:val="1"/>
      <w:marLeft w:val="0"/>
      <w:marRight w:val="0"/>
      <w:marTop w:val="0"/>
      <w:marBottom w:val="0"/>
      <w:divBdr>
        <w:top w:val="none" w:sz="0" w:space="0" w:color="auto"/>
        <w:left w:val="none" w:sz="0" w:space="0" w:color="auto"/>
        <w:bottom w:val="none" w:sz="0" w:space="0" w:color="auto"/>
        <w:right w:val="none" w:sz="0" w:space="0" w:color="auto"/>
      </w:divBdr>
    </w:div>
    <w:div w:id="2015379823">
      <w:bodyDiv w:val="1"/>
      <w:marLeft w:val="0"/>
      <w:marRight w:val="0"/>
      <w:marTop w:val="0"/>
      <w:marBottom w:val="0"/>
      <w:divBdr>
        <w:top w:val="none" w:sz="0" w:space="0" w:color="auto"/>
        <w:left w:val="none" w:sz="0" w:space="0" w:color="auto"/>
        <w:bottom w:val="none" w:sz="0" w:space="0" w:color="auto"/>
        <w:right w:val="none" w:sz="0" w:space="0" w:color="auto"/>
      </w:divBdr>
    </w:div>
    <w:div w:id="2026592876">
      <w:bodyDiv w:val="1"/>
      <w:marLeft w:val="0"/>
      <w:marRight w:val="0"/>
      <w:marTop w:val="0"/>
      <w:marBottom w:val="0"/>
      <w:divBdr>
        <w:top w:val="none" w:sz="0" w:space="0" w:color="auto"/>
        <w:left w:val="none" w:sz="0" w:space="0" w:color="auto"/>
        <w:bottom w:val="none" w:sz="0" w:space="0" w:color="auto"/>
        <w:right w:val="none" w:sz="0" w:space="0" w:color="auto"/>
      </w:divBdr>
    </w:div>
    <w:div w:id="2122647019">
      <w:bodyDiv w:val="1"/>
      <w:marLeft w:val="0"/>
      <w:marRight w:val="0"/>
      <w:marTop w:val="0"/>
      <w:marBottom w:val="0"/>
      <w:divBdr>
        <w:top w:val="none" w:sz="0" w:space="0" w:color="auto"/>
        <w:left w:val="none" w:sz="0" w:space="0" w:color="auto"/>
        <w:bottom w:val="none" w:sz="0" w:space="0" w:color="auto"/>
        <w:right w:val="none" w:sz="0" w:space="0" w:color="auto"/>
      </w:divBdr>
    </w:div>
    <w:div w:id="2125725973">
      <w:bodyDiv w:val="1"/>
      <w:marLeft w:val="0"/>
      <w:marRight w:val="0"/>
      <w:marTop w:val="0"/>
      <w:marBottom w:val="0"/>
      <w:divBdr>
        <w:top w:val="none" w:sz="0" w:space="0" w:color="auto"/>
        <w:left w:val="none" w:sz="0" w:space="0" w:color="auto"/>
        <w:bottom w:val="none" w:sz="0" w:space="0" w:color="auto"/>
        <w:right w:val="none" w:sz="0" w:space="0" w:color="auto"/>
      </w:divBdr>
    </w:div>
    <w:div w:id="2132168232">
      <w:bodyDiv w:val="1"/>
      <w:marLeft w:val="0"/>
      <w:marRight w:val="0"/>
      <w:marTop w:val="0"/>
      <w:marBottom w:val="0"/>
      <w:divBdr>
        <w:top w:val="none" w:sz="0" w:space="0" w:color="auto"/>
        <w:left w:val="none" w:sz="0" w:space="0" w:color="auto"/>
        <w:bottom w:val="none" w:sz="0" w:space="0" w:color="auto"/>
        <w:right w:val="none" w:sz="0" w:space="0" w:color="auto"/>
      </w:divBdr>
    </w:div>
    <w:div w:id="214581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using.ec.europa.eu/news/presidents-state-union-speech-addresses-housing-crisis-2025-09-10_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publications/oecd-monitoring-framework-to-measure-homelessness_3e98455b-en.html" TargetMode="External"/><Relationship Id="rId13" Type="http://schemas.openxmlformats.org/officeDocument/2006/relationships/hyperlink" Target="https://eur-lex.europa.eu/eli/reco/2021/1004/oj/slk" TargetMode="External"/><Relationship Id="rId18" Type="http://schemas.openxmlformats.org/officeDocument/2006/relationships/hyperlink" Target="https://eur-lex.europa.eu/legal-content/SK/TXT/?uri=celex:52020DC0620" TargetMode="External"/><Relationship Id="rId26" Type="http://schemas.openxmlformats.org/officeDocument/2006/relationships/hyperlink" Target="https://eur-lex.europa.eu/legal-content/SK/TXT/PDF/?uri=CELEX:52021IR3911" TargetMode="External"/><Relationship Id="rId39" Type="http://schemas.openxmlformats.org/officeDocument/2006/relationships/hyperlink" Target="https://eur-lex.europa.eu/eli/dec/2025/2630/oj/slk" TargetMode="External"/><Relationship Id="rId3" Type="http://schemas.openxmlformats.org/officeDocument/2006/relationships/hyperlink" Target="https://ec.europa.eu/eurostat/statistics-explained/SEPDF/cache/132338.pdf" TargetMode="External"/><Relationship Id="rId21" Type="http://schemas.openxmlformats.org/officeDocument/2006/relationships/hyperlink" Target="https://eur-lex.europa.eu/eli/dir/2014/92/oj/slk" TargetMode="External"/><Relationship Id="rId34" Type="http://schemas.openxmlformats.org/officeDocument/2006/relationships/hyperlink" Target="https://eur-lex.europa.eu/legal-content/SK/TXT/?uri=CELEX%3A32017R0543&amp;qid=1765103514589" TargetMode="External"/><Relationship Id="rId7" Type="http://schemas.openxmlformats.org/officeDocument/2006/relationships/hyperlink" Target="https://www.oecd.org/en/publications/oecd-monitoring-framework-to-measure-homelessness_3e98455b-en.html" TargetMode="External"/><Relationship Id="rId12" Type="http://schemas.openxmlformats.org/officeDocument/2006/relationships/hyperlink" Target="https://eur-lex.europa.eu/legal-content/SK/TXT/?uri=oj:JOC_2017_428_R_0009" TargetMode="External"/><Relationship Id="rId17" Type="http://schemas.openxmlformats.org/officeDocument/2006/relationships/hyperlink" Target="https://eur-lex.europa.eu/legal-content/SK/TXT/?uri=celex:52020DC0620" TargetMode="External"/><Relationship Id="rId25" Type="http://schemas.openxmlformats.org/officeDocument/2006/relationships/hyperlink" Target="https://eur-lex.europa.eu/legal-content/SK/TXT/PDF/?uri=CELEX:52021IR3911" TargetMode="External"/><Relationship Id="rId33" Type="http://schemas.openxmlformats.org/officeDocument/2006/relationships/hyperlink" Target="https://eur-lex.europa.eu/legal-content/SK/TXT/?uri=CELEX:32025R1914&amp;qid=1775501393036" TargetMode="External"/><Relationship Id="rId38" Type="http://schemas.openxmlformats.org/officeDocument/2006/relationships/hyperlink" Target="https://eur-lex.europa.eu/legal-content/SK/TXT/?uri=CELEX:32025R1914&amp;qid=1775501393036" TargetMode="External"/><Relationship Id="rId2" Type="http://schemas.openxmlformats.org/officeDocument/2006/relationships/hyperlink" Target="https://www.oecd.org/content/oecd/en/data/datasets/oecd-affordable-housing-database.html" TargetMode="External"/><Relationship Id="rId16" Type="http://schemas.openxmlformats.org/officeDocument/2006/relationships/hyperlink" Target="https://eur-lex.europa.eu/legal-content/SK/TXT/?uri=oj:JOC_2021_093_R_0001" TargetMode="External"/><Relationship Id="rId20" Type="http://schemas.openxmlformats.org/officeDocument/2006/relationships/hyperlink" Target="https://eur-lex.europa.eu/legal-content/SK/TXT/?uri=oj:JOC_2022_476_R_0001" TargetMode="External"/><Relationship Id="rId29" Type="http://schemas.openxmlformats.org/officeDocument/2006/relationships/hyperlink" Target="https://eur-lex.europa.eu/legal-content/SK/TXT/?uri=celex:52025DC1025" TargetMode="External"/><Relationship Id="rId1" Type="http://schemas.openxmlformats.org/officeDocument/2006/relationships/hyperlink" Target="https://www.oecd.org/content/oecd/en/data/datasets/oecd-affordable-housing-database.html" TargetMode="External"/><Relationship Id="rId6" Type="http://schemas.openxmlformats.org/officeDocument/2006/relationships/hyperlink" Target="https://www.oecd.org/en/publications/oecd-toolkit-to-combat-homelessness_0fec780e-en.html" TargetMode="External"/><Relationship Id="rId11" Type="http://schemas.openxmlformats.org/officeDocument/2006/relationships/hyperlink" Target="https://www.coe.int/en/web/conventions/full-list?module=treaty-detail&amp;treatynum=163" TargetMode="External"/><Relationship Id="rId24" Type="http://schemas.openxmlformats.org/officeDocument/2006/relationships/hyperlink" Target="https://eur-lex.europa.eu/legal-content/SK/TXT/?uri=CELEX%3A32017R0543&amp;qid=1765103514589" TargetMode="External"/><Relationship Id="rId32" Type="http://schemas.openxmlformats.org/officeDocument/2006/relationships/hyperlink" Target="https://www.oecd.org/en/data/datasets/oecd-affordable-housing-database.html" TargetMode="External"/><Relationship Id="rId37" Type="http://schemas.openxmlformats.org/officeDocument/2006/relationships/hyperlink" Target="https://eur-lex.europa.eu/legal-content/SK/TXT/?uri=celex:52025DC1025" TargetMode="External"/><Relationship Id="rId5" Type="http://schemas.openxmlformats.org/officeDocument/2006/relationships/hyperlink" Target="https://www.oecd.org/en/publications/oecd-toolkit-to-combat-homelessness_0fec780e-en.html" TargetMode="External"/><Relationship Id="rId15" Type="http://schemas.openxmlformats.org/officeDocument/2006/relationships/hyperlink" Target="https://eur-lex.europa.eu/eli/C/2023/1344/oj/slk" TargetMode="External"/><Relationship Id="rId23" Type="http://schemas.openxmlformats.org/officeDocument/2006/relationships/hyperlink" Target="https://www.europarl.europa.eu/doceo/document/TA-10-2026-0064_SK.html" TargetMode="External"/><Relationship Id="rId28" Type="http://schemas.openxmlformats.org/officeDocument/2006/relationships/hyperlink" Target="https://op.europa.eu/sk/publication-detail/-/publication/428fd92f-1c2f-11f1-8c3a-01aa75ed71a1" TargetMode="External"/><Relationship Id="rId36" Type="http://schemas.openxmlformats.org/officeDocument/2006/relationships/hyperlink" Target="https://eur-lex.europa.eu/legal-content/SK/TXT/?uri=celex:52025DC1025" TargetMode="External"/><Relationship Id="rId10" Type="http://schemas.openxmlformats.org/officeDocument/2006/relationships/hyperlink" Target="https://employment-social-affairs.ec.europa.eu/fight-against-homelessness-and-its-links-anti-poverty-policies-across-european-union_sk" TargetMode="External"/><Relationship Id="rId19" Type="http://schemas.openxmlformats.org/officeDocument/2006/relationships/hyperlink" Target="https://eur-lex.europa.eu/legal-content/SK/TXT/?uri=celex:52020DC0620" TargetMode="External"/><Relationship Id="rId31" Type="http://schemas.openxmlformats.org/officeDocument/2006/relationships/hyperlink" Target="https://www.oecd.org/en/data/datasets/oecd-affordable-housing-database.html" TargetMode="External"/><Relationship Id="rId4" Type="http://schemas.openxmlformats.org/officeDocument/2006/relationships/hyperlink" Target="https://eur-lex.europa.eu/legal-content/SK/TXT/?uri=CELEX%3A52021DC0345" TargetMode="External"/><Relationship Id="rId9" Type="http://schemas.openxmlformats.org/officeDocument/2006/relationships/hyperlink" Target="https://www.kuleuven.be/lucas/en/eu_homelessness_counts" TargetMode="External"/><Relationship Id="rId14" Type="http://schemas.openxmlformats.org/officeDocument/2006/relationships/hyperlink" Target="https://eur-lex.europa.eu/legal-content/SK/TXT/?uri=oj:JOC_2023_041_R_0001" TargetMode="External"/><Relationship Id="rId22" Type="http://schemas.openxmlformats.org/officeDocument/2006/relationships/hyperlink" Target="https://www.europarl.europa.eu/doceo/document/TA-9-2020-0314_SK.html" TargetMode="External"/><Relationship Id="rId27" Type="http://schemas.openxmlformats.org/officeDocument/2006/relationships/hyperlink" Target="https://eur-lex.europa.eu/legal-content/SK/TXT/?uri=CELEX%3A52023IE1741&amp;qid=1777895281331" TargetMode="External"/><Relationship Id="rId30" Type="http://schemas.openxmlformats.org/officeDocument/2006/relationships/hyperlink" Target="https://eur-lex.europa.eu/legal-content/SK/TXT/?uri=celex:52025DC1025" TargetMode="External"/><Relationship Id="rId35" Type="http://schemas.openxmlformats.org/officeDocument/2006/relationships/hyperlink" Target="https://eur-lex.europa.eu/eli/dir/2014/92/oj/sl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9961-46AF-475D-B91D-56DB9A2EE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38</TotalTime>
  <Pages>14</Pages>
  <Words>13432</Words>
  <Characters>76565</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89818</CharactersWithSpaces>
  <SharedDoc>false</SharedDoc>
  <HLinks>
    <vt:vector size="264" baseType="variant">
      <vt:variant>
        <vt:i4>1376371</vt:i4>
      </vt:variant>
      <vt:variant>
        <vt:i4>0</vt:i4>
      </vt:variant>
      <vt:variant>
        <vt:i4>0</vt:i4>
      </vt:variant>
      <vt:variant>
        <vt:i4>5</vt:i4>
      </vt:variant>
      <vt:variant>
        <vt:lpwstr>https://housing.ec.europa.eu/news/presidents-state-union-speech-addresses-housing-crisis-2025-09-10_en</vt:lpwstr>
      </vt:variant>
      <vt:variant>
        <vt:lpwstr/>
      </vt:variant>
      <vt:variant>
        <vt:i4>7929971</vt:i4>
      </vt:variant>
      <vt:variant>
        <vt:i4>93</vt:i4>
      </vt:variant>
      <vt:variant>
        <vt:i4>0</vt:i4>
      </vt:variant>
      <vt:variant>
        <vt:i4>5</vt:i4>
      </vt:variant>
      <vt:variant>
        <vt:lpwstr>https://eur-lex.europa.eu/eli/dec/2025/2630/oj/eng</vt:lpwstr>
      </vt:variant>
      <vt:variant>
        <vt:lpwstr/>
      </vt:variant>
      <vt:variant>
        <vt:i4>3342391</vt:i4>
      </vt:variant>
      <vt:variant>
        <vt:i4>90</vt:i4>
      </vt:variant>
      <vt:variant>
        <vt:i4>0</vt:i4>
      </vt:variant>
      <vt:variant>
        <vt:i4>5</vt:i4>
      </vt:variant>
      <vt:variant>
        <vt:lpwstr>https://eur-lex.europa.eu/legal-content/en/TXT/?uri=CELEX:32025R1914&amp;qid=1775501393036</vt:lpwstr>
      </vt:variant>
      <vt:variant>
        <vt:lpwstr/>
      </vt:variant>
      <vt:variant>
        <vt:i4>196625</vt:i4>
      </vt:variant>
      <vt:variant>
        <vt:i4>87</vt:i4>
      </vt:variant>
      <vt:variant>
        <vt:i4>0</vt:i4>
      </vt:variant>
      <vt:variant>
        <vt:i4>5</vt:i4>
      </vt:variant>
      <vt:variant>
        <vt:lpwstr>https://eur-lex.europa.eu/legal-content/EN/TXT/?uri=celex:52025DC1025</vt:lpwstr>
      </vt:variant>
      <vt:variant>
        <vt:lpwstr/>
      </vt:variant>
      <vt:variant>
        <vt:i4>4980821</vt:i4>
      </vt:variant>
      <vt:variant>
        <vt:i4>81</vt:i4>
      </vt:variant>
      <vt:variant>
        <vt:i4>0</vt:i4>
      </vt:variant>
      <vt:variant>
        <vt:i4>5</vt:i4>
      </vt:variant>
      <vt:variant>
        <vt:lpwstr>https://eur-lex.europa.eu/eli/dir/2014/92/oj/eng</vt:lpwstr>
      </vt:variant>
      <vt:variant>
        <vt:lpwstr/>
      </vt:variant>
      <vt:variant>
        <vt:i4>4194312</vt:i4>
      </vt:variant>
      <vt:variant>
        <vt:i4>78</vt:i4>
      </vt:variant>
      <vt:variant>
        <vt:i4>0</vt:i4>
      </vt:variant>
      <vt:variant>
        <vt:i4>5</vt:i4>
      </vt:variant>
      <vt:variant>
        <vt:lpwstr>https://eur-lex.europa.eu/legal-content/EN/TXT/?uri=CELEX%3A32017R0543&amp;qid=1765103514589</vt:lpwstr>
      </vt:variant>
      <vt:variant>
        <vt:lpwstr/>
      </vt:variant>
      <vt:variant>
        <vt:i4>3342391</vt:i4>
      </vt:variant>
      <vt:variant>
        <vt:i4>75</vt:i4>
      </vt:variant>
      <vt:variant>
        <vt:i4>0</vt:i4>
      </vt:variant>
      <vt:variant>
        <vt:i4>5</vt:i4>
      </vt:variant>
      <vt:variant>
        <vt:lpwstr>https://eur-lex.europa.eu/legal-content/en/TXT/?uri=CELEX:32025R1914&amp;qid=1775501393036</vt:lpwstr>
      </vt:variant>
      <vt:variant>
        <vt:lpwstr/>
      </vt:variant>
      <vt:variant>
        <vt:i4>3735675</vt:i4>
      </vt:variant>
      <vt:variant>
        <vt:i4>72</vt:i4>
      </vt:variant>
      <vt:variant>
        <vt:i4>0</vt:i4>
      </vt:variant>
      <vt:variant>
        <vt:i4>5</vt:i4>
      </vt:variant>
      <vt:variant>
        <vt:lpwstr>https://www.oecd.org/en/data/datasets/oecd-affordable-housing-database.html</vt:lpwstr>
      </vt:variant>
      <vt:variant>
        <vt:lpwstr/>
      </vt:variant>
      <vt:variant>
        <vt:i4>196625</vt:i4>
      </vt:variant>
      <vt:variant>
        <vt:i4>69</vt:i4>
      </vt:variant>
      <vt:variant>
        <vt:i4>0</vt:i4>
      </vt:variant>
      <vt:variant>
        <vt:i4>5</vt:i4>
      </vt:variant>
      <vt:variant>
        <vt:lpwstr>https://eur-lex.europa.eu/legal-content/EN/TXT/?uri=celex:52025DC1025</vt:lpwstr>
      </vt:variant>
      <vt:variant>
        <vt:lpwstr/>
      </vt:variant>
      <vt:variant>
        <vt:i4>1310795</vt:i4>
      </vt:variant>
      <vt:variant>
        <vt:i4>66</vt:i4>
      </vt:variant>
      <vt:variant>
        <vt:i4>0</vt:i4>
      </vt:variant>
      <vt:variant>
        <vt:i4>5</vt:i4>
      </vt:variant>
      <vt:variant>
        <vt:lpwstr>https://op.europa.eu/en/publication-detail/-/publication/428fd92f-1c2f-11f1-8c3a-01aa75ed71a1/language-en</vt:lpwstr>
      </vt:variant>
      <vt:variant>
        <vt:lpwstr/>
      </vt:variant>
      <vt:variant>
        <vt:i4>851969</vt:i4>
      </vt:variant>
      <vt:variant>
        <vt:i4>63</vt:i4>
      </vt:variant>
      <vt:variant>
        <vt:i4>0</vt:i4>
      </vt:variant>
      <vt:variant>
        <vt:i4>5</vt:i4>
      </vt:variant>
      <vt:variant>
        <vt:lpwstr>https://eur-lex.europa.eu/legal-content/EN/TXT/?uri=CELEX%3A52023IE1741&amp;qid=1777895281331</vt:lpwstr>
      </vt:variant>
      <vt:variant>
        <vt:lpwstr/>
      </vt:variant>
      <vt:variant>
        <vt:i4>1638470</vt:i4>
      </vt:variant>
      <vt:variant>
        <vt:i4>60</vt:i4>
      </vt:variant>
      <vt:variant>
        <vt:i4>0</vt:i4>
      </vt:variant>
      <vt:variant>
        <vt:i4>5</vt:i4>
      </vt:variant>
      <vt:variant>
        <vt:lpwstr>https://eur-lex.europa.eu/legal-content/EN/TXT/PDF/?uri=CELEX:52021IR3911</vt:lpwstr>
      </vt:variant>
      <vt:variant>
        <vt:lpwstr/>
      </vt:variant>
      <vt:variant>
        <vt:i4>4194312</vt:i4>
      </vt:variant>
      <vt:variant>
        <vt:i4>57</vt:i4>
      </vt:variant>
      <vt:variant>
        <vt:i4>0</vt:i4>
      </vt:variant>
      <vt:variant>
        <vt:i4>5</vt:i4>
      </vt:variant>
      <vt:variant>
        <vt:lpwstr>https://eur-lex.europa.eu/legal-content/EN/TXT/?uri=CELEX%3A32017R0543&amp;qid=1765103514589</vt:lpwstr>
      </vt:variant>
      <vt:variant>
        <vt:lpwstr/>
      </vt:variant>
      <vt:variant>
        <vt:i4>6881307</vt:i4>
      </vt:variant>
      <vt:variant>
        <vt:i4>54</vt:i4>
      </vt:variant>
      <vt:variant>
        <vt:i4>0</vt:i4>
      </vt:variant>
      <vt:variant>
        <vt:i4>5</vt:i4>
      </vt:variant>
      <vt:variant>
        <vt:lpwstr>https://www.europarl.europa.eu/doceo/document/TA-10-2026-0064_EN.html</vt:lpwstr>
      </vt:variant>
      <vt:variant>
        <vt:lpwstr/>
      </vt:variant>
      <vt:variant>
        <vt:i4>7077947</vt:i4>
      </vt:variant>
      <vt:variant>
        <vt:i4>51</vt:i4>
      </vt:variant>
      <vt:variant>
        <vt:i4>0</vt:i4>
      </vt:variant>
      <vt:variant>
        <vt:i4>5</vt:i4>
      </vt:variant>
      <vt:variant>
        <vt:lpwstr>https://www.europarl.europa.eu/doceo/document/TA-9-2020-0314_EN.html?utm_source=chatgpt.com</vt:lpwstr>
      </vt:variant>
      <vt:variant>
        <vt:lpwstr/>
      </vt:variant>
      <vt:variant>
        <vt:i4>4980821</vt:i4>
      </vt:variant>
      <vt:variant>
        <vt:i4>48</vt:i4>
      </vt:variant>
      <vt:variant>
        <vt:i4>0</vt:i4>
      </vt:variant>
      <vt:variant>
        <vt:i4>5</vt:i4>
      </vt:variant>
      <vt:variant>
        <vt:lpwstr>https://eur-lex.europa.eu/eli/dir/2014/92/oj/eng</vt:lpwstr>
      </vt:variant>
      <vt:variant>
        <vt:lpwstr/>
      </vt:variant>
      <vt:variant>
        <vt:i4>5505042</vt:i4>
      </vt:variant>
      <vt:variant>
        <vt:i4>45</vt:i4>
      </vt:variant>
      <vt:variant>
        <vt:i4>0</vt:i4>
      </vt:variant>
      <vt:variant>
        <vt:i4>5</vt:i4>
      </vt:variant>
      <vt:variant>
        <vt:lpwstr>https://eur-lex.europa.eu/legal-content/EN/TXT/?uri=oj:JOC_2022_476_R_0001</vt:lpwstr>
      </vt:variant>
      <vt:variant>
        <vt:lpwstr/>
      </vt:variant>
      <vt:variant>
        <vt:i4>131090</vt:i4>
      </vt:variant>
      <vt:variant>
        <vt:i4>42</vt:i4>
      </vt:variant>
      <vt:variant>
        <vt:i4>0</vt:i4>
      </vt:variant>
      <vt:variant>
        <vt:i4>5</vt:i4>
      </vt:variant>
      <vt:variant>
        <vt:lpwstr>https://eur-lex.europa.eu/legal-content/EN/TXT/?uri=celex:52020DC0620</vt:lpwstr>
      </vt:variant>
      <vt:variant>
        <vt:lpwstr/>
      </vt:variant>
      <vt:variant>
        <vt:i4>5898256</vt:i4>
      </vt:variant>
      <vt:variant>
        <vt:i4>39</vt:i4>
      </vt:variant>
      <vt:variant>
        <vt:i4>0</vt:i4>
      </vt:variant>
      <vt:variant>
        <vt:i4>5</vt:i4>
      </vt:variant>
      <vt:variant>
        <vt:lpwstr>https://eur-lex.europa.eu/legal-content/EN/TXT/?uri=oj:JOC_2021_093_R_0001</vt:lpwstr>
      </vt:variant>
      <vt:variant>
        <vt:lpwstr/>
      </vt:variant>
      <vt:variant>
        <vt:i4>1966102</vt:i4>
      </vt:variant>
      <vt:variant>
        <vt:i4>36</vt:i4>
      </vt:variant>
      <vt:variant>
        <vt:i4>0</vt:i4>
      </vt:variant>
      <vt:variant>
        <vt:i4>5</vt:i4>
      </vt:variant>
      <vt:variant>
        <vt:lpwstr>https://eur-lex.europa.eu/eli/C/2023/1344/oj/eng</vt:lpwstr>
      </vt:variant>
      <vt:variant>
        <vt:lpwstr/>
      </vt:variant>
      <vt:variant>
        <vt:i4>5701648</vt:i4>
      </vt:variant>
      <vt:variant>
        <vt:i4>33</vt:i4>
      </vt:variant>
      <vt:variant>
        <vt:i4>0</vt:i4>
      </vt:variant>
      <vt:variant>
        <vt:i4>5</vt:i4>
      </vt:variant>
      <vt:variant>
        <vt:lpwstr>https://eur-lex.europa.eu/legal-content/EN/TXT/?uri=oj:JOC_2023_041_R_0001</vt:lpwstr>
      </vt:variant>
      <vt:variant>
        <vt:lpwstr/>
      </vt:variant>
      <vt:variant>
        <vt:i4>8323181</vt:i4>
      </vt:variant>
      <vt:variant>
        <vt:i4>27</vt:i4>
      </vt:variant>
      <vt:variant>
        <vt:i4>0</vt:i4>
      </vt:variant>
      <vt:variant>
        <vt:i4>5</vt:i4>
      </vt:variant>
      <vt:variant>
        <vt:lpwstr>https://eur-lex.europa.eu/eli/reco/2021/1004/oj/eng</vt:lpwstr>
      </vt:variant>
      <vt:variant>
        <vt:lpwstr/>
      </vt:variant>
      <vt:variant>
        <vt:i4>5898265</vt:i4>
      </vt:variant>
      <vt:variant>
        <vt:i4>21</vt:i4>
      </vt:variant>
      <vt:variant>
        <vt:i4>0</vt:i4>
      </vt:variant>
      <vt:variant>
        <vt:i4>5</vt:i4>
      </vt:variant>
      <vt:variant>
        <vt:lpwstr>https://eur-lex.europa.eu/legal-content/EN/TXT/?uri=oj:JOC_2017_428_R_0009</vt:lpwstr>
      </vt:variant>
      <vt:variant>
        <vt:lpwstr/>
      </vt:variant>
      <vt:variant>
        <vt:i4>7340085</vt:i4>
      </vt:variant>
      <vt:variant>
        <vt:i4>18</vt:i4>
      </vt:variant>
      <vt:variant>
        <vt:i4>0</vt:i4>
      </vt:variant>
      <vt:variant>
        <vt:i4>5</vt:i4>
      </vt:variant>
      <vt:variant>
        <vt:lpwstr>https://www.coe.int/en/web/conventions/full-list?module=treaty-detail&amp;treatynum=163</vt:lpwstr>
      </vt:variant>
      <vt:variant>
        <vt:lpwstr/>
      </vt:variant>
      <vt:variant>
        <vt:i4>4390961</vt:i4>
      </vt:variant>
      <vt:variant>
        <vt:i4>15</vt:i4>
      </vt:variant>
      <vt:variant>
        <vt:i4>0</vt:i4>
      </vt:variant>
      <vt:variant>
        <vt:i4>5</vt:i4>
      </vt:variant>
      <vt:variant>
        <vt:lpwstr>https://employment-social-affairs.ec.europa.eu/fight-against-     homelessness-and-its-links-anti-poverty-policies-across-european-union_en</vt:lpwstr>
      </vt:variant>
      <vt:variant>
        <vt:lpwstr>description</vt:lpwstr>
      </vt:variant>
      <vt:variant>
        <vt:i4>655366</vt:i4>
      </vt:variant>
      <vt:variant>
        <vt:i4>12</vt:i4>
      </vt:variant>
      <vt:variant>
        <vt:i4>0</vt:i4>
      </vt:variant>
      <vt:variant>
        <vt:i4>5</vt:i4>
      </vt:variant>
      <vt:variant>
        <vt:lpwstr>https://www.kuleuven.be/lucas/en/eu_homelessness_counts</vt:lpwstr>
      </vt:variant>
      <vt:variant>
        <vt:lpwstr/>
      </vt:variant>
      <vt:variant>
        <vt:i4>7208973</vt:i4>
      </vt:variant>
      <vt:variant>
        <vt:i4>9</vt:i4>
      </vt:variant>
      <vt:variant>
        <vt:i4>0</vt:i4>
      </vt:variant>
      <vt:variant>
        <vt:i4>5</vt:i4>
      </vt:variant>
      <vt:variant>
        <vt:lpwstr>https://www.oecd.org/en/publications/oecd-monitoring-framework-to-measure-homelessness_3e98455b-en.html</vt:lpwstr>
      </vt:variant>
      <vt:variant>
        <vt:lpwstr/>
      </vt:variant>
      <vt:variant>
        <vt:i4>4980857</vt:i4>
      </vt:variant>
      <vt:variant>
        <vt:i4>6</vt:i4>
      </vt:variant>
      <vt:variant>
        <vt:i4>0</vt:i4>
      </vt:variant>
      <vt:variant>
        <vt:i4>5</vt:i4>
      </vt:variant>
      <vt:variant>
        <vt:lpwstr>https://www.oecd.org/en/publications/oecd-toolkit-to-combat-homelessness_0fec780e-en.html</vt:lpwstr>
      </vt:variant>
      <vt:variant>
        <vt:lpwstr/>
      </vt:variant>
      <vt:variant>
        <vt:i4>589846</vt:i4>
      </vt:variant>
      <vt:variant>
        <vt:i4>3</vt:i4>
      </vt:variant>
      <vt:variant>
        <vt:i4>0</vt:i4>
      </vt:variant>
      <vt:variant>
        <vt:i4>5</vt:i4>
      </vt:variant>
      <vt:variant>
        <vt:lpwstr>https://ec.europa.eu/eurostat/statistics-explained/SEPDF/cache/132338.pdf</vt:lpwstr>
      </vt:variant>
      <vt:variant>
        <vt:lpwstr/>
      </vt:variant>
      <vt:variant>
        <vt:i4>5636124</vt:i4>
      </vt:variant>
      <vt:variant>
        <vt:i4>0</vt:i4>
      </vt:variant>
      <vt:variant>
        <vt:i4>0</vt:i4>
      </vt:variant>
      <vt:variant>
        <vt:i4>5</vt:i4>
      </vt:variant>
      <vt:variant>
        <vt:lpwstr>https://www.oecd.org/content/oecd/en/data/datasets/oecd-affordable-housing-database.html</vt:lpwstr>
      </vt:variant>
      <vt:variant>
        <vt:lpwstr/>
      </vt:variant>
      <vt:variant>
        <vt:i4>2752526</vt:i4>
      </vt:variant>
      <vt:variant>
        <vt:i4>39</vt:i4>
      </vt:variant>
      <vt:variant>
        <vt:i4>0</vt:i4>
      </vt:variant>
      <vt:variant>
        <vt:i4>5</vt:i4>
      </vt:variant>
      <vt:variant>
        <vt:lpwstr>mailto:Aristotelis.ALVANOS@ec.europa.eu</vt:lpwstr>
      </vt:variant>
      <vt:variant>
        <vt:lpwstr/>
      </vt:variant>
      <vt:variant>
        <vt:i4>917566</vt:i4>
      </vt:variant>
      <vt:variant>
        <vt:i4>36</vt:i4>
      </vt:variant>
      <vt:variant>
        <vt:i4>0</vt:i4>
      </vt:variant>
      <vt:variant>
        <vt:i4>5</vt:i4>
      </vt:variant>
      <vt:variant>
        <vt:lpwstr>mailto:Michele.CALANDRINO@ec.europa.eu</vt:lpwstr>
      </vt:variant>
      <vt:variant>
        <vt:lpwstr/>
      </vt:variant>
      <vt:variant>
        <vt:i4>2752526</vt:i4>
      </vt:variant>
      <vt:variant>
        <vt:i4>33</vt:i4>
      </vt:variant>
      <vt:variant>
        <vt:i4>0</vt:i4>
      </vt:variant>
      <vt:variant>
        <vt:i4>5</vt:i4>
      </vt:variant>
      <vt:variant>
        <vt:lpwstr>mailto:Aristotelis.ALVANOS@ec.europa.eu</vt:lpwstr>
      </vt:variant>
      <vt:variant>
        <vt:lpwstr/>
      </vt:variant>
      <vt:variant>
        <vt:i4>2752526</vt:i4>
      </vt:variant>
      <vt:variant>
        <vt:i4>30</vt:i4>
      </vt:variant>
      <vt:variant>
        <vt:i4>0</vt:i4>
      </vt:variant>
      <vt:variant>
        <vt:i4>5</vt:i4>
      </vt:variant>
      <vt:variant>
        <vt:lpwstr>mailto:Aristotelis.ALVANOS@ec.europa.eu</vt:lpwstr>
      </vt:variant>
      <vt:variant>
        <vt:lpwstr/>
      </vt:variant>
      <vt:variant>
        <vt:i4>917566</vt:i4>
      </vt:variant>
      <vt:variant>
        <vt:i4>27</vt:i4>
      </vt:variant>
      <vt:variant>
        <vt:i4>0</vt:i4>
      </vt:variant>
      <vt:variant>
        <vt:i4>5</vt:i4>
      </vt:variant>
      <vt:variant>
        <vt:lpwstr>mailto:Michele.CALANDRINO@ec.europa.eu</vt:lpwstr>
      </vt:variant>
      <vt:variant>
        <vt:lpwstr/>
      </vt:variant>
      <vt:variant>
        <vt:i4>2752526</vt:i4>
      </vt:variant>
      <vt:variant>
        <vt:i4>24</vt:i4>
      </vt:variant>
      <vt:variant>
        <vt:i4>0</vt:i4>
      </vt:variant>
      <vt:variant>
        <vt:i4>5</vt:i4>
      </vt:variant>
      <vt:variant>
        <vt:lpwstr>mailto:Aristotelis.ALVANOS@ec.europa.eu</vt:lpwstr>
      </vt:variant>
      <vt:variant>
        <vt:lpwstr/>
      </vt:variant>
      <vt:variant>
        <vt:i4>2752526</vt:i4>
      </vt:variant>
      <vt:variant>
        <vt:i4>21</vt:i4>
      </vt:variant>
      <vt:variant>
        <vt:i4>0</vt:i4>
      </vt:variant>
      <vt:variant>
        <vt:i4>5</vt:i4>
      </vt:variant>
      <vt:variant>
        <vt:lpwstr>mailto:Aristotelis.ALVANOS@ec.europa.eu</vt:lpwstr>
      </vt:variant>
      <vt:variant>
        <vt:lpwstr/>
      </vt:variant>
      <vt:variant>
        <vt:i4>917566</vt:i4>
      </vt:variant>
      <vt:variant>
        <vt:i4>18</vt:i4>
      </vt:variant>
      <vt:variant>
        <vt:i4>0</vt:i4>
      </vt:variant>
      <vt:variant>
        <vt:i4>5</vt:i4>
      </vt:variant>
      <vt:variant>
        <vt:lpwstr>mailto:Michele.CALANDRINO@ec.europa.eu</vt:lpwstr>
      </vt:variant>
      <vt:variant>
        <vt:lpwstr/>
      </vt:variant>
      <vt:variant>
        <vt:i4>917566</vt:i4>
      </vt:variant>
      <vt:variant>
        <vt:i4>15</vt:i4>
      </vt:variant>
      <vt:variant>
        <vt:i4>0</vt:i4>
      </vt:variant>
      <vt:variant>
        <vt:i4>5</vt:i4>
      </vt:variant>
      <vt:variant>
        <vt:lpwstr>mailto:Michele.CALANDRINO@ec.europa.eu</vt:lpwstr>
      </vt:variant>
      <vt:variant>
        <vt:lpwstr/>
      </vt:variant>
      <vt:variant>
        <vt:i4>917566</vt:i4>
      </vt:variant>
      <vt:variant>
        <vt:i4>12</vt:i4>
      </vt:variant>
      <vt:variant>
        <vt:i4>0</vt:i4>
      </vt:variant>
      <vt:variant>
        <vt:i4>5</vt:i4>
      </vt:variant>
      <vt:variant>
        <vt:lpwstr>mailto:Michele.CALANDRINO@ec.europa.eu</vt:lpwstr>
      </vt:variant>
      <vt:variant>
        <vt:lpwstr/>
      </vt:variant>
      <vt:variant>
        <vt:i4>1703985</vt:i4>
      </vt:variant>
      <vt:variant>
        <vt:i4>9</vt:i4>
      </vt:variant>
      <vt:variant>
        <vt:i4>0</vt:i4>
      </vt:variant>
      <vt:variant>
        <vt:i4>5</vt:i4>
      </vt:variant>
      <vt:variant>
        <vt:lpwstr>mailto:Triinu.VOLMER@ec.europa.eu</vt:lpwstr>
      </vt:variant>
      <vt:variant>
        <vt:lpwstr/>
      </vt:variant>
      <vt:variant>
        <vt:i4>917566</vt:i4>
      </vt:variant>
      <vt:variant>
        <vt:i4>6</vt:i4>
      </vt:variant>
      <vt:variant>
        <vt:i4>0</vt:i4>
      </vt:variant>
      <vt:variant>
        <vt:i4>5</vt:i4>
      </vt:variant>
      <vt:variant>
        <vt:lpwstr>mailto:Michele.CALANDRINO@ec.europa.eu</vt:lpwstr>
      </vt:variant>
      <vt:variant>
        <vt:lpwstr/>
      </vt:variant>
      <vt:variant>
        <vt:i4>1703985</vt:i4>
      </vt:variant>
      <vt:variant>
        <vt:i4>3</vt:i4>
      </vt:variant>
      <vt:variant>
        <vt:i4>0</vt:i4>
      </vt:variant>
      <vt:variant>
        <vt:i4>5</vt:i4>
      </vt:variant>
      <vt:variant>
        <vt:lpwstr>mailto:Triinu.VOLMER@ec.europa.eu</vt:lpwstr>
      </vt:variant>
      <vt:variant>
        <vt:lpwstr/>
      </vt:variant>
      <vt:variant>
        <vt:i4>1703985</vt:i4>
      </vt:variant>
      <vt:variant>
        <vt:i4>0</vt:i4>
      </vt:variant>
      <vt:variant>
        <vt:i4>0</vt:i4>
      </vt:variant>
      <vt:variant>
        <vt:i4>5</vt:i4>
      </vt:variant>
      <vt:variant>
        <vt:lpwstr>mailto:Triinu.VOLMER@ec.europa.eu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29</cp:revision>
  <dcterms:created xsi:type="dcterms:W3CDTF">2026-05-06T07:41:00Z</dcterms:created>
  <dcterms:modified xsi:type="dcterms:W3CDTF">2026-06-03T14:16:00Z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2026-05-05T15:01:01Z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80781b79-a9ed-4b08-9937-6e5d34ee5c91</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Category">
    <vt:lpwstr>COM/PL/ORG</vt:lpwstr>
  </property>
  <property fmtid="{D5CDD505-2E9C-101B-9397-08002B2CF9AE}" pid="12" name="Last edited using">
    <vt:lpwstr>LW 9.2, Build 20250828</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SJ-022</vt:lpwstr>
  </property>
  <property fmtid="{D5CDD505-2E9C-101B-9397-08002B2CF9AE}" pid="16" name="DQCStatus">
    <vt:lpwstr>Green (DQC version 03)</vt:lpwstr>
  </property>
  <property name="OP_sanitized" fmtid="{D5CDD505-2E9C-101B-9397-08002B2CF9AE}" pid="17">
    <vt:lpwstr>True</vt:lpwstr>
  </property>
</Properties>
</file>