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AB8C8" w14:textId="767A76AA" w:rsidR="001D582E" w:rsidRPr="006F691B" w:rsidRDefault="003E7A7D" w:rsidP="003E7A7D">
      <w:pPr>
        <w:pStyle w:val="Pagedecouverture"/>
        <w:rPr>
          <w:noProof/>
        </w:rPr>
      </w:pPr>
      <w:r>
        <w:rPr>
          <w:noProof/>
        </w:rPr>
        <w:pict w14:anchorId="7548A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24C99B61-48D9-4428-AFD8-36D291D918F1" style="width:455.25pt;height:355.5pt">
            <v:imagedata r:id="rId7" o:title=""/>
          </v:shape>
        </w:pict>
      </w:r>
    </w:p>
    <w:p w14:paraId="62CF9464" w14:textId="77777777" w:rsidR="001D582E" w:rsidRPr="006F691B" w:rsidRDefault="001D582E" w:rsidP="001D582E">
      <w:pPr>
        <w:rPr>
          <w:noProof/>
        </w:rPr>
        <w:sectPr w:rsidR="001D582E" w:rsidRPr="006F691B" w:rsidSect="003E7A7D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CE678FF" w14:textId="77777777" w:rsidR="000A1D6C" w:rsidRPr="006F691B" w:rsidRDefault="000A1D6C" w:rsidP="000A1D6C">
      <w:pPr>
        <w:pStyle w:val="Exposdesmotifstitre"/>
        <w:rPr>
          <w:noProof/>
        </w:rPr>
      </w:pPr>
      <w:bookmarkStart w:id="0" w:name="_GoBack"/>
      <w:bookmarkEnd w:id="0"/>
    </w:p>
    <w:p w14:paraId="30BCD788" w14:textId="77777777" w:rsidR="000A1D6C" w:rsidRPr="006F691B" w:rsidRDefault="000A1D6C" w:rsidP="000A1D6C">
      <w:pPr>
        <w:rPr>
          <w:noProof/>
        </w:rPr>
      </w:pPr>
    </w:p>
    <w:p w14:paraId="27661A10" w14:textId="79ABF48B" w:rsidR="007E509C" w:rsidRPr="006F691B" w:rsidRDefault="006F691B" w:rsidP="006F691B">
      <w:pPr>
        <w:pStyle w:val="Rfrenceinterinstitutionnelle"/>
        <w:rPr>
          <w:noProof/>
        </w:rPr>
      </w:pPr>
      <w:r>
        <w:rPr>
          <w:noProof/>
        </w:rPr>
        <w:t>2024/0171 (NLE)</w:t>
      </w:r>
    </w:p>
    <w:p w14:paraId="0B8B30E4" w14:textId="036678E6" w:rsidR="001D582E" w:rsidRPr="006F691B" w:rsidRDefault="006F691B" w:rsidP="006F691B">
      <w:pPr>
        <w:pStyle w:val="Statut"/>
        <w:rPr>
          <w:noProof/>
        </w:rPr>
      </w:pPr>
      <w:r w:rsidRPr="006F691B">
        <w:rPr>
          <w:noProof/>
        </w:rPr>
        <w:t>Návrh</w:t>
      </w:r>
    </w:p>
    <w:p w14:paraId="75DF51D3" w14:textId="55513F12" w:rsidR="001D582E" w:rsidRPr="006F691B" w:rsidRDefault="006F691B" w:rsidP="006F691B">
      <w:pPr>
        <w:pStyle w:val="Typedudocument"/>
        <w:rPr>
          <w:noProof/>
        </w:rPr>
      </w:pPr>
      <w:r w:rsidRPr="006F691B">
        <w:rPr>
          <w:noProof/>
        </w:rPr>
        <w:t>ROZHODNUTIE RADY</w:t>
      </w:r>
    </w:p>
    <w:p w14:paraId="1352F1EF" w14:textId="342D0944" w:rsidR="001D582E" w:rsidRPr="006F691B" w:rsidRDefault="006F691B" w:rsidP="006F691B">
      <w:pPr>
        <w:pStyle w:val="Titreobjet"/>
        <w:rPr>
          <w:noProof/>
        </w:rPr>
      </w:pPr>
      <w:r w:rsidRPr="006F691B">
        <w:rPr>
          <w:noProof/>
        </w:rPr>
        <w:t xml:space="preserve">o existencii nadmerného deficitu v Maďarsku </w:t>
      </w:r>
      <w:r w:rsidRPr="006F691B">
        <w:rPr>
          <w:noProof/>
        </w:rPr>
        <w:br/>
      </w:r>
    </w:p>
    <w:p w14:paraId="70180F0D" w14:textId="77777777" w:rsidR="001D582E" w:rsidRPr="006F691B" w:rsidRDefault="001D582E" w:rsidP="00197315">
      <w:pPr>
        <w:pStyle w:val="Institutionquiagit"/>
        <w:rPr>
          <w:noProof/>
        </w:rPr>
      </w:pPr>
      <w:r w:rsidRPr="006F691B">
        <w:rPr>
          <w:noProof/>
        </w:rPr>
        <w:t>RADA EURÓPSKEJ ÚNIE,</w:t>
      </w:r>
    </w:p>
    <w:p w14:paraId="66064C86" w14:textId="5380B8E8" w:rsidR="001D582E" w:rsidRPr="006F691B" w:rsidRDefault="001D582E" w:rsidP="00197315">
      <w:pPr>
        <w:rPr>
          <w:noProof/>
        </w:rPr>
      </w:pPr>
      <w:r w:rsidRPr="006F691B">
        <w:rPr>
          <w:noProof/>
        </w:rPr>
        <w:t>so zreteľom na Zmluvu</w:t>
      </w:r>
      <w:r w:rsidR="006F691B">
        <w:rPr>
          <w:noProof/>
        </w:rPr>
        <w:t xml:space="preserve"> o </w:t>
      </w:r>
      <w:r w:rsidRPr="006F691B">
        <w:rPr>
          <w:noProof/>
        </w:rPr>
        <w:t>fungovaní Európskej únie,</w:t>
      </w:r>
      <w:r w:rsidR="006F691B">
        <w:rPr>
          <w:noProof/>
        </w:rPr>
        <w:t xml:space="preserve"> a </w:t>
      </w:r>
      <w:r w:rsidRPr="006F691B">
        <w:rPr>
          <w:noProof/>
        </w:rPr>
        <w:t>najmä na jej článok 126 ods. 6,</w:t>
      </w:r>
    </w:p>
    <w:p w14:paraId="1AB2929D" w14:textId="36E09191" w:rsidR="001D582E" w:rsidRPr="006F691B" w:rsidRDefault="001D582E" w:rsidP="00197315">
      <w:pPr>
        <w:rPr>
          <w:noProof/>
        </w:rPr>
      </w:pPr>
      <w:r w:rsidRPr="006F691B">
        <w:rPr>
          <w:noProof/>
        </w:rPr>
        <w:t>so zreteľom na návrh Európskej komisie,</w:t>
      </w:r>
    </w:p>
    <w:p w14:paraId="18CDC422" w14:textId="3B563E13" w:rsidR="001D582E" w:rsidRPr="006F691B" w:rsidRDefault="001D582E" w:rsidP="00197315">
      <w:pPr>
        <w:rPr>
          <w:noProof/>
        </w:rPr>
      </w:pPr>
      <w:r w:rsidRPr="006F691B">
        <w:rPr>
          <w:noProof/>
        </w:rPr>
        <w:t>so zreteľom na pripomienky Maďarska,</w:t>
      </w:r>
    </w:p>
    <w:p w14:paraId="37A8AFEB" w14:textId="77777777" w:rsidR="001D582E" w:rsidRPr="006F691B" w:rsidRDefault="001D582E" w:rsidP="00197315">
      <w:pPr>
        <w:rPr>
          <w:noProof/>
        </w:rPr>
      </w:pPr>
      <w:r w:rsidRPr="006F691B">
        <w:rPr>
          <w:noProof/>
        </w:rPr>
        <w:t>keďže:</w:t>
      </w:r>
    </w:p>
    <w:p w14:paraId="64628585" w14:textId="4D446E0C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Podľa článku 126 ZFEÚ sa členské štáty musia vyhýbať nadmernému deficitu verejných financií.</w:t>
      </w:r>
    </w:p>
    <w:p w14:paraId="32A9236C" w14:textId="43E4B5B9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Cieľom Paktu stability</w:t>
      </w:r>
      <w:r w:rsidR="006F691B">
        <w:rPr>
          <w:noProof/>
        </w:rPr>
        <w:t xml:space="preserve"> a </w:t>
      </w:r>
      <w:r w:rsidRPr="006F691B">
        <w:rPr>
          <w:noProof/>
        </w:rPr>
        <w:t>rastu (PSR) sú zdravé verejné financie ako prostriedok posilňovania podmienok pre cenovú stabilitu</w:t>
      </w:r>
      <w:r w:rsidR="006F691B">
        <w:rPr>
          <w:noProof/>
        </w:rPr>
        <w:t xml:space="preserve"> a </w:t>
      </w:r>
      <w:r w:rsidRPr="006F691B">
        <w:rPr>
          <w:noProof/>
        </w:rPr>
        <w:t>pevný, udržateľný</w:t>
      </w:r>
      <w:r w:rsidR="006F691B">
        <w:rPr>
          <w:noProof/>
        </w:rPr>
        <w:t xml:space="preserve"> a </w:t>
      </w:r>
      <w:r w:rsidRPr="006F691B">
        <w:rPr>
          <w:noProof/>
        </w:rPr>
        <w:t>inkluzívny rast podporený finančnou stabilitou, čím sa podporí dosahovanie cieľov Únie</w:t>
      </w:r>
      <w:r w:rsidR="006F691B">
        <w:rPr>
          <w:noProof/>
        </w:rPr>
        <w:t xml:space="preserve"> v </w:t>
      </w:r>
      <w:r w:rsidRPr="006F691B">
        <w:rPr>
          <w:noProof/>
        </w:rPr>
        <w:t>oblasti udržateľného rastu</w:t>
      </w:r>
      <w:r w:rsidR="006F691B">
        <w:rPr>
          <w:noProof/>
        </w:rPr>
        <w:t xml:space="preserve"> a </w:t>
      </w:r>
      <w:r w:rsidRPr="006F691B">
        <w:rPr>
          <w:noProof/>
        </w:rPr>
        <w:t>zamestnanosti.</w:t>
      </w:r>
    </w:p>
    <w:p w14:paraId="12AFB5EC" w14:textId="43BAD36A" w:rsidR="006F691B" w:rsidRPr="006F691B" w:rsidRDefault="003A4E88" w:rsidP="003A4E88">
      <w:pPr>
        <w:pStyle w:val="Recital"/>
        <w:rPr>
          <w:noProof/>
          <w:spacing w:val="-4"/>
        </w:rPr>
      </w:pPr>
      <w:r w:rsidRPr="006F691B">
        <w:rPr>
          <w:noProof/>
          <w:spacing w:val="-4"/>
        </w:rPr>
        <w:t>V postupe pri nadmernom deficite (EDP) podľa článku 126 ZFEÚ, bližšie stanovenom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 xml:space="preserve">nariadení Rady (ES) </w:t>
      </w:r>
      <w:r w:rsidR="006F691B" w:rsidRPr="006F691B">
        <w:rPr>
          <w:noProof/>
          <w:spacing w:val="-4"/>
        </w:rPr>
        <w:t>č. </w:t>
      </w:r>
      <w:r w:rsidRPr="006F691B">
        <w:rPr>
          <w:noProof/>
          <w:spacing w:val="-4"/>
        </w:rPr>
        <w:t>1467/97</w:t>
      </w:r>
      <w:r w:rsidR="006F691B" w:rsidRPr="006F691B">
        <w:rPr>
          <w:noProof/>
          <w:spacing w:val="-4"/>
        </w:rPr>
        <w:t xml:space="preserve"> o </w:t>
      </w:r>
      <w:r w:rsidRPr="006F691B">
        <w:rPr>
          <w:noProof/>
          <w:spacing w:val="-4"/>
        </w:rPr>
        <w:t>urýchľovaní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objasňovaní vykonania postupu pri nadmernom schodku(</w:t>
      </w:r>
      <w:r w:rsidRPr="006F691B">
        <w:rPr>
          <w:rStyle w:val="FootnoteReference"/>
          <w:noProof/>
          <w:spacing w:val="-4"/>
        </w:rPr>
        <w:footnoteReference w:id="1"/>
      </w:r>
      <w:r w:rsidRPr="006F691B">
        <w:rPr>
          <w:noProof/>
          <w:spacing w:val="-4"/>
        </w:rPr>
        <w:t>) (ktorý je súčasťou Paktu stability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rastu), je stanovené rozhodovanie</w:t>
      </w:r>
      <w:r w:rsidR="006F691B" w:rsidRPr="006F691B">
        <w:rPr>
          <w:noProof/>
          <w:spacing w:val="-4"/>
        </w:rPr>
        <w:t xml:space="preserve"> o </w:t>
      </w:r>
      <w:r w:rsidRPr="006F691B">
        <w:rPr>
          <w:noProof/>
          <w:spacing w:val="-4"/>
        </w:rPr>
        <w:t>existencii nadmerného deficitu.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 xml:space="preserve">protokole </w:t>
      </w:r>
      <w:r w:rsidR="006F691B" w:rsidRPr="006F691B">
        <w:rPr>
          <w:noProof/>
          <w:spacing w:val="-4"/>
        </w:rPr>
        <w:t>č. </w:t>
      </w:r>
      <w:r w:rsidRPr="006F691B">
        <w:rPr>
          <w:noProof/>
          <w:spacing w:val="-4"/>
        </w:rPr>
        <w:t>12</w:t>
      </w:r>
      <w:r w:rsidR="006F691B" w:rsidRPr="006F691B">
        <w:rPr>
          <w:noProof/>
          <w:spacing w:val="-4"/>
        </w:rPr>
        <w:t xml:space="preserve"> o </w:t>
      </w:r>
      <w:r w:rsidRPr="006F691B">
        <w:rPr>
          <w:noProof/>
          <w:spacing w:val="-4"/>
        </w:rPr>
        <w:t>postupe pri nadmernom deficite, ktorý je pripojený</w:t>
      </w:r>
      <w:r w:rsidR="006F691B" w:rsidRPr="006F691B">
        <w:rPr>
          <w:noProof/>
          <w:spacing w:val="-4"/>
        </w:rPr>
        <w:t xml:space="preserve"> k </w:t>
      </w:r>
      <w:r w:rsidRPr="006F691B">
        <w:rPr>
          <w:noProof/>
          <w:spacing w:val="-4"/>
        </w:rPr>
        <w:t>Zmluve</w:t>
      </w:r>
      <w:r w:rsidR="006F691B" w:rsidRPr="006F691B">
        <w:rPr>
          <w:noProof/>
          <w:spacing w:val="-4"/>
        </w:rPr>
        <w:t xml:space="preserve"> o </w:t>
      </w:r>
      <w:r w:rsidRPr="006F691B">
        <w:rPr>
          <w:noProof/>
          <w:spacing w:val="-4"/>
        </w:rPr>
        <w:t>Európskej únii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ZFEÚ, sa stanovujú ďalšie ustanovenia týkajúce sa vykonávania postupu pri nadmernom deficite.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 xml:space="preserve">nariadení Rady (ES) </w:t>
      </w:r>
      <w:r w:rsidR="006F691B" w:rsidRPr="006F691B">
        <w:rPr>
          <w:noProof/>
          <w:spacing w:val="-4"/>
        </w:rPr>
        <w:t>č. </w:t>
      </w:r>
      <w:r w:rsidRPr="006F691B">
        <w:rPr>
          <w:noProof/>
          <w:spacing w:val="-4"/>
        </w:rPr>
        <w:t>479/2009(</w:t>
      </w:r>
      <w:r w:rsidRPr="006F691B">
        <w:rPr>
          <w:rStyle w:val="FootnoteReference"/>
          <w:noProof/>
          <w:spacing w:val="-4"/>
        </w:rPr>
        <w:footnoteReference w:id="2"/>
      </w:r>
      <w:r w:rsidRPr="006F691B">
        <w:rPr>
          <w:noProof/>
          <w:spacing w:val="-4"/>
        </w:rPr>
        <w:t>) sa stanovujú podrobné pravidlá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 xml:space="preserve">definície na uplatňovanie uvedených </w:t>
      </w:r>
      <w:r w:rsidRPr="006F691B">
        <w:rPr>
          <w:noProof/>
          <w:color w:val="000000"/>
          <w:spacing w:val="-4"/>
        </w:rPr>
        <w:t>ustanovení</w:t>
      </w:r>
      <w:r w:rsidRPr="006F691B">
        <w:rPr>
          <w:noProof/>
          <w:spacing w:val="-4"/>
        </w:rPr>
        <w:t>. Reformovaný rámec správy hospodárskych záležitostí EÚ, ktorý nadobudol účinnosť 30</w:t>
      </w:r>
      <w:r w:rsidR="006F691B" w:rsidRPr="006F691B">
        <w:rPr>
          <w:noProof/>
          <w:spacing w:val="-4"/>
        </w:rPr>
        <w:t>. apríla</w:t>
      </w:r>
      <w:r w:rsidRPr="006F691B">
        <w:rPr>
          <w:noProof/>
          <w:spacing w:val="-4"/>
        </w:rPr>
        <w:t xml:space="preserve"> 2024, zahŕňa nariadenie Rady (EÚ) 2024/1264, ktorým sa mení nariadenie Rady (ES) </w:t>
      </w:r>
      <w:r w:rsidR="006F691B" w:rsidRPr="006F691B">
        <w:rPr>
          <w:noProof/>
          <w:spacing w:val="-4"/>
        </w:rPr>
        <w:t>č. </w:t>
      </w:r>
      <w:r w:rsidRPr="006F691B">
        <w:rPr>
          <w:noProof/>
          <w:spacing w:val="-4"/>
        </w:rPr>
        <w:t>1467/97.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rámci tejto reformy sa pravidlá postupu pri nadmernom deficite</w:t>
      </w:r>
      <w:r w:rsidR="006F691B" w:rsidRPr="006F691B">
        <w:rPr>
          <w:noProof/>
          <w:spacing w:val="-4"/>
        </w:rPr>
        <w:t xml:space="preserve"> z </w:t>
      </w:r>
      <w:r w:rsidRPr="006F691B">
        <w:rPr>
          <w:noProof/>
          <w:spacing w:val="-4"/>
        </w:rPr>
        <w:t>dôvodu nedodržania kritéria deficitu vo všeobecnosti nezmenili, zatiaľ čo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rStyle w:val="normaltextrun"/>
          <w:noProof/>
          <w:spacing w:val="-4"/>
        </w:rPr>
        <w:t>prípade členských štátov</w:t>
      </w:r>
      <w:r w:rsidR="006F691B" w:rsidRPr="006F691B">
        <w:rPr>
          <w:rStyle w:val="normaltextrun"/>
          <w:noProof/>
          <w:spacing w:val="-4"/>
        </w:rPr>
        <w:t xml:space="preserve"> s </w:t>
      </w:r>
      <w:r w:rsidRPr="006F691B">
        <w:rPr>
          <w:rStyle w:val="normaltextrun"/>
          <w:noProof/>
          <w:spacing w:val="-4"/>
        </w:rPr>
        <w:t>pomerom verejného dlhu nad 60</w:t>
      </w:r>
      <w:r w:rsidR="006F691B" w:rsidRPr="006F691B">
        <w:rPr>
          <w:rStyle w:val="normaltextrun"/>
          <w:noProof/>
          <w:spacing w:val="-4"/>
        </w:rPr>
        <w:t> %</w:t>
      </w:r>
      <w:r w:rsidRPr="006F691B">
        <w:rPr>
          <w:rStyle w:val="normaltextrun"/>
          <w:noProof/>
          <w:spacing w:val="-4"/>
        </w:rPr>
        <w:t xml:space="preserve"> HDP</w:t>
      </w:r>
      <w:r w:rsidRPr="006F691B">
        <w:rPr>
          <w:noProof/>
          <w:spacing w:val="-4"/>
        </w:rPr>
        <w:t xml:space="preserve"> sa postup pri nadmernom deficite</w:t>
      </w:r>
      <w:r w:rsidR="006F691B" w:rsidRPr="006F691B">
        <w:rPr>
          <w:noProof/>
          <w:spacing w:val="-4"/>
        </w:rPr>
        <w:t xml:space="preserve"> z </w:t>
      </w:r>
      <w:r w:rsidRPr="006F691B">
        <w:rPr>
          <w:noProof/>
          <w:spacing w:val="-4"/>
        </w:rPr>
        <w:t>dôvodu nedodržania dlhového kritéria zameria na odchýlky od trajektórie vývoja čistých výdavkov, ktorú stanoví Rada podľa nariadenia (EÚ) 2024/1263 na základe strednodobých fiškálno-štrukturálnych plánov, ktoré majú predložiť členské štáty. Keďže Rada ešte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prípade Maďarska nestanovila trajektóriu vývoja čistých výdavkov, Komisia nedokáže posúdiť dodržiavanie dlhového kritéria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súlade</w:t>
      </w:r>
      <w:r w:rsidR="006F691B" w:rsidRPr="006F691B">
        <w:rPr>
          <w:noProof/>
          <w:spacing w:val="-4"/>
        </w:rPr>
        <w:t xml:space="preserve"> s </w:t>
      </w:r>
      <w:r w:rsidRPr="006F691B">
        <w:rPr>
          <w:noProof/>
          <w:spacing w:val="-4"/>
        </w:rPr>
        <w:t>novými pravidlami. Toto rozhodnutie Rady sa preto týka len prekročenia pomeru deficitu verejných financií</w:t>
      </w:r>
      <w:r w:rsidR="006F691B" w:rsidRPr="006F691B">
        <w:rPr>
          <w:noProof/>
          <w:spacing w:val="-4"/>
        </w:rPr>
        <w:t xml:space="preserve"> k </w:t>
      </w:r>
      <w:r w:rsidRPr="006F691B">
        <w:rPr>
          <w:noProof/>
          <w:spacing w:val="-4"/>
        </w:rPr>
        <w:t>hrubému domácemu produktu (HDP) vo vzťahu</w:t>
      </w:r>
      <w:r w:rsidR="006F691B" w:rsidRPr="006F691B">
        <w:rPr>
          <w:noProof/>
          <w:spacing w:val="-4"/>
        </w:rPr>
        <w:t xml:space="preserve"> k </w:t>
      </w:r>
      <w:r w:rsidRPr="006F691B">
        <w:rPr>
          <w:noProof/>
          <w:spacing w:val="-4"/>
        </w:rPr>
        <w:t>referenčnej hodnote 3</w:t>
      </w:r>
      <w:r w:rsidR="006F691B" w:rsidRPr="006F691B">
        <w:rPr>
          <w:noProof/>
          <w:spacing w:val="-4"/>
        </w:rPr>
        <w:t> %</w:t>
      </w:r>
      <w:r w:rsidRPr="006F691B">
        <w:rPr>
          <w:noProof/>
          <w:spacing w:val="-4"/>
        </w:rPr>
        <w:t xml:space="preserve"> HDP</w:t>
      </w:r>
      <w:r w:rsidR="006F691B" w:rsidRPr="006F691B">
        <w:rPr>
          <w:noProof/>
          <w:spacing w:val="-4"/>
        </w:rPr>
        <w:t>.</w:t>
      </w:r>
    </w:p>
    <w:p w14:paraId="5A51924C" w14:textId="49EB394F" w:rsidR="006F691B" w:rsidRPr="006F691B" w:rsidRDefault="003A4E88" w:rsidP="003A4E88">
      <w:pPr>
        <w:pStyle w:val="Recital"/>
        <w:rPr>
          <w:noProof/>
          <w:spacing w:val="-4"/>
        </w:rPr>
      </w:pPr>
      <w:r w:rsidRPr="006F691B">
        <w:rPr>
          <w:noProof/>
          <w:spacing w:val="-4"/>
        </w:rPr>
        <w:t>Ak sa podľa článku 126 ods. 5 ZFEÚ Komisia domnieva, že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členskom štáte existuje alebo sa môže vyskytnúť nadmerný deficit, musí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tomto zmysle zaslať danému členskému štátu stanovisko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informovať</w:t>
      </w:r>
      <w:r w:rsidR="006F691B" w:rsidRPr="006F691B">
        <w:rPr>
          <w:noProof/>
          <w:spacing w:val="-4"/>
        </w:rPr>
        <w:t xml:space="preserve"> o </w:t>
      </w:r>
      <w:r w:rsidRPr="006F691B">
        <w:rPr>
          <w:noProof/>
          <w:spacing w:val="-4"/>
        </w:rPr>
        <w:t>tom Radu. Po tom, ako Komisia zohľadnila svoju správu prijatú na základe článku 126 ods. 3 ZFEÚ,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so zreteľom na stanovisko Hospodárskeho</w:t>
      </w:r>
      <w:r w:rsidR="006F691B" w:rsidRPr="006F691B">
        <w:rPr>
          <w:noProof/>
          <w:spacing w:val="-4"/>
        </w:rPr>
        <w:t xml:space="preserve"> a </w:t>
      </w:r>
      <w:r w:rsidRPr="006F691B">
        <w:rPr>
          <w:noProof/>
          <w:spacing w:val="-4"/>
        </w:rPr>
        <w:t>sociálneho výboru prijaté na základe článku 126 ods. 4 ZFEÚ Komisia dospela</w:t>
      </w:r>
      <w:r w:rsidR="006F691B" w:rsidRPr="006F691B">
        <w:rPr>
          <w:noProof/>
          <w:spacing w:val="-4"/>
        </w:rPr>
        <w:t xml:space="preserve"> k </w:t>
      </w:r>
      <w:r w:rsidRPr="006F691B">
        <w:rPr>
          <w:noProof/>
          <w:spacing w:val="-4"/>
        </w:rPr>
        <w:t>záveru, že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Maďarsku existuje nadmerný deficit. Komisia preto 8</w:t>
      </w:r>
      <w:r w:rsidR="006F691B" w:rsidRPr="006F691B">
        <w:rPr>
          <w:noProof/>
          <w:spacing w:val="-4"/>
        </w:rPr>
        <w:t>. júla</w:t>
      </w:r>
      <w:r w:rsidRPr="006F691B">
        <w:rPr>
          <w:noProof/>
          <w:spacing w:val="-4"/>
        </w:rPr>
        <w:t> 2024 adresovala Maďarsku stanovisko</w:t>
      </w:r>
      <w:r w:rsidR="006F691B" w:rsidRPr="006F691B">
        <w:rPr>
          <w:noProof/>
          <w:spacing w:val="-4"/>
        </w:rPr>
        <w:t xml:space="preserve"> v </w:t>
      </w:r>
      <w:r w:rsidRPr="006F691B">
        <w:rPr>
          <w:noProof/>
          <w:spacing w:val="-4"/>
        </w:rPr>
        <w:t>tomto zmysle</w:t>
      </w:r>
      <w:r w:rsidR="006F691B" w:rsidRPr="006F691B">
        <w:rPr>
          <w:noProof/>
          <w:spacing w:val="-4"/>
        </w:rPr>
        <w:t xml:space="preserve"> a v </w:t>
      </w:r>
      <w:r w:rsidRPr="006F691B">
        <w:rPr>
          <w:noProof/>
          <w:spacing w:val="-4"/>
        </w:rPr>
        <w:t>súlade</w:t>
      </w:r>
      <w:r w:rsidR="006F691B" w:rsidRPr="006F691B">
        <w:rPr>
          <w:noProof/>
          <w:spacing w:val="-4"/>
        </w:rPr>
        <w:t xml:space="preserve"> s </w:t>
      </w:r>
      <w:r w:rsidRPr="006F691B">
        <w:rPr>
          <w:noProof/>
          <w:spacing w:val="-4"/>
        </w:rPr>
        <w:t>tým informovala Radu.(</w:t>
      </w:r>
      <w:r w:rsidRPr="006F691B">
        <w:rPr>
          <w:rStyle w:val="FootnoteReference"/>
          <w:noProof/>
          <w:spacing w:val="-4"/>
          <w:lang w:eastAsia="de-DE"/>
        </w:rPr>
        <w:footnoteReference w:id="3"/>
      </w:r>
      <w:r w:rsidRPr="006F691B">
        <w:rPr>
          <w:noProof/>
          <w:spacing w:val="-4"/>
        </w:rPr>
        <w:t>)</w:t>
      </w:r>
    </w:p>
    <w:p w14:paraId="4EF0E529" w14:textId="3F0267B6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V článku 126 ods. 6 ZFEÚ sa uvádza, že Rada musí zvážiť akékoľvek pripomienky, ktoré príslušný členský štát prípadne predloží, pred tým, ako po celkovom zhodnotení rozhodne, či existuje nadmerný deficit.</w:t>
      </w:r>
      <w:r w:rsidR="006F691B">
        <w:rPr>
          <w:noProof/>
        </w:rPr>
        <w:t xml:space="preserve"> V </w:t>
      </w:r>
      <w:r w:rsidRPr="006F691B">
        <w:rPr>
          <w:noProof/>
        </w:rPr>
        <w:t>prípade Maďarska toto celkové zhodnotenie vedie</w:t>
      </w:r>
      <w:r w:rsidR="006F691B">
        <w:rPr>
          <w:noProof/>
        </w:rPr>
        <w:t xml:space="preserve"> k </w:t>
      </w:r>
      <w:r w:rsidRPr="006F691B">
        <w:rPr>
          <w:noProof/>
        </w:rPr>
        <w:t>nasledujúcim záverom.</w:t>
      </w:r>
    </w:p>
    <w:p w14:paraId="79E282BE" w14:textId="4079040C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Podľa údajov overených Eurostatom 22</w:t>
      </w:r>
      <w:r w:rsidR="006F691B">
        <w:rPr>
          <w:noProof/>
        </w:rPr>
        <w:t>. apríla</w:t>
      </w:r>
      <w:r w:rsidRPr="006F691B">
        <w:rPr>
          <w:noProof/>
        </w:rPr>
        <w:t xml:space="preserve"> 2024(</w:t>
      </w:r>
      <w:r w:rsidRPr="006F691B">
        <w:rPr>
          <w:rStyle w:val="FootnoteReference"/>
          <w:noProof/>
        </w:rPr>
        <w:footnoteReference w:id="4"/>
      </w:r>
      <w:r w:rsidRPr="006F691B">
        <w:rPr>
          <w:noProof/>
        </w:rPr>
        <w:t>) dosiahol deficit verejných financií</w:t>
      </w:r>
      <w:r w:rsidR="006F691B">
        <w:rPr>
          <w:noProof/>
        </w:rPr>
        <w:t xml:space="preserve"> v </w:t>
      </w:r>
      <w:r w:rsidRPr="006F691B">
        <w:rPr>
          <w:noProof/>
        </w:rPr>
        <w:t>Maďarsku</w:t>
      </w:r>
      <w:r w:rsidR="006F691B">
        <w:rPr>
          <w:noProof/>
        </w:rPr>
        <w:t xml:space="preserve"> v </w:t>
      </w:r>
      <w:r w:rsidRPr="006F691B">
        <w:rPr>
          <w:noProof/>
        </w:rPr>
        <w:t>roku 2023 výšku 6,7</w:t>
      </w:r>
      <w:r w:rsidR="006F691B">
        <w:rPr>
          <w:noProof/>
        </w:rPr>
        <w:t> %</w:t>
      </w:r>
      <w:r w:rsidRPr="006F691B">
        <w:rPr>
          <w:noProof/>
        </w:rPr>
        <w:t xml:space="preserve"> HDP</w:t>
      </w:r>
      <w:r w:rsidR="006F691B">
        <w:rPr>
          <w:noProof/>
        </w:rPr>
        <w:t xml:space="preserve"> a </w:t>
      </w:r>
      <w:r w:rsidRPr="006F691B">
        <w:rPr>
          <w:noProof/>
        </w:rPr>
        <w:t>verejný dlh sa nachádzal na úrovni 73,5</w:t>
      </w:r>
      <w:r w:rsidR="006F691B">
        <w:rPr>
          <w:noProof/>
        </w:rPr>
        <w:t> %</w:t>
      </w:r>
      <w:r w:rsidRPr="006F691B">
        <w:rPr>
          <w:noProof/>
        </w:rPr>
        <w:t xml:space="preserve"> HDP.</w:t>
      </w:r>
      <w:r w:rsidR="006F691B">
        <w:rPr>
          <w:noProof/>
        </w:rPr>
        <w:t xml:space="preserve"> V </w:t>
      </w:r>
      <w:r w:rsidRPr="006F691B">
        <w:rPr>
          <w:noProof/>
        </w:rPr>
        <w:t>správe Komisie podľa článku 126 ods. 3 ZFEÚ sa uvádza, že prekročenie deficitu</w:t>
      </w:r>
      <w:r w:rsidR="006F691B">
        <w:rPr>
          <w:noProof/>
        </w:rPr>
        <w:t xml:space="preserve"> v </w:t>
      </w:r>
      <w:r w:rsidRPr="006F691B">
        <w:rPr>
          <w:noProof/>
        </w:rPr>
        <w:t>roku 2023 nad referenčnú hodnotu 3</w:t>
      </w:r>
      <w:r w:rsidR="006F691B">
        <w:rPr>
          <w:noProof/>
        </w:rPr>
        <w:t> %</w:t>
      </w:r>
      <w:r w:rsidRPr="006F691B">
        <w:rPr>
          <w:noProof/>
        </w:rPr>
        <w:t xml:space="preserve"> HDP stanovenú</w:t>
      </w:r>
      <w:r w:rsidR="006F691B">
        <w:rPr>
          <w:noProof/>
        </w:rPr>
        <w:t xml:space="preserve"> v </w:t>
      </w:r>
      <w:r w:rsidRPr="006F691B">
        <w:rPr>
          <w:noProof/>
        </w:rPr>
        <w:t>zmluve nie je výnimočné, keďže nevyplýva</w:t>
      </w:r>
      <w:r w:rsidR="006F691B">
        <w:rPr>
          <w:noProof/>
        </w:rPr>
        <w:t xml:space="preserve"> z </w:t>
      </w:r>
      <w:r w:rsidRPr="006F691B">
        <w:rPr>
          <w:noProof/>
        </w:rPr>
        <w:t>nezvyčajnej udalosti ani</w:t>
      </w:r>
      <w:r w:rsidR="006F691B">
        <w:rPr>
          <w:noProof/>
        </w:rPr>
        <w:t xml:space="preserve"> z </w:t>
      </w:r>
      <w:r w:rsidRPr="006F691B">
        <w:rPr>
          <w:noProof/>
        </w:rPr>
        <w:t>prudkého hospodárskeho poklesu</w:t>
      </w:r>
      <w:r w:rsidR="006F691B">
        <w:rPr>
          <w:noProof/>
        </w:rPr>
        <w:t xml:space="preserve"> v </w:t>
      </w:r>
      <w:r w:rsidRPr="006F691B">
        <w:rPr>
          <w:noProof/>
        </w:rPr>
        <w:t>zmysle Paktu stability</w:t>
      </w:r>
      <w:r w:rsidR="006F691B">
        <w:rPr>
          <w:noProof/>
        </w:rPr>
        <w:t xml:space="preserve"> a </w:t>
      </w:r>
      <w:r w:rsidRPr="006F691B">
        <w:rPr>
          <w:noProof/>
        </w:rPr>
        <w:t>rastu.</w:t>
      </w:r>
      <w:r w:rsidR="006F691B">
        <w:rPr>
          <w:noProof/>
        </w:rPr>
        <w:t xml:space="preserve"> V </w:t>
      </w:r>
      <w:r w:rsidRPr="006F691B">
        <w:rPr>
          <w:noProof/>
        </w:rPr>
        <w:t>roku 2023 klesol reálny HDP Maďarska</w:t>
      </w:r>
      <w:r w:rsidR="006F691B">
        <w:rPr>
          <w:noProof/>
        </w:rPr>
        <w:t xml:space="preserve"> o </w:t>
      </w:r>
      <w:r w:rsidRPr="006F691B">
        <w:rPr>
          <w:noProof/>
        </w:rPr>
        <w:t>0,9</w:t>
      </w:r>
      <w:r w:rsidR="006F691B">
        <w:rPr>
          <w:noProof/>
        </w:rPr>
        <w:t> %</w:t>
      </w:r>
      <w:r w:rsidRPr="006F691B">
        <w:rPr>
          <w:noProof/>
        </w:rPr>
        <w:t xml:space="preserve"> HDP po tom, ako HDP</w:t>
      </w:r>
      <w:r w:rsidR="006F691B">
        <w:rPr>
          <w:noProof/>
        </w:rPr>
        <w:t xml:space="preserve"> v </w:t>
      </w:r>
      <w:r w:rsidRPr="006F691B">
        <w:rPr>
          <w:noProof/>
        </w:rPr>
        <w:t>roku 2022 stúpol</w:t>
      </w:r>
      <w:r w:rsidR="006F691B">
        <w:rPr>
          <w:noProof/>
        </w:rPr>
        <w:t xml:space="preserve"> o </w:t>
      </w:r>
      <w:r w:rsidRPr="006F691B">
        <w:rPr>
          <w:noProof/>
        </w:rPr>
        <w:t>4,6</w:t>
      </w:r>
      <w:r w:rsidR="006F691B">
        <w:rPr>
          <w:noProof/>
        </w:rPr>
        <w:t> %</w:t>
      </w:r>
      <w:r w:rsidRPr="006F691B">
        <w:rPr>
          <w:noProof/>
        </w:rPr>
        <w:t>. Na základe prognózy Komisie</w:t>
      </w:r>
      <w:r w:rsidR="006F691B">
        <w:rPr>
          <w:noProof/>
        </w:rPr>
        <w:t xml:space="preserve"> z </w:t>
      </w:r>
      <w:r w:rsidRPr="006F691B">
        <w:rPr>
          <w:noProof/>
        </w:rPr>
        <w:t>jari 2024,</w:t>
      </w:r>
      <w:r w:rsidR="006F691B">
        <w:rPr>
          <w:noProof/>
        </w:rPr>
        <w:t xml:space="preserve"> v </w:t>
      </w:r>
      <w:r w:rsidRPr="006F691B">
        <w:rPr>
          <w:noProof/>
        </w:rPr>
        <w:t>ktorej sa predpokladá, že deficit verejných financií zostane</w:t>
      </w:r>
      <w:r w:rsidR="006F691B">
        <w:rPr>
          <w:noProof/>
        </w:rPr>
        <w:t xml:space="preserve"> v </w:t>
      </w:r>
      <w:r w:rsidRPr="006F691B">
        <w:rPr>
          <w:noProof/>
        </w:rPr>
        <w:t>rokoch 2024</w:t>
      </w:r>
      <w:r w:rsidR="006F691B">
        <w:rPr>
          <w:noProof/>
        </w:rPr>
        <w:t xml:space="preserve"> a </w:t>
      </w:r>
      <w:r w:rsidRPr="006F691B">
        <w:rPr>
          <w:noProof/>
        </w:rPr>
        <w:t>2025 nad úrovňou 3</w:t>
      </w:r>
      <w:r w:rsidR="006F691B">
        <w:rPr>
          <w:noProof/>
        </w:rPr>
        <w:t> %</w:t>
      </w:r>
      <w:r w:rsidRPr="006F691B">
        <w:rPr>
          <w:noProof/>
        </w:rPr>
        <w:t xml:space="preserve"> HDP, ani prekročenie referenčnej hodnoty stanovenej</w:t>
      </w:r>
      <w:r w:rsidR="006F691B">
        <w:rPr>
          <w:noProof/>
        </w:rPr>
        <w:t xml:space="preserve"> v </w:t>
      </w:r>
      <w:r w:rsidRPr="006F691B">
        <w:rPr>
          <w:noProof/>
        </w:rPr>
        <w:t>zmluve nie je dočasné. Stručne povedané, deficit bol</w:t>
      </w:r>
      <w:r w:rsidR="006F691B">
        <w:rPr>
          <w:noProof/>
        </w:rPr>
        <w:t xml:space="preserve"> v </w:t>
      </w:r>
      <w:r w:rsidRPr="006F691B">
        <w:rPr>
          <w:noProof/>
        </w:rPr>
        <w:t>roku 2023 výrazne nad referenčnou hodnotou 3</w:t>
      </w:r>
      <w:r w:rsidR="006F691B">
        <w:rPr>
          <w:noProof/>
        </w:rPr>
        <w:t> %</w:t>
      </w:r>
      <w:r w:rsidRPr="006F691B">
        <w:rPr>
          <w:noProof/>
        </w:rPr>
        <w:t xml:space="preserve"> HDP stanovenou</w:t>
      </w:r>
      <w:r w:rsidR="006F691B">
        <w:rPr>
          <w:noProof/>
        </w:rPr>
        <w:t xml:space="preserve"> v </w:t>
      </w:r>
      <w:r w:rsidRPr="006F691B">
        <w:rPr>
          <w:noProof/>
        </w:rPr>
        <w:t>zmluve. Prekročenie sa nepovažuje za výnimočné, ako je vymedzené</w:t>
      </w:r>
      <w:r w:rsidR="006F691B">
        <w:rPr>
          <w:noProof/>
        </w:rPr>
        <w:t xml:space="preserve"> v </w:t>
      </w:r>
      <w:r w:rsidRPr="006F691B">
        <w:rPr>
          <w:noProof/>
        </w:rPr>
        <w:t>zmluve</w:t>
      </w:r>
      <w:r w:rsidR="006F691B">
        <w:rPr>
          <w:noProof/>
        </w:rPr>
        <w:t xml:space="preserve"> a </w:t>
      </w:r>
      <w:r w:rsidRPr="006F691B">
        <w:rPr>
          <w:noProof/>
        </w:rPr>
        <w:t>Pakte stability</w:t>
      </w:r>
      <w:r w:rsidR="006F691B">
        <w:rPr>
          <w:noProof/>
        </w:rPr>
        <w:t xml:space="preserve"> a </w:t>
      </w:r>
      <w:r w:rsidRPr="006F691B">
        <w:rPr>
          <w:noProof/>
        </w:rPr>
        <w:t>rastu, ani za dočasné. Kritérium deficitu vymedzené</w:t>
      </w:r>
      <w:r w:rsidR="006F691B">
        <w:rPr>
          <w:noProof/>
        </w:rPr>
        <w:t xml:space="preserve"> v </w:t>
      </w:r>
      <w:r w:rsidRPr="006F691B">
        <w:rPr>
          <w:noProof/>
        </w:rPr>
        <w:t>zmluve</w:t>
      </w:r>
      <w:r w:rsidR="006F691B">
        <w:rPr>
          <w:noProof/>
        </w:rPr>
        <w:t xml:space="preserve"> a </w:t>
      </w:r>
      <w:r w:rsidRPr="006F691B">
        <w:rPr>
          <w:noProof/>
        </w:rPr>
        <w:t xml:space="preserve">nariadení (ES) </w:t>
      </w:r>
      <w:r w:rsidR="006F691B">
        <w:rPr>
          <w:noProof/>
        </w:rPr>
        <w:t>č. </w:t>
      </w:r>
      <w:r w:rsidRPr="006F691B">
        <w:rPr>
          <w:noProof/>
        </w:rPr>
        <w:t xml:space="preserve">1467/97 teda </w:t>
      </w:r>
      <w:r w:rsidRPr="006F691B">
        <w:rPr>
          <w:i/>
          <w:noProof/>
        </w:rPr>
        <w:t>prima facie</w:t>
      </w:r>
      <w:r w:rsidRPr="006F691B">
        <w:rPr>
          <w:noProof/>
        </w:rPr>
        <w:t xml:space="preserve"> nie je splnené.</w:t>
      </w:r>
    </w:p>
    <w:p w14:paraId="01BEB361" w14:textId="692D8A5F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Podľa konvergenčného programu na rok 2024 sa plánuje, že deficit verejných financií Maďarska</w:t>
      </w:r>
      <w:r w:rsidR="006F691B">
        <w:rPr>
          <w:noProof/>
        </w:rPr>
        <w:t xml:space="preserve"> v </w:t>
      </w:r>
      <w:r w:rsidRPr="006F691B">
        <w:rPr>
          <w:noProof/>
        </w:rPr>
        <w:t>roku 2024 dosiahne úroveň 4,5</w:t>
      </w:r>
      <w:r w:rsidR="006F691B">
        <w:rPr>
          <w:noProof/>
        </w:rPr>
        <w:t> %</w:t>
      </w:r>
      <w:r w:rsidRPr="006F691B">
        <w:rPr>
          <w:noProof/>
        </w:rPr>
        <w:t xml:space="preserve"> HDP.</w:t>
      </w:r>
      <w:r w:rsidR="006F691B">
        <w:rPr>
          <w:noProof/>
        </w:rPr>
        <w:t xml:space="preserve"> V </w:t>
      </w:r>
      <w:r w:rsidRPr="006F691B">
        <w:rPr>
          <w:noProof/>
        </w:rPr>
        <w:t>prognóze Komisie</w:t>
      </w:r>
      <w:r w:rsidR="006F691B">
        <w:rPr>
          <w:noProof/>
        </w:rPr>
        <w:t xml:space="preserve"> z </w:t>
      </w:r>
      <w:r w:rsidRPr="006F691B">
        <w:rPr>
          <w:noProof/>
        </w:rPr>
        <w:t>jari 2024(</w:t>
      </w:r>
      <w:r w:rsidRPr="006F691B">
        <w:rPr>
          <w:rStyle w:val="FootnoteReference"/>
          <w:noProof/>
        </w:rPr>
        <w:footnoteReference w:id="5"/>
      </w:r>
      <w:r w:rsidRPr="006F691B">
        <w:rPr>
          <w:noProof/>
        </w:rPr>
        <w:t>) sa uvádza deficit na úrovni 5,4</w:t>
      </w:r>
      <w:r w:rsidR="006F691B">
        <w:rPr>
          <w:noProof/>
        </w:rPr>
        <w:t> %</w:t>
      </w:r>
      <w:r w:rsidRPr="006F691B">
        <w:rPr>
          <w:noProof/>
        </w:rPr>
        <w:t xml:space="preserve"> HDP, čo je výrazne nad referenčnou hodnotou 3</w:t>
      </w:r>
      <w:r w:rsidR="006F691B">
        <w:rPr>
          <w:noProof/>
        </w:rPr>
        <w:t> %</w:t>
      </w:r>
      <w:r w:rsidRPr="006F691B">
        <w:rPr>
          <w:noProof/>
        </w:rPr>
        <w:t xml:space="preserve"> HDP stanovenou</w:t>
      </w:r>
      <w:r w:rsidR="006F691B">
        <w:rPr>
          <w:noProof/>
        </w:rPr>
        <w:t xml:space="preserve"> v </w:t>
      </w:r>
      <w:r w:rsidRPr="006F691B">
        <w:rPr>
          <w:noProof/>
        </w:rPr>
        <w:t>zmluve. Rozdiel medzi týmito dvomi súbormi projekcií vyplýva predovšetkým</w:t>
      </w:r>
      <w:r w:rsidR="006F691B">
        <w:rPr>
          <w:noProof/>
        </w:rPr>
        <w:t xml:space="preserve"> z </w:t>
      </w:r>
      <w:r w:rsidRPr="006F691B">
        <w:rPr>
          <w:noProof/>
        </w:rPr>
        <w:t>vyššieho predpokladaného rastu výdavkov</w:t>
      </w:r>
      <w:r w:rsidR="006F691B">
        <w:rPr>
          <w:noProof/>
        </w:rPr>
        <w:t xml:space="preserve"> v </w:t>
      </w:r>
      <w:r w:rsidRPr="006F691B">
        <w:rPr>
          <w:noProof/>
        </w:rPr>
        <w:t>rámci základného scenára</w:t>
      </w:r>
      <w:r w:rsidR="006F691B">
        <w:rPr>
          <w:noProof/>
        </w:rPr>
        <w:t xml:space="preserve"> v </w:t>
      </w:r>
      <w:r w:rsidRPr="006F691B">
        <w:rPr>
          <w:noProof/>
        </w:rPr>
        <w:t>prognóze Komisie,</w:t>
      </w:r>
      <w:r w:rsidR="006F691B">
        <w:rPr>
          <w:noProof/>
        </w:rPr>
        <w:t xml:space="preserve"> a </w:t>
      </w:r>
      <w:r w:rsidRPr="006F691B">
        <w:rPr>
          <w:noProof/>
        </w:rPr>
        <w:t>to najmä, pokiaľ ide</w:t>
      </w:r>
      <w:r w:rsidR="006F691B">
        <w:rPr>
          <w:noProof/>
        </w:rPr>
        <w:t xml:space="preserve"> o </w:t>
      </w:r>
      <w:r w:rsidRPr="006F691B">
        <w:rPr>
          <w:noProof/>
        </w:rPr>
        <w:t>mzdy vo verejnom sektore, medzispotrebu</w:t>
      </w:r>
      <w:r w:rsidR="006F691B">
        <w:rPr>
          <w:noProof/>
        </w:rPr>
        <w:t xml:space="preserve"> a </w:t>
      </w:r>
      <w:r w:rsidRPr="006F691B">
        <w:rPr>
          <w:noProof/>
        </w:rPr>
        <w:t>bežné transfery.</w:t>
      </w:r>
      <w:r w:rsidR="006F691B">
        <w:rPr>
          <w:noProof/>
        </w:rPr>
        <w:t xml:space="preserve"> V </w:t>
      </w:r>
      <w:r w:rsidRPr="006F691B">
        <w:rPr>
          <w:noProof/>
        </w:rPr>
        <w:t>prognóze Komisie sa takisto predpokladajú</w:t>
      </w:r>
      <w:r w:rsidR="006F691B">
        <w:rPr>
          <w:noProof/>
        </w:rPr>
        <w:t xml:space="preserve"> o </w:t>
      </w:r>
      <w:r w:rsidRPr="006F691B">
        <w:rPr>
          <w:noProof/>
        </w:rPr>
        <w:t>niečo nižšie príjmy</w:t>
      </w:r>
      <w:r w:rsidR="006F691B">
        <w:rPr>
          <w:noProof/>
        </w:rPr>
        <w:t xml:space="preserve"> z </w:t>
      </w:r>
      <w:r w:rsidRPr="006F691B">
        <w:rPr>
          <w:noProof/>
        </w:rPr>
        <w:t>príspevkov na sociálne zabezpečenie</w:t>
      </w:r>
      <w:r w:rsidR="006F691B">
        <w:rPr>
          <w:noProof/>
        </w:rPr>
        <w:t xml:space="preserve"> a z </w:t>
      </w:r>
      <w:r w:rsidRPr="006F691B">
        <w:rPr>
          <w:noProof/>
        </w:rPr>
        <w:t>daní</w:t>
      </w:r>
      <w:r w:rsidR="006F691B">
        <w:rPr>
          <w:noProof/>
        </w:rPr>
        <w:t xml:space="preserve"> z </w:t>
      </w:r>
      <w:r w:rsidRPr="006F691B">
        <w:rPr>
          <w:noProof/>
        </w:rPr>
        <w:t>výroby</w:t>
      </w:r>
      <w:r w:rsidR="006F691B">
        <w:rPr>
          <w:noProof/>
        </w:rPr>
        <w:t xml:space="preserve"> a </w:t>
      </w:r>
      <w:r w:rsidRPr="006F691B">
        <w:rPr>
          <w:noProof/>
        </w:rPr>
        <w:t>dovozu</w:t>
      </w:r>
      <w:r w:rsidR="006F691B">
        <w:rPr>
          <w:noProof/>
        </w:rPr>
        <w:t xml:space="preserve"> v </w:t>
      </w:r>
      <w:r w:rsidRPr="006F691B">
        <w:rPr>
          <w:noProof/>
        </w:rPr>
        <w:t>roku 2024.</w:t>
      </w:r>
    </w:p>
    <w:p w14:paraId="52A9D250" w14:textId="100B5C4E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Komisia</w:t>
      </w:r>
      <w:r w:rsidR="006F691B">
        <w:rPr>
          <w:noProof/>
        </w:rPr>
        <w:t xml:space="preserve"> v </w:t>
      </w:r>
      <w:r w:rsidRPr="006F691B">
        <w:rPr>
          <w:noProof/>
        </w:rPr>
        <w:t>súlade</w:t>
      </w:r>
      <w:r w:rsidR="006F691B">
        <w:rPr>
          <w:noProof/>
        </w:rPr>
        <w:t xml:space="preserve"> s </w:t>
      </w:r>
      <w:r w:rsidRPr="006F691B">
        <w:rPr>
          <w:noProof/>
        </w:rPr>
        <w:t>požiadavkami článku 126 ods. 3 ZFEÚ analyzovala vo svojej správe podľa článku 126 ods. 3 ZFEÚ aj všetky závažné faktory. Ako sa stanovuje</w:t>
      </w:r>
      <w:r w:rsidR="006F691B">
        <w:rPr>
          <w:noProof/>
        </w:rPr>
        <w:t xml:space="preserve"> v </w:t>
      </w:r>
      <w:r w:rsidRPr="006F691B">
        <w:rPr>
          <w:noProof/>
        </w:rPr>
        <w:t xml:space="preserve">článku 2 ods. 4 nariadenia (ES) </w:t>
      </w:r>
      <w:r w:rsidR="006F691B">
        <w:rPr>
          <w:noProof/>
        </w:rPr>
        <w:t>č. </w:t>
      </w:r>
      <w:r w:rsidRPr="006F691B">
        <w:rPr>
          <w:noProof/>
        </w:rPr>
        <w:t>1467/97, ak je pri posudzovaní dodržiavania referenčnej hodnoty na základe kritéria deficitu pomer dlhu verejnej správy</w:t>
      </w:r>
      <w:r w:rsidR="006F691B">
        <w:rPr>
          <w:noProof/>
        </w:rPr>
        <w:t xml:space="preserve"> k </w:t>
      </w:r>
      <w:r w:rsidRPr="006F691B">
        <w:rPr>
          <w:noProof/>
        </w:rPr>
        <w:t>HDP vyšší než referenčná hodnota, závažné faktory sa berú do úvahy</w:t>
      </w:r>
      <w:r w:rsidR="006F691B">
        <w:rPr>
          <w:noProof/>
        </w:rPr>
        <w:t xml:space="preserve"> v </w:t>
      </w:r>
      <w:r w:rsidRPr="006F691B">
        <w:rPr>
          <w:noProof/>
        </w:rPr>
        <w:t>rámci postupov nadväzujúcich na správu podľa článku 126 ods. 3 ZFEÚ</w:t>
      </w:r>
      <w:r w:rsidR="006F691B">
        <w:rPr>
          <w:noProof/>
        </w:rPr>
        <w:t xml:space="preserve"> a </w:t>
      </w:r>
      <w:r w:rsidRPr="006F691B">
        <w:rPr>
          <w:noProof/>
        </w:rPr>
        <w:t>vedúcich</w:t>
      </w:r>
      <w:r w:rsidR="006F691B">
        <w:rPr>
          <w:noProof/>
        </w:rPr>
        <w:t xml:space="preserve"> k </w:t>
      </w:r>
      <w:r w:rsidRPr="006F691B">
        <w:rPr>
          <w:noProof/>
        </w:rPr>
        <w:t>rozhodnutiu</w:t>
      </w:r>
      <w:r w:rsidR="006F691B">
        <w:rPr>
          <w:noProof/>
        </w:rPr>
        <w:t xml:space="preserve"> o </w:t>
      </w:r>
      <w:r w:rsidRPr="006F691B">
        <w:rPr>
          <w:noProof/>
        </w:rPr>
        <w:t>existencii nadmerného deficitu iba</w:t>
      </w:r>
      <w:r w:rsidR="006F691B">
        <w:rPr>
          <w:noProof/>
        </w:rPr>
        <w:t xml:space="preserve"> v </w:t>
      </w:r>
      <w:r w:rsidRPr="006F691B">
        <w:rPr>
          <w:noProof/>
        </w:rPr>
        <w:t>prípade, keď pred zohľadnením týchto závažných faktorov deficit verejných financií zostáva na úrovni blízko referenčnej hodnoty</w:t>
      </w:r>
      <w:r w:rsidR="006F691B">
        <w:rPr>
          <w:noProof/>
        </w:rPr>
        <w:t xml:space="preserve"> a </w:t>
      </w:r>
      <w:r w:rsidRPr="006F691B">
        <w:rPr>
          <w:noProof/>
        </w:rPr>
        <w:t>prekročenie referenčnej hodnoty stanovenej pre tento deficit je dočasné.</w:t>
      </w:r>
      <w:r w:rsidR="006F691B">
        <w:rPr>
          <w:noProof/>
        </w:rPr>
        <w:t xml:space="preserve"> V </w:t>
      </w:r>
      <w:r w:rsidRPr="006F691B">
        <w:rPr>
          <w:noProof/>
        </w:rPr>
        <w:t>prípade Maďarska nie je táto dvojitá podmienka splnená.</w:t>
      </w:r>
      <w:r w:rsidR="006F691B">
        <w:rPr>
          <w:noProof/>
        </w:rPr>
        <w:t xml:space="preserve"> V </w:t>
      </w:r>
      <w:r w:rsidRPr="006F691B">
        <w:rPr>
          <w:noProof/>
        </w:rPr>
        <w:t>rámci postupov vedúcich</w:t>
      </w:r>
      <w:r w:rsidR="006F691B">
        <w:rPr>
          <w:noProof/>
        </w:rPr>
        <w:t xml:space="preserve"> k </w:t>
      </w:r>
      <w:r w:rsidRPr="006F691B">
        <w:rPr>
          <w:noProof/>
        </w:rPr>
        <w:t>rozhodnutiu sa teda závažné faktory neberú do úvahy.</w:t>
      </w:r>
    </w:p>
    <w:p w14:paraId="57F6204D" w14:textId="323228FE" w:rsidR="003A4E88" w:rsidRPr="006F691B" w:rsidRDefault="003A4E88" w:rsidP="003A4E88">
      <w:pPr>
        <w:pStyle w:val="Recital"/>
        <w:rPr>
          <w:noProof/>
        </w:rPr>
      </w:pPr>
      <w:r w:rsidRPr="006F691B">
        <w:rPr>
          <w:noProof/>
        </w:rPr>
        <w:t>Vzhľadom na to, že národný strednodobý fiškálno-štrukturálny plán má byť podľa článku 36 nariadenia (EÚ) 2024/1263 predložený do 20</w:t>
      </w:r>
      <w:r w:rsidR="006F691B">
        <w:rPr>
          <w:noProof/>
        </w:rPr>
        <w:t>. septembra</w:t>
      </w:r>
      <w:r w:rsidRPr="006F691B">
        <w:rPr>
          <w:noProof/>
        </w:rPr>
        <w:t xml:space="preserve"> 2024, Rada berie na vedomie, že ďalší krok</w:t>
      </w:r>
      <w:r w:rsidR="006F691B">
        <w:rPr>
          <w:noProof/>
        </w:rPr>
        <w:t xml:space="preserve"> v </w:t>
      </w:r>
      <w:r w:rsidRPr="006F691B">
        <w:rPr>
          <w:noProof/>
        </w:rPr>
        <w:t>postupe – konkrétne odporúčanie Komisie na odporúčanie Rady podľa článku 126 ods. 7 ZFEÚ týkajúce sa nápravy nadmerného deficitu – sa uskutoční spolu so stanoviskami Komisie</w:t>
      </w:r>
      <w:r w:rsidR="006F691B">
        <w:rPr>
          <w:noProof/>
        </w:rPr>
        <w:t xml:space="preserve"> k </w:t>
      </w:r>
      <w:r w:rsidRPr="006F691B">
        <w:rPr>
          <w:noProof/>
        </w:rPr>
        <w:t xml:space="preserve">návrhom rozpočtových plánov členských štátov eurozóny podľa článku 7 nariadenia (EÚ) </w:t>
      </w:r>
      <w:r w:rsidR="006F691B">
        <w:rPr>
          <w:noProof/>
        </w:rPr>
        <w:t>č. </w:t>
      </w:r>
      <w:r w:rsidRPr="006F691B">
        <w:rPr>
          <w:noProof/>
        </w:rPr>
        <w:t>473/2013. Tento prístup umožňuje zabezpečiť zhodu medzi rozpočtovými požiadavkami</w:t>
      </w:r>
      <w:r w:rsidR="006F691B">
        <w:rPr>
          <w:noProof/>
        </w:rPr>
        <w:t xml:space="preserve"> v </w:t>
      </w:r>
      <w:r w:rsidRPr="006F691B">
        <w:rPr>
          <w:noProof/>
        </w:rPr>
        <w:t>rámci postupu pri nadmernom deficite</w:t>
      </w:r>
      <w:r w:rsidR="006F691B">
        <w:rPr>
          <w:noProof/>
        </w:rPr>
        <w:t xml:space="preserve"> a </w:t>
      </w:r>
      <w:r w:rsidRPr="006F691B">
        <w:rPr>
          <w:noProof/>
        </w:rPr>
        <w:t>postupom úprav stanoveným</w:t>
      </w:r>
      <w:r w:rsidR="006F691B">
        <w:rPr>
          <w:noProof/>
        </w:rPr>
        <w:t xml:space="preserve"> v </w:t>
      </w:r>
      <w:r w:rsidRPr="006F691B">
        <w:rPr>
          <w:noProof/>
        </w:rPr>
        <w:t>strednodobých fiškálno-štrukturálnych plánoch. Zabezpečenie takejto zhody</w:t>
      </w:r>
      <w:r w:rsidR="006F691B">
        <w:rPr>
          <w:noProof/>
        </w:rPr>
        <w:t xml:space="preserve"> a </w:t>
      </w:r>
      <w:r w:rsidRPr="006F691B">
        <w:rPr>
          <w:noProof/>
        </w:rPr>
        <w:t>súčasné zabránenie výpadku</w:t>
      </w:r>
      <w:r w:rsidR="006F691B">
        <w:rPr>
          <w:noProof/>
        </w:rPr>
        <w:t xml:space="preserve"> v </w:t>
      </w:r>
      <w:r w:rsidRPr="006F691B">
        <w:rPr>
          <w:noProof/>
        </w:rPr>
        <w:t>dohľade</w:t>
      </w:r>
      <w:r w:rsidR="006F691B">
        <w:rPr>
          <w:noProof/>
        </w:rPr>
        <w:t xml:space="preserve"> v </w:t>
      </w:r>
      <w:r w:rsidRPr="006F691B">
        <w:rPr>
          <w:noProof/>
        </w:rPr>
        <w:t>rámci postupu pri nadmernom deficite si vyžaduje, aby členské štáty svoje strednodobé fiškálno-štrukturálne plány predložili včas. Tento harmonogram je výnimočný</w:t>
      </w:r>
      <w:r w:rsidR="006F691B">
        <w:rPr>
          <w:noProof/>
        </w:rPr>
        <w:t xml:space="preserve"> a </w:t>
      </w:r>
      <w:r w:rsidRPr="006F691B">
        <w:rPr>
          <w:noProof/>
        </w:rPr>
        <w:t>súvisí</w:t>
      </w:r>
      <w:r w:rsidR="006F691B">
        <w:rPr>
          <w:noProof/>
        </w:rPr>
        <w:t xml:space="preserve"> s </w:t>
      </w:r>
      <w:r w:rsidRPr="006F691B">
        <w:rPr>
          <w:noProof/>
        </w:rPr>
        <w:t>prechodom na nový rámec, takže sa ním nevytvára precedens. Rada zároveň berie na vedomie, že ak sa strednodobý plán nepredloží včas,</w:t>
      </w:r>
      <w:r w:rsidR="006F691B">
        <w:rPr>
          <w:noProof/>
        </w:rPr>
        <w:t xml:space="preserve"> v </w:t>
      </w:r>
      <w:r w:rsidRPr="006F691B">
        <w:rPr>
          <w:noProof/>
        </w:rPr>
        <w:t>odporúčaní Komisie na odporúčanie Rady podľa článku 126 ods. 7 sa zohľadní referenčná trajektória, ktorú danému členskému štátu zaslala Komisia</w:t>
      </w:r>
      <w:r w:rsidR="006F691B">
        <w:rPr>
          <w:noProof/>
        </w:rPr>
        <w:t xml:space="preserve"> a </w:t>
      </w:r>
      <w:r w:rsidRPr="006F691B">
        <w:rPr>
          <w:noProof/>
        </w:rPr>
        <w:t>ktorá bola určená podľa nariadenia (EÚ) 2024/1263,</w:t>
      </w:r>
    </w:p>
    <w:p w14:paraId="0303EBA3" w14:textId="77777777" w:rsidR="006F691B" w:rsidRDefault="001D582E" w:rsidP="00197315">
      <w:pPr>
        <w:pStyle w:val="Formuledadoption"/>
        <w:rPr>
          <w:noProof/>
        </w:rPr>
      </w:pPr>
      <w:r w:rsidRPr="006F691B">
        <w:rPr>
          <w:noProof/>
        </w:rPr>
        <w:t>PRIJALA TOTO ROZHODNUTIE</w:t>
      </w:r>
      <w:r w:rsidR="006F691B">
        <w:rPr>
          <w:noProof/>
        </w:rPr>
        <w:t>:</w:t>
      </w:r>
    </w:p>
    <w:p w14:paraId="24FBE70D" w14:textId="0618DDDC" w:rsidR="001D582E" w:rsidRPr="006F691B" w:rsidRDefault="001D582E" w:rsidP="00197315">
      <w:pPr>
        <w:pStyle w:val="Titrearticle"/>
        <w:rPr>
          <w:noProof/>
        </w:rPr>
      </w:pPr>
      <w:r w:rsidRPr="006F691B">
        <w:rPr>
          <w:noProof/>
        </w:rPr>
        <w:t>Článok 1</w:t>
      </w:r>
    </w:p>
    <w:p w14:paraId="6EDBB5D6" w14:textId="65CF47A1" w:rsidR="001D582E" w:rsidRPr="006F691B" w:rsidRDefault="00173628" w:rsidP="00197315">
      <w:pPr>
        <w:rPr>
          <w:noProof/>
        </w:rPr>
      </w:pPr>
      <w:r w:rsidRPr="006F691B">
        <w:rPr>
          <w:noProof/>
        </w:rPr>
        <w:t>Z celkového zhodnotenia vyplýva, že</w:t>
      </w:r>
      <w:r w:rsidR="006F691B">
        <w:rPr>
          <w:noProof/>
        </w:rPr>
        <w:t xml:space="preserve"> v </w:t>
      </w:r>
      <w:r w:rsidRPr="006F691B">
        <w:rPr>
          <w:noProof/>
        </w:rPr>
        <w:t>Maďarsku</w:t>
      </w:r>
      <w:r w:rsidR="006F691B">
        <w:rPr>
          <w:noProof/>
        </w:rPr>
        <w:t xml:space="preserve"> z </w:t>
      </w:r>
      <w:r w:rsidRPr="006F691B">
        <w:rPr>
          <w:noProof/>
        </w:rPr>
        <w:t>dôvodu nedodržania kritéria deficitu existuje nadmerný deficit.</w:t>
      </w:r>
    </w:p>
    <w:p w14:paraId="67B7FCB1" w14:textId="560E03B6" w:rsidR="001D582E" w:rsidRPr="006F691B" w:rsidRDefault="001D582E" w:rsidP="00AD6C04">
      <w:pPr>
        <w:pStyle w:val="Titrearticle"/>
        <w:rPr>
          <w:noProof/>
        </w:rPr>
      </w:pPr>
      <w:r w:rsidRPr="006F691B">
        <w:rPr>
          <w:noProof/>
        </w:rPr>
        <w:t xml:space="preserve">Článok 2 </w:t>
      </w:r>
      <w:r w:rsidRPr="006F691B">
        <w:rPr>
          <w:noProof/>
        </w:rPr>
        <w:br/>
      </w:r>
    </w:p>
    <w:p w14:paraId="0C2BC45D" w14:textId="77777777" w:rsidR="006F691B" w:rsidRDefault="00173628" w:rsidP="00197315">
      <w:pPr>
        <w:keepNext/>
        <w:keepLines/>
        <w:rPr>
          <w:noProof/>
        </w:rPr>
      </w:pPr>
      <w:r w:rsidRPr="006F691B">
        <w:rPr>
          <w:noProof/>
        </w:rPr>
        <w:t xml:space="preserve">Toto odporúčanie je určené </w:t>
      </w:r>
      <w:r w:rsidRPr="006F691B">
        <w:rPr>
          <w:noProof/>
          <w:color w:val="000000"/>
        </w:rPr>
        <w:t>Maďarsku</w:t>
      </w:r>
      <w:r w:rsidR="006F691B">
        <w:rPr>
          <w:noProof/>
        </w:rPr>
        <w:t>.</w:t>
      </w:r>
    </w:p>
    <w:p w14:paraId="63EDEB11" w14:textId="0DE6B9DE" w:rsidR="001D582E" w:rsidRPr="006F691B" w:rsidRDefault="006F691B" w:rsidP="00AD6C04">
      <w:pPr>
        <w:pStyle w:val="Fait"/>
        <w:rPr>
          <w:noProof/>
        </w:rPr>
      </w:pPr>
      <w:r>
        <w:rPr>
          <w:noProof/>
        </w:rPr>
        <w:t>V Bruseli</w:t>
      </w:r>
    </w:p>
    <w:p w14:paraId="395FC70A" w14:textId="77777777" w:rsidR="001D582E" w:rsidRPr="006F691B" w:rsidRDefault="001D582E" w:rsidP="00AD6C04">
      <w:pPr>
        <w:pStyle w:val="Institutionquisigne"/>
        <w:rPr>
          <w:noProof/>
        </w:rPr>
      </w:pPr>
      <w:r w:rsidRPr="006F691B">
        <w:rPr>
          <w:noProof/>
        </w:rPr>
        <w:tab/>
        <w:t>Za Radu</w:t>
      </w:r>
    </w:p>
    <w:p w14:paraId="2A6398A3" w14:textId="77777777" w:rsidR="001D582E" w:rsidRPr="006F691B" w:rsidRDefault="001D582E" w:rsidP="001D582E">
      <w:pPr>
        <w:pStyle w:val="Personnequisigne"/>
        <w:rPr>
          <w:noProof/>
        </w:rPr>
      </w:pPr>
      <w:r w:rsidRPr="006F691B">
        <w:rPr>
          <w:noProof/>
        </w:rPr>
        <w:tab/>
        <w:t>predsedníčka/predseda</w:t>
      </w:r>
    </w:p>
    <w:sectPr w:rsidR="001D582E" w:rsidRPr="006F691B" w:rsidSect="003E7A7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F851B" w14:textId="77777777" w:rsidR="00E94075" w:rsidRDefault="00E94075" w:rsidP="001D582E">
      <w:pPr>
        <w:spacing w:before="0" w:after="0"/>
      </w:pPr>
      <w:r>
        <w:separator/>
      </w:r>
    </w:p>
  </w:endnote>
  <w:endnote w:type="continuationSeparator" w:id="0">
    <w:p w14:paraId="62064083" w14:textId="77777777" w:rsidR="00E94075" w:rsidRDefault="00E94075" w:rsidP="001D58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D4D1" w14:textId="0449B004" w:rsidR="003E7A7D" w:rsidRPr="003E7A7D" w:rsidRDefault="003E7A7D" w:rsidP="003E7A7D">
    <w:pPr>
      <w:pStyle w:val="Footer"/>
      <w:rPr>
        <w:rFonts w:ascii="Arial" w:hAnsi="Arial" w:cs="Arial"/>
        <w:b/>
        <w:sz w:val="48"/>
      </w:rPr>
    </w:pPr>
    <w:r w:rsidRPr="003E7A7D">
      <w:rPr>
        <w:rFonts w:ascii="Arial" w:hAnsi="Arial" w:cs="Arial"/>
        <w:b/>
        <w:sz w:val="48"/>
      </w:rPr>
      <w:t>SK</w:t>
    </w:r>
    <w:r w:rsidRPr="003E7A7D">
      <w:rPr>
        <w:rFonts w:ascii="Arial" w:hAnsi="Arial" w:cs="Arial"/>
        <w:b/>
        <w:sz w:val="48"/>
      </w:rPr>
      <w:tab/>
    </w:r>
    <w:r w:rsidRPr="003E7A7D">
      <w:rPr>
        <w:rFonts w:ascii="Arial" w:hAnsi="Arial" w:cs="Arial"/>
        <w:b/>
        <w:sz w:val="48"/>
      </w:rPr>
      <w:tab/>
    </w:r>
    <w:r w:rsidRPr="003E7A7D">
      <w:tab/>
    </w:r>
    <w:r w:rsidRPr="003E7A7D"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2E38" w14:textId="7B8AE381" w:rsidR="003E7A7D" w:rsidRPr="003E7A7D" w:rsidRDefault="003E7A7D" w:rsidP="003E7A7D">
    <w:pPr>
      <w:pStyle w:val="Footer"/>
      <w:rPr>
        <w:rFonts w:ascii="Arial" w:hAnsi="Arial" w:cs="Arial"/>
        <w:b/>
        <w:sz w:val="48"/>
      </w:rPr>
    </w:pPr>
    <w:r w:rsidRPr="003E7A7D">
      <w:rPr>
        <w:rFonts w:ascii="Arial" w:hAnsi="Arial" w:cs="Arial"/>
        <w:b/>
        <w:sz w:val="48"/>
      </w:rPr>
      <w:t>SK</w:t>
    </w:r>
    <w:r w:rsidRPr="003E7A7D">
      <w:rPr>
        <w:rFonts w:ascii="Arial" w:hAnsi="Arial" w:cs="Arial"/>
        <w:b/>
        <w:sz w:val="48"/>
      </w:rPr>
      <w:tab/>
    </w:r>
    <w:r w:rsidRPr="003E7A7D">
      <w:rPr>
        <w:rFonts w:ascii="Arial" w:hAnsi="Arial" w:cs="Arial"/>
        <w:b/>
        <w:sz w:val="48"/>
      </w:rPr>
      <w:tab/>
    </w:r>
    <w:r w:rsidRPr="003E7A7D">
      <w:tab/>
    </w:r>
    <w:r w:rsidRPr="003E7A7D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3A268" w14:textId="77777777" w:rsidR="003E7A7D" w:rsidRDefault="003E7A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8897D" w14:textId="36731F11" w:rsidR="003E7A7D" w:rsidRPr="003E7A7D" w:rsidRDefault="003E7A7D" w:rsidP="003E7A7D">
    <w:pPr>
      <w:pStyle w:val="Footer"/>
      <w:rPr>
        <w:rFonts w:ascii="Arial" w:hAnsi="Arial" w:cs="Arial"/>
        <w:b/>
        <w:sz w:val="48"/>
      </w:rPr>
    </w:pPr>
    <w:r w:rsidRPr="003E7A7D">
      <w:rPr>
        <w:rFonts w:ascii="Arial" w:hAnsi="Arial" w:cs="Arial"/>
        <w:b/>
        <w:sz w:val="48"/>
      </w:rPr>
      <w:t>SK</w:t>
    </w:r>
    <w:r w:rsidRPr="003E7A7D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AD6C04">
      <w:rPr>
        <w:noProof/>
      </w:rPr>
      <w:t>3</w:t>
    </w:r>
    <w:r>
      <w:fldChar w:fldCharType="end"/>
    </w:r>
    <w:r>
      <w:tab/>
    </w:r>
    <w:r w:rsidRPr="003E7A7D">
      <w:tab/>
    </w:r>
    <w:r w:rsidRPr="003E7A7D">
      <w:rPr>
        <w:rFonts w:ascii="Arial" w:hAnsi="Arial" w:cs="Arial"/>
        <w:b/>
        <w:sz w:val="48"/>
      </w:rPr>
      <w:t>SK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E1D2D" w14:textId="77777777" w:rsidR="003E7A7D" w:rsidRDefault="003E7A7D" w:rsidP="003E7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1F481" w14:textId="77777777" w:rsidR="00E94075" w:rsidRDefault="00E94075" w:rsidP="001D582E">
      <w:pPr>
        <w:spacing w:before="0" w:after="0"/>
      </w:pPr>
      <w:r>
        <w:separator/>
      </w:r>
    </w:p>
  </w:footnote>
  <w:footnote w:type="continuationSeparator" w:id="0">
    <w:p w14:paraId="6BF22AFA" w14:textId="77777777" w:rsidR="00E94075" w:rsidRDefault="00E94075" w:rsidP="001D582E">
      <w:pPr>
        <w:spacing w:before="0" w:after="0"/>
      </w:pPr>
      <w:r>
        <w:continuationSeparator/>
      </w:r>
    </w:p>
  </w:footnote>
  <w:footnote w:id="1">
    <w:p w14:paraId="184210A1" w14:textId="77777777" w:rsidR="003A4E88" w:rsidRPr="006F691B" w:rsidRDefault="003A4E88" w:rsidP="003A4E88">
      <w:pPr>
        <w:pStyle w:val="FootnoteText"/>
      </w:pPr>
      <w:r w:rsidRPr="006F691B">
        <w:t>(</w:t>
      </w:r>
      <w:r w:rsidRPr="006F691B">
        <w:rPr>
          <w:rStyle w:val="FootnoteReference"/>
        </w:rPr>
        <w:footnoteRef/>
      </w:r>
      <w:r w:rsidRPr="006F691B">
        <w:t>)</w:t>
      </w:r>
      <w:r w:rsidRPr="006F691B">
        <w:tab/>
        <w:t xml:space="preserve">Ú. v. ES L 209, 2.8.1997, ELI: </w:t>
      </w:r>
      <w:hyperlink r:id="rId1" w:tooltip="Umožňuje prístup k tomuto dokumentu prostredníctvom identifikátora URI používaného v rámci ELI." w:history="1">
        <w:r w:rsidRPr="006F691B">
          <w:rPr>
            <w:rStyle w:val="Hyperlink"/>
            <w:color w:val="337AB7"/>
            <w:shd w:val="clear" w:color="auto" w:fill="FFFFFF"/>
          </w:rPr>
          <w:t>http://data.europa.eu/eli/reg/1997/1467/2024-04-30</w:t>
        </w:r>
      </w:hyperlink>
      <w:r w:rsidRPr="006F691B">
        <w:t>.</w:t>
      </w:r>
    </w:p>
  </w:footnote>
  <w:footnote w:id="2">
    <w:p w14:paraId="39849E1F" w14:textId="77777777" w:rsidR="003A4E88" w:rsidRPr="006F691B" w:rsidRDefault="003A4E88" w:rsidP="003A4E88">
      <w:pPr>
        <w:pStyle w:val="FootnoteText"/>
      </w:pPr>
      <w:r w:rsidRPr="006F691B">
        <w:t>(</w:t>
      </w:r>
      <w:r w:rsidRPr="006F691B">
        <w:rPr>
          <w:rStyle w:val="FootnoteReference"/>
        </w:rPr>
        <w:footnoteRef/>
      </w:r>
      <w:r w:rsidRPr="006F691B">
        <w:t>)</w:t>
      </w:r>
      <w:r w:rsidRPr="006F691B">
        <w:tab/>
        <w:t>Ú. v. EÚ L 145, 10.6.2009, s. 1.</w:t>
      </w:r>
    </w:p>
  </w:footnote>
  <w:footnote w:id="3">
    <w:p w14:paraId="2FB2D67E" w14:textId="540D5604" w:rsidR="003A4E88" w:rsidRPr="006F691B" w:rsidRDefault="003A4E88" w:rsidP="003A4E88">
      <w:pPr>
        <w:pStyle w:val="FootnoteText"/>
      </w:pPr>
      <w:r w:rsidRPr="006F691B">
        <w:t>(</w:t>
      </w:r>
      <w:r w:rsidRPr="006F691B">
        <w:rPr>
          <w:rStyle w:val="FootnoteReference"/>
        </w:rPr>
        <w:footnoteRef/>
      </w:r>
      <w:r w:rsidRPr="006F691B">
        <w:t>)</w:t>
      </w:r>
      <w:r w:rsidRPr="006F691B">
        <w:tab/>
        <w:t>Všetky dokumenty súvisiace</w:t>
      </w:r>
      <w:r w:rsidR="006F691B">
        <w:t xml:space="preserve"> s </w:t>
      </w:r>
      <w:r w:rsidRPr="006F691B">
        <w:t xml:space="preserve">postupom pri nadmernom deficite pre Maďarsko možno nájsť na adrese: </w:t>
      </w:r>
      <w:hyperlink r:id="rId2" w:history="1">
        <w:r w:rsidRPr="006F691B">
          <w:rPr>
            <w:rStyle w:val="Hyperlink"/>
          </w:rPr>
          <w:t>https://economy-finance.ec.europa.eu/economic-and-fiscal-governance/stability-and-growth-pact/corrective-arm-excessive-deficit-procedure/closed-excessive-deficit-procedures/hungary_en</w:t>
        </w:r>
      </w:hyperlink>
    </w:p>
  </w:footnote>
  <w:footnote w:id="4">
    <w:p w14:paraId="0BF44990" w14:textId="71D7BB53" w:rsidR="003A4E88" w:rsidRPr="006F691B" w:rsidRDefault="003A4E88" w:rsidP="003A4E88">
      <w:pPr>
        <w:pStyle w:val="FootnoteText"/>
      </w:pPr>
      <w:r w:rsidRPr="006F691B">
        <w:t>(</w:t>
      </w:r>
      <w:r w:rsidRPr="006F691B">
        <w:rPr>
          <w:rStyle w:val="FootnoteReference"/>
        </w:rPr>
        <w:footnoteRef/>
      </w:r>
      <w:r w:rsidRPr="006F691B">
        <w:t>)</w:t>
      </w:r>
      <w:r w:rsidRPr="006F691B">
        <w:tab/>
        <w:t xml:space="preserve">Eurostat – </w:t>
      </w:r>
      <w:r w:rsidRPr="006F691B">
        <w:rPr>
          <w:i/>
        </w:rPr>
        <w:t>Euro Indicators</w:t>
      </w:r>
      <w:r w:rsidRPr="006F691B">
        <w:t xml:space="preserve"> (Euro ukazovatele) zverejnené 22</w:t>
      </w:r>
      <w:r w:rsidR="006F691B">
        <w:t>. apríla</w:t>
      </w:r>
      <w:r w:rsidRPr="006F691B">
        <w:t xml:space="preserve"> 2024. Pozri: </w:t>
      </w:r>
      <w:hyperlink r:id="rId3" w:history="1">
        <w:r w:rsidRPr="006F691B">
          <w:rPr>
            <w:rStyle w:val="Hyperlink"/>
          </w:rPr>
          <w:t>https://ec.europa.eu/eurostat/en/web/products-euro-indicators/w/2-22042024-AP</w:t>
        </w:r>
      </w:hyperlink>
      <w:r w:rsidRPr="006F691B">
        <w:t>.</w:t>
      </w:r>
    </w:p>
  </w:footnote>
  <w:footnote w:id="5">
    <w:p w14:paraId="35B6CB11" w14:textId="1D9551A0" w:rsidR="003A4E88" w:rsidRPr="006F691B" w:rsidRDefault="003A4E88" w:rsidP="003A4E88">
      <w:pPr>
        <w:pStyle w:val="FootnoteText"/>
        <w:rPr>
          <w:spacing w:val="-4"/>
        </w:rPr>
      </w:pPr>
      <w:r w:rsidRPr="006F691B">
        <w:rPr>
          <w:spacing w:val="-4"/>
        </w:rPr>
        <w:t>(</w:t>
      </w:r>
      <w:r w:rsidRPr="006F691B">
        <w:rPr>
          <w:rStyle w:val="FootnoteReference"/>
          <w:spacing w:val="-4"/>
        </w:rPr>
        <w:footnoteRef/>
      </w:r>
      <w:r w:rsidRPr="006F691B">
        <w:rPr>
          <w:spacing w:val="-4"/>
        </w:rPr>
        <w:t>)</w:t>
      </w:r>
      <w:r w:rsidRPr="006F691B">
        <w:rPr>
          <w:spacing w:val="-4"/>
        </w:rPr>
        <w:tab/>
      </w:r>
      <w:r w:rsidRPr="006F691B">
        <w:rPr>
          <w:i/>
          <w:spacing w:val="-4"/>
        </w:rPr>
        <w:t>European Economic Forecast - Spring 2024</w:t>
      </w:r>
      <w:r w:rsidRPr="006F691B">
        <w:rPr>
          <w:spacing w:val="-4"/>
        </w:rPr>
        <w:t xml:space="preserve"> (Európska hospodárska prognóza – jar 2024), </w:t>
      </w:r>
      <w:r w:rsidRPr="006F691B">
        <w:rPr>
          <w:i/>
          <w:spacing w:val="-4"/>
        </w:rPr>
        <w:t>European Economy-Institutional Paper</w:t>
      </w:r>
      <w:r w:rsidRPr="006F691B">
        <w:rPr>
          <w:spacing w:val="-4"/>
        </w:rPr>
        <w:t xml:space="preserve"> (Európske hospodárstvo – inštitucionálny dokument), </w:t>
      </w:r>
      <w:r w:rsidR="006F691B" w:rsidRPr="006F691B">
        <w:rPr>
          <w:spacing w:val="-4"/>
        </w:rPr>
        <w:t>č. </w:t>
      </w:r>
      <w:r w:rsidRPr="006F691B">
        <w:rPr>
          <w:spacing w:val="-4"/>
        </w:rPr>
        <w:t>286, 15</w:t>
      </w:r>
      <w:r w:rsidR="006F691B" w:rsidRPr="006F691B">
        <w:rPr>
          <w:spacing w:val="-4"/>
        </w:rPr>
        <w:t>. mája</w:t>
      </w:r>
      <w:r w:rsidRPr="006F691B">
        <w:rPr>
          <w:spacing w:val="-4"/>
        </w:rPr>
        <w:t xml:space="preserve">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E71F" w14:textId="77777777" w:rsidR="003E7A7D" w:rsidRDefault="003E7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A193" w14:textId="77777777" w:rsidR="003E7A7D" w:rsidRDefault="003E7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752CD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4967B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B92A7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2F033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  <w:num w:numId="12">
    <w:abstractNumId w:val="16"/>
  </w:num>
  <w:num w:numId="13">
    <w:abstractNumId w:val="4"/>
  </w:num>
  <w:num w:numId="14">
    <w:abstractNumId w:val="11"/>
  </w:num>
  <w:num w:numId="15">
    <w:abstractNumId w:val="13"/>
  </w:num>
  <w:num w:numId="16">
    <w:abstractNumId w:val="14"/>
  </w:num>
  <w:num w:numId="17">
    <w:abstractNumId w:val="6"/>
  </w:num>
  <w:num w:numId="18">
    <w:abstractNumId w:val="12"/>
  </w:num>
  <w:num w:numId="19">
    <w:abstractNumId w:val="18"/>
  </w:num>
  <w:num w:numId="20">
    <w:abstractNumId w:val="15"/>
  </w:num>
  <w:num w:numId="21">
    <w:abstractNumId w:val="8"/>
  </w:num>
  <w:num w:numId="22">
    <w:abstractNumId w:val="17"/>
  </w:num>
  <w:num w:numId="23">
    <w:abstractNumId w:val="7"/>
  </w:num>
  <w:num w:numId="24">
    <w:abstractNumId w:val="9"/>
  </w:num>
  <w:num w:numId="25">
    <w:abstractNumId w:val="10"/>
  </w:num>
  <w:num w:numId="26">
    <w:abstractNumId w:val="5"/>
  </w:num>
  <w:num w:numId="27">
    <w:abstractNumId w:val="16"/>
  </w:num>
  <w:num w:numId="28">
    <w:abstractNumId w:val="4"/>
  </w:num>
  <w:num w:numId="29">
    <w:abstractNumId w:val="11"/>
  </w:num>
  <w:num w:numId="30">
    <w:abstractNumId w:val="13"/>
  </w:num>
  <w:num w:numId="31">
    <w:abstractNumId w:val="14"/>
  </w:num>
  <w:num w:numId="32">
    <w:abstractNumId w:val="6"/>
  </w:num>
  <w:num w:numId="33">
    <w:abstractNumId w:val="12"/>
  </w:num>
  <w:num w:numId="34">
    <w:abstractNumId w:val="18"/>
  </w:num>
  <w:num w:numId="35">
    <w:abstractNumId w:val="15"/>
  </w:num>
  <w:num w:numId="36">
    <w:abstractNumId w:val="8"/>
  </w:num>
  <w:num w:numId="37">
    <w:abstractNumId w:val="17"/>
  </w:num>
  <w:num w:numId="38">
    <w:abstractNumId w:val="7"/>
  </w:num>
  <w:num w:numId="39">
    <w:abstractNumId w:val="9"/>
  </w:num>
  <w:num w:numId="40">
    <w:abstractNumId w:val="10"/>
  </w:num>
  <w:num w:numId="41">
    <w:abstractNumId w:val="5"/>
  </w:num>
  <w:num w:numId="42">
    <w:abstractNumId w:val="16"/>
  </w:num>
  <w:num w:numId="43">
    <w:abstractNumId w:val="4"/>
  </w:num>
  <w:num w:numId="44">
    <w:abstractNumId w:val="11"/>
  </w:num>
  <w:num w:numId="45">
    <w:abstractNumId w:val="13"/>
  </w:num>
  <w:num w:numId="46">
    <w:abstractNumId w:val="14"/>
  </w:num>
  <w:num w:numId="47">
    <w:abstractNumId w:val="6"/>
  </w:num>
  <w:num w:numId="48">
    <w:abstractNumId w:val="12"/>
  </w:num>
  <w:num w:numId="4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4-07-08 15:31:5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24C99B61-48D9-4428-AFD8-36D291D918F1"/>
    <w:docVar w:name="LW_COVERPAGE_TYPE" w:val="1"/>
    <w:docVar w:name="LW_CROSSREFERENCE" w:val="&lt;UNUSED&gt;"/>
    <w:docVar w:name="LW_DocType" w:val="COM"/>
    <w:docVar w:name="LW_EMISSION" w:val="8. 7. 2024"/>
    <w:docVar w:name="LW_EMISSION_ISODATE" w:val="2024-07-08"/>
    <w:docVar w:name="LW_EMISSION_LOCATION" w:val="BRX"/>
    <w:docVar w:name="LW_EMISSION_PREFIX" w:val="V Bruseli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SERT_EXP.MOTIFS.NEW" w:val="1"/>
    <w:docVar w:name="LW_INTERETEEE.CP" w:val="&lt;UNUSED&gt;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71"/>
    <w:docVar w:name="LW_REF.II.NEW.CP_YEAR" w:val="2024"/>
    <w:docVar w:name="LW_REF.INST.NEW" w:val="COM"/>
    <w:docVar w:name="LW_REF.INST.NEW_ADOPTED" w:val="final"/>
    <w:docVar w:name="LW_REF.INST.NEW_TEXT" w:val="(2024) 51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Návrh"/>
    <w:docVar w:name="LW_SUPERTITRE" w:val="&lt;UNUSED&gt;"/>
    <w:docVar w:name="LW_TITRE.OBJ.CP" w:val="o existencii nadmerného deficitu v Ma\u271?arsku _x000b_"/>
    <w:docVar w:name="LW_TYPE.DOC.CP" w:val="ROZHODNUTIE RADY"/>
    <w:docVar w:name="LwApiVersions" w:val="LW4CoDe 1.24.5.0; LW 9.0, Build 20240221"/>
  </w:docVars>
  <w:rsids>
    <w:rsidRoot w:val="001D582E"/>
    <w:rsid w:val="00057729"/>
    <w:rsid w:val="000A1D6C"/>
    <w:rsid w:val="000B5781"/>
    <w:rsid w:val="001065F5"/>
    <w:rsid w:val="001238EF"/>
    <w:rsid w:val="00154FA1"/>
    <w:rsid w:val="00173628"/>
    <w:rsid w:val="00192FED"/>
    <w:rsid w:val="00197613"/>
    <w:rsid w:val="001A67D1"/>
    <w:rsid w:val="001D2F35"/>
    <w:rsid w:val="001D582E"/>
    <w:rsid w:val="001D6912"/>
    <w:rsid w:val="00233DC7"/>
    <w:rsid w:val="00247779"/>
    <w:rsid w:val="00285BEE"/>
    <w:rsid w:val="0029533F"/>
    <w:rsid w:val="002B30AF"/>
    <w:rsid w:val="002C7D46"/>
    <w:rsid w:val="00305B05"/>
    <w:rsid w:val="0033344A"/>
    <w:rsid w:val="00381898"/>
    <w:rsid w:val="003843C8"/>
    <w:rsid w:val="003977C3"/>
    <w:rsid w:val="003A4E88"/>
    <w:rsid w:val="003C1A59"/>
    <w:rsid w:val="003E7A7D"/>
    <w:rsid w:val="0041563E"/>
    <w:rsid w:val="0042648E"/>
    <w:rsid w:val="00447CBD"/>
    <w:rsid w:val="004936D2"/>
    <w:rsid w:val="00496D27"/>
    <w:rsid w:val="004B2C08"/>
    <w:rsid w:val="004B77D4"/>
    <w:rsid w:val="004F442D"/>
    <w:rsid w:val="005B1EB6"/>
    <w:rsid w:val="005C6312"/>
    <w:rsid w:val="00617F01"/>
    <w:rsid w:val="00673674"/>
    <w:rsid w:val="006D6824"/>
    <w:rsid w:val="006F35C6"/>
    <w:rsid w:val="006F691B"/>
    <w:rsid w:val="00737E59"/>
    <w:rsid w:val="007506E7"/>
    <w:rsid w:val="00773331"/>
    <w:rsid w:val="007851A2"/>
    <w:rsid w:val="007932EF"/>
    <w:rsid w:val="007A2A86"/>
    <w:rsid w:val="007C3BD0"/>
    <w:rsid w:val="007E05B0"/>
    <w:rsid w:val="007E509C"/>
    <w:rsid w:val="007F6439"/>
    <w:rsid w:val="00817DC5"/>
    <w:rsid w:val="00844EB3"/>
    <w:rsid w:val="008747CE"/>
    <w:rsid w:val="00874D22"/>
    <w:rsid w:val="008A2914"/>
    <w:rsid w:val="008B3852"/>
    <w:rsid w:val="008C7941"/>
    <w:rsid w:val="008D2304"/>
    <w:rsid w:val="008D2556"/>
    <w:rsid w:val="008E4D8E"/>
    <w:rsid w:val="009844D4"/>
    <w:rsid w:val="00A67DF1"/>
    <w:rsid w:val="00A73CAA"/>
    <w:rsid w:val="00AA6CD1"/>
    <w:rsid w:val="00AC577D"/>
    <w:rsid w:val="00AD6C04"/>
    <w:rsid w:val="00B60399"/>
    <w:rsid w:val="00BA3ECB"/>
    <w:rsid w:val="00BE3763"/>
    <w:rsid w:val="00C0379F"/>
    <w:rsid w:val="00C12301"/>
    <w:rsid w:val="00C54EE9"/>
    <w:rsid w:val="00CA7319"/>
    <w:rsid w:val="00D05710"/>
    <w:rsid w:val="00D20381"/>
    <w:rsid w:val="00D57199"/>
    <w:rsid w:val="00E17804"/>
    <w:rsid w:val="00E810CB"/>
    <w:rsid w:val="00E94075"/>
    <w:rsid w:val="00F02EB4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E0429F1"/>
  <w15:docId w15:val="{58A95BC8-475F-4596-A42D-58DE64C3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73628"/>
  </w:style>
  <w:style w:type="character" w:customStyle="1" w:styleId="eop">
    <w:name w:val="eop"/>
    <w:basedOn w:val="DefaultParagraphFont"/>
    <w:rsid w:val="00173628"/>
  </w:style>
  <w:style w:type="character" w:styleId="CommentReference">
    <w:name w:val="annotation reference"/>
    <w:basedOn w:val="DefaultParagraphFont"/>
    <w:uiPriority w:val="99"/>
    <w:semiHidden/>
    <w:unhideWhenUsed/>
    <w:rsid w:val="008B3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852"/>
    <w:rPr>
      <w:rFonts w:ascii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852"/>
    <w:rPr>
      <w:rFonts w:ascii="Times New Roman" w:hAnsi="Times New Roman" w:cs="Times New Roman"/>
      <w:b/>
      <w:bCs/>
      <w:sz w:val="20"/>
      <w:szCs w:val="20"/>
      <w:lang w:val="sk-SK"/>
    </w:rPr>
  </w:style>
  <w:style w:type="character" w:styleId="Hyperlink">
    <w:name w:val="Hyperlink"/>
    <w:basedOn w:val="DefaultParagraphFont"/>
    <w:uiPriority w:val="99"/>
    <w:unhideWhenUsed/>
    <w:rsid w:val="008B38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85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0A1D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1D6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1D6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1D6C"/>
    <w:pPr>
      <w:numPr>
        <w:numId w:val="4"/>
      </w:numPr>
      <w:contextualSpacing/>
    </w:pPr>
  </w:style>
  <w:style w:type="paragraph" w:styleId="Revision">
    <w:name w:val="Revision"/>
    <w:hidden/>
    <w:uiPriority w:val="99"/>
    <w:semiHidden/>
    <w:rsid w:val="003A4E8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3A4E88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paragraph" w:customStyle="1" w:styleId="Recital">
    <w:name w:val="Recital"/>
    <w:basedOn w:val="Considrant"/>
    <w:link w:val="RecitalChar"/>
    <w:qFormat/>
    <w:rsid w:val="003A4E88"/>
    <w:pPr>
      <w:tabs>
        <w:tab w:val="clear" w:pos="709"/>
        <w:tab w:val="num" w:pos="851"/>
      </w:tabs>
      <w:ind w:left="851" w:hanging="851"/>
    </w:pPr>
    <w:rPr>
      <w:lang w:eastAsia="ja-JP"/>
    </w:rPr>
  </w:style>
  <w:style w:type="character" w:customStyle="1" w:styleId="ConsidrantChar">
    <w:name w:val="Considérant Char"/>
    <w:basedOn w:val="DefaultParagraphFont"/>
    <w:rsid w:val="003A4E88"/>
    <w:rPr>
      <w:rFonts w:ascii="Times New Roman" w:hAnsi="Times New Roman" w:cs="Times New Roman"/>
      <w:sz w:val="24"/>
      <w:lang w:val="sk-SK"/>
    </w:rPr>
  </w:style>
  <w:style w:type="character" w:customStyle="1" w:styleId="RecitalChar">
    <w:name w:val="Recital Char"/>
    <w:basedOn w:val="ConsidrantChar"/>
    <w:link w:val="Recital"/>
    <w:rsid w:val="003A4E88"/>
    <w:rPr>
      <w:rFonts w:ascii="Times New Roman" w:hAnsi="Times New Roman" w:cs="Times New Roman"/>
      <w:sz w:val="24"/>
      <w:lang w:val="sk-SK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3E7A7D"/>
    <w:rPr>
      <w:rFonts w:ascii="Times New Roman" w:hAnsi="Times New Roman" w:cs="Times New Roman"/>
      <w:sz w:val="24"/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3E7A7D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link w:val="FootnotesymbolCarZchn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3E7A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3E7A7D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3E7A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5"/>
      </w:numPr>
    </w:pPr>
  </w:style>
  <w:style w:type="paragraph" w:customStyle="1" w:styleId="Tiret1">
    <w:name w:val="Tiret 1"/>
    <w:basedOn w:val="Point1"/>
    <w:pPr>
      <w:numPr>
        <w:numId w:val="36"/>
      </w:numPr>
    </w:pPr>
  </w:style>
  <w:style w:type="paragraph" w:customStyle="1" w:styleId="Tiret2">
    <w:name w:val="Tiret 2"/>
    <w:basedOn w:val="Point2"/>
    <w:pPr>
      <w:numPr>
        <w:numId w:val="37"/>
      </w:numPr>
    </w:pPr>
  </w:style>
  <w:style w:type="paragraph" w:customStyle="1" w:styleId="Tiret3">
    <w:name w:val="Tiret 3"/>
    <w:basedOn w:val="Point3"/>
    <w:pPr>
      <w:numPr>
        <w:numId w:val="38"/>
      </w:numPr>
    </w:pPr>
  </w:style>
  <w:style w:type="paragraph" w:customStyle="1" w:styleId="Tiret4">
    <w:name w:val="Tiret 4"/>
    <w:basedOn w:val="Point4"/>
    <w:pPr>
      <w:numPr>
        <w:numId w:val="39"/>
      </w:numPr>
    </w:pPr>
  </w:style>
  <w:style w:type="paragraph" w:customStyle="1" w:styleId="Tiret5">
    <w:name w:val="Tiret 5"/>
    <w:basedOn w:val="Point5"/>
    <w:pPr>
      <w:numPr>
        <w:numId w:val="4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4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4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4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3"/>
      </w:numPr>
    </w:pPr>
  </w:style>
  <w:style w:type="paragraph" w:customStyle="1" w:styleId="Point1number">
    <w:name w:val="Point 1 (number)"/>
    <w:basedOn w:val="Normal"/>
    <w:pPr>
      <w:numPr>
        <w:ilvl w:val="2"/>
        <w:numId w:val="43"/>
      </w:numPr>
    </w:pPr>
  </w:style>
  <w:style w:type="paragraph" w:customStyle="1" w:styleId="Point2number">
    <w:name w:val="Point 2 (number)"/>
    <w:basedOn w:val="Normal"/>
    <w:pPr>
      <w:numPr>
        <w:ilvl w:val="4"/>
        <w:numId w:val="43"/>
      </w:numPr>
    </w:pPr>
  </w:style>
  <w:style w:type="paragraph" w:customStyle="1" w:styleId="Point3number">
    <w:name w:val="Point 3 (number)"/>
    <w:basedOn w:val="Normal"/>
    <w:pPr>
      <w:numPr>
        <w:ilvl w:val="6"/>
        <w:numId w:val="43"/>
      </w:numPr>
    </w:pPr>
  </w:style>
  <w:style w:type="paragraph" w:customStyle="1" w:styleId="Point0letter">
    <w:name w:val="Point 0 (letter)"/>
    <w:basedOn w:val="Normal"/>
    <w:pPr>
      <w:numPr>
        <w:ilvl w:val="1"/>
        <w:numId w:val="43"/>
      </w:numPr>
    </w:pPr>
  </w:style>
  <w:style w:type="paragraph" w:customStyle="1" w:styleId="Point1letter">
    <w:name w:val="Point 1 (letter)"/>
    <w:basedOn w:val="Normal"/>
    <w:pPr>
      <w:numPr>
        <w:ilvl w:val="3"/>
        <w:numId w:val="43"/>
      </w:numPr>
    </w:pPr>
  </w:style>
  <w:style w:type="paragraph" w:customStyle="1" w:styleId="Point2letter">
    <w:name w:val="Point 2 (letter)"/>
    <w:basedOn w:val="Normal"/>
    <w:pPr>
      <w:numPr>
        <w:ilvl w:val="5"/>
        <w:numId w:val="43"/>
      </w:numPr>
    </w:pPr>
  </w:style>
  <w:style w:type="paragraph" w:customStyle="1" w:styleId="Point3letter">
    <w:name w:val="Point 3 (letter)"/>
    <w:basedOn w:val="Normal"/>
    <w:pPr>
      <w:numPr>
        <w:ilvl w:val="7"/>
        <w:numId w:val="43"/>
      </w:numPr>
    </w:pPr>
  </w:style>
  <w:style w:type="paragraph" w:customStyle="1" w:styleId="Point4letter">
    <w:name w:val="Point 4 (letter)"/>
    <w:basedOn w:val="Normal"/>
    <w:pPr>
      <w:numPr>
        <w:ilvl w:val="8"/>
        <w:numId w:val="43"/>
      </w:numPr>
    </w:pPr>
  </w:style>
  <w:style w:type="paragraph" w:customStyle="1" w:styleId="Bullet0">
    <w:name w:val="Bullet 0"/>
    <w:basedOn w:val="Normal"/>
    <w:pPr>
      <w:numPr>
        <w:numId w:val="44"/>
      </w:numPr>
    </w:pPr>
  </w:style>
  <w:style w:type="paragraph" w:customStyle="1" w:styleId="Bullet1">
    <w:name w:val="Bullet 1"/>
    <w:basedOn w:val="Normal"/>
    <w:pPr>
      <w:numPr>
        <w:numId w:val="45"/>
      </w:numPr>
    </w:pPr>
  </w:style>
  <w:style w:type="paragraph" w:customStyle="1" w:styleId="Bullet2">
    <w:name w:val="Bullet 2"/>
    <w:basedOn w:val="Normal"/>
    <w:pPr>
      <w:numPr>
        <w:numId w:val="46"/>
      </w:numPr>
    </w:pPr>
  </w:style>
  <w:style w:type="paragraph" w:customStyle="1" w:styleId="Bullet3">
    <w:name w:val="Bullet 3"/>
    <w:basedOn w:val="Normal"/>
    <w:pPr>
      <w:numPr>
        <w:numId w:val="47"/>
      </w:numPr>
    </w:pPr>
  </w:style>
  <w:style w:type="paragraph" w:customStyle="1" w:styleId="Bullet4">
    <w:name w:val="Bullet 4"/>
    <w:basedOn w:val="Normal"/>
    <w:pPr>
      <w:numPr>
        <w:numId w:val="4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E7A7D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3E7A7D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3E7A7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3E7A7D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ec.europa.eu/eurostat/en/web/products-euro-indicators/w/2-22042024-AP" TargetMode="External"/><Relationship Id="rId2" Type="http://schemas.openxmlformats.org/officeDocument/2006/relationships/hyperlink" Target="https://economy-finance.ec.europa.eu/economic-and-fiscal-governance/stability-and-growth-pact/corrective-arm-excessive-deficit-procedure/closed-excessive-deficit-procedures/hungary_en" TargetMode="External"/><Relationship Id="rId1" Type="http://schemas.openxmlformats.org/officeDocument/2006/relationships/hyperlink" Target="http://data.europa.eu/eli/reg/1997/1467/2024-04-30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19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51</cp:revision>
  <dcterms:created xsi:type="dcterms:W3CDTF">2024-06-15T12:06:00Z</dcterms:created>
  <dcterms:modified xsi:type="dcterms:W3CDTF">2024-07-08T13:31:00Z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9.0, Build 20230317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SJ-019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2024-06-13T10:17:56Z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6e3e9964-6ecb-4b28-b09b-8d709cda6cad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DQCStatus">
    <vt:lpwstr>Green (DQC version 03)</vt:lpwstr>
  </property>
  <property name="OP_sanitized" fmtid="{D5CDD505-2E9C-101B-9397-08002B2CF9AE}" pid="18">
    <vt:lpwstr>True</vt:lpwstr>
  </property>
</Properties>
</file>