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99B" w:rsidRPr="00F11814" w:rsidRDefault="000730CF" w:rsidP="000730CF">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98389367-F914-48EA-8283-F0435E117206" style="width:455.25pt;height:369.75pt">
            <v:imagedata r:id="rId11" o:title=""/>
          </v:shape>
        </w:pict>
      </w:r>
    </w:p>
    <w:p w:rsidR="00C5199B" w:rsidRPr="00F11814" w:rsidRDefault="00C5199B" w:rsidP="00C5199B">
      <w:pPr>
        <w:rPr>
          <w:noProof/>
        </w:rPr>
        <w:sectPr w:rsidR="00C5199B" w:rsidRPr="00F11814" w:rsidSect="000730CF">
          <w:footerReference w:type="even" r:id="rId12"/>
          <w:footerReference w:type="default" r:id="rId13"/>
          <w:pgSz w:w="11907" w:h="16839"/>
          <w:pgMar w:top="1134" w:right="1417" w:bottom="1134" w:left="1417" w:header="709" w:footer="709" w:gutter="0"/>
          <w:pgNumType w:start="0"/>
          <w:cols w:space="720"/>
          <w:docGrid w:linePitch="360"/>
        </w:sectPr>
      </w:pPr>
    </w:p>
    <w:p w:rsidR="00C5199B" w:rsidRPr="00F11814" w:rsidRDefault="00C5199B" w:rsidP="00BB6B30">
      <w:pPr>
        <w:pStyle w:val="Exposdesmotifstitre"/>
        <w:rPr>
          <w:noProof/>
        </w:rPr>
      </w:pPr>
      <w:bookmarkStart w:id="0" w:name="_GoBack"/>
      <w:bookmarkEnd w:id="0"/>
      <w:r w:rsidRPr="00F11814">
        <w:rPr>
          <w:noProof/>
        </w:rPr>
        <w:lastRenderedPageBreak/>
        <w:t>DÔVODOVÁ SPRÁVA</w:t>
      </w:r>
    </w:p>
    <w:p w:rsidR="00C5199B" w:rsidRPr="00F11814" w:rsidRDefault="00C5199B" w:rsidP="00C5199B">
      <w:pPr>
        <w:rPr>
          <w:noProof/>
        </w:rPr>
      </w:pPr>
      <w:r w:rsidRPr="00F11814">
        <w:rPr>
          <w:noProof/>
        </w:rPr>
        <w:t>Podľa článku 395 ods. 1 smernice 2006/112/ES</w:t>
      </w:r>
      <w:r w:rsidR="00F11814">
        <w:rPr>
          <w:noProof/>
        </w:rPr>
        <w:t xml:space="preserve"> z </w:t>
      </w:r>
      <w:r w:rsidRPr="00F11814">
        <w:rPr>
          <w:noProof/>
        </w:rPr>
        <w:t>28</w:t>
      </w:r>
      <w:r w:rsidR="00F11814">
        <w:rPr>
          <w:noProof/>
        </w:rPr>
        <w:t>. novembra</w:t>
      </w:r>
      <w:r w:rsidRPr="00F11814">
        <w:rPr>
          <w:noProof/>
        </w:rPr>
        <w:t xml:space="preserve"> 2006</w:t>
      </w:r>
      <w:r w:rsidR="00F11814">
        <w:rPr>
          <w:noProof/>
        </w:rPr>
        <w:t xml:space="preserve"> o </w:t>
      </w:r>
      <w:r w:rsidRPr="00F11814">
        <w:rPr>
          <w:noProof/>
        </w:rPr>
        <w:t>spoločnom systéme dane</w:t>
      </w:r>
      <w:r w:rsidR="00F11814">
        <w:rPr>
          <w:noProof/>
        </w:rPr>
        <w:t xml:space="preserve"> z </w:t>
      </w:r>
      <w:r w:rsidRPr="00F11814">
        <w:rPr>
          <w:noProof/>
        </w:rPr>
        <w:t>pridanej hodnoty</w:t>
      </w:r>
      <w:r w:rsidRPr="00F11814">
        <w:rPr>
          <w:rStyle w:val="FootnoteReference"/>
          <w:noProof/>
        </w:rPr>
        <w:footnoteReference w:id="1"/>
      </w:r>
      <w:r w:rsidRPr="00F11814">
        <w:rPr>
          <w:noProof/>
        </w:rPr>
        <w:t xml:space="preserve"> (ďalej len „smernica</w:t>
      </w:r>
      <w:r w:rsidR="00F11814">
        <w:rPr>
          <w:noProof/>
        </w:rPr>
        <w:t xml:space="preserve"> o </w:t>
      </w:r>
      <w:r w:rsidRPr="00F11814">
        <w:rPr>
          <w:noProof/>
        </w:rPr>
        <w:t>DPH“) môže Rada jednomyseľne na návrh Komisie oprávniť ktorýkoľvek členský štát, aby uplatňoval osobitné opatrenia odchyľujúce sa od ustanovení tejto smernice</w:t>
      </w:r>
      <w:r w:rsidR="00F11814">
        <w:rPr>
          <w:noProof/>
        </w:rPr>
        <w:t xml:space="preserve"> s </w:t>
      </w:r>
      <w:r w:rsidRPr="00F11814">
        <w:rPr>
          <w:noProof/>
        </w:rPr>
        <w:t>cieľom zjednodušiť výber DPH alebo zabrániť určitým formám daňových únikov alebo vyhýbaniu sa daňovým povinnostiam.</w:t>
      </w:r>
    </w:p>
    <w:p w:rsidR="00C5199B" w:rsidRPr="00F11814" w:rsidRDefault="00C5199B" w:rsidP="00C5199B">
      <w:pPr>
        <w:rPr>
          <w:noProof/>
        </w:rPr>
      </w:pPr>
      <w:bookmarkStart w:id="1" w:name="_Hlk169802088"/>
      <w:r w:rsidRPr="00F11814">
        <w:rPr>
          <w:noProof/>
        </w:rPr>
        <w:t>Listom, ktorý Komisia zaevidovala 15</w:t>
      </w:r>
      <w:r w:rsidR="00F11814">
        <w:rPr>
          <w:noProof/>
        </w:rPr>
        <w:t>. mája</w:t>
      </w:r>
      <w:r w:rsidRPr="00F11814">
        <w:rPr>
          <w:noProof/>
        </w:rPr>
        <w:t> 2024</w:t>
      </w:r>
      <w:bookmarkEnd w:id="1"/>
      <w:r w:rsidRPr="00F11814">
        <w:rPr>
          <w:noProof/>
        </w:rPr>
        <w:t>, Lotyšsko požiadalo</w:t>
      </w:r>
      <w:r w:rsidR="00F11814">
        <w:rPr>
          <w:noProof/>
        </w:rPr>
        <w:t xml:space="preserve"> o </w:t>
      </w:r>
      <w:r w:rsidRPr="00F11814">
        <w:rPr>
          <w:noProof/>
        </w:rPr>
        <w:t>povolenie naďalej uplatňovať opatrenie odchyľujúce sa od článku 26 ods. 1 písm. a)</w:t>
      </w:r>
      <w:r w:rsidR="00F11814">
        <w:rPr>
          <w:noProof/>
        </w:rPr>
        <w:t xml:space="preserve"> a </w:t>
      </w:r>
      <w:r w:rsidRPr="00F11814">
        <w:rPr>
          <w:noProof/>
        </w:rPr>
        <w:t>článkov 168</w:t>
      </w:r>
      <w:r w:rsidR="00F11814">
        <w:rPr>
          <w:noProof/>
        </w:rPr>
        <w:t xml:space="preserve"> a </w:t>
      </w:r>
      <w:r w:rsidRPr="00F11814">
        <w:rPr>
          <w:noProof/>
        </w:rPr>
        <w:t>168a smernice</w:t>
      </w:r>
      <w:r w:rsidR="00F11814">
        <w:rPr>
          <w:noProof/>
        </w:rPr>
        <w:t xml:space="preserve"> o </w:t>
      </w:r>
      <w:r w:rsidRPr="00F11814">
        <w:rPr>
          <w:noProof/>
        </w:rPr>
        <w:t>DPH</w:t>
      </w:r>
      <w:r w:rsidR="00F11814">
        <w:rPr>
          <w:noProof/>
        </w:rPr>
        <w:t xml:space="preserve"> a </w:t>
      </w:r>
      <w:r w:rsidRPr="00F11814">
        <w:rPr>
          <w:noProof/>
        </w:rPr>
        <w:t>obmedziť právo na odpočet DPH na vstupe</w:t>
      </w:r>
      <w:r w:rsidR="00F11814">
        <w:rPr>
          <w:noProof/>
        </w:rPr>
        <w:t xml:space="preserve"> v </w:t>
      </w:r>
      <w:r w:rsidRPr="00F11814">
        <w:rPr>
          <w:noProof/>
        </w:rPr>
        <w:t>spojitosti</w:t>
      </w:r>
      <w:r w:rsidR="00F11814">
        <w:rPr>
          <w:noProof/>
        </w:rPr>
        <w:t xml:space="preserve"> s </w:t>
      </w:r>
      <w:r w:rsidRPr="00F11814">
        <w:rPr>
          <w:noProof/>
        </w:rPr>
        <w:t>výdavkami na určité osobné motorové vozidlá, ktoré sa nepoužívajú výlučne na podnikateľské účely,</w:t>
      </w:r>
      <w:r w:rsidR="00F11814">
        <w:rPr>
          <w:noProof/>
        </w:rPr>
        <w:t xml:space="preserve"> a </w:t>
      </w:r>
      <w:r w:rsidRPr="00F11814">
        <w:rPr>
          <w:noProof/>
        </w:rPr>
        <w:t>oslobodiť zdaniteľné osoby od povinnosti považovať používanie takýchto vozidiel na súkromné účely za poskytovanie služieb za protihodnotu. Spolu so žiadosťou</w:t>
      </w:r>
      <w:r w:rsidR="00F11814">
        <w:rPr>
          <w:noProof/>
        </w:rPr>
        <w:t xml:space="preserve"> o </w:t>
      </w:r>
      <w:r w:rsidRPr="00F11814">
        <w:rPr>
          <w:noProof/>
        </w:rPr>
        <w:t>predĺženie platnosti Lotyšsko predložilo správu, ktorá obsahuje aj preskúmanie plánovaného percentuálneho podielu, pokiaľ ide</w:t>
      </w:r>
      <w:r w:rsidR="00F11814">
        <w:rPr>
          <w:noProof/>
        </w:rPr>
        <w:t xml:space="preserve"> o </w:t>
      </w:r>
      <w:r w:rsidRPr="00F11814">
        <w:rPr>
          <w:noProof/>
        </w:rPr>
        <w:t>obmedzenie práva na odpočet.</w:t>
      </w:r>
    </w:p>
    <w:p w:rsidR="00C5199B" w:rsidRPr="00F11814" w:rsidRDefault="00C5199B" w:rsidP="00F11814">
      <w:pPr>
        <w:spacing w:after="0"/>
        <w:rPr>
          <w:noProof/>
        </w:rPr>
      </w:pPr>
      <w:r w:rsidRPr="00F11814">
        <w:rPr>
          <w:noProof/>
        </w:rPr>
        <w:t>V súlade</w:t>
      </w:r>
      <w:r w:rsidR="00F11814">
        <w:rPr>
          <w:noProof/>
        </w:rPr>
        <w:t xml:space="preserve"> s </w:t>
      </w:r>
      <w:r w:rsidRPr="00F11814">
        <w:rPr>
          <w:noProof/>
        </w:rPr>
        <w:t>článkom 395 ods. 2 smernice</w:t>
      </w:r>
      <w:r w:rsidR="00F11814">
        <w:rPr>
          <w:noProof/>
        </w:rPr>
        <w:t xml:space="preserve"> o </w:t>
      </w:r>
      <w:r w:rsidRPr="00F11814">
        <w:rPr>
          <w:noProof/>
        </w:rPr>
        <w:t>DPH Komisia listom</w:t>
      </w:r>
      <w:r w:rsidR="00F11814">
        <w:rPr>
          <w:noProof/>
        </w:rPr>
        <w:t xml:space="preserve"> z </w:t>
      </w:r>
      <w:r w:rsidRPr="00F11814">
        <w:rPr>
          <w:noProof/>
        </w:rPr>
        <w:t>10</w:t>
      </w:r>
      <w:r w:rsidR="00F11814">
        <w:rPr>
          <w:noProof/>
        </w:rPr>
        <w:t>. septembra</w:t>
      </w:r>
      <w:r w:rsidRPr="00F11814">
        <w:rPr>
          <w:noProof/>
        </w:rPr>
        <w:t> 2024 informovala</w:t>
      </w:r>
      <w:r w:rsidR="00F11814">
        <w:rPr>
          <w:noProof/>
        </w:rPr>
        <w:t xml:space="preserve"> o </w:t>
      </w:r>
      <w:r w:rsidRPr="00F11814">
        <w:rPr>
          <w:noProof/>
        </w:rPr>
        <w:t>žiadosti predloženej Lotyšskom ostatné členské štáty. Listom</w:t>
      </w:r>
      <w:r w:rsidR="00F11814">
        <w:rPr>
          <w:noProof/>
        </w:rPr>
        <w:t xml:space="preserve"> z </w:t>
      </w:r>
      <w:r w:rsidRPr="00F11814">
        <w:rPr>
          <w:noProof/>
        </w:rPr>
        <w:t>11</w:t>
      </w:r>
      <w:r w:rsidR="00F11814">
        <w:rPr>
          <w:noProof/>
        </w:rPr>
        <w:t>. septembra</w:t>
      </w:r>
      <w:r w:rsidRPr="00F11814">
        <w:rPr>
          <w:noProof/>
        </w:rPr>
        <w:t xml:space="preserve"> 2024 Komisia oznámila Lotyšsku, že má všetky informácie potrebné na posúdenie žiadosti.</w:t>
      </w:r>
    </w:p>
    <w:p w:rsidR="00C5199B" w:rsidRPr="00F11814" w:rsidRDefault="00C5199B" w:rsidP="00F11814">
      <w:pPr>
        <w:widowControl w:val="0"/>
        <w:shd w:val="clear" w:color="auto" w:fill="FFFFFF"/>
        <w:autoSpaceDE w:val="0"/>
        <w:autoSpaceDN w:val="0"/>
        <w:adjustRightInd w:val="0"/>
        <w:spacing w:before="0" w:after="0"/>
        <w:ind w:right="85"/>
        <w:rPr>
          <w:noProof/>
        </w:rPr>
      </w:pPr>
    </w:p>
    <w:p w:rsidR="00C5199B" w:rsidRPr="00F11814" w:rsidRDefault="00C5199B" w:rsidP="00BB6B30">
      <w:pPr>
        <w:pStyle w:val="ManualHeading1"/>
        <w:rPr>
          <w:noProof/>
        </w:rPr>
      </w:pPr>
      <w:r w:rsidRPr="00F11814">
        <w:rPr>
          <w:noProof/>
        </w:rPr>
        <w:t>1.</w:t>
      </w:r>
      <w:r w:rsidRPr="00F11814">
        <w:rPr>
          <w:noProof/>
        </w:rPr>
        <w:tab/>
        <w:t>KONTEXT NÁVRHU</w:t>
      </w:r>
    </w:p>
    <w:p w:rsidR="00C5199B" w:rsidRPr="00F11814" w:rsidRDefault="00C5199B" w:rsidP="00044058">
      <w:pPr>
        <w:pStyle w:val="ManualHeading2"/>
        <w:rPr>
          <w:rFonts w:eastAsia="Arial Unicode MS"/>
          <w:noProof/>
        </w:rPr>
      </w:pPr>
      <w:r w:rsidRPr="00F11814">
        <w:rPr>
          <w:noProof/>
          <w:color w:val="000000"/>
          <w:u w:color="000000"/>
          <w:bdr w:val="nil"/>
        </w:rPr>
        <w:t>•</w:t>
      </w:r>
      <w:r w:rsidRPr="00F11814">
        <w:rPr>
          <w:noProof/>
        </w:rPr>
        <w:tab/>
        <w:t>Dôvody</w:t>
      </w:r>
      <w:r w:rsidR="00F11814">
        <w:rPr>
          <w:noProof/>
        </w:rPr>
        <w:t xml:space="preserve"> a </w:t>
      </w:r>
      <w:r w:rsidRPr="00F11814">
        <w:rPr>
          <w:noProof/>
        </w:rPr>
        <w:t>ciele návrhu</w:t>
      </w:r>
    </w:p>
    <w:p w:rsidR="00E41C65" w:rsidRPr="00F11814" w:rsidRDefault="00E41C65" w:rsidP="00E41C65">
      <w:pPr>
        <w:rPr>
          <w:noProof/>
          <w:spacing w:val="-4"/>
        </w:rPr>
      </w:pPr>
      <w:r w:rsidRPr="00F11814">
        <w:rPr>
          <w:noProof/>
          <w:spacing w:val="-4"/>
        </w:rPr>
        <w:t>V článku 168 smernice</w:t>
      </w:r>
      <w:r w:rsidR="00F11814" w:rsidRPr="00F11814">
        <w:rPr>
          <w:noProof/>
          <w:spacing w:val="-4"/>
        </w:rPr>
        <w:t xml:space="preserve"> o </w:t>
      </w:r>
      <w:r w:rsidRPr="00F11814">
        <w:rPr>
          <w:noProof/>
          <w:spacing w:val="-4"/>
        </w:rPr>
        <w:t>DPH sa stanovuje, že zdaniteľná osoba má právo na odpočet DPH účtovanej pri nákupe tovaru</w:t>
      </w:r>
      <w:r w:rsidR="00F11814" w:rsidRPr="00F11814">
        <w:rPr>
          <w:noProof/>
          <w:spacing w:val="-4"/>
        </w:rPr>
        <w:t xml:space="preserve"> a </w:t>
      </w:r>
      <w:r w:rsidRPr="00F11814">
        <w:rPr>
          <w:noProof/>
          <w:spacing w:val="-4"/>
        </w:rPr>
        <w:t>služieb na účely zdaniteľných transakcií.</w:t>
      </w:r>
      <w:r w:rsidR="00F11814" w:rsidRPr="00F11814">
        <w:rPr>
          <w:noProof/>
          <w:spacing w:val="-4"/>
        </w:rPr>
        <w:t xml:space="preserve"> V </w:t>
      </w:r>
      <w:r w:rsidRPr="00F11814">
        <w:rPr>
          <w:noProof/>
          <w:spacing w:val="-4"/>
        </w:rPr>
        <w:t>článku 168a ods. 1 smernice</w:t>
      </w:r>
      <w:r w:rsidR="00F11814" w:rsidRPr="00F11814">
        <w:rPr>
          <w:noProof/>
          <w:spacing w:val="-4"/>
        </w:rPr>
        <w:t xml:space="preserve"> o </w:t>
      </w:r>
      <w:r w:rsidRPr="00F11814">
        <w:rPr>
          <w:noProof/>
          <w:spacing w:val="-4"/>
        </w:rPr>
        <w:t>DPH sa stanovuje, že DPH</w:t>
      </w:r>
      <w:r w:rsidR="00F11814" w:rsidRPr="00F11814">
        <w:rPr>
          <w:noProof/>
          <w:spacing w:val="-4"/>
        </w:rPr>
        <w:t xml:space="preserve"> z </w:t>
      </w:r>
      <w:r w:rsidRPr="00F11814">
        <w:rPr>
          <w:noProof/>
          <w:spacing w:val="-4"/>
        </w:rPr>
        <w:t>výdavkov súvisiacich</w:t>
      </w:r>
      <w:r w:rsidR="00F11814" w:rsidRPr="00F11814">
        <w:rPr>
          <w:noProof/>
          <w:spacing w:val="-4"/>
        </w:rPr>
        <w:t xml:space="preserve"> s </w:t>
      </w:r>
      <w:r w:rsidRPr="00F11814">
        <w:rPr>
          <w:noProof/>
          <w:spacing w:val="-4"/>
        </w:rPr>
        <w:t>nehnuteľným majetkom, ktorý je súčasťou majetku podniku zdaniteľnej osoby</w:t>
      </w:r>
      <w:r w:rsidR="00F11814" w:rsidRPr="00F11814">
        <w:rPr>
          <w:noProof/>
          <w:spacing w:val="-4"/>
        </w:rPr>
        <w:t xml:space="preserve"> a </w:t>
      </w:r>
      <w:r w:rsidRPr="00F11814">
        <w:rPr>
          <w:noProof/>
          <w:spacing w:val="-4"/>
        </w:rPr>
        <w:t>používa sa tak na účely podnikateľskej činnosti, ako aj na nepodnikateľské účely, je odpočítateľná len do tej miery,</w:t>
      </w:r>
      <w:r w:rsidR="00F11814" w:rsidRPr="00F11814">
        <w:rPr>
          <w:noProof/>
          <w:spacing w:val="-4"/>
        </w:rPr>
        <w:t xml:space="preserve"> v </w:t>
      </w:r>
      <w:r w:rsidRPr="00F11814">
        <w:rPr>
          <w:noProof/>
          <w:spacing w:val="-4"/>
        </w:rPr>
        <w:t>akej sa tento majetok používa na účely podnikateľskej činnosti tejto zdaniteľnej osoby. Podľa článku 168a ods. 2 smernice</w:t>
      </w:r>
      <w:r w:rsidR="00F11814" w:rsidRPr="00F11814">
        <w:rPr>
          <w:noProof/>
          <w:spacing w:val="-4"/>
        </w:rPr>
        <w:t xml:space="preserve"> o </w:t>
      </w:r>
      <w:r w:rsidRPr="00F11814">
        <w:rPr>
          <w:noProof/>
          <w:spacing w:val="-4"/>
        </w:rPr>
        <w:t>DPH môžu členské štáty uplatňovať toto pravidlo aj vo vzťahu</w:t>
      </w:r>
      <w:r w:rsidR="00F11814" w:rsidRPr="00F11814">
        <w:rPr>
          <w:noProof/>
          <w:spacing w:val="-4"/>
        </w:rPr>
        <w:t xml:space="preserve"> k </w:t>
      </w:r>
      <w:r w:rsidRPr="00F11814">
        <w:rPr>
          <w:noProof/>
          <w:spacing w:val="-4"/>
        </w:rPr>
        <w:t>výdavkom súvisiacim</w:t>
      </w:r>
      <w:r w:rsidR="00F11814" w:rsidRPr="00F11814">
        <w:rPr>
          <w:noProof/>
          <w:spacing w:val="-4"/>
        </w:rPr>
        <w:t xml:space="preserve"> s </w:t>
      </w:r>
      <w:r w:rsidRPr="00F11814">
        <w:rPr>
          <w:noProof/>
          <w:spacing w:val="-4"/>
        </w:rPr>
        <w:t>iným tovarom, ktorý je súčasťou majetku podniku, podľa svojich kritérií.</w:t>
      </w:r>
      <w:r w:rsidR="00F11814" w:rsidRPr="00F11814">
        <w:rPr>
          <w:noProof/>
          <w:spacing w:val="-4"/>
        </w:rPr>
        <w:t xml:space="preserve"> V </w:t>
      </w:r>
      <w:r w:rsidRPr="00F11814">
        <w:rPr>
          <w:noProof/>
          <w:spacing w:val="-4"/>
        </w:rPr>
        <w:t>článku 26 ods. 1 písm. a) uvedenej smernice sa uvádza požiadavka účtovať DPH</w:t>
      </w:r>
      <w:r w:rsidR="00F11814" w:rsidRPr="00F11814">
        <w:rPr>
          <w:noProof/>
          <w:spacing w:val="-4"/>
        </w:rPr>
        <w:t xml:space="preserve"> v </w:t>
      </w:r>
      <w:r w:rsidRPr="00F11814">
        <w:rPr>
          <w:noProof/>
          <w:spacing w:val="-4"/>
        </w:rPr>
        <w:t>prípade, keď sa tovar, ktorý je súčasťou majetku podniku, poskytne na používanie na súkromné účely zdaniteľnej osoby alebo jej zamestnancov alebo všeobecnejšie na iné účely než účely jej podnikania, ak je DPH za takýto tovar úplne alebo čiastočne odpočítateľná. Tento systém umožňuje získať naspäť pôvodne odpočítanú DPH</w:t>
      </w:r>
      <w:r w:rsidR="00F11814" w:rsidRPr="00F11814">
        <w:rPr>
          <w:noProof/>
          <w:spacing w:val="-4"/>
        </w:rPr>
        <w:t xml:space="preserve"> v </w:t>
      </w:r>
      <w:r w:rsidRPr="00F11814">
        <w:rPr>
          <w:noProof/>
          <w:spacing w:val="-4"/>
        </w:rPr>
        <w:t>spojitosti</w:t>
      </w:r>
      <w:r w:rsidR="00F11814" w:rsidRPr="00F11814">
        <w:rPr>
          <w:noProof/>
          <w:spacing w:val="-4"/>
        </w:rPr>
        <w:t xml:space="preserve"> s </w:t>
      </w:r>
      <w:r w:rsidRPr="00F11814">
        <w:rPr>
          <w:noProof/>
          <w:spacing w:val="-4"/>
        </w:rPr>
        <w:t>používaním na súkromné účely.</w:t>
      </w:r>
    </w:p>
    <w:p w:rsidR="00F11814" w:rsidRPr="00F11814" w:rsidRDefault="00E41C65" w:rsidP="00E41C65">
      <w:pPr>
        <w:rPr>
          <w:noProof/>
          <w:spacing w:val="-4"/>
        </w:rPr>
      </w:pPr>
      <w:r w:rsidRPr="00F11814">
        <w:rPr>
          <w:noProof/>
          <w:spacing w:val="-4"/>
        </w:rPr>
        <w:t>Je zložité uplatňovať tento systém</w:t>
      </w:r>
      <w:r w:rsidR="00F11814" w:rsidRPr="00F11814">
        <w:rPr>
          <w:noProof/>
          <w:spacing w:val="-4"/>
        </w:rPr>
        <w:t xml:space="preserve"> v </w:t>
      </w:r>
      <w:r w:rsidRPr="00F11814">
        <w:rPr>
          <w:noProof/>
          <w:spacing w:val="-4"/>
        </w:rPr>
        <w:t>prípade osobných motorových vozidiel,</w:t>
      </w:r>
      <w:r w:rsidR="00F11814" w:rsidRPr="00F11814">
        <w:rPr>
          <w:noProof/>
          <w:spacing w:val="-4"/>
        </w:rPr>
        <w:t xml:space="preserve"> a </w:t>
      </w:r>
      <w:r w:rsidRPr="00F11814">
        <w:rPr>
          <w:noProof/>
          <w:spacing w:val="-4"/>
        </w:rPr>
        <w:t>to najmä preto, že je ťažké určiť predel medzi použitím na súkromné</w:t>
      </w:r>
      <w:r w:rsidR="00F11814" w:rsidRPr="00F11814">
        <w:rPr>
          <w:noProof/>
          <w:spacing w:val="-4"/>
        </w:rPr>
        <w:t xml:space="preserve"> a </w:t>
      </w:r>
      <w:r w:rsidRPr="00F11814">
        <w:rPr>
          <w:noProof/>
          <w:spacing w:val="-4"/>
        </w:rPr>
        <w:t>použitím na podnikateľské účely. Ak sa vedú záznamy, ich vedenie</w:t>
      </w:r>
      <w:r w:rsidR="00F11814" w:rsidRPr="00F11814">
        <w:rPr>
          <w:noProof/>
          <w:spacing w:val="-4"/>
        </w:rPr>
        <w:t xml:space="preserve"> a </w:t>
      </w:r>
      <w:r w:rsidRPr="00F11814">
        <w:rPr>
          <w:noProof/>
          <w:spacing w:val="-4"/>
        </w:rPr>
        <w:t>kontrola predstavujú pre podniky</w:t>
      </w:r>
      <w:r w:rsidR="00F11814" w:rsidRPr="00F11814">
        <w:rPr>
          <w:noProof/>
          <w:spacing w:val="-4"/>
        </w:rPr>
        <w:t xml:space="preserve"> a </w:t>
      </w:r>
      <w:r w:rsidRPr="00F11814">
        <w:rPr>
          <w:noProof/>
          <w:spacing w:val="-4"/>
        </w:rPr>
        <w:t>správne orgány dodatočnú záťaž</w:t>
      </w:r>
      <w:r w:rsidR="00F11814" w:rsidRPr="00F11814">
        <w:rPr>
          <w:noProof/>
          <w:spacing w:val="-4"/>
        </w:rPr>
        <w:t>.</w:t>
      </w:r>
    </w:p>
    <w:p w:rsidR="00E41C65" w:rsidRPr="00F11814" w:rsidRDefault="00E41C65" w:rsidP="00E41C65">
      <w:pPr>
        <w:rPr>
          <w:noProof/>
          <w:spacing w:val="-6"/>
        </w:rPr>
      </w:pPr>
      <w:r w:rsidRPr="00F11814">
        <w:rPr>
          <w:noProof/>
          <w:spacing w:val="-6"/>
        </w:rPr>
        <w:t>Podľa článku 395 smernice</w:t>
      </w:r>
      <w:r w:rsidR="00F11814" w:rsidRPr="00F11814">
        <w:rPr>
          <w:noProof/>
          <w:spacing w:val="-6"/>
        </w:rPr>
        <w:t xml:space="preserve"> o </w:t>
      </w:r>
      <w:r w:rsidRPr="00F11814">
        <w:rPr>
          <w:noProof/>
          <w:spacing w:val="-6"/>
        </w:rPr>
        <w:t>DPH môžu členské štáty uplatňovať opatrenia odchyľujúce sa od ustanovení smernice</w:t>
      </w:r>
      <w:r w:rsidR="00F11814" w:rsidRPr="00F11814">
        <w:rPr>
          <w:noProof/>
          <w:spacing w:val="-6"/>
        </w:rPr>
        <w:t xml:space="preserve"> o </w:t>
      </w:r>
      <w:r w:rsidRPr="00F11814">
        <w:rPr>
          <w:noProof/>
          <w:spacing w:val="-6"/>
        </w:rPr>
        <w:t>DPH</w:t>
      </w:r>
      <w:r w:rsidR="00F11814" w:rsidRPr="00F11814">
        <w:rPr>
          <w:noProof/>
          <w:spacing w:val="-6"/>
        </w:rPr>
        <w:t xml:space="preserve"> s </w:t>
      </w:r>
      <w:r w:rsidRPr="00F11814">
        <w:rPr>
          <w:noProof/>
          <w:spacing w:val="-6"/>
        </w:rPr>
        <w:t>cieľom zjednodušiť postup pri výbere DPH alebo zamedziť určitým formám daňových únikov alebo vyhýbaniu sa daňovým povinnostiam, ak ich na to Rada oprávnila.</w:t>
      </w:r>
    </w:p>
    <w:p w:rsidR="00E41C65" w:rsidRPr="00F11814" w:rsidRDefault="00E41C65" w:rsidP="00E41C65">
      <w:pPr>
        <w:pBdr>
          <w:top w:val="nil"/>
          <w:left w:val="nil"/>
          <w:bottom w:val="nil"/>
          <w:right w:val="nil"/>
          <w:between w:val="nil"/>
          <w:bar w:val="nil"/>
        </w:pBdr>
        <w:spacing w:before="0" w:after="240"/>
        <w:rPr>
          <w:rFonts w:eastAsia="Arial Unicode MS"/>
          <w:noProof/>
          <w:spacing w:val="-4"/>
        </w:rPr>
      </w:pPr>
      <w:r w:rsidRPr="00F11814">
        <w:rPr>
          <w:noProof/>
          <w:spacing w:val="-4"/>
        </w:rPr>
        <w:t>Lotyšsku sa</w:t>
      </w:r>
      <w:r w:rsidR="00F11814" w:rsidRPr="00F11814">
        <w:rPr>
          <w:noProof/>
          <w:spacing w:val="-4"/>
        </w:rPr>
        <w:t xml:space="preserve"> v </w:t>
      </w:r>
      <w:r w:rsidRPr="00F11814">
        <w:rPr>
          <w:noProof/>
          <w:spacing w:val="-4"/>
        </w:rPr>
        <w:t>súčasnosti na základe vykonávacieho rozhodnutia Rady (EÚ) 2015/2429</w:t>
      </w:r>
      <w:r w:rsidRPr="00F11814">
        <w:rPr>
          <w:rStyle w:val="FootnoteReference"/>
          <w:noProof/>
          <w:spacing w:val="-4"/>
        </w:rPr>
        <w:footnoteReference w:id="2"/>
      </w:r>
      <w:r w:rsidRPr="00F11814">
        <w:rPr>
          <w:noProof/>
          <w:spacing w:val="-4"/>
        </w:rPr>
        <w:t xml:space="preserve"> povoľuje, aby právo na odpočet DPH zaplatenej pri nákupe, lízingu, nadobudnutí</w:t>
      </w:r>
      <w:r w:rsidR="00F11814" w:rsidRPr="00F11814">
        <w:rPr>
          <w:noProof/>
          <w:spacing w:val="-4"/>
        </w:rPr>
        <w:t xml:space="preserve"> v </w:t>
      </w:r>
      <w:r w:rsidRPr="00F11814">
        <w:rPr>
          <w:noProof/>
          <w:spacing w:val="-4"/>
        </w:rPr>
        <w:t>rámci Spoločenstva</w:t>
      </w:r>
      <w:r w:rsidR="00F11814" w:rsidRPr="00F11814">
        <w:rPr>
          <w:noProof/>
          <w:spacing w:val="-4"/>
        </w:rPr>
        <w:t xml:space="preserve"> a </w:t>
      </w:r>
      <w:r w:rsidRPr="00F11814">
        <w:rPr>
          <w:noProof/>
          <w:spacing w:val="-4"/>
        </w:rPr>
        <w:t>dovoze určitých osobných motorových vozidiel</w:t>
      </w:r>
      <w:r w:rsidR="00F11814" w:rsidRPr="00F11814">
        <w:rPr>
          <w:noProof/>
          <w:spacing w:val="-4"/>
        </w:rPr>
        <w:t xml:space="preserve"> a z </w:t>
      </w:r>
      <w:r w:rsidRPr="00F11814">
        <w:rPr>
          <w:noProof/>
          <w:spacing w:val="-4"/>
        </w:rPr>
        <w:t>výdavkov súvisiacich</w:t>
      </w:r>
      <w:r w:rsidR="00F11814" w:rsidRPr="00F11814">
        <w:rPr>
          <w:noProof/>
          <w:spacing w:val="-4"/>
        </w:rPr>
        <w:t xml:space="preserve"> s </w:t>
      </w:r>
      <w:r w:rsidRPr="00F11814">
        <w:rPr>
          <w:noProof/>
          <w:spacing w:val="-4"/>
        </w:rPr>
        <w:t>údržbou, opravou</w:t>
      </w:r>
      <w:r w:rsidR="00F11814" w:rsidRPr="00F11814">
        <w:rPr>
          <w:noProof/>
          <w:spacing w:val="-4"/>
        </w:rPr>
        <w:t xml:space="preserve"> a </w:t>
      </w:r>
      <w:r w:rsidRPr="00F11814">
        <w:rPr>
          <w:noProof/>
          <w:spacing w:val="-4"/>
        </w:rPr>
        <w:t>pohonnými látkami</w:t>
      </w:r>
      <w:r w:rsidR="00F11814" w:rsidRPr="00F11814">
        <w:rPr>
          <w:noProof/>
          <w:spacing w:val="-4"/>
        </w:rPr>
        <w:t xml:space="preserve"> v </w:t>
      </w:r>
      <w:r w:rsidRPr="00F11814">
        <w:rPr>
          <w:noProof/>
          <w:spacing w:val="-4"/>
        </w:rPr>
        <w:t>prípade takýchto vozidiel, ak sa nepoužívajú výlučne na podnikateľské účely, obmedzilo na 50</w:t>
      </w:r>
      <w:r w:rsidR="00F11814" w:rsidRPr="00F11814">
        <w:rPr>
          <w:noProof/>
          <w:spacing w:val="-4"/>
        </w:rPr>
        <w:t> %</w:t>
      </w:r>
      <w:r w:rsidRPr="00F11814">
        <w:rPr>
          <w:noProof/>
          <w:spacing w:val="-4"/>
        </w:rPr>
        <w:t>. Osobitné opatrenie takisto zbavuje zdaniteľné osoby povinnosti, aby</w:t>
      </w:r>
      <w:r w:rsidR="00F11814" w:rsidRPr="00F11814">
        <w:rPr>
          <w:noProof/>
          <w:spacing w:val="-4"/>
        </w:rPr>
        <w:t xml:space="preserve"> s </w:t>
      </w:r>
      <w:r w:rsidRPr="00F11814">
        <w:rPr>
          <w:noProof/>
          <w:spacing w:val="-4"/>
        </w:rPr>
        <w:t>používaním takýchto osobných motorových vozidiel na iné ako podnikateľské účely zaobchádzali ako</w:t>
      </w:r>
      <w:r w:rsidR="00F11814" w:rsidRPr="00F11814">
        <w:rPr>
          <w:noProof/>
          <w:spacing w:val="-4"/>
        </w:rPr>
        <w:t xml:space="preserve"> s </w:t>
      </w:r>
      <w:r w:rsidRPr="00F11814">
        <w:rPr>
          <w:noProof/>
          <w:spacing w:val="-4"/>
        </w:rPr>
        <w:t>poskytovaním služieb za protihodnotu. Toto osobitné opatrenie sa vzťahuje na osobné motorové vozidlá</w:t>
      </w:r>
      <w:r w:rsidR="00F11814" w:rsidRPr="00F11814">
        <w:rPr>
          <w:noProof/>
          <w:spacing w:val="-4"/>
        </w:rPr>
        <w:t xml:space="preserve"> s </w:t>
      </w:r>
      <w:r w:rsidRPr="00F11814">
        <w:rPr>
          <w:noProof/>
          <w:spacing w:val="-4"/>
        </w:rPr>
        <w:t>maximálnou povolenou hmotnosťou nepresahujúcou 3 500 kg</w:t>
      </w:r>
      <w:r w:rsidR="00F11814" w:rsidRPr="00F11814">
        <w:rPr>
          <w:noProof/>
          <w:spacing w:val="-4"/>
        </w:rPr>
        <w:t xml:space="preserve"> a </w:t>
      </w:r>
      <w:r w:rsidRPr="00F11814">
        <w:rPr>
          <w:noProof/>
          <w:spacing w:val="-4"/>
        </w:rPr>
        <w:t>najviac ôsmimi sedadlami okrem sedadla vodiča. Osobné motorové vozidlá, ktoré sa používajú na určité osobitné činnosti, sú</w:t>
      </w:r>
      <w:r w:rsidR="00F11814" w:rsidRPr="00F11814">
        <w:rPr>
          <w:noProof/>
          <w:spacing w:val="-4"/>
        </w:rPr>
        <w:t xml:space="preserve"> z </w:t>
      </w:r>
      <w:r w:rsidRPr="00F11814">
        <w:rPr>
          <w:noProof/>
          <w:spacing w:val="-4"/>
        </w:rPr>
        <w:t>obmedzenia práva na odpočet vylúčené</w:t>
      </w:r>
      <w:r w:rsidR="00F11814" w:rsidRPr="00F11814">
        <w:rPr>
          <w:noProof/>
          <w:spacing w:val="-4"/>
        </w:rPr>
        <w:t xml:space="preserve"> a </w:t>
      </w:r>
      <w:r w:rsidRPr="00F11814">
        <w:rPr>
          <w:noProof/>
          <w:spacing w:val="-4"/>
        </w:rPr>
        <w:t>malo by sa</w:t>
      </w:r>
      <w:r w:rsidR="00F11814" w:rsidRPr="00F11814">
        <w:rPr>
          <w:noProof/>
          <w:spacing w:val="-4"/>
        </w:rPr>
        <w:t xml:space="preserve"> s </w:t>
      </w:r>
      <w:r w:rsidRPr="00F11814">
        <w:rPr>
          <w:noProof/>
          <w:spacing w:val="-4"/>
        </w:rPr>
        <w:t>nimi zaobchádzať podľa obvyklých pravidiel: vozidlá zakúpené na účely opätovného predaja, prenájmu alebo lízingu; vozidlá používané na prepravu cestujúcich (napríklad taxislužby) alebo tovaru; vozidlá používané na cvičné jazdy</w:t>
      </w:r>
      <w:r w:rsidR="00F11814" w:rsidRPr="00F11814">
        <w:rPr>
          <w:noProof/>
          <w:spacing w:val="-4"/>
        </w:rPr>
        <w:t xml:space="preserve"> v </w:t>
      </w:r>
      <w:r w:rsidRPr="00F11814">
        <w:rPr>
          <w:noProof/>
          <w:spacing w:val="-4"/>
        </w:rPr>
        <w:t>autoškolách; vozidlá používané pri poskytovaní bezpečnostných služieb alebo pohotovostné vozidlá; vozidlá používané ako predvádzacie modely pri predaji vozidiel. Obdobie platnosti tohto osobitného opatrenia sa predĺžilo vykonávacím rozhodnutím Rady (EÚ) 2018/1921 zo 4</w:t>
      </w:r>
      <w:r w:rsidR="00F11814" w:rsidRPr="00F11814">
        <w:rPr>
          <w:noProof/>
          <w:spacing w:val="-4"/>
        </w:rPr>
        <w:t>. decembra</w:t>
      </w:r>
      <w:r w:rsidRPr="00F11814">
        <w:rPr>
          <w:rStyle w:val="FootnoteReference"/>
          <w:rFonts w:eastAsia="Arial Unicode MS"/>
          <w:noProof/>
          <w:spacing w:val="-4"/>
        </w:rPr>
        <w:footnoteReference w:id="3"/>
      </w:r>
      <w:r w:rsidRPr="00F11814">
        <w:rPr>
          <w:noProof/>
          <w:spacing w:val="-4"/>
        </w:rPr>
        <w:t xml:space="preserve"> do 31</w:t>
      </w:r>
      <w:r w:rsidR="00F11814" w:rsidRPr="00F11814">
        <w:rPr>
          <w:noProof/>
          <w:spacing w:val="-4"/>
        </w:rPr>
        <w:t>. decembra</w:t>
      </w:r>
      <w:r w:rsidRPr="00F11814">
        <w:rPr>
          <w:noProof/>
          <w:spacing w:val="-4"/>
        </w:rPr>
        <w:t xml:space="preserve"> 2021</w:t>
      </w:r>
      <w:r w:rsidR="00F11814" w:rsidRPr="00F11814">
        <w:rPr>
          <w:noProof/>
          <w:spacing w:val="-4"/>
        </w:rPr>
        <w:t xml:space="preserve"> a </w:t>
      </w:r>
      <w:r w:rsidRPr="00F11814">
        <w:rPr>
          <w:noProof/>
          <w:spacing w:val="-4"/>
        </w:rPr>
        <w:t>vykonávacím rozhodnutím Rady (EÚ) 2021/1968</w:t>
      </w:r>
      <w:r w:rsidR="00F11814" w:rsidRPr="00F11814">
        <w:rPr>
          <w:noProof/>
          <w:spacing w:val="-4"/>
        </w:rPr>
        <w:t xml:space="preserve"> z </w:t>
      </w:r>
      <w:r w:rsidRPr="00F11814">
        <w:rPr>
          <w:noProof/>
          <w:spacing w:val="-4"/>
        </w:rPr>
        <w:t>9</w:t>
      </w:r>
      <w:r w:rsidR="00F11814" w:rsidRPr="00F11814">
        <w:rPr>
          <w:noProof/>
          <w:spacing w:val="-4"/>
        </w:rPr>
        <w:t>. novembra</w:t>
      </w:r>
      <w:r w:rsidRPr="00F11814">
        <w:rPr>
          <w:rStyle w:val="FootnoteReference"/>
          <w:rFonts w:eastAsia="Arial Unicode MS"/>
          <w:noProof/>
          <w:spacing w:val="-4"/>
        </w:rPr>
        <w:footnoteReference w:id="4"/>
      </w:r>
      <w:r w:rsidRPr="00F11814">
        <w:rPr>
          <w:noProof/>
          <w:spacing w:val="-4"/>
        </w:rPr>
        <w:t xml:space="preserve"> do 31</w:t>
      </w:r>
      <w:r w:rsidR="00F11814" w:rsidRPr="00F11814">
        <w:rPr>
          <w:noProof/>
          <w:spacing w:val="-4"/>
        </w:rPr>
        <w:t>. decembra</w:t>
      </w:r>
      <w:r w:rsidRPr="00F11814">
        <w:rPr>
          <w:noProof/>
          <w:spacing w:val="-4"/>
        </w:rPr>
        <w:t xml:space="preserve"> 2024.</w:t>
      </w:r>
    </w:p>
    <w:p w:rsidR="00F11814" w:rsidRDefault="00E41C65" w:rsidP="00E41C65">
      <w:pPr>
        <w:pBdr>
          <w:top w:val="nil"/>
          <w:left w:val="nil"/>
          <w:bottom w:val="nil"/>
          <w:right w:val="nil"/>
          <w:between w:val="nil"/>
          <w:bar w:val="nil"/>
        </w:pBdr>
        <w:spacing w:before="0" w:after="240"/>
        <w:rPr>
          <w:noProof/>
        </w:rPr>
      </w:pPr>
      <w:r w:rsidRPr="00F11814">
        <w:rPr>
          <w:noProof/>
        </w:rPr>
        <w:t>Súčasná žiadosť Lotyšska</w:t>
      </w:r>
      <w:r w:rsidR="00F11814">
        <w:rPr>
          <w:noProof/>
        </w:rPr>
        <w:t xml:space="preserve"> o </w:t>
      </w:r>
      <w:r w:rsidRPr="00F11814">
        <w:rPr>
          <w:noProof/>
        </w:rPr>
        <w:t>ďalšie predĺženie platnosti osobitného opatrenia sa zakladá na rovnakých dôvodoch, ako boli dôvody predložené pri predchádzajúcich žiadostiach.</w:t>
      </w:r>
      <w:r w:rsidR="00F11814">
        <w:rPr>
          <w:noProof/>
        </w:rPr>
        <w:t xml:space="preserve"> K </w:t>
      </w:r>
      <w:r w:rsidRPr="00F11814">
        <w:rPr>
          <w:noProof/>
        </w:rPr>
        <w:t>tejto žiadosti bola pripojená správa zahŕňajúca preskúmanie percentuálneho podielu obmedzenia uplatňovaného na právo na odpočet, ako sa vyžaduje</w:t>
      </w:r>
      <w:r w:rsidR="00F11814">
        <w:rPr>
          <w:noProof/>
        </w:rPr>
        <w:t xml:space="preserve"> v </w:t>
      </w:r>
      <w:r w:rsidRPr="00F11814">
        <w:rPr>
          <w:noProof/>
        </w:rPr>
        <w:t>článku 6 ods. 2 vykonávacieho rozhodnutia Rady (EÚ) 2015/2429. Lotyšsko sa domnieva, že podmienky na uplatňovanie osobitného opatrenia pretrvávajú</w:t>
      </w:r>
      <w:r w:rsidR="00F11814">
        <w:rPr>
          <w:noProof/>
        </w:rPr>
        <w:t xml:space="preserve"> a </w:t>
      </w:r>
      <w:r w:rsidRPr="00F11814">
        <w:rPr>
          <w:noProof/>
        </w:rPr>
        <w:t>uplatňovaný 50</w:t>
      </w:r>
      <w:r w:rsidR="00F11814">
        <w:rPr>
          <w:noProof/>
        </w:rPr>
        <w:t> %</w:t>
      </w:r>
      <w:r w:rsidRPr="00F11814">
        <w:rPr>
          <w:noProof/>
        </w:rPr>
        <w:t xml:space="preserve"> limit je naďalej primeraný</w:t>
      </w:r>
      <w:r w:rsidR="00F11814">
        <w:rPr>
          <w:noProof/>
        </w:rPr>
        <w:t>.</w:t>
      </w:r>
    </w:p>
    <w:p w:rsidR="00F11814" w:rsidRPr="00F11814" w:rsidRDefault="00E41C65" w:rsidP="00E41C65">
      <w:pPr>
        <w:pBdr>
          <w:top w:val="nil"/>
          <w:left w:val="nil"/>
          <w:bottom w:val="nil"/>
          <w:right w:val="nil"/>
          <w:between w:val="nil"/>
          <w:bar w:val="nil"/>
        </w:pBdr>
        <w:spacing w:before="0" w:after="240"/>
        <w:rPr>
          <w:noProof/>
          <w:spacing w:val="-6"/>
        </w:rPr>
      </w:pPr>
      <w:r w:rsidRPr="00F11814">
        <w:rPr>
          <w:noProof/>
          <w:spacing w:val="-6"/>
        </w:rPr>
        <w:t>Lotyšsko potvrdzuje, že osobitné opatrenie umožňuje zmierniť administratívnu záťaž pre daňovníkov aj pre daňovú správu</w:t>
      </w:r>
      <w:r w:rsidR="00F11814" w:rsidRPr="00F11814">
        <w:rPr>
          <w:noProof/>
          <w:spacing w:val="-6"/>
        </w:rPr>
        <w:t xml:space="preserve"> a </w:t>
      </w:r>
      <w:r w:rsidRPr="00F11814">
        <w:rPr>
          <w:noProof/>
          <w:spacing w:val="-6"/>
        </w:rPr>
        <w:t>obmedzuje úniky DPH spôsobené nesprávnym vedením záznamov</w:t>
      </w:r>
      <w:r w:rsidR="00F11814" w:rsidRPr="00F11814">
        <w:rPr>
          <w:noProof/>
          <w:spacing w:val="-6"/>
        </w:rPr>
        <w:t xml:space="preserve"> o </w:t>
      </w:r>
      <w:r w:rsidRPr="00F11814">
        <w:rPr>
          <w:noProof/>
          <w:spacing w:val="-6"/>
        </w:rPr>
        <w:t>jazdách uskutočnených</w:t>
      </w:r>
      <w:r w:rsidR="00F11814" w:rsidRPr="00F11814">
        <w:rPr>
          <w:noProof/>
          <w:spacing w:val="-6"/>
        </w:rPr>
        <w:t xml:space="preserve"> v </w:t>
      </w:r>
      <w:r w:rsidRPr="00F11814">
        <w:rPr>
          <w:noProof/>
          <w:spacing w:val="-6"/>
        </w:rPr>
        <w:t>súvislosti</w:t>
      </w:r>
      <w:r w:rsidR="00F11814" w:rsidRPr="00F11814">
        <w:rPr>
          <w:noProof/>
          <w:spacing w:val="-6"/>
        </w:rPr>
        <w:t xml:space="preserve"> s </w:t>
      </w:r>
      <w:r w:rsidRPr="00F11814">
        <w:rPr>
          <w:noProof/>
          <w:spacing w:val="-6"/>
        </w:rPr>
        <w:t>podnikateľskou činnosťou</w:t>
      </w:r>
      <w:r w:rsidR="00F11814" w:rsidRPr="00F11814">
        <w:rPr>
          <w:noProof/>
          <w:spacing w:val="-6"/>
        </w:rPr>
        <w:t xml:space="preserve"> a </w:t>
      </w:r>
      <w:r w:rsidRPr="00F11814">
        <w:rPr>
          <w:noProof/>
          <w:spacing w:val="-6"/>
        </w:rPr>
        <w:t>nesprávne vyplnenými daňovými priznaniami</w:t>
      </w:r>
      <w:r w:rsidR="00F11814" w:rsidRPr="00F11814">
        <w:rPr>
          <w:noProof/>
          <w:spacing w:val="-6"/>
        </w:rPr>
        <w:t xml:space="preserve"> k </w:t>
      </w:r>
      <w:r w:rsidRPr="00F11814">
        <w:rPr>
          <w:noProof/>
          <w:spacing w:val="-6"/>
        </w:rPr>
        <w:t>DPH. Podľa údajov, ktoré Lotyšsko predložilo,</w:t>
      </w:r>
      <w:r w:rsidR="00F11814" w:rsidRPr="00F11814">
        <w:rPr>
          <w:noProof/>
          <w:spacing w:val="-6"/>
        </w:rPr>
        <w:t xml:space="preserve"> v </w:t>
      </w:r>
      <w:r w:rsidRPr="00F11814">
        <w:rPr>
          <w:noProof/>
          <w:spacing w:val="-6"/>
        </w:rPr>
        <w:t>roku 2023 tvorili 99,7</w:t>
      </w:r>
      <w:r w:rsidR="00F11814" w:rsidRPr="00F11814">
        <w:rPr>
          <w:noProof/>
          <w:spacing w:val="-6"/>
        </w:rPr>
        <w:t> %</w:t>
      </w:r>
      <w:r w:rsidRPr="00F11814">
        <w:rPr>
          <w:noProof/>
          <w:spacing w:val="-6"/>
        </w:rPr>
        <w:t xml:space="preserve"> ekonomicky aktívnych podnikov mikropodniky</w:t>
      </w:r>
      <w:r w:rsidR="00F11814" w:rsidRPr="00F11814">
        <w:rPr>
          <w:noProof/>
          <w:spacing w:val="-6"/>
        </w:rPr>
        <w:t xml:space="preserve"> a </w:t>
      </w:r>
      <w:r w:rsidRPr="00F11814">
        <w:rPr>
          <w:noProof/>
          <w:spacing w:val="-6"/>
        </w:rPr>
        <w:t>MSP, čo daňovým orgánom sťažuje situáciu, pokiaľ ide</w:t>
      </w:r>
      <w:r w:rsidR="00F11814" w:rsidRPr="00F11814">
        <w:rPr>
          <w:noProof/>
          <w:spacing w:val="-6"/>
        </w:rPr>
        <w:t xml:space="preserve"> o </w:t>
      </w:r>
      <w:r w:rsidRPr="00F11814">
        <w:rPr>
          <w:noProof/>
          <w:spacing w:val="-6"/>
        </w:rPr>
        <w:t>overovanie používania osobných motorových vozidiel na podnikateľské</w:t>
      </w:r>
      <w:r w:rsidR="00F11814" w:rsidRPr="00F11814">
        <w:rPr>
          <w:noProof/>
          <w:spacing w:val="-6"/>
        </w:rPr>
        <w:t xml:space="preserve"> a </w:t>
      </w:r>
      <w:r w:rsidRPr="00F11814">
        <w:rPr>
          <w:noProof/>
          <w:spacing w:val="-6"/>
        </w:rPr>
        <w:t>na súkromné účely.</w:t>
      </w:r>
      <w:r w:rsidR="00F11814" w:rsidRPr="00F11814">
        <w:rPr>
          <w:noProof/>
          <w:spacing w:val="-6"/>
        </w:rPr>
        <w:t xml:space="preserve"> K </w:t>
      </w:r>
      <w:r w:rsidRPr="00F11814">
        <w:rPr>
          <w:noProof/>
          <w:spacing w:val="-6"/>
        </w:rPr>
        <w:t>1. januáru 2024 bol</w:t>
      </w:r>
      <w:r w:rsidR="00F11814" w:rsidRPr="00F11814">
        <w:rPr>
          <w:noProof/>
          <w:spacing w:val="-6"/>
        </w:rPr>
        <w:t xml:space="preserve"> v </w:t>
      </w:r>
      <w:r w:rsidRPr="00F11814">
        <w:rPr>
          <w:noProof/>
          <w:spacing w:val="-6"/>
        </w:rPr>
        <w:t>Lotyšsku celkový počet registrovaných obchodníkov</w:t>
      </w:r>
      <w:r w:rsidR="00F11814" w:rsidRPr="00F11814">
        <w:rPr>
          <w:noProof/>
          <w:spacing w:val="-6"/>
        </w:rPr>
        <w:t xml:space="preserve"> s </w:t>
      </w:r>
      <w:r w:rsidRPr="00F11814">
        <w:rPr>
          <w:noProof/>
          <w:spacing w:val="-6"/>
        </w:rPr>
        <w:t>jedným alebo dvoma osobnými motorovými vozidlami 23 627, čo predstavuje 80,6</w:t>
      </w:r>
      <w:r w:rsidR="00F11814" w:rsidRPr="00F11814">
        <w:rPr>
          <w:noProof/>
          <w:spacing w:val="-6"/>
        </w:rPr>
        <w:t> %</w:t>
      </w:r>
      <w:r w:rsidRPr="00F11814">
        <w:rPr>
          <w:noProof/>
          <w:spacing w:val="-6"/>
        </w:rPr>
        <w:t xml:space="preserve"> všetkých registrovaných obchodníkov, ktorí zaregistrovali osobné motorové vozidlá. Keďže mikropodniky</w:t>
      </w:r>
      <w:r w:rsidR="00F11814" w:rsidRPr="00F11814">
        <w:rPr>
          <w:noProof/>
          <w:spacing w:val="-6"/>
        </w:rPr>
        <w:t xml:space="preserve"> a </w:t>
      </w:r>
      <w:r w:rsidRPr="00F11814">
        <w:rPr>
          <w:noProof/>
          <w:spacing w:val="-6"/>
        </w:rPr>
        <w:t>MSP tvoria 99,7</w:t>
      </w:r>
      <w:r w:rsidR="00F11814" w:rsidRPr="00F11814">
        <w:rPr>
          <w:noProof/>
          <w:spacing w:val="-6"/>
        </w:rPr>
        <w:t> %</w:t>
      </w:r>
      <w:r w:rsidRPr="00F11814">
        <w:rPr>
          <w:noProof/>
          <w:spacing w:val="-6"/>
        </w:rPr>
        <w:t xml:space="preserve"> všetkých prevádzkovateľov, Lotyšsko zastáva názor, že väčšina osobných motorových vozidiel sa používa na súkromné účely. Podľa poskytnutých údajov od 1</w:t>
      </w:r>
      <w:r w:rsidR="00F11814" w:rsidRPr="00F11814">
        <w:rPr>
          <w:noProof/>
          <w:spacing w:val="-6"/>
        </w:rPr>
        <w:t>. januára</w:t>
      </w:r>
      <w:r w:rsidRPr="00F11814">
        <w:rPr>
          <w:noProof/>
          <w:spacing w:val="-6"/>
        </w:rPr>
        <w:t xml:space="preserve"> 2024 sa 84,5</w:t>
      </w:r>
      <w:r w:rsidR="00F11814" w:rsidRPr="00F11814">
        <w:rPr>
          <w:noProof/>
          <w:spacing w:val="-6"/>
        </w:rPr>
        <w:t> %</w:t>
      </w:r>
      <w:r w:rsidRPr="00F11814">
        <w:rPr>
          <w:noProof/>
          <w:spacing w:val="-6"/>
        </w:rPr>
        <w:t xml:space="preserve"> všetkých osobných motorových vozidiel patriacich registrovaným obchodníkom používalo nielen na podnikateľské, ale aj na súkromné účely</w:t>
      </w:r>
      <w:r w:rsidR="00F11814" w:rsidRPr="00F11814">
        <w:rPr>
          <w:noProof/>
          <w:spacing w:val="-6"/>
        </w:rPr>
        <w:t>.</w:t>
      </w:r>
    </w:p>
    <w:p w:rsidR="00E41C65" w:rsidRPr="00F11814" w:rsidRDefault="00E41C65" w:rsidP="00E41C65">
      <w:pPr>
        <w:pBdr>
          <w:top w:val="nil"/>
          <w:left w:val="nil"/>
          <w:bottom w:val="nil"/>
          <w:right w:val="nil"/>
          <w:between w:val="nil"/>
          <w:bar w:val="nil"/>
        </w:pBdr>
        <w:spacing w:before="0" w:after="240"/>
        <w:rPr>
          <w:rFonts w:eastAsia="Arial Unicode MS"/>
          <w:noProof/>
          <w:spacing w:val="-4"/>
        </w:rPr>
      </w:pPr>
      <w:r w:rsidRPr="00F11814">
        <w:rPr>
          <w:noProof/>
          <w:spacing w:val="-4"/>
        </w:rPr>
        <w:t>Vzhľadom na priaznivý vplyv osobitného opatrenia na administratívnu záťaž daňovníkov</w:t>
      </w:r>
      <w:r w:rsidR="00F11814" w:rsidRPr="00F11814">
        <w:rPr>
          <w:noProof/>
          <w:spacing w:val="-4"/>
        </w:rPr>
        <w:t xml:space="preserve"> a </w:t>
      </w:r>
      <w:r w:rsidRPr="00F11814">
        <w:rPr>
          <w:noProof/>
          <w:spacing w:val="-4"/>
        </w:rPr>
        <w:t>daňových orgánov sa navrhuje, aby sa predĺženie súčasného osobitného opatrenia povolilo. Povolenie by malo byť platné na ďalšie obmedzené obdobie, t. j. do 31</w:t>
      </w:r>
      <w:r w:rsidR="00F11814" w:rsidRPr="00F11814">
        <w:rPr>
          <w:noProof/>
          <w:spacing w:val="-4"/>
        </w:rPr>
        <w:t>. decembra</w:t>
      </w:r>
      <w:r w:rsidRPr="00F11814">
        <w:rPr>
          <w:noProof/>
          <w:spacing w:val="-4"/>
        </w:rPr>
        <w:t xml:space="preserve"> 2027, aby bolo možné preskúmať potrebu</w:t>
      </w:r>
      <w:r w:rsidR="00F11814" w:rsidRPr="00F11814">
        <w:rPr>
          <w:noProof/>
          <w:spacing w:val="-4"/>
        </w:rPr>
        <w:t xml:space="preserve"> a </w:t>
      </w:r>
      <w:r w:rsidRPr="00F11814">
        <w:rPr>
          <w:noProof/>
          <w:spacing w:val="-4"/>
        </w:rPr>
        <w:t>účinnosť osobitného opatrenia</w:t>
      </w:r>
      <w:r w:rsidR="00F11814" w:rsidRPr="00F11814">
        <w:rPr>
          <w:noProof/>
          <w:spacing w:val="-4"/>
        </w:rPr>
        <w:t xml:space="preserve"> a </w:t>
      </w:r>
      <w:r w:rsidRPr="00F11814">
        <w:rPr>
          <w:noProof/>
          <w:spacing w:val="-4"/>
        </w:rPr>
        <w:t>to, či 50</w:t>
      </w:r>
      <w:r w:rsidR="00F11814" w:rsidRPr="00F11814">
        <w:rPr>
          <w:noProof/>
          <w:spacing w:val="-4"/>
        </w:rPr>
        <w:t> %</w:t>
      </w:r>
      <w:r w:rsidRPr="00F11814">
        <w:rPr>
          <w:noProof/>
          <w:spacing w:val="-4"/>
        </w:rPr>
        <w:t xml:space="preserve"> obmedzenie stále náležite odráža celkové pomerné rozdelenie medzi používaním na podnikateľské</w:t>
      </w:r>
      <w:r w:rsidR="00F11814" w:rsidRPr="00F11814">
        <w:rPr>
          <w:noProof/>
          <w:spacing w:val="-4"/>
        </w:rPr>
        <w:t xml:space="preserve"> a </w:t>
      </w:r>
      <w:r w:rsidRPr="00F11814">
        <w:rPr>
          <w:noProof/>
          <w:spacing w:val="-4"/>
        </w:rPr>
        <w:t>súkromné účely. Prípadnú žiadosť</w:t>
      </w:r>
      <w:r w:rsidR="00F11814" w:rsidRPr="00F11814">
        <w:rPr>
          <w:noProof/>
          <w:spacing w:val="-4"/>
        </w:rPr>
        <w:t xml:space="preserve"> o </w:t>
      </w:r>
      <w:r w:rsidRPr="00F11814">
        <w:rPr>
          <w:noProof/>
          <w:spacing w:val="-4"/>
        </w:rPr>
        <w:t>predĺženie platnosti by mala sprevádzať správa zahŕňajúca preskúmanie uplatňovaného percentuálneho podielu, ktorá by sa mala zaslať Komisii do 31</w:t>
      </w:r>
      <w:r w:rsidR="00F11814" w:rsidRPr="00F11814">
        <w:rPr>
          <w:noProof/>
          <w:spacing w:val="-4"/>
        </w:rPr>
        <w:t>. marca</w:t>
      </w:r>
      <w:r w:rsidRPr="00F11814">
        <w:rPr>
          <w:noProof/>
          <w:spacing w:val="-4"/>
        </w:rPr>
        <w:t xml:space="preserve"> 2027.</w:t>
      </w:r>
    </w:p>
    <w:p w:rsidR="00C5199B" w:rsidRPr="00F11814" w:rsidRDefault="00C5199B" w:rsidP="00044058">
      <w:pPr>
        <w:pStyle w:val="ManualHeading2"/>
        <w:rPr>
          <w:rFonts w:eastAsia="Arial Unicode MS"/>
          <w:noProof/>
          <w:color w:val="000000"/>
          <w:u w:color="000000"/>
          <w:bdr w:val="nil"/>
        </w:rPr>
      </w:pPr>
      <w:r w:rsidRPr="00F11814">
        <w:rPr>
          <w:noProof/>
          <w:color w:val="000000"/>
          <w:u w:color="000000"/>
          <w:bdr w:val="nil"/>
        </w:rPr>
        <w:t>•</w:t>
      </w:r>
      <w:r w:rsidRPr="00F11814">
        <w:rPr>
          <w:noProof/>
        </w:rPr>
        <w:tab/>
        <w:t>Súlad</w:t>
      </w:r>
      <w:r w:rsidR="00F11814">
        <w:rPr>
          <w:noProof/>
        </w:rPr>
        <w:t xml:space="preserve"> s </w:t>
      </w:r>
      <w:r w:rsidRPr="00F11814">
        <w:rPr>
          <w:noProof/>
        </w:rPr>
        <w:t>existujúcimi ustanoveniami</w:t>
      </w:r>
      <w:r w:rsidR="00F11814">
        <w:rPr>
          <w:noProof/>
        </w:rPr>
        <w:t xml:space="preserve"> v </w:t>
      </w:r>
      <w:r w:rsidRPr="00F11814">
        <w:rPr>
          <w:noProof/>
        </w:rPr>
        <w:t>tejto oblasti politiky</w:t>
      </w:r>
    </w:p>
    <w:p w:rsidR="00F11814" w:rsidRDefault="00E41C65" w:rsidP="00E41C65">
      <w:pPr>
        <w:rPr>
          <w:noProof/>
        </w:rPr>
      </w:pPr>
      <w:r w:rsidRPr="00F11814">
        <w:rPr>
          <w:noProof/>
        </w:rPr>
        <w:t>Podobné výnimky</w:t>
      </w:r>
      <w:r w:rsidR="00F11814">
        <w:rPr>
          <w:noProof/>
        </w:rPr>
        <w:t xml:space="preserve"> v </w:t>
      </w:r>
      <w:r w:rsidRPr="00F11814">
        <w:rPr>
          <w:noProof/>
        </w:rPr>
        <w:t>súvislosti</w:t>
      </w:r>
      <w:r w:rsidR="00F11814">
        <w:rPr>
          <w:noProof/>
        </w:rPr>
        <w:t xml:space="preserve"> s </w:t>
      </w:r>
      <w:r w:rsidRPr="00F11814">
        <w:rPr>
          <w:noProof/>
        </w:rPr>
        <w:t>právom na odpočet boli udelené aj iným členským štátom (Estónsku</w:t>
      </w:r>
      <w:r w:rsidRPr="00F11814">
        <w:rPr>
          <w:rStyle w:val="FootnoteReference"/>
          <w:noProof/>
        </w:rPr>
        <w:footnoteReference w:id="5"/>
      </w:r>
      <w:r w:rsidRPr="00F11814">
        <w:rPr>
          <w:noProof/>
        </w:rPr>
        <w:t>, Maďarsku</w:t>
      </w:r>
      <w:r w:rsidRPr="00F11814">
        <w:rPr>
          <w:rStyle w:val="FootnoteReference"/>
          <w:noProof/>
        </w:rPr>
        <w:footnoteReference w:id="6"/>
      </w:r>
      <w:r w:rsidRPr="00F11814">
        <w:rPr>
          <w:noProof/>
        </w:rPr>
        <w:t>, Chorvátsku</w:t>
      </w:r>
      <w:r w:rsidRPr="00F11814">
        <w:rPr>
          <w:rStyle w:val="FootnoteReference"/>
          <w:noProof/>
        </w:rPr>
        <w:footnoteReference w:id="7"/>
      </w:r>
      <w:r w:rsidRPr="00F11814">
        <w:rPr>
          <w:noProof/>
        </w:rPr>
        <w:t>, Poľsku</w:t>
      </w:r>
      <w:r w:rsidRPr="00F11814">
        <w:rPr>
          <w:rStyle w:val="FootnoteReference"/>
          <w:noProof/>
        </w:rPr>
        <w:footnoteReference w:id="8"/>
      </w:r>
      <w:r w:rsidRPr="00F11814">
        <w:rPr>
          <w:noProof/>
        </w:rPr>
        <w:t>, Taliansku</w:t>
      </w:r>
      <w:r w:rsidRPr="00F11814">
        <w:rPr>
          <w:rStyle w:val="FootnoteReference"/>
          <w:noProof/>
        </w:rPr>
        <w:footnoteReference w:id="9"/>
      </w:r>
      <w:r w:rsidR="00F11814">
        <w:rPr>
          <w:noProof/>
        </w:rPr>
        <w:t xml:space="preserve"> a </w:t>
      </w:r>
      <w:r w:rsidRPr="00F11814">
        <w:rPr>
          <w:noProof/>
        </w:rPr>
        <w:t>Rumunsku</w:t>
      </w:r>
      <w:r w:rsidRPr="00F11814">
        <w:rPr>
          <w:rStyle w:val="FootnoteReference"/>
          <w:noProof/>
        </w:rPr>
        <w:footnoteReference w:id="10"/>
      </w:r>
      <w:r w:rsidRPr="00F11814">
        <w:rPr>
          <w:noProof/>
        </w:rPr>
        <w:t>)</w:t>
      </w:r>
      <w:r w:rsidR="00F11814">
        <w:rPr>
          <w:noProof/>
        </w:rPr>
        <w:t>.</w:t>
      </w:r>
    </w:p>
    <w:p w:rsidR="00F11814" w:rsidRDefault="00E41C65" w:rsidP="00E41C65">
      <w:pPr>
        <w:rPr>
          <w:noProof/>
        </w:rPr>
      </w:pPr>
      <w:r w:rsidRPr="00F11814">
        <w:rPr>
          <w:noProof/>
        </w:rPr>
        <w:t>V článku 176 smernice</w:t>
      </w:r>
      <w:r w:rsidR="00F11814">
        <w:rPr>
          <w:noProof/>
        </w:rPr>
        <w:t xml:space="preserve"> o </w:t>
      </w:r>
      <w:r w:rsidRPr="00F11814">
        <w:rPr>
          <w:noProof/>
        </w:rPr>
        <w:t>DPH sa stanovuje, že Rada určuje, pri ktorých výdavkoch nevzniká právo na odpočet DPH. Dovtedy členským štátom umožňuje zachovať výnimky, ktoré sa uplatňovali 1</w:t>
      </w:r>
      <w:r w:rsidR="00F11814">
        <w:rPr>
          <w:noProof/>
        </w:rPr>
        <w:t>. januára</w:t>
      </w:r>
      <w:r w:rsidRPr="00F11814">
        <w:rPr>
          <w:noProof/>
        </w:rPr>
        <w:t xml:space="preserve"> 1979. Existuje preto celý rad ustanovení</w:t>
      </w:r>
      <w:r w:rsidR="00F11814">
        <w:rPr>
          <w:noProof/>
        </w:rPr>
        <w:t xml:space="preserve"> o </w:t>
      </w:r>
      <w:r w:rsidRPr="00F11814">
        <w:rPr>
          <w:noProof/>
        </w:rPr>
        <w:t xml:space="preserve">zachovaní </w:t>
      </w:r>
      <w:r w:rsidRPr="00F11814">
        <w:rPr>
          <w:i/>
          <w:iCs/>
          <w:noProof/>
        </w:rPr>
        <w:t>status quo</w:t>
      </w:r>
      <w:r w:rsidRPr="00F11814">
        <w:rPr>
          <w:noProof/>
        </w:rPr>
        <w:t>, ktorými sa obmedzuje právo na odpočet DPH</w:t>
      </w:r>
      <w:r w:rsidR="00F11814">
        <w:rPr>
          <w:noProof/>
        </w:rPr>
        <w:t xml:space="preserve"> v </w:t>
      </w:r>
      <w:r w:rsidRPr="00F11814">
        <w:rPr>
          <w:noProof/>
        </w:rPr>
        <w:t>spojitosti</w:t>
      </w:r>
      <w:r w:rsidR="00F11814">
        <w:rPr>
          <w:noProof/>
        </w:rPr>
        <w:t xml:space="preserve"> s </w:t>
      </w:r>
      <w:r w:rsidRPr="00F11814">
        <w:rPr>
          <w:noProof/>
        </w:rPr>
        <w:t>osobnými motorovými vozidlami</w:t>
      </w:r>
      <w:r w:rsidR="00F11814">
        <w:rPr>
          <w:noProof/>
        </w:rPr>
        <w:t>.</w:t>
      </w:r>
    </w:p>
    <w:p w:rsidR="00F11814" w:rsidRDefault="00E41C65" w:rsidP="00E41C65">
      <w:pPr>
        <w:pBdr>
          <w:top w:val="nil"/>
          <w:left w:val="nil"/>
          <w:bottom w:val="nil"/>
          <w:right w:val="nil"/>
          <w:between w:val="nil"/>
          <w:bar w:val="nil"/>
        </w:pBdr>
        <w:spacing w:before="0" w:after="240"/>
        <w:rPr>
          <w:noProof/>
        </w:rPr>
      </w:pPr>
      <w:r w:rsidRPr="00F11814">
        <w:rPr>
          <w:noProof/>
        </w:rPr>
        <w:t>Bez ohľadu na predchádzajúce iniciatívy zamerané na stanovenie pravidiel týkajúcich sa kategórií výdavkov, na ktoré sa môže vzťahovať obmedzenie práva na odpočítanie dane</w:t>
      </w:r>
      <w:r w:rsidRPr="00F11814">
        <w:rPr>
          <w:rStyle w:val="FootnoteReference"/>
          <w:rFonts w:eastAsia="Arial Unicode MS"/>
          <w:noProof/>
        </w:rPr>
        <w:footnoteReference w:id="11"/>
      </w:r>
      <w:r w:rsidRPr="00F11814">
        <w:rPr>
          <w:noProof/>
        </w:rPr>
        <w:t>, je takáto výnimka až do harmonizácie týchto pravidiel na úrovni EÚ primeraná</w:t>
      </w:r>
      <w:r w:rsidR="00F11814">
        <w:rPr>
          <w:noProof/>
        </w:rPr>
        <w:t>.</w:t>
      </w:r>
    </w:p>
    <w:p w:rsidR="00C5199B" w:rsidRPr="00F11814" w:rsidRDefault="00C5199B" w:rsidP="00550536">
      <w:pPr>
        <w:pStyle w:val="ManualHeading1"/>
        <w:rPr>
          <w:noProof/>
        </w:rPr>
      </w:pPr>
      <w:r w:rsidRPr="00F11814">
        <w:rPr>
          <w:noProof/>
        </w:rPr>
        <w:t>2.</w:t>
      </w:r>
      <w:r w:rsidRPr="00F11814">
        <w:rPr>
          <w:noProof/>
        </w:rPr>
        <w:tab/>
        <w:t>PRÁVNY ZÁKLAD, SUBSIDIARITA A PROPORCIONALITA</w:t>
      </w:r>
    </w:p>
    <w:p w:rsidR="00C5199B" w:rsidRPr="00F11814" w:rsidRDefault="00C5199B" w:rsidP="00A4693B">
      <w:pPr>
        <w:pStyle w:val="ManualHeading2"/>
        <w:rPr>
          <w:rFonts w:eastAsia="Arial Unicode MS"/>
          <w:noProof/>
          <w:u w:color="000000"/>
          <w:bdr w:val="nil"/>
        </w:rPr>
      </w:pPr>
      <w:r w:rsidRPr="00F11814">
        <w:rPr>
          <w:noProof/>
          <w:u w:color="000000"/>
          <w:bdr w:val="nil"/>
        </w:rPr>
        <w:t>•</w:t>
      </w:r>
      <w:r w:rsidRPr="00F11814">
        <w:rPr>
          <w:noProof/>
        </w:rPr>
        <w:tab/>
      </w:r>
      <w:r w:rsidRPr="00F11814">
        <w:rPr>
          <w:noProof/>
          <w:u w:color="000000"/>
          <w:bdr w:val="nil"/>
        </w:rPr>
        <w:t>Právny základ</w:t>
      </w:r>
    </w:p>
    <w:p w:rsidR="00F11814" w:rsidRDefault="004F21EE" w:rsidP="004F21EE">
      <w:pPr>
        <w:rPr>
          <w:noProof/>
        </w:rPr>
      </w:pPr>
      <w:r w:rsidRPr="00F11814">
        <w:rPr>
          <w:noProof/>
        </w:rPr>
        <w:t>Článok 395 smernice</w:t>
      </w:r>
      <w:r w:rsidR="00F11814">
        <w:rPr>
          <w:noProof/>
        </w:rPr>
        <w:t xml:space="preserve"> o </w:t>
      </w:r>
      <w:r w:rsidRPr="00F11814">
        <w:rPr>
          <w:noProof/>
        </w:rPr>
        <w:t>DPH</w:t>
      </w:r>
      <w:r w:rsidR="00F11814">
        <w:rPr>
          <w:noProof/>
        </w:rPr>
        <w:t>.</w:t>
      </w:r>
    </w:p>
    <w:p w:rsidR="00F11814" w:rsidRDefault="00C5199B" w:rsidP="00A4693B">
      <w:pPr>
        <w:pStyle w:val="ManualHeading2"/>
        <w:rPr>
          <w:noProof/>
          <w:u w:color="000000"/>
          <w:bdr w:val="nil"/>
        </w:rPr>
      </w:pPr>
      <w:r w:rsidRPr="00F11814">
        <w:rPr>
          <w:noProof/>
          <w:u w:color="000000"/>
          <w:bdr w:val="nil"/>
        </w:rPr>
        <w:t>•</w:t>
      </w:r>
      <w:r w:rsidRPr="00F11814">
        <w:rPr>
          <w:noProof/>
        </w:rPr>
        <w:tab/>
      </w:r>
      <w:r w:rsidRPr="00F11814">
        <w:rPr>
          <w:noProof/>
          <w:u w:color="000000"/>
          <w:bdr w:val="nil"/>
        </w:rPr>
        <w:t>Subsidiarita (v prípade inej ako výlučnej právomoci)</w:t>
      </w:r>
    </w:p>
    <w:p w:rsidR="004F21EE" w:rsidRPr="00F11814" w:rsidRDefault="004F21EE" w:rsidP="004F21EE">
      <w:pPr>
        <w:pBdr>
          <w:top w:val="nil"/>
          <w:left w:val="nil"/>
          <w:bottom w:val="nil"/>
          <w:right w:val="nil"/>
          <w:between w:val="nil"/>
          <w:bar w:val="nil"/>
        </w:pBdr>
        <w:spacing w:before="0" w:after="240"/>
        <w:rPr>
          <w:rFonts w:eastAsia="Arial Unicode MS"/>
          <w:noProof/>
          <w:spacing w:val="-12"/>
        </w:rPr>
      </w:pPr>
      <w:r w:rsidRPr="00F11814">
        <w:rPr>
          <w:noProof/>
          <w:spacing w:val="-12"/>
        </w:rPr>
        <w:t>Vzhľadom na ustanovenie smernice</w:t>
      </w:r>
      <w:r w:rsidR="00F11814" w:rsidRPr="00F11814">
        <w:rPr>
          <w:noProof/>
          <w:spacing w:val="-12"/>
        </w:rPr>
        <w:t xml:space="preserve"> o </w:t>
      </w:r>
      <w:r w:rsidRPr="00F11814">
        <w:rPr>
          <w:noProof/>
          <w:spacing w:val="-12"/>
        </w:rPr>
        <w:t>DPH,</w:t>
      </w:r>
      <w:r w:rsidR="00F11814" w:rsidRPr="00F11814">
        <w:rPr>
          <w:noProof/>
          <w:spacing w:val="-12"/>
        </w:rPr>
        <w:t xml:space="preserve"> z </w:t>
      </w:r>
      <w:r w:rsidRPr="00F11814">
        <w:rPr>
          <w:noProof/>
          <w:spacing w:val="-12"/>
        </w:rPr>
        <w:t>ktorého návrh vychádza, sa zásada subsidiarity neuplatňuje.</w:t>
      </w:r>
    </w:p>
    <w:p w:rsidR="00C5199B" w:rsidRPr="00F11814" w:rsidRDefault="00C5199B" w:rsidP="00A4693B">
      <w:pPr>
        <w:pStyle w:val="ManualHeading2"/>
        <w:rPr>
          <w:rFonts w:eastAsia="Arial Unicode MS"/>
          <w:noProof/>
          <w:u w:color="000000"/>
          <w:bdr w:val="nil"/>
        </w:rPr>
      </w:pPr>
      <w:r w:rsidRPr="00F11814">
        <w:rPr>
          <w:noProof/>
          <w:u w:color="000000"/>
          <w:bdr w:val="nil"/>
        </w:rPr>
        <w:t>•</w:t>
      </w:r>
      <w:r w:rsidRPr="00F11814">
        <w:rPr>
          <w:noProof/>
        </w:rPr>
        <w:tab/>
      </w:r>
      <w:r w:rsidRPr="00F11814">
        <w:rPr>
          <w:noProof/>
          <w:u w:color="000000"/>
          <w:bdr w:val="nil"/>
        </w:rPr>
        <w:t>Proporcionalita</w:t>
      </w:r>
    </w:p>
    <w:p w:rsidR="004F21EE" w:rsidRPr="00F11814" w:rsidRDefault="004F21EE" w:rsidP="004F21EE">
      <w:pPr>
        <w:rPr>
          <w:noProof/>
        </w:rPr>
      </w:pPr>
      <w:r w:rsidRPr="00F11814">
        <w:rPr>
          <w:noProof/>
        </w:rPr>
        <w:t>Rozhodnutie sa týka povolenia udeleného členskému štátu na základe jeho vlastnej žiadosti</w:t>
      </w:r>
      <w:r w:rsidR="00F11814">
        <w:rPr>
          <w:noProof/>
        </w:rPr>
        <w:t xml:space="preserve"> a </w:t>
      </w:r>
      <w:r w:rsidRPr="00F11814">
        <w:rPr>
          <w:noProof/>
        </w:rPr>
        <w:t>nezakladá sa ním žiadna povinnosť.</w:t>
      </w:r>
    </w:p>
    <w:p w:rsidR="004F21EE" w:rsidRPr="00F11814" w:rsidRDefault="004F21EE" w:rsidP="004F21EE">
      <w:pPr>
        <w:pBdr>
          <w:top w:val="nil"/>
          <w:left w:val="nil"/>
          <w:bottom w:val="nil"/>
          <w:right w:val="nil"/>
          <w:between w:val="nil"/>
          <w:bar w:val="nil"/>
        </w:pBdr>
        <w:spacing w:before="0" w:after="240"/>
        <w:rPr>
          <w:rFonts w:eastAsia="Arial Unicode MS"/>
          <w:noProof/>
        </w:rPr>
      </w:pPr>
      <w:r w:rsidRPr="00F11814">
        <w:rPr>
          <w:noProof/>
        </w:rPr>
        <w:t>Vzhľadom na obmedzený rozsah pôsobnosti výnimky je osobitné opatrenie úmerné sledovanému cieľu,</w:t>
      </w:r>
      <w:r w:rsidR="00F11814">
        <w:rPr>
          <w:noProof/>
        </w:rPr>
        <w:t xml:space="preserve"> a </w:t>
      </w:r>
      <w:r w:rsidRPr="00F11814">
        <w:rPr>
          <w:noProof/>
        </w:rPr>
        <w:t>to zjednodušiť postup výberu dane</w:t>
      </w:r>
      <w:r w:rsidR="00F11814">
        <w:rPr>
          <w:noProof/>
        </w:rPr>
        <w:t xml:space="preserve"> a </w:t>
      </w:r>
      <w:r w:rsidRPr="00F11814">
        <w:rPr>
          <w:noProof/>
        </w:rPr>
        <w:t>zamedziť určitým formám daňových únikov alebo vyhýbaniu sa daňovým povinnostiam. Predovšetkým vzhľadom na potenciálnu možnosť podnikov priznávať nižšiu daňovú povinnosť</w:t>
      </w:r>
      <w:r w:rsidR="00F11814">
        <w:rPr>
          <w:noProof/>
        </w:rPr>
        <w:t xml:space="preserve"> a </w:t>
      </w:r>
      <w:r w:rsidRPr="00F11814">
        <w:rPr>
          <w:noProof/>
        </w:rPr>
        <w:t>na zaťažujúcu kontrolu údajov</w:t>
      </w:r>
      <w:r w:rsidR="00F11814">
        <w:rPr>
          <w:noProof/>
        </w:rPr>
        <w:t xml:space="preserve"> o </w:t>
      </w:r>
      <w:r w:rsidRPr="00F11814">
        <w:rPr>
          <w:noProof/>
        </w:rPr>
        <w:t>najazdených kilometroch pre daňové orgány, by obmedzenie na 50</w:t>
      </w:r>
      <w:r w:rsidR="00F11814">
        <w:rPr>
          <w:noProof/>
        </w:rPr>
        <w:t> %</w:t>
      </w:r>
      <w:r w:rsidRPr="00F11814">
        <w:rPr>
          <w:noProof/>
        </w:rPr>
        <w:t xml:space="preserve"> zjednodušilo postup výberu DPH</w:t>
      </w:r>
      <w:r w:rsidR="00F11814">
        <w:rPr>
          <w:noProof/>
        </w:rPr>
        <w:t xml:space="preserve"> a </w:t>
      </w:r>
      <w:r w:rsidRPr="00F11814">
        <w:rPr>
          <w:noProof/>
        </w:rPr>
        <w:t>zabránilo by okrem iného daňovým únikom prostredníctvom nesprávneho vedenia záznamov</w:t>
      </w:r>
      <w:r w:rsidR="00F11814">
        <w:rPr>
          <w:noProof/>
        </w:rPr>
        <w:t xml:space="preserve"> a </w:t>
      </w:r>
      <w:r w:rsidRPr="00F11814">
        <w:rPr>
          <w:noProof/>
        </w:rPr>
        <w:t>nesprávne vyplnených daňových priznaní</w:t>
      </w:r>
      <w:r w:rsidR="00F11814">
        <w:rPr>
          <w:noProof/>
        </w:rPr>
        <w:t xml:space="preserve"> k </w:t>
      </w:r>
      <w:r w:rsidRPr="00F11814">
        <w:rPr>
          <w:noProof/>
        </w:rPr>
        <w:t>DPH.</w:t>
      </w:r>
    </w:p>
    <w:p w:rsidR="00C5199B" w:rsidRPr="00F11814" w:rsidRDefault="00C5199B" w:rsidP="00A4693B">
      <w:pPr>
        <w:pStyle w:val="ManualHeading2"/>
        <w:rPr>
          <w:rFonts w:eastAsia="Arial Unicode MS"/>
          <w:noProof/>
          <w:u w:color="000000"/>
          <w:bdr w:val="nil"/>
        </w:rPr>
      </w:pPr>
      <w:r w:rsidRPr="00F11814">
        <w:rPr>
          <w:noProof/>
          <w:u w:color="000000"/>
          <w:bdr w:val="nil"/>
        </w:rPr>
        <w:t>•</w:t>
      </w:r>
      <w:r w:rsidRPr="00F11814">
        <w:rPr>
          <w:noProof/>
        </w:rPr>
        <w:tab/>
      </w:r>
      <w:r w:rsidRPr="00F11814">
        <w:rPr>
          <w:noProof/>
          <w:u w:color="000000"/>
          <w:bdr w:val="nil"/>
        </w:rPr>
        <w:t>Výber nástroja</w:t>
      </w:r>
    </w:p>
    <w:p w:rsidR="004F21EE" w:rsidRPr="00F11814" w:rsidRDefault="004F21EE" w:rsidP="004F21EE">
      <w:pPr>
        <w:spacing w:before="0" w:after="240"/>
        <w:rPr>
          <w:rFonts w:eastAsia="Arial Unicode MS"/>
          <w:noProof/>
        </w:rPr>
      </w:pPr>
      <w:r w:rsidRPr="00F11814">
        <w:rPr>
          <w:noProof/>
        </w:rPr>
        <w:t>Navrhovaný nástroj: vykonávacie rozhodnutie Rady.</w:t>
      </w:r>
    </w:p>
    <w:p w:rsidR="004F21EE" w:rsidRPr="00F11814" w:rsidRDefault="004F21EE" w:rsidP="004F21EE">
      <w:pPr>
        <w:spacing w:before="0" w:after="240"/>
        <w:rPr>
          <w:rFonts w:eastAsia="Arial Unicode MS"/>
          <w:noProof/>
          <w:spacing w:val="-4"/>
        </w:rPr>
      </w:pPr>
      <w:r w:rsidRPr="00F11814">
        <w:rPr>
          <w:noProof/>
          <w:spacing w:val="-4"/>
        </w:rPr>
        <w:t>Podľa článku 395 smernice</w:t>
      </w:r>
      <w:r w:rsidR="00F11814" w:rsidRPr="00F11814">
        <w:rPr>
          <w:noProof/>
          <w:spacing w:val="-4"/>
        </w:rPr>
        <w:t xml:space="preserve"> o </w:t>
      </w:r>
      <w:r w:rsidRPr="00F11814">
        <w:rPr>
          <w:noProof/>
          <w:spacing w:val="-4"/>
        </w:rPr>
        <w:t>DPH je výnimka zo spoločných ustanovení</w:t>
      </w:r>
      <w:r w:rsidR="00F11814" w:rsidRPr="00F11814">
        <w:rPr>
          <w:noProof/>
          <w:spacing w:val="-4"/>
        </w:rPr>
        <w:t xml:space="preserve"> o </w:t>
      </w:r>
      <w:r w:rsidRPr="00F11814">
        <w:rPr>
          <w:noProof/>
          <w:spacing w:val="-4"/>
        </w:rPr>
        <w:t>DPH možná iba na základe oprávnenia Rady konajúcej jednomyseľne na návrh Komisie. Vykonávacie rozhodnutie Rady je najvhodnejším nástrojom, keďže môže byť určené jednotlivému členskému štátu.</w:t>
      </w:r>
    </w:p>
    <w:p w:rsidR="00C5199B" w:rsidRPr="00F11814" w:rsidRDefault="00C5199B" w:rsidP="00550536">
      <w:pPr>
        <w:pStyle w:val="ManualHeading1"/>
        <w:rPr>
          <w:noProof/>
        </w:rPr>
      </w:pPr>
      <w:r w:rsidRPr="00F11814">
        <w:rPr>
          <w:noProof/>
        </w:rPr>
        <w:t>3.</w:t>
      </w:r>
      <w:r w:rsidRPr="00F11814">
        <w:rPr>
          <w:noProof/>
        </w:rPr>
        <w:tab/>
        <w:t>VÝSLEDKY HODNOTENÍ EX POST, KONZULTÁCIÍ SO ZAINTERESOVANÝMI STRANAMI A POSÚDENÍ VPLYVU</w:t>
      </w:r>
    </w:p>
    <w:p w:rsidR="00C5199B" w:rsidRPr="00F11814" w:rsidRDefault="00C5199B" w:rsidP="00A4693B">
      <w:pPr>
        <w:pStyle w:val="ManualHeading2"/>
        <w:rPr>
          <w:rFonts w:eastAsia="Arial Unicode MS"/>
          <w:noProof/>
          <w:u w:color="000000"/>
          <w:bdr w:val="nil"/>
        </w:rPr>
      </w:pPr>
      <w:r w:rsidRPr="00F11814">
        <w:rPr>
          <w:noProof/>
          <w:u w:color="000000"/>
          <w:bdr w:val="nil"/>
        </w:rPr>
        <w:t>•</w:t>
      </w:r>
      <w:r w:rsidRPr="00F11814">
        <w:rPr>
          <w:noProof/>
        </w:rPr>
        <w:tab/>
      </w:r>
      <w:r w:rsidRPr="00F11814">
        <w:rPr>
          <w:noProof/>
          <w:u w:color="000000"/>
          <w:bdr w:val="nil"/>
        </w:rPr>
        <w:t>Konzultácie so zainteresovanými stranami</w:t>
      </w:r>
    </w:p>
    <w:p w:rsidR="00F11814" w:rsidRDefault="00020CD5" w:rsidP="004F21EE">
      <w:pPr>
        <w:pBdr>
          <w:top w:val="nil"/>
          <w:left w:val="nil"/>
          <w:bottom w:val="nil"/>
          <w:right w:val="nil"/>
          <w:between w:val="nil"/>
          <w:bar w:val="nil"/>
        </w:pBdr>
        <w:spacing w:before="0" w:after="240"/>
        <w:rPr>
          <w:noProof/>
        </w:rPr>
      </w:pPr>
      <w:r w:rsidRPr="00F11814">
        <w:rPr>
          <w:noProof/>
        </w:rPr>
        <w:t>Nevykonali sa žiadne konzultácie so zainteresovanými stranami. Tento návrh vychádza zo žiadosti, ktorú predložilo Lotyšsko,</w:t>
      </w:r>
      <w:r w:rsidR="00F11814">
        <w:rPr>
          <w:noProof/>
        </w:rPr>
        <w:t xml:space="preserve"> a </w:t>
      </w:r>
      <w:r w:rsidRPr="00F11814">
        <w:rPr>
          <w:noProof/>
        </w:rPr>
        <w:t>týka sa iba tohto členského štátu</w:t>
      </w:r>
      <w:r w:rsidR="00F11814">
        <w:rPr>
          <w:noProof/>
        </w:rPr>
        <w:t>.</w:t>
      </w:r>
    </w:p>
    <w:p w:rsidR="00C5199B" w:rsidRPr="00F11814" w:rsidRDefault="00C5199B" w:rsidP="00A4693B">
      <w:pPr>
        <w:pStyle w:val="ManualHeading2"/>
        <w:rPr>
          <w:rFonts w:eastAsia="Arial Unicode MS"/>
          <w:noProof/>
          <w:u w:color="000000"/>
          <w:bdr w:val="nil"/>
        </w:rPr>
      </w:pPr>
      <w:r w:rsidRPr="00F11814">
        <w:rPr>
          <w:noProof/>
          <w:u w:color="000000"/>
          <w:bdr w:val="nil"/>
        </w:rPr>
        <w:t>•</w:t>
      </w:r>
      <w:r w:rsidRPr="00F11814">
        <w:rPr>
          <w:noProof/>
        </w:rPr>
        <w:tab/>
      </w:r>
      <w:r w:rsidRPr="00F11814">
        <w:rPr>
          <w:noProof/>
          <w:u w:color="000000"/>
          <w:bdr w:val="nil"/>
        </w:rPr>
        <w:t>Získavanie</w:t>
      </w:r>
      <w:r w:rsidR="00F11814">
        <w:rPr>
          <w:noProof/>
          <w:u w:color="000000"/>
          <w:bdr w:val="nil"/>
        </w:rPr>
        <w:t xml:space="preserve"> a </w:t>
      </w:r>
      <w:r w:rsidRPr="00F11814">
        <w:rPr>
          <w:noProof/>
          <w:u w:color="000000"/>
          <w:bdr w:val="nil"/>
        </w:rPr>
        <w:t>využívanie expertízy</w:t>
      </w:r>
    </w:p>
    <w:p w:rsidR="004F21EE" w:rsidRPr="00F11814" w:rsidRDefault="004F21EE" w:rsidP="004F21EE">
      <w:pPr>
        <w:pBdr>
          <w:top w:val="nil"/>
          <w:left w:val="nil"/>
          <w:bottom w:val="nil"/>
          <w:right w:val="nil"/>
          <w:between w:val="nil"/>
          <w:bar w:val="nil"/>
        </w:pBdr>
        <w:spacing w:before="0" w:after="240"/>
        <w:rPr>
          <w:rFonts w:eastAsia="Arial Unicode MS"/>
          <w:noProof/>
        </w:rPr>
      </w:pPr>
      <w:r w:rsidRPr="00F11814">
        <w:rPr>
          <w:noProof/>
        </w:rPr>
        <w:t>Externá expertíza nebola potrebná.</w:t>
      </w:r>
    </w:p>
    <w:p w:rsidR="00C5199B" w:rsidRPr="00F11814" w:rsidRDefault="00C5199B" w:rsidP="00A4693B">
      <w:pPr>
        <w:pStyle w:val="ManualHeading2"/>
        <w:rPr>
          <w:rFonts w:eastAsia="Arial Unicode MS"/>
          <w:noProof/>
          <w:u w:color="000000"/>
          <w:bdr w:val="nil"/>
        </w:rPr>
      </w:pPr>
      <w:r w:rsidRPr="00F11814">
        <w:rPr>
          <w:noProof/>
          <w:u w:color="000000"/>
          <w:bdr w:val="nil"/>
        </w:rPr>
        <w:t>•</w:t>
      </w:r>
      <w:r w:rsidRPr="00F11814">
        <w:rPr>
          <w:noProof/>
        </w:rPr>
        <w:tab/>
      </w:r>
      <w:r w:rsidRPr="00F11814">
        <w:rPr>
          <w:noProof/>
          <w:u w:color="000000"/>
          <w:bdr w:val="nil"/>
        </w:rPr>
        <w:t>Posúdenie vplyvu</w:t>
      </w:r>
    </w:p>
    <w:p w:rsidR="00F11814" w:rsidRDefault="004F21EE" w:rsidP="004F21EE">
      <w:pPr>
        <w:pBdr>
          <w:top w:val="nil"/>
          <w:left w:val="nil"/>
          <w:bottom w:val="nil"/>
          <w:right w:val="nil"/>
          <w:between w:val="nil"/>
          <w:bar w:val="nil"/>
        </w:pBdr>
        <w:spacing w:before="0" w:after="240"/>
        <w:rPr>
          <w:noProof/>
        </w:rPr>
      </w:pPr>
      <w:r w:rsidRPr="00F11814">
        <w:rPr>
          <w:noProof/>
        </w:rPr>
        <w:t>Cieľom návrhu je zjednodušiť postup zdaňovania tak, že zdaniteľné osoby nebudú mať povinnosť vedenia záznamov</w:t>
      </w:r>
      <w:r w:rsidR="00F11814">
        <w:rPr>
          <w:noProof/>
        </w:rPr>
        <w:t xml:space="preserve"> o </w:t>
      </w:r>
      <w:r w:rsidRPr="00F11814">
        <w:rPr>
          <w:noProof/>
        </w:rPr>
        <w:t>používaní určených osobných motorových vozidiel na súkromné účely,</w:t>
      </w:r>
      <w:r w:rsidR="00F11814">
        <w:rPr>
          <w:noProof/>
        </w:rPr>
        <w:t xml:space="preserve"> a </w:t>
      </w:r>
      <w:r w:rsidRPr="00F11814">
        <w:rPr>
          <w:noProof/>
        </w:rPr>
        <w:t>zároveň predchádzať určitým formám daňových únikov</w:t>
      </w:r>
      <w:r w:rsidR="00F11814">
        <w:rPr>
          <w:noProof/>
        </w:rPr>
        <w:t xml:space="preserve"> v </w:t>
      </w:r>
      <w:r w:rsidRPr="00F11814">
        <w:rPr>
          <w:noProof/>
        </w:rPr>
        <w:t>súvislosti</w:t>
      </w:r>
      <w:r w:rsidR="00F11814">
        <w:rPr>
          <w:noProof/>
        </w:rPr>
        <w:t xml:space="preserve"> s </w:t>
      </w:r>
      <w:r w:rsidRPr="00F11814">
        <w:rPr>
          <w:noProof/>
        </w:rPr>
        <w:t>DPH spôsobeným nesprávnym vedením záznamov. Navrhované opatrenie preto má potenciálny pozitívny vplyv tak na podniky, ako aj na daňovú správu. Lotyšsko toto riešenie označilo za vhodné opatrenie, pričom je porovnateľné</w:t>
      </w:r>
      <w:r w:rsidR="00F11814">
        <w:rPr>
          <w:noProof/>
        </w:rPr>
        <w:t xml:space="preserve"> s </w:t>
      </w:r>
      <w:r w:rsidRPr="00F11814">
        <w:rPr>
          <w:noProof/>
        </w:rPr>
        <w:t>inými bývalými</w:t>
      </w:r>
      <w:r w:rsidR="00F11814">
        <w:rPr>
          <w:noProof/>
        </w:rPr>
        <w:t xml:space="preserve"> a </w:t>
      </w:r>
      <w:r w:rsidRPr="00F11814">
        <w:rPr>
          <w:noProof/>
        </w:rPr>
        <w:t>súčasnými výnimkami</w:t>
      </w:r>
      <w:r w:rsidR="00F11814">
        <w:rPr>
          <w:noProof/>
        </w:rPr>
        <w:t>.</w:t>
      </w:r>
    </w:p>
    <w:p w:rsidR="00C5199B" w:rsidRPr="00F11814" w:rsidRDefault="00C5199B" w:rsidP="004F21EE">
      <w:pPr>
        <w:pStyle w:val="ManualHeading2"/>
        <w:rPr>
          <w:noProof/>
        </w:rPr>
      </w:pPr>
      <w:r w:rsidRPr="00F11814">
        <w:rPr>
          <w:noProof/>
        </w:rPr>
        <w:t>4.</w:t>
      </w:r>
      <w:r w:rsidRPr="00F11814">
        <w:rPr>
          <w:noProof/>
        </w:rPr>
        <w:tab/>
        <w:t>VPLYV NA ROZPOČET</w:t>
      </w:r>
    </w:p>
    <w:p w:rsidR="004F21EE" w:rsidRPr="00F11814" w:rsidRDefault="004F21EE" w:rsidP="004F21EE">
      <w:pPr>
        <w:rPr>
          <w:noProof/>
        </w:rPr>
      </w:pPr>
      <w:r w:rsidRPr="00F11814">
        <w:rPr>
          <w:noProof/>
        </w:rPr>
        <w:t>Návrh negatívne neovplyvní vlastné zdroje Únie</w:t>
      </w:r>
      <w:r w:rsidR="00F11814">
        <w:rPr>
          <w:noProof/>
        </w:rPr>
        <w:t xml:space="preserve"> z </w:t>
      </w:r>
      <w:r w:rsidRPr="00F11814">
        <w:rPr>
          <w:noProof/>
        </w:rPr>
        <w:t>DPH.</w:t>
      </w:r>
    </w:p>
    <w:p w:rsidR="00C5199B" w:rsidRPr="00F11814" w:rsidRDefault="00C5199B" w:rsidP="00550536">
      <w:pPr>
        <w:pStyle w:val="ManualHeading1"/>
        <w:rPr>
          <w:noProof/>
        </w:rPr>
      </w:pPr>
      <w:r w:rsidRPr="00F11814">
        <w:rPr>
          <w:noProof/>
        </w:rPr>
        <w:t>5.</w:t>
      </w:r>
      <w:r w:rsidRPr="00F11814">
        <w:rPr>
          <w:noProof/>
        </w:rPr>
        <w:tab/>
        <w:t>ĎALŠIE PRVKY</w:t>
      </w:r>
    </w:p>
    <w:p w:rsidR="00F11814" w:rsidRDefault="004F21EE" w:rsidP="004F21EE">
      <w:pPr>
        <w:pBdr>
          <w:top w:val="nil"/>
          <w:left w:val="nil"/>
          <w:bottom w:val="nil"/>
          <w:right w:val="nil"/>
          <w:between w:val="nil"/>
          <w:bar w:val="nil"/>
        </w:pBdr>
        <w:spacing w:before="0" w:after="240"/>
        <w:rPr>
          <w:noProof/>
        </w:rPr>
      </w:pPr>
      <w:r w:rsidRPr="00F11814">
        <w:rPr>
          <w:noProof/>
        </w:rPr>
        <w:t>Návrh je časovo obmedzený</w:t>
      </w:r>
      <w:r w:rsidR="00F11814">
        <w:rPr>
          <w:noProof/>
        </w:rPr>
        <w:t xml:space="preserve"> a </w:t>
      </w:r>
      <w:r w:rsidRPr="00F11814">
        <w:rPr>
          <w:noProof/>
        </w:rPr>
        <w:t>zahŕňa doložku</w:t>
      </w:r>
      <w:r w:rsidR="00F11814">
        <w:rPr>
          <w:noProof/>
        </w:rPr>
        <w:t xml:space="preserve"> o </w:t>
      </w:r>
      <w:r w:rsidRPr="00F11814">
        <w:rPr>
          <w:noProof/>
        </w:rPr>
        <w:t>ukončení platnosti</w:t>
      </w:r>
      <w:r w:rsidR="00F11814">
        <w:rPr>
          <w:noProof/>
        </w:rPr>
        <w:t xml:space="preserve"> k </w:t>
      </w:r>
      <w:r w:rsidRPr="00F11814">
        <w:rPr>
          <w:noProof/>
        </w:rPr>
        <w:t>31. decembru 2027</w:t>
      </w:r>
      <w:r w:rsidR="00F11814">
        <w:rPr>
          <w:noProof/>
        </w:rPr>
        <w:t>.</w:t>
      </w:r>
    </w:p>
    <w:p w:rsidR="004F21EE" w:rsidRPr="00F11814" w:rsidRDefault="004F21EE" w:rsidP="004F21EE">
      <w:pPr>
        <w:pBdr>
          <w:top w:val="nil"/>
          <w:left w:val="nil"/>
          <w:bottom w:val="nil"/>
          <w:right w:val="nil"/>
          <w:between w:val="nil"/>
          <w:bar w:val="nil"/>
        </w:pBdr>
        <w:spacing w:before="0" w:after="240"/>
        <w:rPr>
          <w:rFonts w:eastAsia="Arial Unicode MS"/>
          <w:noProof/>
        </w:rPr>
      </w:pPr>
      <w:r w:rsidRPr="00F11814">
        <w:rPr>
          <w:noProof/>
        </w:rPr>
        <w:t>Ak by Lotyšsko uvažovalo</w:t>
      </w:r>
      <w:r w:rsidR="00F11814">
        <w:rPr>
          <w:noProof/>
        </w:rPr>
        <w:t xml:space="preserve"> o </w:t>
      </w:r>
      <w:r w:rsidRPr="00F11814">
        <w:rPr>
          <w:noProof/>
        </w:rPr>
        <w:t>ďalšom predĺžení platnosti tohto osobitného opatrenia na obdobie po roku 2027, Komisii by sa najneskôr 31</w:t>
      </w:r>
      <w:r w:rsidR="00F11814">
        <w:rPr>
          <w:noProof/>
        </w:rPr>
        <w:t>. marca</w:t>
      </w:r>
      <w:r w:rsidRPr="00F11814">
        <w:rPr>
          <w:noProof/>
        </w:rPr>
        <w:t xml:space="preserve"> 2027 mala súčasne so žiadosťou</w:t>
      </w:r>
      <w:r w:rsidR="00F11814">
        <w:rPr>
          <w:noProof/>
        </w:rPr>
        <w:t xml:space="preserve"> o </w:t>
      </w:r>
      <w:r w:rsidRPr="00F11814">
        <w:rPr>
          <w:noProof/>
        </w:rPr>
        <w:t>predĺženie platnosti predložiť správa zahŕňajúca preskúmanie percentuálneho obmedzenia.</w:t>
      </w:r>
    </w:p>
    <w:p w:rsidR="00C5199B" w:rsidRPr="00F11814" w:rsidRDefault="00C5199B" w:rsidP="00D8676A">
      <w:pPr>
        <w:rPr>
          <w:noProof/>
        </w:rPr>
        <w:sectPr w:rsidR="00C5199B" w:rsidRPr="00F11814" w:rsidSect="000730CF">
          <w:headerReference w:type="even" r:id="rId14"/>
          <w:footerReference w:type="even" r:id="rId15"/>
          <w:footerReference w:type="default" r:id="rId16"/>
          <w:headerReference w:type="first" r:id="rId17"/>
          <w:footerReference w:type="first" r:id="rId18"/>
          <w:pgSz w:w="11907" w:h="16839"/>
          <w:pgMar w:top="1134" w:right="1417" w:bottom="1134" w:left="1417" w:header="709" w:footer="709" w:gutter="0"/>
          <w:cols w:space="708"/>
          <w:docGrid w:linePitch="360"/>
        </w:sectPr>
      </w:pPr>
    </w:p>
    <w:p w:rsidR="005C17CA" w:rsidRDefault="00E44E9C">
      <w:pPr>
        <w:pStyle w:val="Rfrenceinterinstitutionnelle"/>
        <w:rPr>
          <w:noProof/>
        </w:rPr>
      </w:pPr>
      <w:r>
        <w:rPr>
          <w:noProof/>
        </w:rPr>
        <w:t>2024/0270 (NLE)</w:t>
      </w:r>
    </w:p>
    <w:p w:rsidR="00C5199B" w:rsidRPr="00F11814" w:rsidRDefault="00F11814" w:rsidP="00F11814">
      <w:pPr>
        <w:pStyle w:val="Statut"/>
        <w:rPr>
          <w:noProof/>
        </w:rPr>
      </w:pPr>
      <w:r w:rsidRPr="00F11814">
        <w:rPr>
          <w:noProof/>
        </w:rPr>
        <w:t>Návrh</w:t>
      </w:r>
    </w:p>
    <w:p w:rsidR="00C5199B" w:rsidRPr="00F11814" w:rsidRDefault="00F11814" w:rsidP="00F11814">
      <w:pPr>
        <w:pStyle w:val="Typedudocument"/>
        <w:rPr>
          <w:noProof/>
        </w:rPr>
      </w:pPr>
      <w:r w:rsidRPr="00F11814">
        <w:rPr>
          <w:noProof/>
        </w:rPr>
        <w:t>VYKONÁVACIE ROZHODNUTIE RADY,</w:t>
      </w:r>
    </w:p>
    <w:p w:rsidR="00C5199B" w:rsidRPr="00F11814" w:rsidRDefault="00F11814" w:rsidP="00F11814">
      <w:pPr>
        <w:pStyle w:val="Titreobjet"/>
        <w:rPr>
          <w:noProof/>
        </w:rPr>
      </w:pPr>
      <w:r w:rsidRPr="00F11814">
        <w:rPr>
          <w:noProof/>
        </w:rPr>
        <w:t>ktorým sa mení vykonávacie rozhodnutie (EÚ) 2015/2429, ktorým sa Lotyšsku povoľuje zaviesť osobitné opatrenie odchyľujúce sa od článku 26 ods. 1 písm. a) a článkov 168 a 168a smernice 2006/112/ES o spoločnom systéme dane z pridanej hodnoty</w:t>
      </w:r>
    </w:p>
    <w:p w:rsidR="00C5199B" w:rsidRPr="00F11814" w:rsidRDefault="00C5199B" w:rsidP="00CE1658">
      <w:pPr>
        <w:pStyle w:val="Institutionquiagit"/>
        <w:rPr>
          <w:noProof/>
        </w:rPr>
      </w:pPr>
      <w:r w:rsidRPr="00F11814">
        <w:rPr>
          <w:noProof/>
        </w:rPr>
        <w:t>RADA EURÓPSKEJ ÚNIE,</w:t>
      </w:r>
    </w:p>
    <w:p w:rsidR="00F11814" w:rsidRDefault="00C5199B" w:rsidP="00CE1658">
      <w:pPr>
        <w:rPr>
          <w:noProof/>
        </w:rPr>
      </w:pPr>
      <w:r w:rsidRPr="00F11814">
        <w:rPr>
          <w:noProof/>
        </w:rPr>
        <w:t>so zreteľom na Zmluvu</w:t>
      </w:r>
      <w:r w:rsidR="00F11814">
        <w:rPr>
          <w:noProof/>
        </w:rPr>
        <w:t xml:space="preserve"> o </w:t>
      </w:r>
      <w:r w:rsidRPr="00F11814">
        <w:rPr>
          <w:noProof/>
        </w:rPr>
        <w:t>fungovaní Európskej únie,</w:t>
      </w:r>
    </w:p>
    <w:p w:rsidR="004F21EE" w:rsidRPr="00F11814" w:rsidRDefault="004F21EE" w:rsidP="004F21EE">
      <w:pPr>
        <w:rPr>
          <w:noProof/>
        </w:rPr>
      </w:pPr>
      <w:r w:rsidRPr="00F11814">
        <w:rPr>
          <w:noProof/>
        </w:rPr>
        <w:t>so zreteľom na smernicu Rady 2006/112/ES</w:t>
      </w:r>
      <w:r w:rsidR="00F11814">
        <w:rPr>
          <w:noProof/>
        </w:rPr>
        <w:t xml:space="preserve"> z </w:t>
      </w:r>
      <w:r w:rsidRPr="00F11814">
        <w:rPr>
          <w:noProof/>
        </w:rPr>
        <w:t>28</w:t>
      </w:r>
      <w:r w:rsidR="00F11814">
        <w:rPr>
          <w:noProof/>
        </w:rPr>
        <w:t>. novembra</w:t>
      </w:r>
      <w:r w:rsidRPr="00F11814">
        <w:rPr>
          <w:noProof/>
        </w:rPr>
        <w:t xml:space="preserve"> 2006</w:t>
      </w:r>
      <w:r w:rsidR="00F11814">
        <w:rPr>
          <w:noProof/>
        </w:rPr>
        <w:t xml:space="preserve"> o </w:t>
      </w:r>
      <w:r w:rsidRPr="00F11814">
        <w:rPr>
          <w:noProof/>
        </w:rPr>
        <w:t>spoločnom systéme dane</w:t>
      </w:r>
      <w:r w:rsidR="00F11814">
        <w:rPr>
          <w:noProof/>
        </w:rPr>
        <w:t xml:space="preserve"> z </w:t>
      </w:r>
      <w:r w:rsidRPr="00F11814">
        <w:rPr>
          <w:noProof/>
        </w:rPr>
        <w:t>pridanej hodnoty</w:t>
      </w:r>
      <w:r w:rsidRPr="00F11814">
        <w:rPr>
          <w:rStyle w:val="FootnoteReference"/>
          <w:noProof/>
        </w:rPr>
        <w:footnoteReference w:id="12"/>
      </w:r>
      <w:r w:rsidRPr="00F11814">
        <w:rPr>
          <w:noProof/>
        </w:rPr>
        <w:t>,</w:t>
      </w:r>
      <w:r w:rsidR="00F11814">
        <w:rPr>
          <w:noProof/>
        </w:rPr>
        <w:t xml:space="preserve"> a </w:t>
      </w:r>
      <w:r w:rsidRPr="00F11814">
        <w:rPr>
          <w:noProof/>
        </w:rPr>
        <w:t>najmä na jej článok 395 ods. 1 prvý pododsek,</w:t>
      </w:r>
    </w:p>
    <w:p w:rsidR="00C5199B" w:rsidRPr="00F11814" w:rsidRDefault="00C5199B" w:rsidP="00CE1658">
      <w:pPr>
        <w:rPr>
          <w:noProof/>
        </w:rPr>
      </w:pPr>
      <w:r w:rsidRPr="00F11814">
        <w:rPr>
          <w:noProof/>
        </w:rPr>
        <w:t>so zreteľom na návrh Európskej komisie,</w:t>
      </w:r>
    </w:p>
    <w:p w:rsidR="00C5199B" w:rsidRPr="00F11814" w:rsidRDefault="00C5199B" w:rsidP="00CE1658">
      <w:pPr>
        <w:rPr>
          <w:noProof/>
        </w:rPr>
      </w:pPr>
      <w:r w:rsidRPr="00F11814">
        <w:rPr>
          <w:noProof/>
        </w:rPr>
        <w:t>keďže:</w:t>
      </w:r>
    </w:p>
    <w:p w:rsidR="00417F11" w:rsidRPr="00F11814" w:rsidRDefault="009F31B8" w:rsidP="009F31B8">
      <w:pPr>
        <w:pStyle w:val="ManualConsidrant"/>
        <w:rPr>
          <w:noProof/>
        </w:rPr>
      </w:pPr>
      <w:r w:rsidRPr="009F31B8">
        <w:rPr>
          <w:noProof/>
        </w:rPr>
        <w:t>(1)</w:t>
      </w:r>
      <w:r w:rsidRPr="009F31B8">
        <w:rPr>
          <w:noProof/>
        </w:rPr>
        <w:tab/>
      </w:r>
      <w:r w:rsidR="004F21EE" w:rsidRPr="00F11814">
        <w:rPr>
          <w:noProof/>
        </w:rPr>
        <w:t>V článkoch 168</w:t>
      </w:r>
      <w:r w:rsidR="00F11814">
        <w:rPr>
          <w:noProof/>
        </w:rPr>
        <w:t xml:space="preserve"> a </w:t>
      </w:r>
      <w:r w:rsidR="004F21EE" w:rsidRPr="00F11814">
        <w:rPr>
          <w:noProof/>
        </w:rPr>
        <w:t>168a smernice 2006/112/ES sa stanovuje právo zdaniteľných osôb na odpočet dane</w:t>
      </w:r>
      <w:r w:rsidR="00F11814">
        <w:rPr>
          <w:noProof/>
        </w:rPr>
        <w:t xml:space="preserve"> z </w:t>
      </w:r>
      <w:r w:rsidR="004F21EE" w:rsidRPr="00F11814">
        <w:rPr>
          <w:noProof/>
        </w:rPr>
        <w:t>pridanej hodnoty (DPH) účtovanej na tovar, ktorý im bol dodaný,</w:t>
      </w:r>
      <w:r w:rsidR="00F11814">
        <w:rPr>
          <w:noProof/>
        </w:rPr>
        <w:t xml:space="preserve"> a </w:t>
      </w:r>
      <w:r w:rsidR="004F21EE" w:rsidRPr="00F11814">
        <w:rPr>
          <w:noProof/>
        </w:rPr>
        <w:t>služby, ktoré im boli poskytnuté, na účely ich zdaniteľných transakcií.</w:t>
      </w:r>
      <w:r w:rsidR="00F11814">
        <w:rPr>
          <w:noProof/>
        </w:rPr>
        <w:t xml:space="preserve"> V </w:t>
      </w:r>
      <w:r w:rsidR="004F21EE" w:rsidRPr="00F11814">
        <w:rPr>
          <w:noProof/>
        </w:rPr>
        <w:t>článku 26 ods. 1 písm. a) uvedenej smernice sa uvádza požiadavka zúčtovávať DPH</w:t>
      </w:r>
      <w:r w:rsidR="00F11814">
        <w:rPr>
          <w:noProof/>
        </w:rPr>
        <w:t xml:space="preserve"> v </w:t>
      </w:r>
      <w:r w:rsidR="004F21EE" w:rsidRPr="00F11814">
        <w:rPr>
          <w:noProof/>
        </w:rPr>
        <w:t>prípade, keď sa majetok podniku dá na využívanie na súkromnú spotrebu zdaniteľných osôb alebo ich zamestnancov alebo všeobecnejšie na iné účely ako účely ich podnikania.</w:t>
      </w:r>
    </w:p>
    <w:p w:rsidR="004F21EE" w:rsidRPr="00F11814" w:rsidRDefault="009F31B8" w:rsidP="009F31B8">
      <w:pPr>
        <w:pStyle w:val="ManualConsidrant"/>
        <w:rPr>
          <w:noProof/>
        </w:rPr>
      </w:pPr>
      <w:r w:rsidRPr="009F31B8">
        <w:rPr>
          <w:noProof/>
        </w:rPr>
        <w:t>(2)</w:t>
      </w:r>
      <w:r w:rsidRPr="009F31B8">
        <w:rPr>
          <w:noProof/>
        </w:rPr>
        <w:tab/>
      </w:r>
      <w:r w:rsidR="004F21EE" w:rsidRPr="00F11814">
        <w:rPr>
          <w:noProof/>
        </w:rPr>
        <w:t>Vykonávacím rozhodnutím Rady (EÚ) 2015/2429</w:t>
      </w:r>
      <w:r w:rsidR="004F21EE" w:rsidRPr="00F11814">
        <w:rPr>
          <w:rStyle w:val="FootnoteReference"/>
          <w:noProof/>
          <w:spacing w:val="-4"/>
        </w:rPr>
        <w:footnoteReference w:id="13"/>
      </w:r>
      <w:r w:rsidR="004F21EE" w:rsidRPr="00F11814">
        <w:rPr>
          <w:noProof/>
        </w:rPr>
        <w:t xml:space="preserve"> zmeneným vykonávacím rozhodnutím Rady (EÚ) 2021/1968</w:t>
      </w:r>
      <w:r w:rsidR="004F21EE" w:rsidRPr="00F11814">
        <w:rPr>
          <w:rStyle w:val="FootnoteReference"/>
          <w:noProof/>
          <w:spacing w:val="-4"/>
        </w:rPr>
        <w:footnoteReference w:id="14"/>
      </w:r>
      <w:r w:rsidR="004F21EE" w:rsidRPr="00F11814">
        <w:rPr>
          <w:noProof/>
        </w:rPr>
        <w:t xml:space="preserve"> sa Lotyšsku povoľuje do 31</w:t>
      </w:r>
      <w:r w:rsidR="00F11814" w:rsidRPr="00F11814">
        <w:rPr>
          <w:noProof/>
        </w:rPr>
        <w:t>. decembra</w:t>
      </w:r>
      <w:r w:rsidR="004F21EE" w:rsidRPr="00F11814">
        <w:rPr>
          <w:noProof/>
        </w:rPr>
        <w:t xml:space="preserve"> 2024 obmedziť na 50</w:t>
      </w:r>
      <w:r w:rsidR="00F11814" w:rsidRPr="00F11814">
        <w:rPr>
          <w:noProof/>
        </w:rPr>
        <w:t> %</w:t>
      </w:r>
      <w:r w:rsidR="004F21EE" w:rsidRPr="00F11814">
        <w:rPr>
          <w:noProof/>
        </w:rPr>
        <w:t xml:space="preserve"> právo na odpočet DPH</w:t>
      </w:r>
      <w:r w:rsidR="00F11814" w:rsidRPr="00F11814">
        <w:rPr>
          <w:noProof/>
        </w:rPr>
        <w:t xml:space="preserve"> z </w:t>
      </w:r>
      <w:r w:rsidR="004F21EE" w:rsidRPr="00F11814">
        <w:rPr>
          <w:noProof/>
        </w:rPr>
        <w:t>výdavkov na osobné motorové vozidlá, ktoré sa nepoužívajú výlučne na podnikateľské účely,</w:t>
      </w:r>
      <w:r w:rsidR="00F11814" w:rsidRPr="00F11814">
        <w:rPr>
          <w:noProof/>
        </w:rPr>
        <w:t xml:space="preserve"> a </w:t>
      </w:r>
      <w:r w:rsidR="004F21EE" w:rsidRPr="00F11814">
        <w:rPr>
          <w:noProof/>
        </w:rPr>
        <w:t>Lotyšsku sa povoľuje, aby používanie osobných motorových vozidiel, ktoré sú majetkom podniku zdaniteľnej osoby, na súkromné účely</w:t>
      </w:r>
      <w:r w:rsidR="00F11814" w:rsidRPr="00F11814">
        <w:rPr>
          <w:noProof/>
        </w:rPr>
        <w:t xml:space="preserve"> v </w:t>
      </w:r>
      <w:r w:rsidR="004F21EE" w:rsidRPr="00F11814">
        <w:rPr>
          <w:noProof/>
        </w:rPr>
        <w:t>prípade, že dané vozidlo podlieha obmedzeniu práva na odpočet povolenému podľa článku 1 uvedeného rozhodnutia, nepovažovalo za poskytovanie služieb za protihodnotu.</w:t>
      </w:r>
    </w:p>
    <w:p w:rsidR="00F11814" w:rsidRPr="00F11814" w:rsidRDefault="009F31B8" w:rsidP="009F31B8">
      <w:pPr>
        <w:pStyle w:val="ManualConsidrant"/>
        <w:rPr>
          <w:noProof/>
        </w:rPr>
      </w:pPr>
      <w:r w:rsidRPr="009F31B8">
        <w:rPr>
          <w:noProof/>
        </w:rPr>
        <w:t>(3)</w:t>
      </w:r>
      <w:r w:rsidRPr="009F31B8">
        <w:rPr>
          <w:noProof/>
        </w:rPr>
        <w:tab/>
      </w:r>
      <w:r w:rsidR="00045852" w:rsidRPr="00F11814">
        <w:rPr>
          <w:noProof/>
        </w:rPr>
        <w:t>Lotyšsko listom, ktorý Komisia zaevidovala 15</w:t>
      </w:r>
      <w:r w:rsidR="00F11814" w:rsidRPr="00F11814">
        <w:rPr>
          <w:noProof/>
        </w:rPr>
        <w:t>. mája</w:t>
      </w:r>
      <w:r w:rsidR="00045852" w:rsidRPr="00F11814">
        <w:rPr>
          <w:noProof/>
        </w:rPr>
        <w:t> 2024, predložilo Komisii žiadosť</w:t>
      </w:r>
      <w:r w:rsidR="00F11814" w:rsidRPr="00F11814">
        <w:rPr>
          <w:noProof/>
        </w:rPr>
        <w:t xml:space="preserve"> v </w:t>
      </w:r>
      <w:r w:rsidR="00045852" w:rsidRPr="00F11814">
        <w:rPr>
          <w:noProof/>
        </w:rPr>
        <w:t>súlade</w:t>
      </w:r>
      <w:r w:rsidR="00F11814" w:rsidRPr="00F11814">
        <w:rPr>
          <w:noProof/>
        </w:rPr>
        <w:t xml:space="preserve"> s </w:t>
      </w:r>
      <w:r w:rsidR="00045852" w:rsidRPr="00F11814">
        <w:rPr>
          <w:noProof/>
        </w:rPr>
        <w:t>článkom 395 ods. 2 prvým pododsekom smernice 2006/112/ES</w:t>
      </w:r>
      <w:r w:rsidR="00F11814" w:rsidRPr="00F11814">
        <w:rPr>
          <w:noProof/>
        </w:rPr>
        <w:t xml:space="preserve"> o </w:t>
      </w:r>
      <w:r w:rsidR="00045852" w:rsidRPr="00F11814">
        <w:rPr>
          <w:noProof/>
        </w:rPr>
        <w:t>povolenie naďalej uplatňovať osobitné opatrenie (ďalej len „žiadosť</w:t>
      </w:r>
      <w:r w:rsidR="00F11814" w:rsidRPr="00F11814">
        <w:rPr>
          <w:noProof/>
        </w:rPr>
        <w:t xml:space="preserve"> o </w:t>
      </w:r>
      <w:r w:rsidR="00045852" w:rsidRPr="00F11814">
        <w:rPr>
          <w:noProof/>
        </w:rPr>
        <w:t>predĺženie platnosti“)</w:t>
      </w:r>
      <w:r w:rsidR="00F11814" w:rsidRPr="00F11814">
        <w:rPr>
          <w:noProof/>
        </w:rPr>
        <w:t>.</w:t>
      </w:r>
    </w:p>
    <w:p w:rsidR="00664AA0" w:rsidRPr="00F11814" w:rsidRDefault="009F31B8" w:rsidP="009F31B8">
      <w:pPr>
        <w:pStyle w:val="ManualConsidrant"/>
        <w:rPr>
          <w:noProof/>
        </w:rPr>
      </w:pPr>
      <w:r w:rsidRPr="009F31B8">
        <w:rPr>
          <w:noProof/>
        </w:rPr>
        <w:t>(4)</w:t>
      </w:r>
      <w:r w:rsidRPr="009F31B8">
        <w:rPr>
          <w:noProof/>
        </w:rPr>
        <w:tab/>
      </w:r>
      <w:r w:rsidR="00664AA0" w:rsidRPr="00F11814">
        <w:rPr>
          <w:noProof/>
        </w:rPr>
        <w:t>V súlade</w:t>
      </w:r>
      <w:r w:rsidR="00F11814">
        <w:rPr>
          <w:noProof/>
        </w:rPr>
        <w:t xml:space="preserve"> s </w:t>
      </w:r>
      <w:r w:rsidR="00664AA0" w:rsidRPr="00F11814">
        <w:rPr>
          <w:noProof/>
        </w:rPr>
        <w:t>článkom 395 ods. 2 druhého pododseku smernice 2006/112/ES Komisia listami</w:t>
      </w:r>
      <w:r w:rsidR="00F11814">
        <w:rPr>
          <w:noProof/>
        </w:rPr>
        <w:t xml:space="preserve"> z </w:t>
      </w:r>
      <w:r w:rsidR="00664AA0" w:rsidRPr="00F11814">
        <w:rPr>
          <w:noProof/>
        </w:rPr>
        <w:t>10</w:t>
      </w:r>
      <w:r w:rsidR="00F11814">
        <w:rPr>
          <w:noProof/>
        </w:rPr>
        <w:t>. septembra</w:t>
      </w:r>
      <w:r w:rsidR="00664AA0" w:rsidRPr="00F11814">
        <w:rPr>
          <w:noProof/>
        </w:rPr>
        <w:t> 2024 postúpila žiadosť</w:t>
      </w:r>
      <w:r w:rsidR="00F11814">
        <w:rPr>
          <w:noProof/>
        </w:rPr>
        <w:t xml:space="preserve"> o </w:t>
      </w:r>
      <w:r w:rsidR="00664AA0" w:rsidRPr="00F11814">
        <w:rPr>
          <w:noProof/>
        </w:rPr>
        <w:t>predĺženie platnosti ostatným členským štátom. Listom</w:t>
      </w:r>
      <w:r w:rsidR="00F11814">
        <w:rPr>
          <w:noProof/>
        </w:rPr>
        <w:t xml:space="preserve"> z </w:t>
      </w:r>
      <w:r w:rsidR="00664AA0" w:rsidRPr="00F11814">
        <w:rPr>
          <w:noProof/>
        </w:rPr>
        <w:t>11</w:t>
      </w:r>
      <w:r w:rsidR="00F11814">
        <w:rPr>
          <w:noProof/>
        </w:rPr>
        <w:t>. septembra</w:t>
      </w:r>
      <w:r w:rsidR="00664AA0" w:rsidRPr="00F11814">
        <w:rPr>
          <w:noProof/>
        </w:rPr>
        <w:t> 2024 Komisia oznámila Lotyšsku, že má všetky informácie potrebné na posúdenie žiadosti</w:t>
      </w:r>
      <w:r w:rsidR="00F11814">
        <w:rPr>
          <w:noProof/>
        </w:rPr>
        <w:t xml:space="preserve"> o </w:t>
      </w:r>
      <w:r w:rsidR="00664AA0" w:rsidRPr="00F11814">
        <w:rPr>
          <w:noProof/>
        </w:rPr>
        <w:t>predĺženie platnosti.</w:t>
      </w:r>
    </w:p>
    <w:p w:rsidR="00664AA0" w:rsidRPr="00F11814" w:rsidRDefault="009F31B8" w:rsidP="009F31B8">
      <w:pPr>
        <w:pStyle w:val="ManualConsidrant"/>
        <w:rPr>
          <w:noProof/>
        </w:rPr>
      </w:pPr>
      <w:r w:rsidRPr="009F31B8">
        <w:rPr>
          <w:noProof/>
        </w:rPr>
        <w:t>(5)</w:t>
      </w:r>
      <w:r w:rsidRPr="009F31B8">
        <w:rPr>
          <w:noProof/>
        </w:rPr>
        <w:tab/>
      </w:r>
      <w:r w:rsidR="002B4370" w:rsidRPr="00F11814">
        <w:rPr>
          <w:noProof/>
        </w:rPr>
        <w:t>V súlade</w:t>
      </w:r>
      <w:r w:rsidR="00F11814" w:rsidRPr="00F11814">
        <w:rPr>
          <w:noProof/>
        </w:rPr>
        <w:t xml:space="preserve"> s </w:t>
      </w:r>
      <w:r w:rsidR="002B4370" w:rsidRPr="00F11814">
        <w:rPr>
          <w:noProof/>
        </w:rPr>
        <w:t>článkom 6 ods. 2 vykonávacieho rozhodnutia (EÚ) 2015/2429 Lotyšsko predložilo spolu so žiadosťou</w:t>
      </w:r>
      <w:r w:rsidR="00F11814" w:rsidRPr="00F11814">
        <w:rPr>
          <w:noProof/>
        </w:rPr>
        <w:t xml:space="preserve"> o </w:t>
      </w:r>
      <w:r w:rsidR="002B4370" w:rsidRPr="00F11814">
        <w:rPr>
          <w:noProof/>
        </w:rPr>
        <w:t>predĺženie platnosti správu, ktorá obsahuje aj preskúmanie percentuálneho podielu stanoveného na obmedzenie odpočtu DPH uvedeného</w:t>
      </w:r>
      <w:r w:rsidR="00F11814" w:rsidRPr="00F11814">
        <w:rPr>
          <w:noProof/>
        </w:rPr>
        <w:t xml:space="preserve"> v </w:t>
      </w:r>
      <w:r w:rsidR="002B4370" w:rsidRPr="00F11814">
        <w:rPr>
          <w:noProof/>
        </w:rPr>
        <w:t>článku 1 uvedeného vykonávacieho rozhodnutia. Na základe informácií, ktoré sú</w:t>
      </w:r>
      <w:r w:rsidR="00F11814" w:rsidRPr="00F11814">
        <w:rPr>
          <w:noProof/>
        </w:rPr>
        <w:t xml:space="preserve"> v </w:t>
      </w:r>
      <w:r w:rsidR="002B4370" w:rsidRPr="00F11814">
        <w:rPr>
          <w:noProof/>
        </w:rPr>
        <w:t>súčasnosti</w:t>
      </w:r>
      <w:r w:rsidR="00F11814" w:rsidRPr="00F11814">
        <w:rPr>
          <w:noProof/>
        </w:rPr>
        <w:t xml:space="preserve"> k </w:t>
      </w:r>
      <w:r w:rsidR="002B4370" w:rsidRPr="00F11814">
        <w:rPr>
          <w:noProof/>
        </w:rPr>
        <w:t>dispozícii, konkrétne skúseností</w:t>
      </w:r>
      <w:r w:rsidR="00F11814" w:rsidRPr="00F11814">
        <w:rPr>
          <w:noProof/>
        </w:rPr>
        <w:t xml:space="preserve"> z </w:t>
      </w:r>
      <w:r w:rsidR="002B4370" w:rsidRPr="00F11814">
        <w:rPr>
          <w:noProof/>
        </w:rPr>
        <w:t>daňových kontrol</w:t>
      </w:r>
      <w:r w:rsidR="00F11814" w:rsidRPr="00F11814">
        <w:rPr>
          <w:noProof/>
        </w:rPr>
        <w:t xml:space="preserve"> a </w:t>
      </w:r>
      <w:r w:rsidR="002B4370" w:rsidRPr="00F11814">
        <w:rPr>
          <w:noProof/>
        </w:rPr>
        <w:t>štatistických údajov týkajúcich sa používania osobných motorových vozidiel na súkromné účely, Lotyšsko tvrdí, že obmedzenie na 50</w:t>
      </w:r>
      <w:r w:rsidR="00F11814" w:rsidRPr="00F11814">
        <w:rPr>
          <w:noProof/>
        </w:rPr>
        <w:t> %</w:t>
      </w:r>
      <w:r w:rsidR="002B4370" w:rsidRPr="00F11814">
        <w:rPr>
          <w:noProof/>
        </w:rPr>
        <w:t xml:space="preserve"> je naďalej opodstatnené</w:t>
      </w:r>
      <w:r w:rsidR="00F11814" w:rsidRPr="00F11814">
        <w:rPr>
          <w:noProof/>
        </w:rPr>
        <w:t xml:space="preserve"> a </w:t>
      </w:r>
      <w:r w:rsidR="002B4370" w:rsidRPr="00F11814">
        <w:rPr>
          <w:noProof/>
        </w:rPr>
        <w:t>stále primerané.</w:t>
      </w:r>
    </w:p>
    <w:p w:rsidR="00664AA0" w:rsidRPr="00F11814" w:rsidRDefault="009F31B8" w:rsidP="009F31B8">
      <w:pPr>
        <w:pStyle w:val="ManualConsidrant"/>
        <w:rPr>
          <w:noProof/>
        </w:rPr>
      </w:pPr>
      <w:r w:rsidRPr="009F31B8">
        <w:rPr>
          <w:noProof/>
        </w:rPr>
        <w:t>(6)</w:t>
      </w:r>
      <w:r w:rsidRPr="009F31B8">
        <w:rPr>
          <w:noProof/>
        </w:rPr>
        <w:tab/>
      </w:r>
      <w:r w:rsidR="00664AA0" w:rsidRPr="00F11814">
        <w:rPr>
          <w:noProof/>
        </w:rPr>
        <w:t>Vzhľadom na priaznivý vplyv osobitného opatrenia na administratívne zaťaženie daňovníkov</w:t>
      </w:r>
      <w:r w:rsidR="00F11814">
        <w:rPr>
          <w:noProof/>
        </w:rPr>
        <w:t xml:space="preserve"> a </w:t>
      </w:r>
      <w:r w:rsidR="00664AA0" w:rsidRPr="00F11814">
        <w:rPr>
          <w:noProof/>
        </w:rPr>
        <w:t>daňových orgánov zjednodušením výberu DPH</w:t>
      </w:r>
      <w:r w:rsidR="00F11814">
        <w:rPr>
          <w:noProof/>
        </w:rPr>
        <w:t xml:space="preserve"> a </w:t>
      </w:r>
      <w:r w:rsidR="00664AA0" w:rsidRPr="00F11814">
        <w:rPr>
          <w:noProof/>
        </w:rPr>
        <w:t>na predchádzanie daňovým únikom spôsobeným nesprávnym vedením záznamov Komisia považuje za vhodné povoliť Lotyšsku naďalej uplatňovať osobitné opatrenie.</w:t>
      </w:r>
    </w:p>
    <w:p w:rsidR="00664AA0" w:rsidRPr="00F11814" w:rsidRDefault="009F31B8" w:rsidP="009F31B8">
      <w:pPr>
        <w:pStyle w:val="ManualConsidrant"/>
        <w:rPr>
          <w:noProof/>
        </w:rPr>
      </w:pPr>
      <w:r w:rsidRPr="009F31B8">
        <w:rPr>
          <w:noProof/>
        </w:rPr>
        <w:t>(7)</w:t>
      </w:r>
      <w:r w:rsidRPr="009F31B8">
        <w:rPr>
          <w:noProof/>
        </w:rPr>
        <w:tab/>
      </w:r>
      <w:r w:rsidR="0041538E" w:rsidRPr="00F11814">
        <w:rPr>
          <w:noProof/>
        </w:rPr>
        <w:t>Je vhodné časovo obmedziť predĺženie platnosti osobitného opatrenia, aby bolo možné vyhodnotiť jeho účinnosť, ako aj primeranosť percentuálneho podielu. Lotyšsku by sa preto malo povoliť, aby uplatňovalo osobitné opatrenie aj naďalej,</w:t>
      </w:r>
      <w:r w:rsidR="00F11814" w:rsidRPr="00F11814">
        <w:rPr>
          <w:noProof/>
        </w:rPr>
        <w:t xml:space="preserve"> a </w:t>
      </w:r>
      <w:r w:rsidR="0041538E" w:rsidRPr="00F11814">
        <w:rPr>
          <w:noProof/>
        </w:rPr>
        <w:t>to do 31</w:t>
      </w:r>
      <w:r w:rsidR="00F11814" w:rsidRPr="00F11814">
        <w:rPr>
          <w:noProof/>
        </w:rPr>
        <w:t>. decembra</w:t>
      </w:r>
      <w:r w:rsidR="0041538E" w:rsidRPr="00F11814">
        <w:rPr>
          <w:noProof/>
        </w:rPr>
        <w:t xml:space="preserve"> 2027.</w:t>
      </w:r>
    </w:p>
    <w:p w:rsidR="005D5DCB" w:rsidRPr="00F11814" w:rsidRDefault="009F31B8" w:rsidP="009F31B8">
      <w:pPr>
        <w:pStyle w:val="ManualConsidrant"/>
        <w:rPr>
          <w:noProof/>
        </w:rPr>
      </w:pPr>
      <w:r w:rsidRPr="009F31B8">
        <w:rPr>
          <w:noProof/>
        </w:rPr>
        <w:t>(8)</w:t>
      </w:r>
      <w:r w:rsidRPr="009F31B8">
        <w:rPr>
          <w:noProof/>
        </w:rPr>
        <w:tab/>
      </w:r>
      <w:r w:rsidR="005D5DCB" w:rsidRPr="00F11814">
        <w:rPr>
          <w:noProof/>
        </w:rPr>
        <w:t>Osobitné opatrenie je primerané sledovaným cieľom, konkrétne zjednodušiť postup výberu DPH</w:t>
      </w:r>
      <w:r w:rsidR="00F11814" w:rsidRPr="00F11814">
        <w:rPr>
          <w:noProof/>
        </w:rPr>
        <w:t xml:space="preserve"> a </w:t>
      </w:r>
      <w:r w:rsidR="005D5DCB" w:rsidRPr="00F11814">
        <w:rPr>
          <w:noProof/>
        </w:rPr>
        <w:t>zabrániť určitým formám daňových únikov alebo vyhýbaniu sa daňovým povinnostiam, keďže je časovo</w:t>
      </w:r>
      <w:r w:rsidR="00F11814" w:rsidRPr="00F11814">
        <w:rPr>
          <w:noProof/>
        </w:rPr>
        <w:t xml:space="preserve"> a </w:t>
      </w:r>
      <w:r w:rsidR="005D5DCB" w:rsidRPr="00F11814">
        <w:rPr>
          <w:noProof/>
        </w:rPr>
        <w:t>rozsahom obmedzené. Toto osobitné opatrenie navyše nepredstavuje riziko, že sa podvody presunú do iných odvetví alebo iných členských štátov.</w:t>
      </w:r>
    </w:p>
    <w:p w:rsidR="00664AA0" w:rsidRPr="00F11814" w:rsidRDefault="009F31B8" w:rsidP="009F31B8">
      <w:pPr>
        <w:pStyle w:val="ManualConsidrant"/>
        <w:rPr>
          <w:noProof/>
        </w:rPr>
      </w:pPr>
      <w:r w:rsidRPr="009F31B8">
        <w:rPr>
          <w:noProof/>
        </w:rPr>
        <w:t>(9)</w:t>
      </w:r>
      <w:r w:rsidRPr="009F31B8">
        <w:rPr>
          <w:noProof/>
        </w:rPr>
        <w:tab/>
      </w:r>
      <w:r w:rsidR="00664AA0" w:rsidRPr="00F11814">
        <w:rPr>
          <w:noProof/>
        </w:rPr>
        <w:t>Ak bude Lotyšsko považovať za potrebné ďalšie predĺženie platnosti osobitného opatrenia na obdobie po roku 2027, malo by Komisii do 31</w:t>
      </w:r>
      <w:r w:rsidR="00F11814">
        <w:rPr>
          <w:noProof/>
        </w:rPr>
        <w:t>. marca</w:t>
      </w:r>
      <w:r w:rsidR="00664AA0" w:rsidRPr="00F11814">
        <w:rPr>
          <w:noProof/>
        </w:rPr>
        <w:t xml:space="preserve"> 2027 predložiť spolu so žiadosťou</w:t>
      </w:r>
      <w:r w:rsidR="00F11814">
        <w:rPr>
          <w:noProof/>
        </w:rPr>
        <w:t xml:space="preserve"> o </w:t>
      </w:r>
      <w:r w:rsidR="00664AA0" w:rsidRPr="00F11814">
        <w:rPr>
          <w:noProof/>
        </w:rPr>
        <w:t>predĺženie správu, ktorej súčasťou bude preskúmanie uplatňovaného percentuálneho podielu.</w:t>
      </w:r>
    </w:p>
    <w:p w:rsidR="00664AA0" w:rsidRPr="00F11814" w:rsidRDefault="009F31B8" w:rsidP="009F31B8">
      <w:pPr>
        <w:pStyle w:val="ManualConsidrant"/>
        <w:rPr>
          <w:noProof/>
        </w:rPr>
      </w:pPr>
      <w:r w:rsidRPr="009F31B8">
        <w:rPr>
          <w:noProof/>
        </w:rPr>
        <w:t>(10)</w:t>
      </w:r>
      <w:r w:rsidRPr="009F31B8">
        <w:rPr>
          <w:noProof/>
        </w:rPr>
        <w:tab/>
      </w:r>
      <w:r w:rsidR="00664AA0" w:rsidRPr="00F11814">
        <w:rPr>
          <w:noProof/>
        </w:rPr>
        <w:t>Osobitné opatrenie bude mať len zanedbateľný účinok na celkovú výšku príjmov</w:t>
      </w:r>
      <w:r w:rsidR="00F11814">
        <w:rPr>
          <w:noProof/>
        </w:rPr>
        <w:t xml:space="preserve"> z </w:t>
      </w:r>
      <w:r w:rsidR="00664AA0" w:rsidRPr="00F11814">
        <w:rPr>
          <w:noProof/>
        </w:rPr>
        <w:t>dane vybranej na stupni konečnej spotreby</w:t>
      </w:r>
      <w:r w:rsidR="00F11814">
        <w:rPr>
          <w:noProof/>
        </w:rPr>
        <w:t xml:space="preserve"> a </w:t>
      </w:r>
      <w:r w:rsidR="00664AA0" w:rsidRPr="00F11814">
        <w:rPr>
          <w:noProof/>
        </w:rPr>
        <w:t>nebude mať žiadny nepriaznivý vplyv na vlastné zdroje Únie založené na DPH.</w:t>
      </w:r>
    </w:p>
    <w:p w:rsidR="00C5199B" w:rsidRPr="00F11814" w:rsidRDefault="009F31B8" w:rsidP="009F31B8">
      <w:pPr>
        <w:pStyle w:val="ManualConsidrant"/>
        <w:rPr>
          <w:noProof/>
        </w:rPr>
      </w:pPr>
      <w:r w:rsidRPr="009F31B8">
        <w:rPr>
          <w:noProof/>
        </w:rPr>
        <w:t>(11)</w:t>
      </w:r>
      <w:r w:rsidRPr="009F31B8">
        <w:rPr>
          <w:noProof/>
        </w:rPr>
        <w:tab/>
      </w:r>
      <w:r w:rsidR="00664AA0" w:rsidRPr="00F11814">
        <w:rPr>
          <w:noProof/>
        </w:rPr>
        <w:t>Vykonávacie rozhodnutie (EÚ) 2015/2429 by sa preto malo zodpovedajúcim spôsobom zmeniť,</w:t>
      </w:r>
    </w:p>
    <w:p w:rsidR="00F11814" w:rsidRDefault="00C5199B" w:rsidP="00CE1658">
      <w:pPr>
        <w:pStyle w:val="Formuledadoption"/>
        <w:rPr>
          <w:noProof/>
        </w:rPr>
      </w:pPr>
      <w:r w:rsidRPr="00F11814">
        <w:rPr>
          <w:noProof/>
        </w:rPr>
        <w:t>PRIJALA TOTO ROZHODNUTIE</w:t>
      </w:r>
      <w:r w:rsidR="00F11814">
        <w:rPr>
          <w:noProof/>
        </w:rPr>
        <w:t>:</w:t>
      </w:r>
    </w:p>
    <w:p w:rsidR="00C5199B" w:rsidRPr="00F11814" w:rsidRDefault="00C5199B" w:rsidP="00CE1658">
      <w:pPr>
        <w:pStyle w:val="Titrearticle"/>
        <w:rPr>
          <w:noProof/>
        </w:rPr>
      </w:pPr>
      <w:r w:rsidRPr="00F11814">
        <w:rPr>
          <w:noProof/>
        </w:rPr>
        <w:t>Článok 1</w:t>
      </w:r>
    </w:p>
    <w:p w:rsidR="00664AA0" w:rsidRPr="00F11814" w:rsidRDefault="00664AA0" w:rsidP="00664AA0">
      <w:pPr>
        <w:rPr>
          <w:noProof/>
        </w:rPr>
      </w:pPr>
      <w:r w:rsidRPr="00F11814">
        <w:rPr>
          <w:noProof/>
        </w:rPr>
        <w:t>Článok 6 vykonávacieho rozhodnutia (EÚ) 2015/2429 sa nahrádza takto:</w:t>
      </w:r>
    </w:p>
    <w:p w:rsidR="00664AA0" w:rsidRPr="00F11814" w:rsidRDefault="00664AA0" w:rsidP="00664AA0">
      <w:pPr>
        <w:jc w:val="center"/>
        <w:rPr>
          <w:i/>
          <w:noProof/>
        </w:rPr>
      </w:pPr>
      <w:r w:rsidRPr="00F11814">
        <w:rPr>
          <w:noProof/>
        </w:rPr>
        <w:t>„Článok 6</w:t>
      </w:r>
    </w:p>
    <w:p w:rsidR="00664AA0" w:rsidRPr="00F11814" w:rsidRDefault="00664AA0" w:rsidP="00664AA0">
      <w:pPr>
        <w:rPr>
          <w:noProof/>
        </w:rPr>
      </w:pPr>
      <w:r w:rsidRPr="00F11814">
        <w:rPr>
          <w:noProof/>
        </w:rPr>
        <w:t>1. Toto rozhodnutia stráca účinnosť 31</w:t>
      </w:r>
      <w:r w:rsidR="00F11814">
        <w:rPr>
          <w:noProof/>
        </w:rPr>
        <w:t>. decembra</w:t>
      </w:r>
      <w:r w:rsidRPr="00F11814">
        <w:rPr>
          <w:noProof/>
        </w:rPr>
        <w:t xml:space="preserve"> 2027.</w:t>
      </w:r>
    </w:p>
    <w:p w:rsidR="00664AA0" w:rsidRPr="00F11814" w:rsidRDefault="00664AA0" w:rsidP="00664AA0">
      <w:pPr>
        <w:rPr>
          <w:noProof/>
        </w:rPr>
      </w:pPr>
      <w:r w:rsidRPr="00F11814">
        <w:rPr>
          <w:noProof/>
        </w:rPr>
        <w:t>2. Prípadná žiadosť</w:t>
      </w:r>
      <w:r w:rsidR="00F11814">
        <w:rPr>
          <w:noProof/>
        </w:rPr>
        <w:t xml:space="preserve"> o </w:t>
      </w:r>
      <w:r w:rsidRPr="00F11814">
        <w:rPr>
          <w:noProof/>
        </w:rPr>
        <w:t>predĺženie platnosti povolenia stanoveného</w:t>
      </w:r>
      <w:r w:rsidR="00F11814">
        <w:rPr>
          <w:noProof/>
        </w:rPr>
        <w:t xml:space="preserve"> v </w:t>
      </w:r>
      <w:r w:rsidRPr="00F11814">
        <w:rPr>
          <w:noProof/>
        </w:rPr>
        <w:t>tomto rozhodnutí sa Komisii predloží do 31</w:t>
      </w:r>
      <w:r w:rsidR="00F11814">
        <w:rPr>
          <w:noProof/>
        </w:rPr>
        <w:t>. marca</w:t>
      </w:r>
      <w:r w:rsidRPr="00F11814">
        <w:rPr>
          <w:noProof/>
        </w:rPr>
        <w:t xml:space="preserve"> 2027</w:t>
      </w:r>
      <w:r w:rsidR="00F11814">
        <w:rPr>
          <w:noProof/>
        </w:rPr>
        <w:t xml:space="preserve"> a </w:t>
      </w:r>
      <w:r w:rsidRPr="00F11814">
        <w:rPr>
          <w:noProof/>
        </w:rPr>
        <w:t>pripojí sa</w:t>
      </w:r>
      <w:r w:rsidR="00F11814">
        <w:rPr>
          <w:noProof/>
        </w:rPr>
        <w:t xml:space="preserve"> k </w:t>
      </w:r>
      <w:r w:rsidRPr="00F11814">
        <w:rPr>
          <w:noProof/>
        </w:rPr>
        <w:t>nej správa zahŕňajúca preskúmanie percentuálneho podielu stanoveného</w:t>
      </w:r>
      <w:r w:rsidR="00F11814">
        <w:rPr>
          <w:noProof/>
        </w:rPr>
        <w:t xml:space="preserve"> v </w:t>
      </w:r>
      <w:r w:rsidRPr="00F11814">
        <w:rPr>
          <w:noProof/>
        </w:rPr>
        <w:t>článku 1.“</w:t>
      </w:r>
    </w:p>
    <w:p w:rsidR="00C5199B" w:rsidRPr="00F11814" w:rsidRDefault="00C5199B" w:rsidP="00EF27CA">
      <w:pPr>
        <w:pStyle w:val="Titrearticle"/>
        <w:rPr>
          <w:noProof/>
        </w:rPr>
      </w:pPr>
      <w:r w:rsidRPr="00F11814">
        <w:rPr>
          <w:noProof/>
        </w:rPr>
        <w:t>Článok 2</w:t>
      </w:r>
    </w:p>
    <w:p w:rsidR="00C5199B" w:rsidRPr="00F11814" w:rsidRDefault="00C5199B" w:rsidP="00CE1658">
      <w:pPr>
        <w:keepNext/>
        <w:keepLines/>
        <w:rPr>
          <w:noProof/>
        </w:rPr>
      </w:pPr>
      <w:r w:rsidRPr="00F11814">
        <w:rPr>
          <w:noProof/>
          <w:color w:val="000000"/>
        </w:rPr>
        <w:t>Toto rozhodnutie je určené Lotyšskej republike</w:t>
      </w:r>
      <w:r w:rsidRPr="00F11814">
        <w:rPr>
          <w:noProof/>
        </w:rPr>
        <w:t>.</w:t>
      </w:r>
    </w:p>
    <w:p w:rsidR="00C5199B" w:rsidRPr="00F11814" w:rsidRDefault="00F11814" w:rsidP="00EF27CA">
      <w:pPr>
        <w:pStyle w:val="Fait"/>
        <w:rPr>
          <w:noProof/>
        </w:rPr>
      </w:pPr>
      <w:r>
        <w:rPr>
          <w:noProof/>
        </w:rPr>
        <w:t>V Bruseli</w:t>
      </w:r>
    </w:p>
    <w:p w:rsidR="00C5199B" w:rsidRPr="00F11814" w:rsidRDefault="00C5199B" w:rsidP="00EF27CA">
      <w:pPr>
        <w:pStyle w:val="Institutionquisigne"/>
        <w:rPr>
          <w:noProof/>
        </w:rPr>
      </w:pPr>
      <w:r w:rsidRPr="00F11814">
        <w:rPr>
          <w:noProof/>
        </w:rPr>
        <w:tab/>
        <w:t>Za Radu</w:t>
      </w:r>
    </w:p>
    <w:p w:rsidR="00C5199B" w:rsidRPr="00F11814" w:rsidRDefault="00C5199B" w:rsidP="00C5199B">
      <w:pPr>
        <w:pStyle w:val="Personnequisigne"/>
        <w:rPr>
          <w:noProof/>
        </w:rPr>
      </w:pPr>
      <w:r w:rsidRPr="00F11814">
        <w:rPr>
          <w:noProof/>
        </w:rPr>
        <w:tab/>
        <w:t>predseda/predsedníčka</w:t>
      </w:r>
    </w:p>
    <w:sectPr w:rsidR="00C5199B" w:rsidRPr="00F11814" w:rsidSect="000730CF">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A50" w:rsidRDefault="00A96A50" w:rsidP="00C5199B">
      <w:pPr>
        <w:spacing w:before="0" w:after="0"/>
      </w:pPr>
      <w:r>
        <w:separator/>
      </w:r>
    </w:p>
  </w:endnote>
  <w:endnote w:type="continuationSeparator" w:id="0">
    <w:p w:rsidR="00A96A50" w:rsidRDefault="00A96A50" w:rsidP="00C5199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0CF" w:rsidRPr="000730CF" w:rsidRDefault="000730CF" w:rsidP="000730CF">
    <w:pPr>
      <w:pStyle w:val="Footer"/>
      <w:rPr>
        <w:rFonts w:ascii="Arial" w:hAnsi="Arial" w:cs="Arial"/>
        <w:b/>
        <w:sz w:val="48"/>
      </w:rPr>
    </w:pPr>
    <w:r w:rsidRPr="000730CF">
      <w:rPr>
        <w:rFonts w:ascii="Arial" w:hAnsi="Arial" w:cs="Arial"/>
        <w:b/>
        <w:sz w:val="48"/>
      </w:rPr>
      <w:t>SK</w:t>
    </w:r>
    <w:r w:rsidRPr="000730CF">
      <w:rPr>
        <w:rFonts w:ascii="Arial" w:hAnsi="Arial" w:cs="Arial"/>
        <w:b/>
        <w:sz w:val="48"/>
      </w:rPr>
      <w:tab/>
    </w:r>
    <w:r w:rsidRPr="000730CF">
      <w:rPr>
        <w:rFonts w:ascii="Arial" w:hAnsi="Arial" w:cs="Arial"/>
        <w:b/>
        <w:sz w:val="48"/>
      </w:rPr>
      <w:tab/>
    </w:r>
    <w:r w:rsidRPr="000730CF">
      <w:tab/>
    </w:r>
    <w:r w:rsidRPr="000730CF">
      <w:rPr>
        <w:rFonts w:ascii="Arial" w:hAnsi="Arial" w:cs="Arial"/>
        <w:b/>
        <w:sz w:val="48"/>
      </w:rPr>
      <w:t>SK</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0CF" w:rsidRPr="000730CF" w:rsidRDefault="000730CF" w:rsidP="000730CF">
    <w:pPr>
      <w:pStyle w:val="Footer"/>
      <w:rPr>
        <w:rFonts w:ascii="Arial" w:hAnsi="Arial" w:cs="Arial"/>
        <w:b/>
        <w:sz w:val="48"/>
      </w:rPr>
    </w:pPr>
    <w:r w:rsidRPr="000730CF">
      <w:rPr>
        <w:rFonts w:ascii="Arial" w:hAnsi="Arial" w:cs="Arial"/>
        <w:b/>
        <w:sz w:val="48"/>
      </w:rPr>
      <w:t>SK</w:t>
    </w:r>
    <w:r w:rsidRPr="000730CF">
      <w:rPr>
        <w:rFonts w:ascii="Arial" w:hAnsi="Arial" w:cs="Arial"/>
        <w:b/>
        <w:sz w:val="48"/>
      </w:rPr>
      <w:tab/>
    </w:r>
    <w:r w:rsidRPr="000730CF">
      <w:rPr>
        <w:rFonts w:ascii="Arial" w:hAnsi="Arial" w:cs="Arial"/>
        <w:b/>
        <w:sz w:val="48"/>
      </w:rPr>
      <w:tab/>
    </w:r>
    <w:r w:rsidRPr="000730CF">
      <w:tab/>
    </w:r>
    <w:r w:rsidRPr="000730CF">
      <w:rPr>
        <w:rFonts w:ascii="Arial" w:hAnsi="Arial" w:cs="Arial"/>
        <w:b/>
        <w:sz w:val="48"/>
      </w:rPr>
      <w:t>SK</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0CF" w:rsidRDefault="000730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0CF" w:rsidRPr="000730CF" w:rsidRDefault="000730CF" w:rsidP="000730CF">
    <w:pPr>
      <w:pStyle w:val="Footer"/>
      <w:rPr>
        <w:rFonts w:ascii="Arial" w:hAnsi="Arial" w:cs="Arial"/>
        <w:b/>
        <w:sz w:val="48"/>
      </w:rPr>
    </w:pPr>
    <w:r w:rsidRPr="000730CF">
      <w:rPr>
        <w:rFonts w:ascii="Arial" w:hAnsi="Arial" w:cs="Arial"/>
        <w:b/>
        <w:sz w:val="48"/>
      </w:rPr>
      <w:t>SK</w:t>
    </w:r>
    <w:r w:rsidRPr="000730CF">
      <w:rPr>
        <w:rFonts w:ascii="Arial" w:hAnsi="Arial" w:cs="Arial"/>
        <w:b/>
        <w:sz w:val="48"/>
      </w:rPr>
      <w:tab/>
    </w:r>
    <w:r>
      <w:fldChar w:fldCharType="begin"/>
    </w:r>
    <w:r>
      <w:instrText xml:space="preserve"> PAGE  \* MERGEFORMAT </w:instrText>
    </w:r>
    <w:r>
      <w:fldChar w:fldCharType="separate"/>
    </w:r>
    <w:r w:rsidR="00EF27CA">
      <w:rPr>
        <w:noProof/>
      </w:rPr>
      <w:t>7</w:t>
    </w:r>
    <w:r>
      <w:fldChar w:fldCharType="end"/>
    </w:r>
    <w:r>
      <w:tab/>
    </w:r>
    <w:r w:rsidRPr="000730CF">
      <w:tab/>
    </w:r>
    <w:r w:rsidRPr="000730CF">
      <w:rPr>
        <w:rFonts w:ascii="Arial" w:hAnsi="Arial" w:cs="Arial"/>
        <w:b/>
        <w:sz w:val="48"/>
      </w:rPr>
      <w:t>SK</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0CF" w:rsidRDefault="000730CF" w:rsidP="000730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A50" w:rsidRDefault="00A96A50" w:rsidP="00C5199B">
      <w:pPr>
        <w:spacing w:before="0" w:after="0"/>
      </w:pPr>
      <w:r>
        <w:separator/>
      </w:r>
    </w:p>
  </w:footnote>
  <w:footnote w:type="continuationSeparator" w:id="0">
    <w:p w:rsidR="00A96A50" w:rsidRDefault="00A96A50" w:rsidP="00C5199B">
      <w:pPr>
        <w:spacing w:before="0" w:after="0"/>
      </w:pPr>
      <w:r>
        <w:continuationSeparator/>
      </w:r>
    </w:p>
  </w:footnote>
  <w:footnote w:id="1">
    <w:p w:rsidR="005C6BD2" w:rsidRPr="00F11814" w:rsidRDefault="005C6BD2" w:rsidP="005C6BD2">
      <w:pPr>
        <w:pStyle w:val="FootnoteText"/>
      </w:pPr>
      <w:r w:rsidRPr="00F11814">
        <w:rPr>
          <w:rStyle w:val="FootnoteReference"/>
        </w:rPr>
        <w:footnoteRef/>
      </w:r>
      <w:r w:rsidRPr="00F11814">
        <w:tab/>
        <w:t>Ú. v. EÚ L 347, 11.12.2006, s. 1</w:t>
      </w:r>
      <w:r w:rsidR="00F11814">
        <w:t>.</w:t>
      </w:r>
    </w:p>
  </w:footnote>
  <w:footnote w:id="2">
    <w:p w:rsidR="00E41C65" w:rsidRPr="00F11814" w:rsidRDefault="00E41C65" w:rsidP="00E41C65">
      <w:pPr>
        <w:pStyle w:val="FootnoteText"/>
      </w:pPr>
      <w:r w:rsidRPr="00F11814">
        <w:rPr>
          <w:rStyle w:val="FootnoteReference"/>
        </w:rPr>
        <w:footnoteRef/>
      </w:r>
      <w:r w:rsidRPr="00F11814">
        <w:tab/>
        <w:t>Vykonávacie rozhodnutie Rady (EÚ) 2015/2429</w:t>
      </w:r>
      <w:r w:rsidR="00F11814">
        <w:t xml:space="preserve"> z </w:t>
      </w:r>
      <w:r w:rsidRPr="00F11814">
        <w:t>10</w:t>
      </w:r>
      <w:r w:rsidR="00F11814">
        <w:t>. decembra</w:t>
      </w:r>
      <w:r w:rsidRPr="00F11814">
        <w:t xml:space="preserve"> 2015, ktorým sa Lotyšsku povoľuje zaviesť osobitné opatrenie odchyľujúce sa od článku 26 ods. 1 písm. a)</w:t>
      </w:r>
      <w:r w:rsidR="00F11814">
        <w:t xml:space="preserve"> a </w:t>
      </w:r>
      <w:r w:rsidRPr="00F11814">
        <w:t>článkov 168</w:t>
      </w:r>
      <w:r w:rsidR="00F11814">
        <w:t xml:space="preserve"> a </w:t>
      </w:r>
      <w:r w:rsidRPr="00F11814">
        <w:t>168a smernice 2006/112/ES</w:t>
      </w:r>
      <w:r w:rsidR="00F11814">
        <w:t xml:space="preserve"> o </w:t>
      </w:r>
      <w:r w:rsidRPr="00F11814">
        <w:t>spoločnom systéme dane</w:t>
      </w:r>
      <w:r w:rsidR="00F11814">
        <w:t xml:space="preserve"> z </w:t>
      </w:r>
      <w:r w:rsidRPr="00F11814">
        <w:t>pridanej hodnoty (Ú. v. EÚ L 334, 22.12.2015, s. 15 – 17)</w:t>
      </w:r>
      <w:r w:rsidR="00F11814">
        <w:t>.</w:t>
      </w:r>
    </w:p>
  </w:footnote>
  <w:footnote w:id="3">
    <w:p w:rsidR="00E41C65" w:rsidRPr="00F11814" w:rsidRDefault="00E41C65" w:rsidP="00E41C65">
      <w:pPr>
        <w:pStyle w:val="FootnoteText"/>
      </w:pPr>
      <w:r w:rsidRPr="00F11814">
        <w:rPr>
          <w:rStyle w:val="FootnoteReference"/>
        </w:rPr>
        <w:footnoteRef/>
      </w:r>
      <w:r w:rsidRPr="00F11814">
        <w:tab/>
        <w:t>Vykonávacie rozhodnutie Rady (EÚ) 2018/1921 zo 4</w:t>
      </w:r>
      <w:r w:rsidR="00F11814">
        <w:t>. decembra</w:t>
      </w:r>
      <w:r w:rsidRPr="00F11814">
        <w:t xml:space="preserve"> 2018, ktorým sa mení vykonávacie rozhodnutie (EÚ) 2015/2429, ktorým sa Lotyšsku povoľuje zaviesť osobitné opatrenie odchyľujúce sa od článku 26 ods. 1 písm. a)</w:t>
      </w:r>
      <w:r w:rsidR="00F11814">
        <w:t xml:space="preserve"> a </w:t>
      </w:r>
      <w:r w:rsidRPr="00F11814">
        <w:t>článkov 168</w:t>
      </w:r>
      <w:r w:rsidR="00F11814">
        <w:t xml:space="preserve"> a </w:t>
      </w:r>
      <w:r w:rsidRPr="00F11814">
        <w:t>168a smernice 2006/112/ES</w:t>
      </w:r>
      <w:r w:rsidR="00F11814">
        <w:t xml:space="preserve"> o </w:t>
      </w:r>
      <w:r w:rsidRPr="00F11814">
        <w:t>spoločnom systéme dane</w:t>
      </w:r>
      <w:r w:rsidR="00F11814">
        <w:t xml:space="preserve"> z </w:t>
      </w:r>
      <w:r w:rsidRPr="00F11814">
        <w:t>pridanej hodnoty (Ú. v. EÚ L 311, 7.12.2018, s. 36 – 37).</w:t>
      </w:r>
    </w:p>
  </w:footnote>
  <w:footnote w:id="4">
    <w:p w:rsidR="00D807B4" w:rsidRPr="00F11814" w:rsidRDefault="00D807B4">
      <w:pPr>
        <w:pStyle w:val="FootnoteText"/>
      </w:pPr>
      <w:r w:rsidRPr="00F11814">
        <w:rPr>
          <w:rStyle w:val="FootnoteReference"/>
        </w:rPr>
        <w:footnoteRef/>
      </w:r>
      <w:r w:rsidRPr="00F11814">
        <w:tab/>
        <w:t>Vykonávacie rozhodnutie Rady (EÚ) 2021/1968</w:t>
      </w:r>
      <w:r w:rsidR="00F11814">
        <w:t xml:space="preserve"> z </w:t>
      </w:r>
      <w:r w:rsidRPr="00F11814">
        <w:t>9</w:t>
      </w:r>
      <w:r w:rsidR="00F11814">
        <w:t>. novembra</w:t>
      </w:r>
      <w:r w:rsidRPr="00F11814">
        <w:t> 2021, ktorým sa mení vykonávacie rozhodnutie (EÚ) 2015/2429, ktorým sa Lotyšsku povoľuje zaviesť osobitné opatrenie odchyľujúce sa od článku 26 ods. 1 písm. a)</w:t>
      </w:r>
      <w:r w:rsidR="00F11814">
        <w:t xml:space="preserve"> a </w:t>
      </w:r>
      <w:r w:rsidRPr="00F11814">
        <w:t>článkov 168</w:t>
      </w:r>
      <w:r w:rsidR="00F11814">
        <w:t xml:space="preserve"> a </w:t>
      </w:r>
      <w:r w:rsidRPr="00F11814">
        <w:t>168a smernice 2006/112/ES</w:t>
      </w:r>
      <w:r w:rsidR="00F11814">
        <w:t xml:space="preserve"> o </w:t>
      </w:r>
      <w:r w:rsidRPr="00F11814">
        <w:t>spoločnom systéme dane</w:t>
      </w:r>
      <w:r w:rsidR="00F11814">
        <w:t xml:space="preserve"> z </w:t>
      </w:r>
      <w:r w:rsidRPr="00F11814">
        <w:t>pridanej hodnoty (Ú. v. EÚ L 401, 12.11.2021, s. 1 – 2).</w:t>
      </w:r>
    </w:p>
  </w:footnote>
  <w:footnote w:id="5">
    <w:p w:rsidR="00E41C65" w:rsidRPr="00F11814" w:rsidRDefault="00E41C65" w:rsidP="00E41C65">
      <w:pPr>
        <w:pStyle w:val="FootnoteText"/>
      </w:pPr>
      <w:r w:rsidRPr="00F11814">
        <w:rPr>
          <w:rStyle w:val="FootnoteReference"/>
        </w:rPr>
        <w:footnoteRef/>
      </w:r>
      <w:r w:rsidRPr="00F11814">
        <w:tab/>
        <w:t>Vykonávacie rozhodnutie Rady (EÚ) 2021/1998</w:t>
      </w:r>
      <w:r w:rsidR="00F11814">
        <w:t xml:space="preserve"> z </w:t>
      </w:r>
      <w:r w:rsidRPr="00F11814">
        <w:t>15</w:t>
      </w:r>
      <w:r w:rsidR="00F11814">
        <w:t>. novembra</w:t>
      </w:r>
      <w:r w:rsidRPr="00F11814">
        <w:t xml:space="preserve"> 2021, ktorým sa Estónsku povoľuje zaviesť opatrenie odchyľujúce sa od článku 26 ods. 1 písm. a)</w:t>
      </w:r>
      <w:r w:rsidR="00F11814">
        <w:t xml:space="preserve"> a </w:t>
      </w:r>
      <w:r w:rsidRPr="00F11814">
        <w:t>článkov 168</w:t>
      </w:r>
      <w:r w:rsidR="00F11814">
        <w:t xml:space="preserve"> a </w:t>
      </w:r>
      <w:r w:rsidRPr="00F11814">
        <w:t>168a smernice 2006/112/ES</w:t>
      </w:r>
      <w:r w:rsidR="00F11814">
        <w:t xml:space="preserve"> o </w:t>
      </w:r>
      <w:r w:rsidRPr="00F11814">
        <w:t>spoločnom systéme dane</w:t>
      </w:r>
      <w:r w:rsidR="00F11814">
        <w:t xml:space="preserve"> z </w:t>
      </w:r>
      <w:r w:rsidRPr="00F11814">
        <w:t>pridanej hodnoty (Ú. v. EÚ L 408, 17.11.2021, s. 3 – 5).</w:t>
      </w:r>
    </w:p>
  </w:footnote>
  <w:footnote w:id="6">
    <w:p w:rsidR="00E41C65" w:rsidRPr="00F11814" w:rsidRDefault="00E41C65" w:rsidP="00E41C65">
      <w:pPr>
        <w:pStyle w:val="FootnoteText"/>
      </w:pPr>
      <w:r w:rsidRPr="00F11814">
        <w:rPr>
          <w:rStyle w:val="FootnoteReference"/>
        </w:rPr>
        <w:footnoteRef/>
      </w:r>
      <w:r w:rsidRPr="00F11814">
        <w:tab/>
        <w:t>Vykonávacie rozhodnutie Rady (EÚ) 2021/1774</w:t>
      </w:r>
      <w:r w:rsidR="00F11814">
        <w:t xml:space="preserve"> z </w:t>
      </w:r>
      <w:r w:rsidRPr="00F11814">
        <w:t>5</w:t>
      </w:r>
      <w:r w:rsidR="00F11814">
        <w:t>. októbra</w:t>
      </w:r>
      <w:r w:rsidRPr="00F11814">
        <w:t xml:space="preserve"> 2021, ktorým sa mení vykonávacie rozhodnutie (EÚ) 2018/1493, ktorým sa Maďarsku povoľuje zaviesť osobitné opatrenie odchyľujúce sa od článku 26 ods. 1 písm. a)</w:t>
      </w:r>
      <w:r w:rsidR="00F11814">
        <w:t xml:space="preserve"> a </w:t>
      </w:r>
      <w:r w:rsidRPr="00F11814">
        <w:t>článkov 168</w:t>
      </w:r>
      <w:r w:rsidR="00F11814">
        <w:t xml:space="preserve"> a </w:t>
      </w:r>
      <w:r w:rsidRPr="00F11814">
        <w:t>168a smernice 2006/112/ES</w:t>
      </w:r>
      <w:r w:rsidR="00F11814">
        <w:t xml:space="preserve"> o </w:t>
      </w:r>
      <w:r w:rsidRPr="00F11814">
        <w:t>spoločnom systéme dane</w:t>
      </w:r>
      <w:r w:rsidR="00F11814">
        <w:t xml:space="preserve"> z </w:t>
      </w:r>
      <w:r w:rsidRPr="00F11814">
        <w:t>pridanej hodnoty (Ú. v. EÚ L 360, 11.10.2021, s. 108 – 109).</w:t>
      </w:r>
    </w:p>
  </w:footnote>
  <w:footnote w:id="7">
    <w:p w:rsidR="00E41C65" w:rsidRPr="00F11814" w:rsidRDefault="00E41C65" w:rsidP="00E41C65">
      <w:pPr>
        <w:pStyle w:val="FootnoteText"/>
      </w:pPr>
      <w:r w:rsidRPr="00F11814">
        <w:rPr>
          <w:rStyle w:val="FootnoteReference"/>
        </w:rPr>
        <w:footnoteRef/>
      </w:r>
      <w:r w:rsidRPr="00F11814">
        <w:tab/>
        <w:t>Vykonávacie rozhodnutie Rady (EÚ) 2021/1997</w:t>
      </w:r>
      <w:r w:rsidR="00F11814">
        <w:t xml:space="preserve"> z </w:t>
      </w:r>
      <w:r w:rsidRPr="00F11814">
        <w:t>15</w:t>
      </w:r>
      <w:r w:rsidR="00F11814">
        <w:t>. novembra</w:t>
      </w:r>
      <w:r w:rsidRPr="00F11814">
        <w:t> 2021, ktorým sa mení vykonávacie rozhodnutie (EÚ) 2018/1994, ktorým sa Chorvátsku povoľuje zaviesť osobitné opatrenie odchyľujúce sa od článku 26 ods. 1 písm. a)</w:t>
      </w:r>
      <w:r w:rsidR="00F11814">
        <w:t xml:space="preserve"> a </w:t>
      </w:r>
      <w:r w:rsidRPr="00F11814">
        <w:t>článku 168 smernice 2006/112/ES</w:t>
      </w:r>
      <w:r w:rsidR="00F11814">
        <w:t xml:space="preserve"> o </w:t>
      </w:r>
      <w:r w:rsidRPr="00F11814">
        <w:t>spoločnom systéme dane</w:t>
      </w:r>
      <w:r w:rsidR="00F11814">
        <w:t xml:space="preserve"> z </w:t>
      </w:r>
      <w:r w:rsidRPr="00F11814">
        <w:t>pridanej hodnoty (Ú. v. EÚ L 408, 17.11.2021, s. 1 – 2).</w:t>
      </w:r>
    </w:p>
  </w:footnote>
  <w:footnote w:id="8">
    <w:p w:rsidR="00E41C65" w:rsidRPr="00F11814" w:rsidRDefault="00E41C65" w:rsidP="00E41C65">
      <w:pPr>
        <w:pStyle w:val="FootnoteText"/>
      </w:pPr>
      <w:r w:rsidRPr="00F11814">
        <w:rPr>
          <w:rStyle w:val="FootnoteReference"/>
        </w:rPr>
        <w:footnoteRef/>
      </w:r>
      <w:r w:rsidRPr="00F11814">
        <w:tab/>
        <w:t>Vykonávacie rozhodnutie Rady (EÚ) 2022/2385 zo 6</w:t>
      </w:r>
      <w:r w:rsidR="00F11814">
        <w:t>. decembra</w:t>
      </w:r>
      <w:r w:rsidRPr="00F11814">
        <w:t xml:space="preserve"> 2022, ktorým sa mení vykonávacie rozhodnutie 2013/805/EÚ, ktorým sa Poľskej republike udeľuje povolenie zaviesť opatrenia odchyľujúce sa od článku 26 ods. 1 písm. a)</w:t>
      </w:r>
      <w:r w:rsidR="00F11814">
        <w:t xml:space="preserve"> a </w:t>
      </w:r>
      <w:r w:rsidRPr="00F11814">
        <w:t>článku 168 smernice 2006/112/ES</w:t>
      </w:r>
      <w:r w:rsidR="00F11814">
        <w:t xml:space="preserve"> o </w:t>
      </w:r>
      <w:r w:rsidRPr="00F11814">
        <w:t>spoločnom systéme dane</w:t>
      </w:r>
      <w:r w:rsidR="00F11814">
        <w:t xml:space="preserve"> z </w:t>
      </w:r>
      <w:r w:rsidRPr="00F11814">
        <w:t>pridanej hodnoty (Ú. v. EÚ L 315, 7.12.2022, s. 87 – 88).</w:t>
      </w:r>
    </w:p>
  </w:footnote>
  <w:footnote w:id="9">
    <w:p w:rsidR="00E41C65" w:rsidRPr="00F11814" w:rsidRDefault="00E41C65" w:rsidP="00E41C65">
      <w:pPr>
        <w:pStyle w:val="FootnoteText"/>
      </w:pPr>
      <w:r w:rsidRPr="00F11814">
        <w:rPr>
          <w:rStyle w:val="FootnoteReference"/>
        </w:rPr>
        <w:footnoteRef/>
      </w:r>
      <w:r w:rsidRPr="00F11814">
        <w:tab/>
        <w:t>Vykonávacie rozhodnutie Rady (EÚ) 2022/2411 zo 6</w:t>
      </w:r>
      <w:r w:rsidR="00F11814">
        <w:t>. decembra</w:t>
      </w:r>
      <w:r w:rsidRPr="00F11814">
        <w:t xml:space="preserve"> 2022, ktorým sa mení rozhodnutie 2007/441/ES, ktorým sa Talianskej republike udeľuje povolenie uplatňovať opatrenia odchylné od článku 26 ods. 1 písm. a)</w:t>
      </w:r>
      <w:r w:rsidR="00F11814">
        <w:t xml:space="preserve"> a </w:t>
      </w:r>
      <w:r w:rsidRPr="00F11814">
        <w:t>článku 168 smernice 2006/112/ES</w:t>
      </w:r>
      <w:r w:rsidR="00F11814">
        <w:t xml:space="preserve"> o </w:t>
      </w:r>
      <w:r w:rsidRPr="00F11814">
        <w:t>spoločnom systéme dane</w:t>
      </w:r>
      <w:r w:rsidR="00F11814">
        <w:t xml:space="preserve"> z </w:t>
      </w:r>
      <w:r w:rsidRPr="00F11814">
        <w:t>pridanej hodnoty (Ú. v. EÚ L 317, 9.12.2022, s. 120 – 121).</w:t>
      </w:r>
    </w:p>
  </w:footnote>
  <w:footnote w:id="10">
    <w:p w:rsidR="00E41C65" w:rsidRPr="00F11814" w:rsidRDefault="00E41C65" w:rsidP="00E41C65">
      <w:pPr>
        <w:pStyle w:val="FootnoteText"/>
      </w:pPr>
      <w:r w:rsidRPr="00F11814">
        <w:rPr>
          <w:rStyle w:val="FootnoteReference"/>
        </w:rPr>
        <w:footnoteRef/>
      </w:r>
      <w:r w:rsidRPr="00F11814">
        <w:tab/>
        <w:t>Vykonávacie rozhodnutie Rady (EÚ) 2024/1641</w:t>
      </w:r>
      <w:r w:rsidR="00F11814">
        <w:t xml:space="preserve"> z </w:t>
      </w:r>
      <w:r w:rsidRPr="00F11814">
        <w:t>24</w:t>
      </w:r>
      <w:r w:rsidR="00F11814">
        <w:t>. mája</w:t>
      </w:r>
      <w:r w:rsidRPr="00F11814">
        <w:t xml:space="preserve"> 2024,ktorým sa Rumunsku povoľuje uplatňovať osobitné opatrenia odchyľujúce sa od článku 26 ods. 1 písm. a)</w:t>
      </w:r>
      <w:r w:rsidR="00F11814">
        <w:t xml:space="preserve"> a </w:t>
      </w:r>
      <w:r w:rsidRPr="00F11814">
        <w:t>článku 168 smernice 2006/112/ES</w:t>
      </w:r>
      <w:r w:rsidR="00F11814">
        <w:t xml:space="preserve"> o </w:t>
      </w:r>
      <w:r w:rsidRPr="00F11814">
        <w:t>spoločnom systéme dane</w:t>
      </w:r>
      <w:r w:rsidR="00F11814">
        <w:t xml:space="preserve"> z </w:t>
      </w:r>
      <w:r w:rsidRPr="00F11814">
        <w:t>pridanej hodnoty (Ú. v. EÚ L, 2024/1641, 6.6.2024).</w:t>
      </w:r>
    </w:p>
  </w:footnote>
  <w:footnote w:id="11">
    <w:p w:rsidR="00E41C65" w:rsidRPr="00F11814" w:rsidRDefault="00E41C65" w:rsidP="00F11814">
      <w:pPr>
        <w:pStyle w:val="FootnoteText"/>
      </w:pPr>
      <w:r w:rsidRPr="00F11814">
        <w:rPr>
          <w:rStyle w:val="FootnoteReference"/>
        </w:rPr>
        <w:footnoteRef/>
      </w:r>
      <w:r w:rsidRPr="00F11814">
        <w:tab/>
        <w:t>KOM(2004) 728</w:t>
      </w:r>
      <w:r w:rsidR="00F11814">
        <w:t xml:space="preserve"> v </w:t>
      </w:r>
      <w:r w:rsidRPr="00F11814">
        <w:t>konečnom znení – návrh smernice Rady, ktorou sa mení smernica 77/388/EHS</w:t>
      </w:r>
      <w:r w:rsidR="00F11814">
        <w:t xml:space="preserve"> s </w:t>
      </w:r>
      <w:r w:rsidRPr="00F11814">
        <w:t>cieľom zjednodušiť povinnosti spojené</w:t>
      </w:r>
      <w:r w:rsidR="00F11814">
        <w:t xml:space="preserve"> s </w:t>
      </w:r>
      <w:r w:rsidRPr="00F11814">
        <w:t>daňou</w:t>
      </w:r>
      <w:r w:rsidR="00F11814">
        <w:t xml:space="preserve"> z </w:t>
      </w:r>
      <w:r w:rsidRPr="00F11814">
        <w:t>pridanej hodnoty (Ú. v. EÚ C 24, 29.1.2005, s. 10), stiahnutý 21</w:t>
      </w:r>
      <w:r w:rsidR="00F11814">
        <w:t>. mája</w:t>
      </w:r>
      <w:r w:rsidRPr="00F11814">
        <w:t xml:space="preserve"> 2014</w:t>
      </w:r>
      <w:r w:rsidRPr="00F11814">
        <w:rPr>
          <w:rStyle w:val="Hyperlink"/>
        </w:rPr>
        <w:t xml:space="preserve"> </w:t>
      </w:r>
      <w:r w:rsidRPr="00F11814">
        <w:t>(Ú. v. EÚ C 153, 21. 05. 2014, s. 3)</w:t>
      </w:r>
      <w:r w:rsidR="00F11814">
        <w:t>.</w:t>
      </w:r>
    </w:p>
  </w:footnote>
  <w:footnote w:id="12">
    <w:p w:rsidR="004F21EE" w:rsidRPr="00F11814" w:rsidRDefault="004F21EE" w:rsidP="004F21EE">
      <w:pPr>
        <w:pStyle w:val="FootnoteText"/>
      </w:pPr>
      <w:r w:rsidRPr="00F11814">
        <w:rPr>
          <w:rStyle w:val="FootnoteReference"/>
        </w:rPr>
        <w:footnoteRef/>
      </w:r>
      <w:r w:rsidRPr="00F11814">
        <w:tab/>
        <w:t>Ú. v. EÚ L 347, 11.12.2006, s. 1,</w:t>
      </w:r>
      <w:bookmarkStart w:id="2" w:name="_Hlk170485812"/>
      <w:r w:rsidRPr="00F11814">
        <w:t xml:space="preserve"> </w:t>
      </w:r>
      <w:r w:rsidRPr="00F11814">
        <w:rPr>
          <w:color w:val="333333"/>
          <w:shd w:val="clear" w:color="auto" w:fill="FFFFFF"/>
        </w:rPr>
        <w:t>ELI:</w:t>
      </w:r>
      <w:hyperlink r:id="rId1" w:tooltip="Umožňuje prístup k tomuto dokumentu prostredníctvom identifikátorov ELI a URI." w:history="1">
        <w:r w:rsidRPr="00F11814">
          <w:rPr>
            <w:color w:val="337AB7"/>
            <w:u w:val="single"/>
            <w:shd w:val="clear" w:color="auto" w:fill="FFFFFF"/>
          </w:rPr>
          <w:t xml:space="preserve"> http://data.europa.eu/eli/reg/2006/112/oj</w:t>
        </w:r>
      </w:hyperlink>
      <w:bookmarkEnd w:id="2"/>
      <w:r w:rsidR="00F11814">
        <w:t>.</w:t>
      </w:r>
    </w:p>
  </w:footnote>
  <w:footnote w:id="13">
    <w:p w:rsidR="004F21EE" w:rsidRPr="00F11814" w:rsidRDefault="004F21EE" w:rsidP="004F21EE">
      <w:pPr>
        <w:pStyle w:val="FootnoteText"/>
      </w:pPr>
      <w:r w:rsidRPr="00F11814">
        <w:rPr>
          <w:rStyle w:val="FootnoteReference"/>
        </w:rPr>
        <w:footnoteRef/>
      </w:r>
      <w:r w:rsidRPr="00F11814">
        <w:tab/>
        <w:t>Vykonávacie rozhodnutie Rady (EÚ) 2015/2429</w:t>
      </w:r>
      <w:r w:rsidR="00F11814">
        <w:t xml:space="preserve"> z </w:t>
      </w:r>
      <w:r w:rsidRPr="00F11814">
        <w:t>10</w:t>
      </w:r>
      <w:r w:rsidR="00F11814">
        <w:t>. decembra</w:t>
      </w:r>
      <w:r w:rsidRPr="00F11814">
        <w:t> 2015, ktorým sa Lotyšsku povoľuje zaviesť osobitné opatrenie odchyľujúce sa od článku 26 ods. 1 písm. a)</w:t>
      </w:r>
      <w:r w:rsidR="00F11814">
        <w:t xml:space="preserve"> a </w:t>
      </w:r>
      <w:r w:rsidRPr="00F11814">
        <w:t>článkov 168</w:t>
      </w:r>
      <w:r w:rsidR="00F11814">
        <w:t xml:space="preserve"> a </w:t>
      </w:r>
      <w:r w:rsidRPr="00F11814">
        <w:t>168a smernice 2006/112/ES</w:t>
      </w:r>
      <w:r w:rsidR="00F11814">
        <w:t xml:space="preserve"> o </w:t>
      </w:r>
      <w:r w:rsidRPr="00F11814">
        <w:t>spoločnom systéme dane</w:t>
      </w:r>
      <w:r w:rsidR="00F11814">
        <w:t xml:space="preserve"> z </w:t>
      </w:r>
      <w:r w:rsidRPr="00F11814">
        <w:t xml:space="preserve">pridanej hodnoty (Ú. v. EÚ L 334, 22.12.2015, s. 15, </w:t>
      </w:r>
      <w:r w:rsidRPr="00F11814">
        <w:rPr>
          <w:color w:val="333333"/>
          <w:shd w:val="clear" w:color="auto" w:fill="FFFFFF"/>
        </w:rPr>
        <w:t>ELI:</w:t>
      </w:r>
      <w:r w:rsidR="00F11814">
        <w:rPr>
          <w:color w:val="333333"/>
          <w:shd w:val="clear" w:color="auto" w:fill="FFFFFF"/>
        </w:rPr>
        <w:t xml:space="preserve"> </w:t>
      </w:r>
      <w:hyperlink r:id="rId2" w:history="1">
        <w:r w:rsidR="00F11814" w:rsidRPr="00F76D35">
          <w:rPr>
            <w:rStyle w:val="Hyperlink"/>
            <w:shd w:val="clear" w:color="auto" w:fill="FFFFFF"/>
          </w:rPr>
          <w:t>http://data.europa.eu/eli/dec_impl/2015/2429/2022-01-01</w:t>
        </w:r>
      </w:hyperlink>
      <w:r w:rsidRPr="00F11814">
        <w:t>).</w:t>
      </w:r>
    </w:p>
  </w:footnote>
  <w:footnote w:id="14">
    <w:p w:rsidR="00346846" w:rsidRPr="00F11814" w:rsidRDefault="00346846">
      <w:pPr>
        <w:pStyle w:val="FootnoteText"/>
        <w:rPr>
          <w:spacing w:val="-4"/>
        </w:rPr>
      </w:pPr>
      <w:r w:rsidRPr="00F11814">
        <w:rPr>
          <w:rStyle w:val="FootnoteReference"/>
        </w:rPr>
        <w:footnoteRef/>
      </w:r>
      <w:r w:rsidRPr="00F11814">
        <w:tab/>
      </w:r>
      <w:r w:rsidRPr="00F11814">
        <w:rPr>
          <w:spacing w:val="-4"/>
        </w:rPr>
        <w:t>Vykonávacie rozhodnutie Rady (EÚ) 2021/1968</w:t>
      </w:r>
      <w:r w:rsidR="00F11814" w:rsidRPr="00F11814">
        <w:rPr>
          <w:spacing w:val="-4"/>
        </w:rPr>
        <w:t xml:space="preserve"> z </w:t>
      </w:r>
      <w:r w:rsidRPr="00F11814">
        <w:rPr>
          <w:spacing w:val="-4"/>
        </w:rPr>
        <w:t>9</w:t>
      </w:r>
      <w:r w:rsidR="00F11814" w:rsidRPr="00F11814">
        <w:rPr>
          <w:spacing w:val="-4"/>
        </w:rPr>
        <w:t>. novembra</w:t>
      </w:r>
      <w:r w:rsidRPr="00F11814">
        <w:rPr>
          <w:spacing w:val="-4"/>
        </w:rPr>
        <w:t> 2021, ktorým sa mení vykonávacie rozhodnutie (EÚ) 2015/2429, ktorým sa Lotyšsku povoľuje zaviesť osobitné opatrenie odchyľujúce sa od článku 26 ods. 1 písm. a)</w:t>
      </w:r>
      <w:r w:rsidR="00F11814" w:rsidRPr="00F11814">
        <w:rPr>
          <w:spacing w:val="-4"/>
        </w:rPr>
        <w:t xml:space="preserve"> a </w:t>
      </w:r>
      <w:r w:rsidRPr="00F11814">
        <w:rPr>
          <w:spacing w:val="-4"/>
        </w:rPr>
        <w:t>článkov 168</w:t>
      </w:r>
      <w:r w:rsidR="00F11814" w:rsidRPr="00F11814">
        <w:rPr>
          <w:spacing w:val="-4"/>
        </w:rPr>
        <w:t xml:space="preserve"> a </w:t>
      </w:r>
      <w:r w:rsidRPr="00F11814">
        <w:rPr>
          <w:spacing w:val="-4"/>
        </w:rPr>
        <w:t>168a smernice 2006/112/ES</w:t>
      </w:r>
      <w:r w:rsidR="00F11814" w:rsidRPr="00F11814">
        <w:rPr>
          <w:spacing w:val="-4"/>
        </w:rPr>
        <w:t xml:space="preserve"> o </w:t>
      </w:r>
      <w:r w:rsidRPr="00F11814">
        <w:rPr>
          <w:spacing w:val="-4"/>
        </w:rPr>
        <w:t>spoločnom systéme dane</w:t>
      </w:r>
      <w:r w:rsidR="00F11814" w:rsidRPr="00F11814">
        <w:rPr>
          <w:spacing w:val="-4"/>
        </w:rPr>
        <w:t xml:space="preserve"> z </w:t>
      </w:r>
      <w:r w:rsidRPr="00F11814">
        <w:rPr>
          <w:spacing w:val="-4"/>
        </w:rPr>
        <w:t>pridanej hodnoty (Ú. v. EÚ L 401, 12.11.2021, s. 1, ELI: </w:t>
      </w:r>
      <w:hyperlink r:id="rId3" w:tooltip="Umožňuje prístup k tomuto dokumentu prostredníctvom identifikátorov ELI a URI." w:history="1">
        <w:r w:rsidRPr="00F11814">
          <w:rPr>
            <w:color w:val="23527C"/>
            <w:spacing w:val="-4"/>
            <w:u w:val="single"/>
            <w:shd w:val="clear" w:color="auto" w:fill="FFFFFF"/>
          </w:rPr>
          <w:t>http://data.europa.eu/eli/dec_impl/2021/1968/oj</w:t>
        </w:r>
      </w:hyperlink>
      <w:r w:rsidRPr="00F11814">
        <w:rPr>
          <w:spacing w:val="-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0CF" w:rsidRDefault="000730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0CF" w:rsidRDefault="000730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69742602"/>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6026892"/>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ECBA48A8"/>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538C9B0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2"/>
  </w:num>
  <w:num w:numId="3">
    <w:abstractNumId w:val="1"/>
  </w:num>
  <w:num w:numId="4">
    <w:abstractNumId w:val="0"/>
  </w:num>
  <w:num w:numId="5">
    <w:abstractNumId w:val="18"/>
    <w:lvlOverride w:ilvl="0">
      <w:startOverride w:val="1"/>
    </w:lvlOverride>
  </w:num>
  <w:num w:numId="6">
    <w:abstractNumId w:val="15"/>
  </w:num>
  <w:num w:numId="7">
    <w:abstractNumId w:val="8"/>
  </w:num>
  <w:num w:numId="8">
    <w:abstractNumId w:val="17"/>
  </w:num>
  <w:num w:numId="9">
    <w:abstractNumId w:val="7"/>
  </w:num>
  <w:num w:numId="10">
    <w:abstractNumId w:val="9"/>
  </w:num>
  <w:num w:numId="11">
    <w:abstractNumId w:val="10"/>
  </w:num>
  <w:num w:numId="12">
    <w:abstractNumId w:val="5"/>
  </w:num>
  <w:num w:numId="13">
    <w:abstractNumId w:val="16"/>
  </w:num>
  <w:num w:numId="14">
    <w:abstractNumId w:val="4"/>
  </w:num>
  <w:num w:numId="15">
    <w:abstractNumId w:val="11"/>
  </w:num>
  <w:num w:numId="16">
    <w:abstractNumId w:val="13"/>
  </w:num>
  <w:num w:numId="17">
    <w:abstractNumId w:val="14"/>
  </w:num>
  <w:num w:numId="18">
    <w:abstractNumId w:val="6"/>
  </w:num>
  <w:num w:numId="19">
    <w:abstractNumId w:val="12"/>
  </w:num>
  <w:num w:numId="20">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4-10-23 08:29:18"/>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98389367-F914-48EA-8283-F0435E117206"/>
    <w:docVar w:name="LW_COVERPAGE_TYPE" w:val="1"/>
    <w:docVar w:name="LW_CROSSREFERENCE" w:val="&lt;UNUSED&gt;"/>
    <w:docVar w:name="LW_DocType" w:val="COM"/>
    <w:docVar w:name="LW_EMISSION" w:val="23. 10. 2024"/>
    <w:docVar w:name="LW_EMISSION_ISODATE" w:val="2024-10-23"/>
    <w:docVar w:name="LW_EMISSION_LOCATION" w:val="BRX"/>
    <w:docVar w:name="LW_EMISSION_PREFIX" w:val="V Bruseli"/>
    <w:docVar w:name="LW_EMISSION_SUFFIX" w:val=" "/>
    <w:docVar w:name="LW_ID_DOCMODEL" w:val="SJ-020"/>
    <w:docVar w:name="LW_ID_DOCSIGNATURE" w:val="SJ-020"/>
    <w:docVar w:name="LW_ID_DOCSTRUCTURE" w:val="COM/PL/ORG"/>
    <w:docVar w:name="LW_ID_DOCTYPE" w:val="SJ-020"/>
    <w:docVar w:name="LW_ID_STATUT" w:val="SJ-020"/>
    <w:docVar w:name="LW_INSERT_EXP.MOTIFS.NEW" w:val="1"/>
    <w:docVar w:name="LW_INTERETEEE.CP" w:val="&lt;UNUSED&gt;"/>
    <w:docVar w:name="LW_LANGUE" w:val="SK"/>
    <w:docVar w:name="LW_LEVEL_OF_SENSITIVITY" w:val="Standard treatment"/>
    <w:docVar w:name="LW_NOM.INST" w:val="EURÓPSKA KOMISIA"/>
    <w:docVar w:name="LW_NOM.INST_JOINTDOC" w:val="&lt;EMPTY&gt;"/>
    <w:docVar w:name="LW_PART_NBR" w:val="1"/>
    <w:docVar w:name="LW_PART_NBR_TOTAL" w:val="1"/>
    <w:docVar w:name="LW_REF.II.NEW.CP" w:val="NLE"/>
    <w:docVar w:name="LW_REF.II.NEW.CP_NUMBER" w:val="0270"/>
    <w:docVar w:name="LW_REF.II.NEW.CP_YEAR" w:val="2024"/>
    <w:docVar w:name="LW_REF.INST.NEW" w:val="COM"/>
    <w:docVar w:name="LW_REF.INST.NEW_ADOPTED" w:val="final"/>
    <w:docVar w:name="LW_REF.INST.NEW_TEXT" w:val="(2024) 488"/>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Návrh"/>
    <w:docVar w:name="LW_SUPERTITRE" w:val="&lt;UNUSED&gt;"/>
    <w:docVar w:name="LW_TITRE.OBJ.CP" w:val="ktorým sa mení vykonávacie rozhodnutie (EÚ) 2015/2429, ktorým sa Loty\u353?sku povo\u318?uje zavies\u357? osobitné opatrenie odchy\u318?ujúce sa od \u269?lánku 26 ods. 1 písm. a) a \u269?lánkov 168 a 168a smernice 2006/112/ES o spolo\u269?nom systéme dane z pridanej hodnoty"/>
    <w:docVar w:name="LW_TYPE.DOC.CP" w:val="VYKONÁVACIE ROZHODNUTIE RADY,"/>
    <w:docVar w:name="LwApiVersions" w:val="LW4CoDe 1.24.5.0; LW 9.0, Build 20240221"/>
  </w:docVars>
  <w:rsids>
    <w:rsidRoot w:val="00C5199B"/>
    <w:rsid w:val="00000E1A"/>
    <w:rsid w:val="00020CD5"/>
    <w:rsid w:val="00024455"/>
    <w:rsid w:val="00045648"/>
    <w:rsid w:val="00045852"/>
    <w:rsid w:val="000730CF"/>
    <w:rsid w:val="000B6BB4"/>
    <w:rsid w:val="001065F5"/>
    <w:rsid w:val="001238EF"/>
    <w:rsid w:val="00187A49"/>
    <w:rsid w:val="00197613"/>
    <w:rsid w:val="001D29FA"/>
    <w:rsid w:val="001D7BD8"/>
    <w:rsid w:val="001F07A5"/>
    <w:rsid w:val="001F12D4"/>
    <w:rsid w:val="0022525A"/>
    <w:rsid w:val="00233DC7"/>
    <w:rsid w:val="00247779"/>
    <w:rsid w:val="002521FE"/>
    <w:rsid w:val="00266D38"/>
    <w:rsid w:val="0026762C"/>
    <w:rsid w:val="00285BEE"/>
    <w:rsid w:val="00294A79"/>
    <w:rsid w:val="0029533F"/>
    <w:rsid w:val="002A7609"/>
    <w:rsid w:val="002B30AF"/>
    <w:rsid w:val="002B4370"/>
    <w:rsid w:val="002F5D0C"/>
    <w:rsid w:val="0033344A"/>
    <w:rsid w:val="00346846"/>
    <w:rsid w:val="00364BC4"/>
    <w:rsid w:val="00375AFD"/>
    <w:rsid w:val="0041234D"/>
    <w:rsid w:val="0041538E"/>
    <w:rsid w:val="00417F11"/>
    <w:rsid w:val="0042648E"/>
    <w:rsid w:val="004533D1"/>
    <w:rsid w:val="00476698"/>
    <w:rsid w:val="004870E0"/>
    <w:rsid w:val="00490639"/>
    <w:rsid w:val="004936D2"/>
    <w:rsid w:val="00494CD5"/>
    <w:rsid w:val="004E3B97"/>
    <w:rsid w:val="004F21EE"/>
    <w:rsid w:val="0058309D"/>
    <w:rsid w:val="005B1EB6"/>
    <w:rsid w:val="005C17CA"/>
    <w:rsid w:val="005C6BD2"/>
    <w:rsid w:val="005D5DCB"/>
    <w:rsid w:val="005F253E"/>
    <w:rsid w:val="00622708"/>
    <w:rsid w:val="00645847"/>
    <w:rsid w:val="00664AA0"/>
    <w:rsid w:val="006828DF"/>
    <w:rsid w:val="006B61D7"/>
    <w:rsid w:val="006C2F9F"/>
    <w:rsid w:val="006E0DE2"/>
    <w:rsid w:val="007146B1"/>
    <w:rsid w:val="00727D47"/>
    <w:rsid w:val="0074080F"/>
    <w:rsid w:val="0075437F"/>
    <w:rsid w:val="00773331"/>
    <w:rsid w:val="00776AEA"/>
    <w:rsid w:val="007932EF"/>
    <w:rsid w:val="007B2B3D"/>
    <w:rsid w:val="007D5D8E"/>
    <w:rsid w:val="007E05B0"/>
    <w:rsid w:val="007E1916"/>
    <w:rsid w:val="007E1F40"/>
    <w:rsid w:val="007F4F53"/>
    <w:rsid w:val="00843220"/>
    <w:rsid w:val="00843F49"/>
    <w:rsid w:val="008440CB"/>
    <w:rsid w:val="0086681E"/>
    <w:rsid w:val="00874D22"/>
    <w:rsid w:val="008A2914"/>
    <w:rsid w:val="008C5E2A"/>
    <w:rsid w:val="008D1EBC"/>
    <w:rsid w:val="008E4D8E"/>
    <w:rsid w:val="00901134"/>
    <w:rsid w:val="0092191A"/>
    <w:rsid w:val="00922D20"/>
    <w:rsid w:val="00972BC7"/>
    <w:rsid w:val="00975098"/>
    <w:rsid w:val="009F31B8"/>
    <w:rsid w:val="00A1748C"/>
    <w:rsid w:val="00A46990"/>
    <w:rsid w:val="00A53AA0"/>
    <w:rsid w:val="00A95F70"/>
    <w:rsid w:val="00A96A50"/>
    <w:rsid w:val="00AD0794"/>
    <w:rsid w:val="00B24314"/>
    <w:rsid w:val="00B53D24"/>
    <w:rsid w:val="00B973D4"/>
    <w:rsid w:val="00BC48AE"/>
    <w:rsid w:val="00BF242B"/>
    <w:rsid w:val="00C04CF4"/>
    <w:rsid w:val="00C12301"/>
    <w:rsid w:val="00C2085D"/>
    <w:rsid w:val="00C46FB1"/>
    <w:rsid w:val="00C5199B"/>
    <w:rsid w:val="00C65C24"/>
    <w:rsid w:val="00CA631B"/>
    <w:rsid w:val="00CB33C0"/>
    <w:rsid w:val="00CE2257"/>
    <w:rsid w:val="00D20381"/>
    <w:rsid w:val="00D807B4"/>
    <w:rsid w:val="00D973AA"/>
    <w:rsid w:val="00DC1EC6"/>
    <w:rsid w:val="00DC72A9"/>
    <w:rsid w:val="00DE3D79"/>
    <w:rsid w:val="00DF027F"/>
    <w:rsid w:val="00E00C15"/>
    <w:rsid w:val="00E37C96"/>
    <w:rsid w:val="00E41C65"/>
    <w:rsid w:val="00E6182D"/>
    <w:rsid w:val="00E700C8"/>
    <w:rsid w:val="00E8037C"/>
    <w:rsid w:val="00EE3D79"/>
    <w:rsid w:val="00EF27CA"/>
    <w:rsid w:val="00F11814"/>
    <w:rsid w:val="00FC38F8"/>
    <w:rsid w:val="00FD3CE9"/>
    <w:rsid w:val="20815864"/>
    <w:rsid w:val="30133B7A"/>
    <w:rsid w:val="31BA0ABC"/>
    <w:rsid w:val="3E0B4B49"/>
    <w:rsid w:val="3EA04EBD"/>
    <w:rsid w:val="412CC8EB"/>
    <w:rsid w:val="42715456"/>
    <w:rsid w:val="4E04627E"/>
    <w:rsid w:val="70027E94"/>
    <w:rsid w:val="783DFDE1"/>
    <w:rsid w:val="7B7D7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docId w15:val="{20C5413A-F8F2-48A3-8C4D-C81F0E176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sk-SK"/>
    </w:rPr>
  </w:style>
  <w:style w:type="paragraph" w:styleId="Heading1">
    <w:name w:val="heading 1"/>
    <w:basedOn w:val="Normal"/>
    <w:next w:val="Text1"/>
    <w:link w:val="Heading1Char"/>
    <w:uiPriority w:val="9"/>
    <w:qFormat/>
    <w:pPr>
      <w:keepNext/>
      <w:numPr>
        <w:numId w:val="1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3"/>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3"/>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3"/>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3"/>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C5199B"/>
    <w:pPr>
      <w:numPr>
        <w:numId w:val="1"/>
      </w:numPr>
    </w:pPr>
    <w:rPr>
      <w:rFonts w:eastAsia="Times New Roman"/>
      <w:lang w:eastAsia="en-GB"/>
    </w:rPr>
  </w:style>
  <w:style w:type="character" w:styleId="CommentReference">
    <w:name w:val="annotation reference"/>
    <w:basedOn w:val="DefaultParagraphFont"/>
    <w:uiPriority w:val="99"/>
    <w:semiHidden/>
    <w:unhideWhenUsed/>
    <w:rsid w:val="00C5199B"/>
    <w:rPr>
      <w:sz w:val="16"/>
      <w:szCs w:val="16"/>
    </w:rPr>
  </w:style>
  <w:style w:type="paragraph" w:styleId="CommentText">
    <w:name w:val="annotation text"/>
    <w:basedOn w:val="Normal"/>
    <w:link w:val="CommentTextChar"/>
    <w:uiPriority w:val="99"/>
    <w:unhideWhenUsed/>
    <w:rsid w:val="00C5199B"/>
    <w:rPr>
      <w:sz w:val="20"/>
      <w:szCs w:val="20"/>
    </w:rPr>
  </w:style>
  <w:style w:type="character" w:customStyle="1" w:styleId="CommentTextChar">
    <w:name w:val="Comment Text Char"/>
    <w:basedOn w:val="DefaultParagraphFont"/>
    <w:link w:val="CommentText"/>
    <w:uiPriority w:val="99"/>
    <w:rsid w:val="00C5199B"/>
    <w:rPr>
      <w:rFonts w:ascii="Times New Roman" w:hAnsi="Times New Roman" w:cs="Times New Roman"/>
      <w:sz w:val="20"/>
      <w:szCs w:val="20"/>
      <w:lang w:val="sk-SK"/>
    </w:rPr>
  </w:style>
  <w:style w:type="paragraph" w:styleId="CommentSubject">
    <w:name w:val="annotation subject"/>
    <w:basedOn w:val="CommentText"/>
    <w:next w:val="CommentText"/>
    <w:link w:val="CommentSubjectChar"/>
    <w:uiPriority w:val="99"/>
    <w:semiHidden/>
    <w:unhideWhenUsed/>
    <w:rsid w:val="00C5199B"/>
    <w:rPr>
      <w:b/>
      <w:bCs/>
    </w:rPr>
  </w:style>
  <w:style w:type="character" w:customStyle="1" w:styleId="CommentSubjectChar">
    <w:name w:val="Comment Subject Char"/>
    <w:basedOn w:val="CommentTextChar"/>
    <w:link w:val="CommentSubject"/>
    <w:uiPriority w:val="99"/>
    <w:semiHidden/>
    <w:rsid w:val="00C5199B"/>
    <w:rPr>
      <w:rFonts w:ascii="Times New Roman" w:hAnsi="Times New Roman" w:cs="Times New Roman"/>
      <w:b/>
      <w:bCs/>
      <w:sz w:val="20"/>
      <w:szCs w:val="20"/>
      <w:lang w:val="sk-SK"/>
    </w:rPr>
  </w:style>
  <w:style w:type="character" w:styleId="Hyperlink">
    <w:name w:val="Hyperlink"/>
    <w:basedOn w:val="DefaultParagraphFont"/>
    <w:uiPriority w:val="99"/>
    <w:unhideWhenUsed/>
    <w:rsid w:val="00E41C65"/>
    <w:rPr>
      <w:color w:val="0000FF" w:themeColor="hyperlink"/>
      <w:u w:val="single"/>
    </w:rPr>
  </w:style>
  <w:style w:type="paragraph" w:styleId="ListBullet2">
    <w:name w:val="List Bullet 2"/>
    <w:basedOn w:val="Normal"/>
    <w:uiPriority w:val="99"/>
    <w:semiHidden/>
    <w:unhideWhenUsed/>
    <w:rsid w:val="00D807B4"/>
    <w:pPr>
      <w:numPr>
        <w:numId w:val="2"/>
      </w:numPr>
      <w:contextualSpacing/>
    </w:pPr>
  </w:style>
  <w:style w:type="paragraph" w:styleId="ListBullet3">
    <w:name w:val="List Bullet 3"/>
    <w:basedOn w:val="Normal"/>
    <w:uiPriority w:val="99"/>
    <w:semiHidden/>
    <w:unhideWhenUsed/>
    <w:rsid w:val="00D807B4"/>
    <w:pPr>
      <w:numPr>
        <w:numId w:val="3"/>
      </w:numPr>
      <w:contextualSpacing/>
    </w:pPr>
  </w:style>
  <w:style w:type="paragraph" w:styleId="ListBullet4">
    <w:name w:val="List Bullet 4"/>
    <w:basedOn w:val="Normal"/>
    <w:uiPriority w:val="99"/>
    <w:semiHidden/>
    <w:unhideWhenUsed/>
    <w:rsid w:val="00D807B4"/>
    <w:pPr>
      <w:numPr>
        <w:numId w:val="4"/>
      </w:numPr>
      <w:contextualSpacing/>
    </w:pPr>
  </w:style>
  <w:style w:type="paragraph" w:styleId="Revision">
    <w:name w:val="Revision"/>
    <w:hidden/>
    <w:uiPriority w:val="99"/>
    <w:semiHidden/>
    <w:rsid w:val="00D807B4"/>
    <w:pPr>
      <w:spacing w:after="0" w:line="240" w:lineRule="auto"/>
    </w:pPr>
    <w:rPr>
      <w:rFonts w:ascii="Times New Roman" w:hAnsi="Times New Roman" w:cs="Times New Roman"/>
      <w:sz w:val="24"/>
    </w:rPr>
  </w:style>
  <w:style w:type="character" w:customStyle="1" w:styleId="UnresolvedMention">
    <w:name w:val="Unresolved Mention"/>
    <w:basedOn w:val="DefaultParagraphFont"/>
    <w:uiPriority w:val="99"/>
    <w:semiHidden/>
    <w:unhideWhenUsed/>
    <w:rsid w:val="007B2B3D"/>
    <w:rPr>
      <w:color w:val="605E5C"/>
      <w:shd w:val="clear" w:color="auto" w:fill="E1DFDD"/>
    </w:rPr>
  </w:style>
  <w:style w:type="character" w:customStyle="1" w:styleId="HeaderChar">
    <w:name w:val="Header Char"/>
    <w:basedOn w:val="DefaultParagraphFont"/>
    <w:link w:val="Header"/>
    <w:uiPriority w:val="99"/>
    <w:rsid w:val="000730CF"/>
    <w:rPr>
      <w:rFonts w:ascii="Times New Roman" w:hAnsi="Times New Roman" w:cs="Times New Roman"/>
      <w:sz w:val="24"/>
      <w:lang w:val="sk-SK"/>
    </w:rPr>
  </w:style>
  <w:style w:type="character" w:customStyle="1" w:styleId="FooterChar">
    <w:name w:val="Footer Char"/>
    <w:basedOn w:val="DefaultParagraphFont"/>
    <w:link w:val="Footer"/>
    <w:uiPriority w:val="99"/>
    <w:rsid w:val="000730CF"/>
    <w:rPr>
      <w:rFonts w:ascii="Times New Roman" w:hAnsi="Times New Roman" w:cs="Times New Roman"/>
      <w:sz w:val="24"/>
      <w:lang w:val="sk-SK"/>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sk-SK"/>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sk-SK"/>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sk-SK"/>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sk-SK"/>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sk-SK"/>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sk-SK"/>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sk-SK"/>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0730CF"/>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0730CF"/>
    <w:pPr>
      <w:spacing w:before="0"/>
      <w:jc w:val="right"/>
    </w:pPr>
    <w:rPr>
      <w:sz w:val="28"/>
    </w:rPr>
  </w:style>
  <w:style w:type="paragraph" w:customStyle="1" w:styleId="FooterSensitivity">
    <w:name w:val="Footer Sensitivity"/>
    <w:basedOn w:val="Normal"/>
    <w:rsid w:val="000730CF"/>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6"/>
      </w:numPr>
    </w:pPr>
  </w:style>
  <w:style w:type="paragraph" w:customStyle="1" w:styleId="Tiret1">
    <w:name w:val="Tiret 1"/>
    <w:basedOn w:val="Point1"/>
    <w:pPr>
      <w:numPr>
        <w:numId w:val="7"/>
      </w:numPr>
    </w:pPr>
  </w:style>
  <w:style w:type="paragraph" w:customStyle="1" w:styleId="Tiret2">
    <w:name w:val="Tiret 2"/>
    <w:basedOn w:val="Point2"/>
    <w:pPr>
      <w:numPr>
        <w:numId w:val="8"/>
      </w:numPr>
    </w:pPr>
  </w:style>
  <w:style w:type="paragraph" w:customStyle="1" w:styleId="Tiret3">
    <w:name w:val="Tiret 3"/>
    <w:basedOn w:val="Point3"/>
    <w:pPr>
      <w:numPr>
        <w:numId w:val="9"/>
      </w:numPr>
    </w:pPr>
  </w:style>
  <w:style w:type="paragraph" w:customStyle="1" w:styleId="Tiret4">
    <w:name w:val="Tiret 4"/>
    <w:basedOn w:val="Point4"/>
    <w:pPr>
      <w:numPr>
        <w:numId w:val="10"/>
      </w:numPr>
    </w:pPr>
  </w:style>
  <w:style w:type="paragraph" w:customStyle="1" w:styleId="Tiret5">
    <w:name w:val="Tiret 5"/>
    <w:basedOn w:val="Point5"/>
    <w:pPr>
      <w:numPr>
        <w:numId w:val="1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2"/>
      </w:numPr>
    </w:pPr>
  </w:style>
  <w:style w:type="paragraph" w:customStyle="1" w:styleId="NumPar2">
    <w:name w:val="NumPar 2"/>
    <w:basedOn w:val="Normal"/>
    <w:next w:val="Text1"/>
    <w:pPr>
      <w:numPr>
        <w:ilvl w:val="1"/>
        <w:numId w:val="12"/>
      </w:numPr>
    </w:pPr>
  </w:style>
  <w:style w:type="paragraph" w:customStyle="1" w:styleId="NumPar3">
    <w:name w:val="NumPar 3"/>
    <w:basedOn w:val="Normal"/>
    <w:next w:val="Text1"/>
    <w:pPr>
      <w:numPr>
        <w:ilvl w:val="2"/>
        <w:numId w:val="12"/>
      </w:numPr>
    </w:pPr>
  </w:style>
  <w:style w:type="paragraph" w:customStyle="1" w:styleId="NumPar4">
    <w:name w:val="NumPar 4"/>
    <w:basedOn w:val="Normal"/>
    <w:next w:val="Text1"/>
    <w:pPr>
      <w:numPr>
        <w:ilvl w:val="3"/>
        <w:numId w:val="12"/>
      </w:numPr>
    </w:pPr>
  </w:style>
  <w:style w:type="paragraph" w:customStyle="1" w:styleId="NumPar5">
    <w:name w:val="NumPar 5"/>
    <w:basedOn w:val="Normal"/>
    <w:next w:val="Text2"/>
    <w:pPr>
      <w:numPr>
        <w:ilvl w:val="4"/>
        <w:numId w:val="12"/>
      </w:numPr>
    </w:pPr>
  </w:style>
  <w:style w:type="paragraph" w:customStyle="1" w:styleId="NumPar6">
    <w:name w:val="NumPar 6"/>
    <w:basedOn w:val="Normal"/>
    <w:next w:val="Text2"/>
    <w:pPr>
      <w:numPr>
        <w:ilvl w:val="5"/>
        <w:numId w:val="12"/>
      </w:numPr>
    </w:pPr>
  </w:style>
  <w:style w:type="paragraph" w:customStyle="1" w:styleId="NumPar7">
    <w:name w:val="NumPar 7"/>
    <w:basedOn w:val="Normal"/>
    <w:next w:val="Text2"/>
    <w:pPr>
      <w:numPr>
        <w:ilvl w:val="6"/>
        <w:numId w:val="1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4"/>
      </w:numPr>
    </w:pPr>
  </w:style>
  <w:style w:type="paragraph" w:customStyle="1" w:styleId="Point1number">
    <w:name w:val="Point 1 (number)"/>
    <w:basedOn w:val="Normal"/>
    <w:pPr>
      <w:numPr>
        <w:ilvl w:val="2"/>
        <w:numId w:val="14"/>
      </w:numPr>
    </w:pPr>
  </w:style>
  <w:style w:type="paragraph" w:customStyle="1" w:styleId="Point2number">
    <w:name w:val="Point 2 (number)"/>
    <w:basedOn w:val="Normal"/>
    <w:pPr>
      <w:numPr>
        <w:ilvl w:val="4"/>
        <w:numId w:val="14"/>
      </w:numPr>
    </w:pPr>
  </w:style>
  <w:style w:type="paragraph" w:customStyle="1" w:styleId="Point3number">
    <w:name w:val="Point 3 (number)"/>
    <w:basedOn w:val="Normal"/>
    <w:pPr>
      <w:numPr>
        <w:ilvl w:val="6"/>
        <w:numId w:val="14"/>
      </w:numPr>
    </w:pPr>
  </w:style>
  <w:style w:type="paragraph" w:customStyle="1" w:styleId="Point0letter">
    <w:name w:val="Point 0 (letter)"/>
    <w:basedOn w:val="Normal"/>
    <w:pPr>
      <w:numPr>
        <w:ilvl w:val="1"/>
        <w:numId w:val="14"/>
      </w:numPr>
    </w:pPr>
  </w:style>
  <w:style w:type="paragraph" w:customStyle="1" w:styleId="Point1letter">
    <w:name w:val="Point 1 (letter)"/>
    <w:basedOn w:val="Normal"/>
    <w:pPr>
      <w:numPr>
        <w:ilvl w:val="3"/>
        <w:numId w:val="14"/>
      </w:numPr>
    </w:pPr>
  </w:style>
  <w:style w:type="paragraph" w:customStyle="1" w:styleId="Point2letter">
    <w:name w:val="Point 2 (letter)"/>
    <w:basedOn w:val="Normal"/>
    <w:pPr>
      <w:numPr>
        <w:ilvl w:val="5"/>
        <w:numId w:val="14"/>
      </w:numPr>
    </w:pPr>
  </w:style>
  <w:style w:type="paragraph" w:customStyle="1" w:styleId="Point3letter">
    <w:name w:val="Point 3 (letter)"/>
    <w:basedOn w:val="Normal"/>
    <w:pPr>
      <w:numPr>
        <w:ilvl w:val="7"/>
        <w:numId w:val="14"/>
      </w:numPr>
    </w:pPr>
  </w:style>
  <w:style w:type="paragraph" w:customStyle="1" w:styleId="Point4letter">
    <w:name w:val="Point 4 (letter)"/>
    <w:basedOn w:val="Normal"/>
    <w:pPr>
      <w:numPr>
        <w:ilvl w:val="8"/>
        <w:numId w:val="14"/>
      </w:numPr>
    </w:pPr>
  </w:style>
  <w:style w:type="paragraph" w:customStyle="1" w:styleId="Bullet0">
    <w:name w:val="Bullet 0"/>
    <w:basedOn w:val="Normal"/>
    <w:pPr>
      <w:numPr>
        <w:numId w:val="15"/>
      </w:numPr>
    </w:pPr>
  </w:style>
  <w:style w:type="paragraph" w:customStyle="1" w:styleId="Bullet1">
    <w:name w:val="Bullet 1"/>
    <w:basedOn w:val="Normal"/>
    <w:pPr>
      <w:numPr>
        <w:numId w:val="16"/>
      </w:numPr>
    </w:pPr>
  </w:style>
  <w:style w:type="paragraph" w:customStyle="1" w:styleId="Bullet2">
    <w:name w:val="Bullet 2"/>
    <w:basedOn w:val="Normal"/>
    <w:pPr>
      <w:numPr>
        <w:numId w:val="17"/>
      </w:numPr>
    </w:pPr>
  </w:style>
  <w:style w:type="paragraph" w:customStyle="1" w:styleId="Bullet3">
    <w:name w:val="Bullet 3"/>
    <w:basedOn w:val="Normal"/>
    <w:pPr>
      <w:numPr>
        <w:numId w:val="18"/>
      </w:numPr>
    </w:pPr>
  </w:style>
  <w:style w:type="paragraph" w:customStyle="1" w:styleId="Bullet4">
    <w:name w:val="Bullet 4"/>
    <w:basedOn w:val="Normal"/>
    <w:pPr>
      <w:numPr>
        <w:numId w:val="19"/>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0730CF"/>
    <w:pPr>
      <w:tabs>
        <w:tab w:val="center" w:pos="4535"/>
        <w:tab w:val="right" w:pos="9071"/>
      </w:tabs>
      <w:spacing w:before="0"/>
    </w:pPr>
  </w:style>
  <w:style w:type="paragraph" w:customStyle="1" w:styleId="HeaderLandscape">
    <w:name w:val="HeaderLandscape"/>
    <w:basedOn w:val="Normal"/>
    <w:rsid w:val="000730CF"/>
    <w:pPr>
      <w:tabs>
        <w:tab w:val="center" w:pos="7285"/>
        <w:tab w:val="right" w:pos="14003"/>
      </w:tabs>
      <w:spacing w:before="0"/>
    </w:pPr>
  </w:style>
  <w:style w:type="paragraph" w:styleId="Footer">
    <w:name w:val="footer"/>
    <w:basedOn w:val="Normal"/>
    <w:link w:val="FooterChar"/>
    <w:uiPriority w:val="99"/>
    <w:unhideWhenUsed/>
    <w:rsid w:val="000730CF"/>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0730CF"/>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dec_impl/2021/1968/oj" TargetMode="External"/><Relationship Id="rId2" Type="http://schemas.openxmlformats.org/officeDocument/2006/relationships/hyperlink" Target="http://data.europa.eu/eli/dec_impl/2015/2429/2022-01-01" TargetMode="External"/><Relationship Id="rId1" Type="http://schemas.openxmlformats.org/officeDocument/2006/relationships/hyperlink" Target="http://data.europa.eu/eli/dir/2006/112/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BAD999D84E12C74482EA5120F5227F6F00217DECAAC21D6B43958DFE68658C192E" ma:contentTypeVersion="20" ma:contentTypeDescription="Create a new document in this library." ma:contentTypeScope="" ma:versionID="9652a2d46328713989bb97f1a4bbd963">
  <xsd:schema xmlns:xsd="http://www.w3.org/2001/XMLSchema" xmlns:xs="http://www.w3.org/2001/XMLSchema" xmlns:p="http://schemas.microsoft.com/office/2006/metadata/properties" xmlns:ns2="http://schemas.microsoft.com/sharepoint/v3/fields" xmlns:ns3="144c03d0-0f03-451f-9d46-5279004462a4" xmlns:ns4="f7bb8512-91eb-4bfd-be42-d6f021407e9a" targetNamespace="http://schemas.microsoft.com/office/2006/metadata/properties" ma:root="true" ma:fieldsID="4f29c4ebe26ab41c5114504f141434bd" ns2:_="" ns3:_="" ns4:_="">
    <xsd:import namespace="http://schemas.microsoft.com/sharepoint/v3/fields"/>
    <xsd:import namespace="144c03d0-0f03-451f-9d46-5279004462a4"/>
    <xsd:import namespace="f7bb8512-91eb-4bfd-be42-d6f021407e9a"/>
    <xsd:element name="properties">
      <xsd:complexType>
        <xsd:sequence>
          <xsd:element name="documentManagement">
            <xsd:complexType>
              <xsd:all>
                <xsd:element ref="ns3:EC_Collab_Reference" minOccurs="0"/>
                <xsd:element ref="ns2:_Status" minOccurs="0"/>
                <xsd:element ref="ns3:EC_Collab_DocumentLanguage"/>
                <xsd:element ref="ns3:SharedWithUsers" minOccurs="0"/>
                <xsd:element ref="ns3:SharedWithDetails" minOccurs="0"/>
                <xsd:element ref="ns3:EC_Collab_Statu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ma:readOnly="false">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44c03d0-0f03-451f-9d46-5279004462a4"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ma:readOnly="false">
      <xsd:simpleType>
        <xsd:restriction base="dms:Text"/>
      </xsd:simpleType>
    </xsd:element>
    <xsd:element name="EC_Collab_DocumentLanguage" ma:index="14" ma:displayName="Language" ma:default="EN" ma:format="Dropdown" ma:internalName="EC_Collab_DocumentLanguage" ma:readOnly="fals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EC_Collab_Status" ma:index="17" nillable="true" ma:displayName="EC Status" ma:default="Not Started" ma:format="Dropdown" ma:internalName="EC_Collab_Status" ma:readOnly="false">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xsd="http://www.w3.org/2001/XMLSchema" xmlns:xs="http://www.w3.org/2001/XMLSchema" xmlns:dms="http://schemas.microsoft.com/office/2006/documentManagement/types" xmlns:pc="http://schemas.microsoft.com/office/infopath/2007/PartnerControls" targetNamespace="f7bb8512-91eb-4bfd-be42-d6f021407e9a" elementFormDefault="qualified">
    <xsd:import namespace="http://schemas.microsoft.com/office/2006/documentManagement/types"/>
    <xsd:import namespace="http://schemas.microsoft.com/office/infopath/2007/PartnerControls"/>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C_Collab_Reference xmlns="144c03d0-0f03-451f-9d46-5279004462a4" xsi:nil="true"/>
    <EC_Collab_Status xmlns="144c03d0-0f03-451f-9d46-5279004462a4">Not Started</EC_Collab_Status>
    <_Status xmlns="http://schemas.microsoft.com/sharepoint/v3/fields">Not Started</_Status>
    <EC_Collab_DocumentLanguage xmlns="144c03d0-0f03-451f-9d46-5279004462a4">EN</EC_Collab_DocumentLanguag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0CC5A-8889-4040-A26A-58706D1CD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144c03d0-0f03-451f-9d46-5279004462a4"/>
    <ds:schemaRef ds:uri="f7bb8512-91eb-4bfd-be42-d6f021407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EF608D-8F4F-4E6F-AB3D-0E267A5E9AB4}">
  <ds:schemaRefs>
    <ds:schemaRef ds:uri="http://schemas.microsoft.com/sharepoint/v3/contenttype/forms"/>
  </ds:schemaRefs>
</ds:datastoreItem>
</file>

<file path=customXml/itemProps3.xml><?xml version="1.0" encoding="utf-8"?>
<ds:datastoreItem xmlns:ds="http://schemas.openxmlformats.org/officeDocument/2006/customXml" ds:itemID="{C599663D-B3BF-44F1-AC41-6D6CB481FEA7}">
  <ds:schemaRefs>
    <ds:schemaRef ds:uri="http://schemas.microsoft.com/office/infopath/2007/PartnerControls"/>
    <ds:schemaRef ds:uri="144c03d0-0f03-451f-9d46-5279004462a4"/>
    <ds:schemaRef ds:uri="http://schemas.microsoft.com/office/2006/metadata/properties"/>
    <ds:schemaRef ds:uri="http://purl.org/dc/dcmitype/"/>
    <ds:schemaRef ds:uri="http://purl.org/dc/elements/1.1/"/>
    <ds:schemaRef ds:uri="http://schemas.microsoft.com/office/2006/documentManagement/types"/>
    <ds:schemaRef ds:uri="http://www.w3.org/XML/1998/namespace"/>
    <ds:schemaRef ds:uri="http://schemas.openxmlformats.org/package/2006/metadata/core-properties"/>
    <ds:schemaRef ds:uri="f7bb8512-91eb-4bfd-be42-d6f021407e9a"/>
    <ds:schemaRef ds:uri="http://schemas.microsoft.com/sharepoint/v3/fields"/>
    <ds:schemaRef ds:uri="http://purl.org/dc/terms/"/>
  </ds:schemaRefs>
</ds:datastoreItem>
</file>

<file path=customXml/itemProps4.xml><?xml version="1.0" encoding="utf-8"?>
<ds:datastoreItem xmlns:ds="http://schemas.openxmlformats.org/officeDocument/2006/customXml" ds:itemID="{7F8E9376-5A5E-41A8-8858-F9B1F94DE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8</TotalTime>
  <Pages>8</Pages>
  <Words>2248</Words>
  <Characters>12816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25</cp:revision>
  <cp:lastPrinted>2024-09-06T08:32:00Z</cp:lastPrinted>
  <dcterms:created xsi:type="dcterms:W3CDTF">2024-09-20T07:53:00Z</dcterms:created>
  <dcterms:modified xsi:type="dcterms:W3CDTF">2024-10-23T06:29:00Z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9.0, Build 20230317</vt:lpwstr>
  </property>
  <property fmtid="{D5CDD505-2E9C-101B-9397-08002B2CF9AE}" pid="5" name="Created using">
    <vt:lpwstr>LW 9.0, Build 20230317</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SJ-020</vt:lpwstr>
  </property>
  <property fmtid="{D5CDD505-2E9C-101B-9397-08002B2CF9AE}" pid="10" name="MSIP_Label_6bd9ddd1-4d20-43f6-abfa-fc3c07406f94_Enabled">
    <vt:lpwstr>true</vt:lpwstr>
  </property>
  <property fmtid="{D5CDD505-2E9C-101B-9397-08002B2CF9AE}" pid="11" name="MSIP_Label_6bd9ddd1-4d20-43f6-abfa-fc3c07406f94_SetDate">
    <vt:lpwstr>2024-06-20T16:52:01Z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7b005d4c-3123-4052-b4b9-163f255db3e3</vt:lpwstr>
  </property>
  <property fmtid="{D5CDD505-2E9C-101B-9397-08002B2CF9AE}" pid="16" name="MSIP_Label_6bd9ddd1-4d20-43f6-abfa-fc3c07406f94_ContentBits">
    <vt:lpwstr>0</vt:lpwstr>
  </property>
  <property fmtid="{D5CDD505-2E9C-101B-9397-08002B2CF9AE}" pid="17" name="ContentTypeId">
    <vt:lpwstr>0x010100BAD999D84E12C74482EA5120F5227F6F00217DECAAC21D6B43958DFE68658C192E</vt:lpwstr>
  </property>
  <property fmtid="{D5CDD505-2E9C-101B-9397-08002B2CF9AE}" pid="18" name="DQCStatus">
    <vt:lpwstr>Green (DQC version 03)</vt:lpwstr>
  </property>
  <property name="OP_sanitized" fmtid="{D5CDD505-2E9C-101B-9397-08002B2CF9AE}" pid="19">
    <vt:lpwstr>True</vt:lpwstr>
  </property>
</Properties>
</file>