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E60D9" w14:textId="74F4F906" w:rsidR="00BC37FE" w:rsidRPr="005634F6" w:rsidRDefault="00C12E7C" w:rsidP="00C12E7C">
      <w:pPr>
        <w:pStyle w:val="Pagedecouverture"/>
        <w:rPr>
          <w:noProof/>
        </w:rPr>
      </w:pPr>
      <w:bookmarkStart w:id="0" w:name="LW_BM_COVERPAGE"/>
      <w:r>
        <w:rPr>
          <w:noProof/>
        </w:rPr>
        <w:pict w14:anchorId="05250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D439D342-039E-480B-8CC5-65013F5B339E" style="width:455.25pt;height:336.75pt">
            <v:imagedata r:id="rId11" o:title=""/>
          </v:shape>
        </w:pict>
      </w:r>
    </w:p>
    <w:bookmarkEnd w:id="0"/>
    <w:p w14:paraId="3369E61A" w14:textId="77777777" w:rsidR="00061C9E" w:rsidRPr="005634F6" w:rsidRDefault="00061C9E" w:rsidP="00061C9E">
      <w:pPr>
        <w:rPr>
          <w:noProof/>
        </w:rPr>
        <w:sectPr w:rsidR="00061C9E" w:rsidRPr="005634F6" w:rsidSect="00C12E7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6A13D157" w14:textId="4B5482BB" w:rsidR="009F1CAC" w:rsidRPr="005634F6" w:rsidRDefault="009F1CAC" w:rsidP="009F1CAC">
      <w:pPr>
        <w:spacing w:after="240" w:line="264" w:lineRule="auto"/>
        <w:jc w:val="both"/>
        <w:rPr>
          <w:rFonts w:ascii="Times New Roman" w:eastAsia="Times New Roman" w:hAnsi="Times New Roman"/>
          <w:b/>
          <w:smallCaps/>
          <w:noProof/>
          <w:sz w:val="24"/>
          <w:szCs w:val="24"/>
        </w:rPr>
      </w:pPr>
      <w:bookmarkStart w:id="1" w:name="_GoBack"/>
      <w:bookmarkEnd w:id="1"/>
      <w:r w:rsidRPr="005634F6">
        <w:rPr>
          <w:rFonts w:ascii="Times New Roman" w:hAnsi="Times New Roman"/>
          <w:b/>
          <w:smallCaps/>
          <w:noProof/>
          <w:sz w:val="24"/>
        </w:rPr>
        <w:lastRenderedPageBreak/>
        <w:t>1. Úvod</w:t>
      </w:r>
    </w:p>
    <w:p w14:paraId="45CBB689" w14:textId="6B11E200" w:rsidR="00F06EC6" w:rsidRPr="005634F6" w:rsidRDefault="000E6A39" w:rsidP="002554CE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Európska únia má deväť najvzdialenejších regiónov, ktoré sa nachádzajú ďaleko od európskeho kontinentu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Atlantickom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Indickom oceáne, Karibskom mori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Latinskej Amerike: Francúzska Guyana, Guadeloupe, Martinik, Mayotte, Réunion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Svätý Martin (Francúzsko), Azory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Madeira (Portugalsko), Kanárske ostrovy (Španielsko)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7EE48FF5" w14:textId="5C1272A6" w:rsidR="009F1CAC" w:rsidRPr="005634F6" w:rsidRDefault="009F1CAC" w:rsidP="484476E5">
      <w:pPr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V článku 349 Zmluvy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fungovaní Európskej únie (ZFEÚ) sa uznávajú osobitné charakteristiky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znevýhodnenia týchto najvzdialenejších regiónov. Zahŕňajú ich odľahlosť, ostrovnú polohu, malú rozlohu, obťažné topografické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klimatické podmienky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hospodársku závislosť od malého počtu odvetví vrátane rybárstva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predstavujú dôvod, pre ktorý sa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právnych predpisoch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politikách Únie stanovujú osobitné opatrenia, ktoré majú uvedeným regiónom pomôcť tieto výzvy riešiť</w:t>
      </w:r>
      <w:r w:rsidRPr="005634F6">
        <w:rPr>
          <w:noProof/>
        </w:rPr>
        <w:t>.</w:t>
      </w:r>
    </w:p>
    <w:p w14:paraId="1699764A" w14:textId="0BBFE64F" w:rsidR="000E6A39" w:rsidRPr="005634F6" w:rsidRDefault="000E6A39" w:rsidP="484476E5">
      <w:pPr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Komisia prijala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roku 2022 oznámenie týkajúce sa najvzdialenejších regiónov Únie</w:t>
      </w:r>
      <w:r w:rsidR="002554CE" w:rsidRPr="005634F6">
        <w:rPr>
          <w:rStyle w:val="FootnoteReference"/>
          <w:rFonts w:ascii="Times New Roman" w:eastAsia="Times New Roman" w:hAnsi="Times New Roman"/>
          <w:noProof/>
          <w:sz w:val="24"/>
          <w:szCs w:val="24"/>
        </w:rPr>
        <w:footnoteReference w:id="2"/>
      </w:r>
      <w:r w:rsidRPr="005634F6">
        <w:rPr>
          <w:rFonts w:ascii="Times New Roman" w:hAnsi="Times New Roman"/>
          <w:noProof/>
          <w:sz w:val="24"/>
        </w:rPr>
        <w:t>,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ktorom pre ne stanovila novú stratégiu svedčiacu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odhodlaní Komisie zohľadniť osobitné charakteristiky týchto regiónov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návrhoch právnych predpisov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politík Únie.</w:t>
      </w:r>
    </w:p>
    <w:p w14:paraId="6958DA0E" w14:textId="281A3A36" w:rsidR="00F06EC6" w:rsidRPr="005634F6" w:rsidRDefault="009F1CAC" w:rsidP="009F1CAC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Počet plavidiel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rybárskej flotile najvzdialenejších regiónov je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porovnaní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celou rybárskou flotilou Únie nízky. Povaha cieľových populácií rýb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najvzdialenejších regiónov sa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mnohých prípadoch líši od populácií, na ktoré sa zameriava rybárska flotila zvyšku Únie,</w:t>
      </w:r>
      <w:r w:rsidR="005634F6">
        <w:rPr>
          <w:rFonts w:ascii="Times New Roman" w:hAnsi="Times New Roman"/>
          <w:noProof/>
          <w:sz w:val="24"/>
        </w:rPr>
        <w:t xml:space="preserve"> a v </w:t>
      </w:r>
      <w:r w:rsidRPr="005634F6">
        <w:rPr>
          <w:rFonts w:ascii="Times New Roman" w:hAnsi="Times New Roman"/>
          <w:noProof/>
          <w:sz w:val="24"/>
        </w:rPr>
        <w:t>porovnaní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nimi je rôznorodejšia. Zloženie úlovkov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prevažne drobného rybolovu môže byť veľmi pestré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tvorené viacerými druhmi.</w:t>
      </w:r>
      <w:r w:rsidR="005634F6">
        <w:rPr>
          <w:rFonts w:ascii="Times New Roman" w:hAnsi="Times New Roman"/>
          <w:noProof/>
          <w:sz w:val="24"/>
        </w:rPr>
        <w:t xml:space="preserve"> K </w:t>
      </w:r>
      <w:r w:rsidRPr="005634F6">
        <w:rPr>
          <w:rFonts w:ascii="Times New Roman" w:hAnsi="Times New Roman"/>
          <w:noProof/>
          <w:sz w:val="24"/>
        </w:rPr>
        <w:t>dispozícii je pomerne málo údajov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širšej škále populácií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stav populácií sa posudzuje pomerne málo. Situáciu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mnohých prípadoch zhoršuje povaha rybárskych plavidiel, ktoré patria medzi najmenšie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Únii,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vzhľadom na ich vek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ďalšie obavy týkajúce sa bezpečnosti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ochrany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niektorých najvzdialenejších regiónoch často nie sú tak dobre vybavené na zber údajov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svojich rybolovných činnostiach ako iné plavidlá, tieto údaje však potrebujú členské štáty na vypracovanie príslušných národných výročných správ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rovnováhe medzi rybolovnou kapacitou svojich flotíl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ich rybolovnými možnosťami. Správa by sa mala vypracovať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súlade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i/>
          <w:iCs/>
          <w:noProof/>
          <w:sz w:val="24"/>
        </w:rPr>
        <w:t>Usmerneniami pre analýzu rovnováhy medzi rybolovnou kapacitou</w:t>
      </w:r>
      <w:r w:rsidR="005634F6">
        <w:rPr>
          <w:rFonts w:ascii="Times New Roman" w:hAnsi="Times New Roman"/>
          <w:i/>
          <w:iCs/>
          <w:noProof/>
          <w:sz w:val="24"/>
        </w:rPr>
        <w:t xml:space="preserve"> a </w:t>
      </w:r>
      <w:r w:rsidRPr="005634F6">
        <w:rPr>
          <w:rFonts w:ascii="Times New Roman" w:hAnsi="Times New Roman"/>
          <w:i/>
          <w:iCs/>
          <w:noProof/>
          <w:sz w:val="24"/>
        </w:rPr>
        <w:t>rybolovnými možnosťami, ktoré Komisia prijala podľa článku 22 ods. 2 nariadenia Európskeho parlamentu</w:t>
      </w:r>
      <w:r w:rsidR="005634F6">
        <w:rPr>
          <w:rFonts w:ascii="Times New Roman" w:hAnsi="Times New Roman"/>
          <w:i/>
          <w:iCs/>
          <w:noProof/>
          <w:sz w:val="24"/>
        </w:rPr>
        <w:t xml:space="preserve"> a </w:t>
      </w:r>
      <w:r w:rsidRPr="005634F6">
        <w:rPr>
          <w:rFonts w:ascii="Times New Roman" w:hAnsi="Times New Roman"/>
          <w:i/>
          <w:iCs/>
          <w:noProof/>
          <w:sz w:val="24"/>
        </w:rPr>
        <w:t>Rady (EÚ) č. 1380/2013</w:t>
      </w:r>
      <w:r w:rsidR="005634F6">
        <w:rPr>
          <w:rFonts w:ascii="Times New Roman" w:hAnsi="Times New Roman"/>
          <w:i/>
          <w:iCs/>
          <w:noProof/>
          <w:sz w:val="24"/>
        </w:rPr>
        <w:t xml:space="preserve"> o </w:t>
      </w:r>
      <w:r w:rsidRPr="005634F6">
        <w:rPr>
          <w:rFonts w:ascii="Times New Roman" w:hAnsi="Times New Roman"/>
          <w:i/>
          <w:iCs/>
          <w:noProof/>
          <w:sz w:val="24"/>
        </w:rPr>
        <w:t>spoločnej rybárskej politike</w:t>
      </w:r>
      <w:r w:rsidR="00CB3EF8" w:rsidRPr="005634F6">
        <w:rPr>
          <w:rStyle w:val="FootnoteReference"/>
          <w:rFonts w:ascii="Times New Roman" w:eastAsia="Times New Roman" w:hAnsi="Times New Roman"/>
          <w:noProof/>
          <w:sz w:val="24"/>
          <w:szCs w:val="24"/>
        </w:rPr>
        <w:footnoteReference w:id="3"/>
      </w:r>
      <w:r w:rsidRPr="005634F6">
        <w:rPr>
          <w:rFonts w:ascii="Times New Roman" w:hAnsi="Times New Roman"/>
          <w:noProof/>
          <w:sz w:val="24"/>
        </w:rPr>
        <w:t xml:space="preserve"> [ďalej len „COM(2014) 545 final“]. Okrem toho môže byť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záujme zachytenia rôznorodej povahy rybolovných činností flotíl najvzdialenejších regiónov potrebná zvýšená úroveň čiastkovej segmentácie flotily presahujúca ustanovenia rámca zberu údajov</w:t>
      </w:r>
      <w:r w:rsidR="00144610" w:rsidRPr="005634F6">
        <w:rPr>
          <w:rFonts w:ascii="Times New Roman" w:eastAsia="Times New Roman" w:hAnsi="Times New Roman"/>
          <w:noProof/>
          <w:sz w:val="24"/>
          <w:szCs w:val="24"/>
          <w:vertAlign w:val="superscript"/>
          <w:lang w:eastAsia="de-DE"/>
        </w:rPr>
        <w:footnoteReference w:id="4"/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1F19B46F" w14:textId="08414CFA" w:rsidR="00F06EC6" w:rsidRPr="005634F6" w:rsidRDefault="00E368CE" w:rsidP="009F1CAC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Uvedený rozsah úvah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mnohých prípadoch znemožňuje posúdenie rovnováhy týchto flotíl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súlade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oznámením COM(2014) 545 final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0207CDB1" w14:textId="422AE09C" w:rsidR="00F06EC6" w:rsidRPr="005634F6" w:rsidRDefault="00EA1454" w:rsidP="009F1CAC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V predmetnom oznámení sa stanovujú osobitné usmernenia na posúdenie rovnováhy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segmentoch flotily pozostávajúcich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plavidiel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dĺžkou menej ako 12 metrov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 tak, že sa doplnia osobitné prvky oznámenia COM(2014) 545 final, pokiaľ ide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tieto segmenty flotily,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to vzhľadom na všetky uvedené aspekty, ktoré sa výrazne líšia od aspektov zvyšku Únie, ako aj štrukturálne obmedzenia najvzdialenejších regiónov, špecifiká plavidiel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rybolovu, dostupnosť údajov, geopolitickú situáciu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situáciu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oblasti bezpečnosti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niektorých najvzdialenejších regiónoch, viacdruhový rybolov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jeho maloobjemový tradičný charakter,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to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súlade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oznámením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roku 2022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najvzdialenejších regiónoch</w:t>
      </w:r>
      <w:r w:rsidRPr="005634F6">
        <w:rPr>
          <w:rStyle w:val="FootnoteReference"/>
          <w:rFonts w:ascii="Times New Roman" w:hAnsi="Times New Roman"/>
          <w:noProof/>
          <w:sz w:val="24"/>
        </w:rPr>
        <w:t>2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15654FFC" w14:textId="3E2BA8EE" w:rsidR="00F06EC6" w:rsidRPr="005634F6" w:rsidRDefault="004A4B90" w:rsidP="004A4B90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Posúdenie rovnováhy pre tieto segmenty flotily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 by malo naďalej vychádzať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biologických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ekonomických ukazovateľov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ukazovateľov používania plavidla stanovených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 xml:space="preserve">dokumente </w:t>
      </w:r>
      <w:bookmarkStart w:id="2" w:name="_Hlk165994404"/>
      <w:r w:rsidRPr="005634F6">
        <w:rPr>
          <w:rFonts w:ascii="Times New Roman" w:hAnsi="Times New Roman"/>
          <w:noProof/>
          <w:sz w:val="24"/>
        </w:rPr>
        <w:t>COM(2014) 545 final</w:t>
      </w:r>
      <w:bookmarkEnd w:id="2"/>
      <w:r w:rsidRPr="005634F6">
        <w:rPr>
          <w:rFonts w:ascii="Times New Roman" w:hAnsi="Times New Roman"/>
          <w:noProof/>
          <w:sz w:val="24"/>
        </w:rPr>
        <w:t xml:space="preserve">. </w:t>
      </w:r>
      <w:bookmarkStart w:id="3" w:name="_Hlk165994319"/>
      <w:r w:rsidRPr="005634F6">
        <w:rPr>
          <w:rFonts w:ascii="Times New Roman" w:hAnsi="Times New Roman"/>
          <w:noProof/>
          <w:sz w:val="24"/>
        </w:rPr>
        <w:t>Konkrétne by mali byť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rovnováhe biologické ukazovatele (SHI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SAR), ekonomické ukazovatele (RoI, CR/BER)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jeden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ukazovateľov používania plavidla (buď VUR, VUR220, alebo VUR</w:t>
      </w:r>
      <w:r w:rsidRPr="005634F6">
        <w:rPr>
          <w:rFonts w:ascii="Times New Roman" w:hAnsi="Times New Roman"/>
          <w:i/>
          <w:iCs/>
          <w:noProof/>
          <w:sz w:val="24"/>
        </w:rPr>
        <w:t>nn</w:t>
      </w:r>
      <w:r w:rsidRPr="005634F6">
        <w:rPr>
          <w:rFonts w:ascii="Times New Roman" w:hAnsi="Times New Roman"/>
          <w:noProof/>
          <w:sz w:val="24"/>
        </w:rPr>
        <w:t>, ktorý je vymedzený členským štátom)</w:t>
      </w:r>
      <w:bookmarkEnd w:id="3"/>
      <w:r w:rsidR="00F06EC6" w:rsidRPr="005634F6">
        <w:rPr>
          <w:rFonts w:ascii="Times New Roman" w:hAnsi="Times New Roman"/>
          <w:noProof/>
          <w:sz w:val="24"/>
        </w:rPr>
        <w:t>.</w:t>
      </w:r>
    </w:p>
    <w:p w14:paraId="01FF0AF9" w14:textId="7499A384" w:rsidR="00F06EC6" w:rsidRPr="005634F6" w:rsidRDefault="00D81021" w:rsidP="009F1CAC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V tomto oznámení sa však stanovujú alternatívne metódy, ktoré môžu príslušné členské štáty použiť na vypracovanie určitých ukazovateľov pre segmenty flotily pozostávajúce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plavidiel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dĺžkou menej ako 12 metrov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regiónoch. Tieto alternatívne metódy vychádzajú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dokumentu COM(2014) 545 final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zohľadňuje sa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nich 1. dodatočná vedecká analýza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odporúčania Vedeckého, technického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hospodárskeho výboru pre rybárstvo (ďalej len „STECF“)</w:t>
      </w:r>
      <w:r w:rsidR="005634F6">
        <w:rPr>
          <w:rStyle w:val="FootnoteReference"/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súvislosti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výročnými správami členských štátov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flotile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2. informácie špecifické pre najvzdialenejšie regióny, ktoré poskytli dotknuté členské štáty</w:t>
      </w:r>
      <w:r w:rsidR="00FA6494" w:rsidRPr="005634F6">
        <w:rPr>
          <w:rStyle w:val="FootnoteReference"/>
          <w:rFonts w:ascii="Times New Roman" w:eastAsia="Times New Roman" w:hAnsi="Times New Roman"/>
          <w:noProof/>
          <w:sz w:val="24"/>
          <w:szCs w:val="24"/>
        </w:rPr>
        <w:footnoteReference w:id="5"/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2A66BF4C" w14:textId="40B07AC2" w:rsidR="006B07E7" w:rsidRPr="005634F6" w:rsidRDefault="006B07E7" w:rsidP="009F1CAC">
      <w:pPr>
        <w:jc w:val="both"/>
        <w:rPr>
          <w:rFonts w:ascii="Times New Roman" w:eastAsia="Times New Roman" w:hAnsi="Times New Roman"/>
          <w:noProof/>
          <w:sz w:val="24"/>
          <w:szCs w:val="24"/>
        </w:rPr>
      </w:pPr>
      <w:bookmarkStart w:id="4" w:name="_Hlk166597235"/>
      <w:r w:rsidRPr="005634F6">
        <w:rPr>
          <w:rFonts w:ascii="Times New Roman" w:hAnsi="Times New Roman"/>
          <w:noProof/>
          <w:sz w:val="24"/>
        </w:rPr>
        <w:t>Vo všetkých prípadoch,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to aj pri uplatňovaní týchto usmernení, by členské štáty mali predložiť všetky potrebné údaje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vysvetlenia na odôvodnenie svojich rozhodnutí</w:t>
      </w:r>
      <w:r w:rsidR="005634F6">
        <w:rPr>
          <w:rFonts w:ascii="Times New Roman" w:hAnsi="Times New Roman"/>
          <w:noProof/>
          <w:sz w:val="24"/>
        </w:rPr>
        <w:t xml:space="preserve"> a v </w:t>
      </w:r>
      <w:r w:rsidRPr="005634F6">
        <w:rPr>
          <w:rFonts w:ascii="Times New Roman" w:hAnsi="Times New Roman"/>
          <w:noProof/>
          <w:sz w:val="24"/>
        </w:rPr>
        <w:t>prípade potreby</w:t>
      </w:r>
      <w:bookmarkEnd w:id="4"/>
      <w:r w:rsidRPr="005634F6">
        <w:rPr>
          <w:rFonts w:ascii="Times New Roman" w:hAnsi="Times New Roman"/>
          <w:noProof/>
          <w:sz w:val="24"/>
        </w:rPr>
        <w:t xml:space="preserve"> umožniť výboru STECF ďalšiu analýzu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kontrolu.</w:t>
      </w:r>
    </w:p>
    <w:p w14:paraId="4EF39E4C" w14:textId="1A669130" w:rsidR="00FA6494" w:rsidRPr="005634F6" w:rsidRDefault="00644007" w:rsidP="009F1CAC">
      <w:pPr>
        <w:jc w:val="both"/>
        <w:rPr>
          <w:rFonts w:ascii="Times New Roman" w:eastAsia="Times New Roman" w:hAnsi="Times New Roman"/>
          <w:b/>
          <w:smallCaps/>
          <w:noProof/>
          <w:sz w:val="24"/>
          <w:szCs w:val="24"/>
        </w:rPr>
      </w:pPr>
      <w:r w:rsidRPr="005634F6">
        <w:rPr>
          <w:rFonts w:ascii="Times New Roman" w:hAnsi="Times New Roman"/>
          <w:b/>
          <w:smallCaps/>
          <w:noProof/>
          <w:sz w:val="24"/>
        </w:rPr>
        <w:t>2. Alternatívne metódy pre segmenty flotily pozostávajúce</w:t>
      </w:r>
      <w:r w:rsidR="005634F6">
        <w:rPr>
          <w:rFonts w:ascii="Times New Roman" w:hAnsi="Times New Roman"/>
          <w:b/>
          <w:smallCaps/>
          <w:noProof/>
          <w:sz w:val="24"/>
        </w:rPr>
        <w:t xml:space="preserve"> z </w:t>
      </w:r>
      <w:r w:rsidRPr="005634F6">
        <w:rPr>
          <w:rFonts w:ascii="Times New Roman" w:hAnsi="Times New Roman"/>
          <w:b/>
          <w:smallCaps/>
          <w:noProof/>
          <w:sz w:val="24"/>
        </w:rPr>
        <w:t>plavidiel</w:t>
      </w:r>
      <w:r w:rsidR="005634F6">
        <w:rPr>
          <w:rFonts w:ascii="Times New Roman" w:hAnsi="Times New Roman"/>
          <w:b/>
          <w:smallCaps/>
          <w:noProof/>
          <w:sz w:val="24"/>
        </w:rPr>
        <w:t xml:space="preserve"> s </w:t>
      </w:r>
      <w:r w:rsidRPr="005634F6">
        <w:rPr>
          <w:rFonts w:ascii="Times New Roman" w:hAnsi="Times New Roman"/>
          <w:b/>
          <w:smallCaps/>
          <w:noProof/>
          <w:sz w:val="24"/>
        </w:rPr>
        <w:t>dĺžkou menej ako 12 metrov</w:t>
      </w:r>
      <w:r w:rsidR="005634F6">
        <w:rPr>
          <w:rFonts w:ascii="Times New Roman" w:hAnsi="Times New Roman"/>
          <w:b/>
          <w:smallCaps/>
          <w:noProof/>
          <w:sz w:val="24"/>
        </w:rPr>
        <w:t xml:space="preserve"> v </w:t>
      </w:r>
      <w:r w:rsidRPr="005634F6">
        <w:rPr>
          <w:rFonts w:ascii="Times New Roman" w:hAnsi="Times New Roman"/>
          <w:b/>
          <w:smallCaps/>
          <w:noProof/>
          <w:sz w:val="24"/>
        </w:rPr>
        <w:t>najvzdialenejších regiónoch</w:t>
      </w:r>
    </w:p>
    <w:p w14:paraId="513E0F18" w14:textId="77777777" w:rsidR="00F06EC6" w:rsidRPr="005634F6" w:rsidRDefault="003E7803" w:rsidP="009F1CAC">
      <w:pPr>
        <w:jc w:val="both"/>
        <w:rPr>
          <w:rFonts w:ascii="Times New Roman" w:hAnsi="Times New Roman"/>
          <w:noProof/>
          <w:sz w:val="24"/>
        </w:rPr>
      </w:pPr>
      <w:bookmarkStart w:id="5" w:name="_Hlk165043414"/>
      <w:r w:rsidRPr="005634F6">
        <w:rPr>
          <w:rFonts w:ascii="Times New Roman" w:hAnsi="Times New Roman"/>
          <w:noProof/>
          <w:sz w:val="24"/>
        </w:rPr>
        <w:t>Základné pravidlo je, že dokument COM(2014) 545 final sa uplatňuje na všetky segmenty plavidiel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5616F40B" w14:textId="4CEC3BE0" w:rsidR="00262F2B" w:rsidRPr="005634F6" w:rsidRDefault="003E7803" w:rsidP="009F1CAC">
      <w:pPr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Usmerneniami uvedenými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tomto oznámení sa pre segmenty flotily pozostávajúce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plavidiel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dĺžkou menej ako 12 metrov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 zavádzajú alternatívne metódy, ktoré sa môžu použiť na prípravu parametrov údajov, biologických ukazovateľov, ukazovateľov používania plavidla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dodatočných ukazovateľov, ako sa uvádza ďalej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texte.</w:t>
      </w:r>
    </w:p>
    <w:p w14:paraId="006ADEAE" w14:textId="2EC0D9F8" w:rsidR="00ED1FCB" w:rsidRPr="005634F6" w:rsidRDefault="00D812E8" w:rsidP="009F1CAC">
      <w:pPr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Členské štáty môžu vypracovať svoju správu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flotile na základe ktorejkoľvek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alternatívnych metód stanovenej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tomto oznámení pre príslušné segmenty flotily len vtedy, keď zdôvodnia potrebu takéhoto postupu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prihliadnutím na osobitnú situáciu príslušného segmentu flotily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osobitné znevýhodnenia, ktorým daný segment čelí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dôvodu svojej polohy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najvzdialenejšom regióne. Vysvetlenia by sa mali uviesť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prílohe</w:t>
      </w:r>
      <w:r w:rsidR="005634F6">
        <w:rPr>
          <w:rFonts w:ascii="Times New Roman" w:hAnsi="Times New Roman"/>
          <w:noProof/>
          <w:sz w:val="24"/>
        </w:rPr>
        <w:t xml:space="preserve"> k </w:t>
      </w:r>
      <w:r w:rsidRPr="005634F6">
        <w:rPr>
          <w:rFonts w:ascii="Times New Roman" w:hAnsi="Times New Roman"/>
          <w:noProof/>
          <w:sz w:val="24"/>
        </w:rPr>
        <w:t>správe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flotile.</w:t>
      </w:r>
      <w:bookmarkEnd w:id="5"/>
    </w:p>
    <w:p w14:paraId="0168D6E3" w14:textId="01C81A02" w:rsidR="009F1CAC" w:rsidRPr="005634F6" w:rsidRDefault="00F06EC6" w:rsidP="00644007">
      <w:pPr>
        <w:pStyle w:val="ListParagraph"/>
        <w:numPr>
          <w:ilvl w:val="1"/>
          <w:numId w:val="5"/>
        </w:numPr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  <w:r w:rsidRPr="005634F6">
        <w:rPr>
          <w:rFonts w:ascii="Times New Roman" w:hAnsi="Times New Roman"/>
          <w:b/>
          <w:noProof/>
          <w:sz w:val="24"/>
        </w:rPr>
        <w:t xml:space="preserve"> </w:t>
      </w:r>
      <w:r w:rsidR="009F1CAC" w:rsidRPr="005634F6">
        <w:rPr>
          <w:rFonts w:ascii="Times New Roman" w:hAnsi="Times New Roman"/>
          <w:b/>
          <w:noProof/>
          <w:sz w:val="24"/>
        </w:rPr>
        <w:t>Parametre údajov</w:t>
      </w:r>
      <w:r w:rsidR="005634F6">
        <w:rPr>
          <w:rFonts w:ascii="Times New Roman" w:hAnsi="Times New Roman"/>
          <w:b/>
          <w:noProof/>
          <w:sz w:val="24"/>
        </w:rPr>
        <w:t xml:space="preserve"> a </w:t>
      </w:r>
      <w:r w:rsidR="009F1CAC" w:rsidRPr="005634F6">
        <w:rPr>
          <w:rFonts w:ascii="Times New Roman" w:hAnsi="Times New Roman"/>
          <w:b/>
          <w:noProof/>
          <w:sz w:val="24"/>
        </w:rPr>
        <w:t>segmentácia flotily</w:t>
      </w:r>
    </w:p>
    <w:p w14:paraId="55B33380" w14:textId="61812491" w:rsidR="00F06EC6" w:rsidRPr="005634F6" w:rsidRDefault="009F1CAC" w:rsidP="009F1CAC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V záujme štandardizovaných analýz, uľahčenia porovnávania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predchádzania duplicitným činnostiam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súlade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dokumentom COM(2014) 545 final by sa parametre údajov mali vypočítať podľa údajov získaných podľa rámca pre zber údajov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5A2FCF50" w14:textId="17B221FD" w:rsidR="00F06EC6" w:rsidRPr="005634F6" w:rsidRDefault="009F1CAC" w:rsidP="00F06EC6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V prípade plavidiel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dĺžkou menej ako 12 metrov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 sa výpočet ukazovateľa môže ďalej členiť podľa čiastkovej segmentácie na najvhodnejšej úrovni</w:t>
      </w:r>
      <w:r w:rsidR="009D0756" w:rsidRPr="005634F6">
        <w:rPr>
          <w:rStyle w:val="FootnoteReference"/>
          <w:rFonts w:ascii="Times New Roman" w:eastAsia="Times New Roman" w:hAnsi="Times New Roman"/>
          <w:noProof/>
          <w:sz w:val="24"/>
          <w:szCs w:val="24"/>
          <w:lang w:eastAsia="de-DE"/>
        </w:rPr>
        <w:footnoteReference w:id="6"/>
      </w:r>
      <w:r w:rsidRPr="005634F6">
        <w:rPr>
          <w:rFonts w:ascii="Times New Roman" w:hAnsi="Times New Roman"/>
          <w:noProof/>
          <w:sz w:val="24"/>
        </w:rPr>
        <w:t>.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prípadoch použitia čiastkovej segmentácie by malo ísť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doplnenie rámca pre zber údajov, nie jeho nahradenie. Okrem toho by sa všetky podkladové údaje pre výpočty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správe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flotile mali uviesť aj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prílohe</w:t>
      </w:r>
      <w:r w:rsidR="005634F6">
        <w:rPr>
          <w:rFonts w:ascii="Times New Roman" w:hAnsi="Times New Roman"/>
          <w:noProof/>
          <w:sz w:val="24"/>
        </w:rPr>
        <w:t xml:space="preserve"> k </w:t>
      </w:r>
      <w:r w:rsidRPr="005634F6">
        <w:rPr>
          <w:rFonts w:ascii="Times New Roman" w:hAnsi="Times New Roman"/>
          <w:noProof/>
          <w:sz w:val="24"/>
        </w:rPr>
        <w:t>správe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flotile podľa tej istej jednotnej čiastkovej segmentácie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1802D4CF" w14:textId="56CB8EBD" w:rsidR="009F1CAC" w:rsidRPr="005634F6" w:rsidRDefault="00F06EC6" w:rsidP="00644007">
      <w:pPr>
        <w:pStyle w:val="ListParagraph"/>
        <w:numPr>
          <w:ilvl w:val="1"/>
          <w:numId w:val="5"/>
        </w:numPr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  <w:r w:rsidRPr="005634F6">
        <w:rPr>
          <w:rFonts w:ascii="Times New Roman" w:hAnsi="Times New Roman"/>
          <w:b/>
          <w:noProof/>
          <w:sz w:val="24"/>
        </w:rPr>
        <w:t xml:space="preserve"> </w:t>
      </w:r>
      <w:r w:rsidR="009F1CAC" w:rsidRPr="005634F6">
        <w:rPr>
          <w:rFonts w:ascii="Times New Roman" w:hAnsi="Times New Roman"/>
          <w:b/>
          <w:noProof/>
          <w:sz w:val="24"/>
        </w:rPr>
        <w:t>Biologické ukazovatele</w:t>
      </w:r>
    </w:p>
    <w:p w14:paraId="2E757EAE" w14:textId="5D92BFBD" w:rsidR="00F06EC6" w:rsidRPr="005634F6" w:rsidRDefault="009F1CAC" w:rsidP="009F1CAC">
      <w:pPr>
        <w:spacing w:after="240" w:line="264" w:lineRule="auto"/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V súlade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dokumentom COM(2014) 545 final by mali byť obidva biologické ukazovatele (ukazovateľ udržateľného lovu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ukazovateľ ohrozených populácií)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rovnováhe ako súčasť preukázania rovnováhy segmentu flotily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7E59388D" w14:textId="7731040E" w:rsidR="0042563D" w:rsidRPr="005634F6" w:rsidRDefault="0042563D" w:rsidP="00FA5007">
      <w:pPr>
        <w:spacing w:after="240" w:line="264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2.2.1. Ukazovateľ udržateľného lovu</w:t>
      </w:r>
    </w:p>
    <w:p w14:paraId="170A7872" w14:textId="0003E4BC" w:rsidR="009F1CAC" w:rsidRPr="005634F6" w:rsidRDefault="009F1CAC" w:rsidP="00FA5007">
      <w:pPr>
        <w:spacing w:after="240" w:line="264" w:lineRule="auto"/>
        <w:jc w:val="both"/>
        <w:rPr>
          <w:rFonts w:ascii="Times New Roman" w:eastAsia="Times New Roman" w:hAnsi="Times New Roman"/>
          <w:b/>
          <w:i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Výpočet ukazovateľa udržateľného lovu (SHI), ktorý je vysvetlený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oddiele 10.1 dokumentu COM(2014) 545 final, sa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prípade segmentov flotily týkajúcich sa plavidiel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dĺžkou menej ako 12 metrov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 môže zjednodušiť jedným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týchto spôsobov:</w:t>
      </w:r>
    </w:p>
    <w:p w14:paraId="3B8C3079" w14:textId="6AB1BB4D" w:rsidR="009F1CAC" w:rsidRPr="005634F6" w:rsidRDefault="009F1CAC" w:rsidP="009F1CAC">
      <w:pPr>
        <w:numPr>
          <w:ilvl w:val="0"/>
          <w:numId w:val="2"/>
        </w:numPr>
        <w:jc w:val="both"/>
        <w:rPr>
          <w:rFonts w:ascii="Times New Roman" w:eastAsia="Times New Roman" w:hAnsi="Times New Roman"/>
          <w:noProof/>
          <w:sz w:val="24"/>
          <w:szCs w:val="24"/>
        </w:rPr>
      </w:pPr>
      <w:bookmarkStart w:id="6" w:name="_Hlk164780346"/>
      <w:r w:rsidRPr="005634F6">
        <w:rPr>
          <w:rFonts w:ascii="Times New Roman" w:hAnsi="Times New Roman"/>
          <w:noProof/>
          <w:sz w:val="24"/>
        </w:rPr>
        <w:t>hodnoty F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Fmsy možno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poradí podľa priority odvodiť z: a) vnútroštátnych posúdení, ktoré podliehajú vzájomnému preskúmaniu, ak sú vzájomné preskúmania buď verejne prístupné, alebo sa poskytujú ako príloha</w:t>
      </w:r>
      <w:r w:rsidR="005634F6">
        <w:rPr>
          <w:rFonts w:ascii="Times New Roman" w:hAnsi="Times New Roman"/>
          <w:noProof/>
          <w:sz w:val="24"/>
        </w:rPr>
        <w:t xml:space="preserve"> k </w:t>
      </w:r>
      <w:r w:rsidRPr="005634F6">
        <w:rPr>
          <w:rFonts w:ascii="Times New Roman" w:hAnsi="Times New Roman"/>
          <w:noProof/>
          <w:sz w:val="24"/>
        </w:rPr>
        <w:t>správe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flotile; b) vnútroštátnych posúdení, ktoré (zatiaľ) nepodliehajú vzájomnému preskúmaniu, ak sa vnútroštátne posúdenia poskytujú na vzájomné preskúmanie ako príloha</w:t>
      </w:r>
      <w:r w:rsidR="005634F6">
        <w:rPr>
          <w:rFonts w:ascii="Times New Roman" w:hAnsi="Times New Roman"/>
          <w:noProof/>
          <w:sz w:val="24"/>
        </w:rPr>
        <w:t xml:space="preserve"> k </w:t>
      </w:r>
      <w:r w:rsidRPr="005634F6">
        <w:rPr>
          <w:rFonts w:ascii="Times New Roman" w:hAnsi="Times New Roman"/>
          <w:noProof/>
          <w:sz w:val="24"/>
        </w:rPr>
        <w:t>správe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flotile,</w:t>
      </w:r>
    </w:p>
    <w:p w14:paraId="0C2C6BBA" w14:textId="16AD60B3" w:rsidR="009F1CAC" w:rsidRPr="005634F6" w:rsidRDefault="001E630D" w:rsidP="009F1CAC">
      <w:pPr>
        <w:numPr>
          <w:ilvl w:val="0"/>
          <w:numId w:val="2"/>
        </w:numPr>
        <w:spacing w:after="240" w:line="264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ukazovateľ sa môže uvádzať spolu so skutočným percentuálnym podielom pokrytia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počtom populácií, ktoré boli použité na výpočet hodnoty,</w:t>
      </w:r>
    </w:p>
    <w:p w14:paraId="557B8ACA" w14:textId="44F241B0" w:rsidR="00DD7160" w:rsidRPr="005634F6" w:rsidRDefault="001E630D" w:rsidP="00DD7160">
      <w:pPr>
        <w:numPr>
          <w:ilvl w:val="0"/>
          <w:numId w:val="2"/>
        </w:numPr>
        <w:spacing w:after="240" w:line="264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môžu sa použiť odhady F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Fmsy vychádzajúc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jedného alebo viacerých reprezentatívnych cieľových druhov pre daný rybolov,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tejto súvislosti sa môžu predložiť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použiť aj posúdenia založené na produktivite zoskupení druhov.</w:t>
      </w:r>
    </w:p>
    <w:p w14:paraId="2DF544EE" w14:textId="0041FE26" w:rsidR="008D57A3" w:rsidRPr="005634F6" w:rsidRDefault="00DD7160" w:rsidP="00443A9A">
      <w:pPr>
        <w:spacing w:after="240" w:line="264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Bez ohľadu na zjednodušenie, ktoré členský štát uplatňuje, by sa všetky potrebné údaje mali uviesť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prílohe</w:t>
      </w:r>
      <w:r w:rsidR="005634F6">
        <w:rPr>
          <w:rFonts w:ascii="Times New Roman" w:hAnsi="Times New Roman"/>
          <w:noProof/>
          <w:sz w:val="24"/>
        </w:rPr>
        <w:t xml:space="preserve"> k </w:t>
      </w:r>
      <w:r w:rsidRPr="005634F6">
        <w:rPr>
          <w:rFonts w:ascii="Times New Roman" w:hAnsi="Times New Roman"/>
          <w:noProof/>
          <w:sz w:val="24"/>
        </w:rPr>
        <w:t>správe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flotile, aby výbor STECF mohol vykonať ďalšiu kontrolu.</w:t>
      </w:r>
    </w:p>
    <w:p w14:paraId="2D1E783E" w14:textId="627174BD" w:rsidR="004F6D03" w:rsidRPr="005634F6" w:rsidRDefault="004F6D03" w:rsidP="000406F9">
      <w:pPr>
        <w:spacing w:after="240" w:line="264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2.2.2. Ukazovateľ ohrozených populácií</w:t>
      </w:r>
    </w:p>
    <w:bookmarkEnd w:id="6"/>
    <w:p w14:paraId="7603754B" w14:textId="4F6F0185" w:rsidR="00F06EC6" w:rsidRPr="005634F6" w:rsidRDefault="00945417" w:rsidP="00945417">
      <w:pPr>
        <w:spacing w:after="240" w:line="264" w:lineRule="auto"/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V súlade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 xml:space="preserve">dokumentom COM(2014) 545 final by </w:t>
      </w:r>
      <w:bookmarkStart w:id="7" w:name="_Hlk166661997"/>
      <w:r w:rsidRPr="005634F6">
        <w:rPr>
          <w:rFonts w:ascii="Times New Roman" w:hAnsi="Times New Roman"/>
          <w:noProof/>
          <w:sz w:val="24"/>
        </w:rPr>
        <w:t>členské štáty pri výpočte ukazovateľa ohrozených populácií (SAR) mali</w:t>
      </w:r>
      <w:bookmarkEnd w:id="7"/>
      <w:r w:rsidRPr="005634F6">
        <w:rPr>
          <w:rFonts w:ascii="Times New Roman" w:hAnsi="Times New Roman"/>
          <w:noProof/>
          <w:sz w:val="24"/>
        </w:rPr>
        <w:t xml:space="preserve"> zistiť počet populácií, ktoré sa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súčasnosti hodnotia ako populácie na „vysokej úrovni biologického rizika“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ktoré dotknutá flotila využíva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0BE720FA" w14:textId="632051C1" w:rsidR="00F06EC6" w:rsidRPr="005634F6" w:rsidRDefault="00945417" w:rsidP="00945417">
      <w:pPr>
        <w:spacing w:after="240" w:line="264" w:lineRule="auto"/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Na základe odporúčania výboru STECF sa dospelo</w:t>
      </w:r>
      <w:r w:rsidR="005634F6">
        <w:rPr>
          <w:rFonts w:ascii="Times New Roman" w:hAnsi="Times New Roman"/>
          <w:noProof/>
          <w:sz w:val="24"/>
        </w:rPr>
        <w:t xml:space="preserve"> k </w:t>
      </w:r>
      <w:r w:rsidRPr="005634F6">
        <w:rPr>
          <w:rFonts w:ascii="Times New Roman" w:hAnsi="Times New Roman"/>
          <w:noProof/>
          <w:sz w:val="24"/>
        </w:rPr>
        <w:t>záveru, že prahové hodnoty stanovené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dokumente COM(2014) 545 final, ktorými sa vymedzuje, či dotknutá flotila „využíva“ ohrozené populácie, môžu byť pozmenené</w:t>
      </w:r>
      <w:r w:rsidRPr="005634F6">
        <w:rPr>
          <w:rFonts w:ascii="Times New Roman" w:hAnsi="Times New Roman"/>
          <w:noProof/>
          <w:sz w:val="24"/>
          <w:vertAlign w:val="superscript"/>
        </w:rPr>
        <w:t>6</w:t>
      </w:r>
      <w:r w:rsidRPr="005634F6">
        <w:rPr>
          <w:rFonts w:ascii="Times New Roman" w:hAnsi="Times New Roman"/>
          <w:noProof/>
          <w:sz w:val="24"/>
        </w:rPr>
        <w:t>. Pokým výbor STECF nevykoná ďalšie posúdenie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vzhľadom na osobitnú situáciu segmentov flotily pozostávajúcich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plavidiel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dĺžkou menej ako 12 metrov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 by sa pre tieto segmenty flotily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budúcnosti mohla stanoviť alternatívna prahová hodnota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7304F35D" w14:textId="7AB61871" w:rsidR="00945417" w:rsidRPr="005634F6" w:rsidRDefault="00945417" w:rsidP="00945417">
      <w:pPr>
        <w:spacing w:after="240" w:line="264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Vzhľadom na závery výboru STECF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prahovej hodnote pre SAR</w:t>
      </w:r>
      <w:r w:rsidRPr="005634F6">
        <w:rPr>
          <w:rStyle w:val="FootnoteReference"/>
          <w:rFonts w:ascii="Times New Roman" w:eastAsia="Times New Roman" w:hAnsi="Times New Roman"/>
          <w:noProof/>
          <w:sz w:val="24"/>
          <w:szCs w:val="24"/>
          <w:lang w:eastAsia="de-DE"/>
        </w:rPr>
        <w:footnoteReference w:id="7"/>
      </w:r>
      <w:r w:rsidRPr="005634F6">
        <w:rPr>
          <w:rFonts w:ascii="Times New Roman" w:hAnsi="Times New Roman"/>
          <w:noProof/>
          <w:sz w:val="24"/>
        </w:rPr>
        <w:t>, ako aj na osobitnú situáciu segmentov flotily pozostávajúcich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plavidiel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dĺžkou menej ako 12 metrov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 je dovtedy vhodné umožniť členským štátom dočasne používať alternatívnu prahovú hodnotu.</w:t>
      </w:r>
    </w:p>
    <w:p w14:paraId="4B9F8085" w14:textId="53EC073C" w:rsidR="00F06EC6" w:rsidRPr="005634F6" w:rsidRDefault="00945417" w:rsidP="00945417">
      <w:pPr>
        <w:spacing w:after="240" w:line="264" w:lineRule="auto"/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Členské štáty preto môžu na základe dostupných technických informácií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uplatňovaní ukazovateľa SAR pri rybolove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prípade segmentov flotily pozostávajúcich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plavidiel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dĺžkou menej ako 12 metrov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 xml:space="preserve">najvzdialenejších regiónoch usúdiť, že ohrozená populácia je „využívaná“ segmentom flotily, ak táto populácia tvorí viac ako </w:t>
      </w:r>
      <w:r w:rsidRPr="005634F6">
        <w:rPr>
          <w:rFonts w:ascii="Times New Roman" w:hAnsi="Times New Roman"/>
          <w:b/>
          <w:bCs/>
          <w:noProof/>
          <w:sz w:val="24"/>
        </w:rPr>
        <w:t>20</w:t>
      </w:r>
      <w:r w:rsidR="005634F6">
        <w:rPr>
          <w:rFonts w:ascii="Times New Roman" w:hAnsi="Times New Roman"/>
          <w:b/>
          <w:bCs/>
          <w:noProof/>
          <w:sz w:val="24"/>
        </w:rPr>
        <w:t> %</w:t>
      </w:r>
      <w:r w:rsidRPr="005634F6">
        <w:rPr>
          <w:rFonts w:ascii="Times New Roman" w:hAnsi="Times New Roman"/>
          <w:noProof/>
          <w:sz w:val="24"/>
        </w:rPr>
        <w:t xml:space="preserve"> úlovkov segmentu flotily alebo ak segment flotily vyloví viac ako 10</w:t>
      </w:r>
      <w:r w:rsidR="005634F6">
        <w:rPr>
          <w:rFonts w:ascii="Times New Roman" w:hAnsi="Times New Roman"/>
          <w:noProof/>
          <w:sz w:val="24"/>
        </w:rPr>
        <w:t> %</w:t>
      </w:r>
      <w:r w:rsidRPr="005634F6">
        <w:rPr>
          <w:rFonts w:ascii="Times New Roman" w:hAnsi="Times New Roman"/>
          <w:noProof/>
          <w:sz w:val="24"/>
        </w:rPr>
        <w:t xml:space="preserve"> úlovkov populácie. Členské štáty by mali predložiť podrobné údaje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vysvetlenia použitých výpočtov, ako aj vedecké dôvody uplatňovania tejto alternatívnej prahovej hodnoty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prílohe</w:t>
      </w:r>
      <w:r w:rsidR="005634F6">
        <w:rPr>
          <w:rFonts w:ascii="Times New Roman" w:hAnsi="Times New Roman"/>
          <w:noProof/>
          <w:sz w:val="24"/>
        </w:rPr>
        <w:t xml:space="preserve"> k </w:t>
      </w:r>
      <w:r w:rsidRPr="005634F6">
        <w:rPr>
          <w:rFonts w:ascii="Times New Roman" w:hAnsi="Times New Roman"/>
          <w:noProof/>
          <w:sz w:val="24"/>
        </w:rPr>
        <w:t>správe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flotile na ďalšie preskúmanie výborom STECF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2B386228" w14:textId="3CE8D77C" w:rsidR="009F1CAC" w:rsidRPr="005634F6" w:rsidRDefault="008A763E" w:rsidP="008A763E">
      <w:pPr>
        <w:pStyle w:val="ListParagraph"/>
        <w:numPr>
          <w:ilvl w:val="1"/>
          <w:numId w:val="5"/>
        </w:numPr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 xml:space="preserve"> </w:t>
      </w:r>
      <w:r w:rsidRPr="005634F6">
        <w:rPr>
          <w:rFonts w:ascii="Times New Roman" w:hAnsi="Times New Roman"/>
          <w:b/>
          <w:noProof/>
          <w:sz w:val="24"/>
        </w:rPr>
        <w:t>Ukazovateľ použitia plavidla</w:t>
      </w:r>
    </w:p>
    <w:p w14:paraId="1CB1E08E" w14:textId="5E1BB1F9" w:rsidR="00201E8C" w:rsidRPr="005634F6" w:rsidRDefault="00196D2D" w:rsidP="00FC1790">
      <w:pPr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V súlade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dokumentom COM(2014) 545 final je pre každý segment flotily ukazovateľom využívania plavidiel priemer pomeru skutočne vynaloženého úsilia</w:t>
      </w:r>
      <w:r w:rsidR="005634F6">
        <w:rPr>
          <w:rFonts w:ascii="Times New Roman" w:hAnsi="Times New Roman"/>
          <w:noProof/>
          <w:sz w:val="24"/>
        </w:rPr>
        <w:t xml:space="preserve"> k </w:t>
      </w:r>
      <w:r w:rsidRPr="005634F6">
        <w:rPr>
          <w:rFonts w:ascii="Times New Roman" w:hAnsi="Times New Roman"/>
          <w:noProof/>
          <w:sz w:val="24"/>
        </w:rPr>
        <w:t>maximálnemu úsiliu, ktoré by flotila mohla vynaložiť.</w:t>
      </w:r>
    </w:p>
    <w:p w14:paraId="75DFB2C5" w14:textId="32F09A79" w:rsidR="00F06EC6" w:rsidRPr="005634F6" w:rsidRDefault="009F1CAC" w:rsidP="00FC1790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Členské štáty by mali mať možnosť používať verziu tohto ukazovateľa, ktorá je založená na teoretickej,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nie na skutočnej maximálnej úrovni činnosti. Túto hodnotu by mal určiť každý členský štát na základe odborného posudku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dostupných informácií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prihliadnutím na prírodné, technické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sociálne podmienky. Táto možnosť sa členským štátom dáva preto, lebo pozorovaný maximálny počet dní na mori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rámci segmentu flotily za každý referenčný rok by mohol byť obmedzený vonkajšími faktormi, takže nemusí odrážať skutočnú technickú kapacitu tejto flotily. Príkladmi vonkajších faktorov môžu byť ekonomické, environmentálne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sociálne faktory, ako sú vymedzené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oddiele 12.2 oznámenia COM(2014) 545 final. Ako sa uvádza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oddiele 1, segmenty flotily pozostávajúce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plavidiel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dĺžkou menej ako 12 metrov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 sú takýmto vonkajším faktorom obzvlášť vystavené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68D68CE0" w14:textId="265F4857" w:rsidR="009F1CAC" w:rsidRPr="005634F6" w:rsidRDefault="00621317" w:rsidP="00FC1790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Ak členské štáty môžu odôvodniť použitie tejto verzie ukazovateľa tak, ako sa stanovuje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oddiele 12.2 dokumentu COM(2014) 545 final, môže sa to odraziť vo výbere ukazovateľa VUR</w:t>
      </w:r>
      <w:r w:rsidRPr="005634F6">
        <w:rPr>
          <w:rFonts w:ascii="Times New Roman" w:hAnsi="Times New Roman"/>
          <w:i/>
          <w:iCs/>
          <w:noProof/>
          <w:sz w:val="24"/>
        </w:rPr>
        <w:t>nn</w:t>
      </w:r>
      <w:r w:rsidRPr="005634F6">
        <w:rPr>
          <w:rFonts w:ascii="Times New Roman" w:hAnsi="Times New Roman"/>
          <w:noProof/>
          <w:sz w:val="24"/>
        </w:rPr>
        <w:t xml:space="preserve">. Dôvody výberu </w:t>
      </w:r>
      <w:r w:rsidRPr="005634F6">
        <w:rPr>
          <w:rFonts w:ascii="Times New Roman" w:hAnsi="Times New Roman"/>
          <w:i/>
          <w:iCs/>
          <w:noProof/>
          <w:sz w:val="24"/>
        </w:rPr>
        <w:t>nn</w:t>
      </w:r>
      <w:r w:rsidRPr="005634F6">
        <w:rPr>
          <w:rFonts w:ascii="Times New Roman" w:hAnsi="Times New Roman"/>
          <w:noProof/>
          <w:sz w:val="24"/>
        </w:rPr>
        <w:t xml:space="preserve"> spolu so všetkými údajmi potrebnými na výpočty by sa mali uviesť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prílohe</w:t>
      </w:r>
      <w:r w:rsidR="005634F6">
        <w:rPr>
          <w:rFonts w:ascii="Times New Roman" w:hAnsi="Times New Roman"/>
          <w:noProof/>
          <w:sz w:val="24"/>
        </w:rPr>
        <w:t xml:space="preserve"> k </w:t>
      </w:r>
      <w:r w:rsidRPr="005634F6">
        <w:rPr>
          <w:rFonts w:ascii="Times New Roman" w:hAnsi="Times New Roman"/>
          <w:noProof/>
          <w:sz w:val="24"/>
        </w:rPr>
        <w:t>správe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flotile.</w:t>
      </w:r>
    </w:p>
    <w:p w14:paraId="497F5362" w14:textId="77777777" w:rsidR="00F06EC6" w:rsidRPr="005634F6" w:rsidRDefault="00F06EC6" w:rsidP="00FC1790">
      <w:pPr>
        <w:jc w:val="both"/>
        <w:rPr>
          <w:rFonts w:ascii="Times New Roman" w:eastAsia="Times New Roman" w:hAnsi="Times New Roman"/>
          <w:noProof/>
          <w:sz w:val="24"/>
          <w:szCs w:val="24"/>
        </w:rPr>
      </w:pPr>
    </w:p>
    <w:p w14:paraId="09E74DF6" w14:textId="0C38B7CB" w:rsidR="009F1CAC" w:rsidRPr="005634F6" w:rsidRDefault="00F06EC6" w:rsidP="00644007">
      <w:pPr>
        <w:pStyle w:val="ListParagraph"/>
        <w:numPr>
          <w:ilvl w:val="1"/>
          <w:numId w:val="5"/>
        </w:numPr>
        <w:spacing w:after="240" w:line="264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  <w:r w:rsidRPr="005634F6">
        <w:rPr>
          <w:rFonts w:ascii="Times New Roman" w:hAnsi="Times New Roman"/>
          <w:b/>
          <w:noProof/>
          <w:sz w:val="24"/>
        </w:rPr>
        <w:t xml:space="preserve"> </w:t>
      </w:r>
      <w:r w:rsidR="009F1CAC" w:rsidRPr="005634F6">
        <w:rPr>
          <w:rFonts w:ascii="Times New Roman" w:hAnsi="Times New Roman"/>
          <w:b/>
          <w:noProof/>
          <w:sz w:val="24"/>
        </w:rPr>
        <w:t>Doplňujúce ukazovatele</w:t>
      </w:r>
    </w:p>
    <w:p w14:paraId="47650CF9" w14:textId="14E7C12E" w:rsidR="00F06EC6" w:rsidRPr="005634F6" w:rsidRDefault="009F1CAC" w:rsidP="009F1CAC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V prípade segmentov flotily pozostávajúcich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plavidiel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dĺžkou menej ako 12 metrov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 sa ako dodatočné biologické ukazovatele môžu uviesť ukazovateľ počtu nadmerne využívaných populácií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ukazovateľ závislosti hospodárstiev, ktoré sa vypočítajú podľa odporúčania výboru STECF</w:t>
      </w:r>
      <w:r w:rsidRPr="005634F6">
        <w:rPr>
          <w:rFonts w:ascii="Times New Roman" w:hAnsi="Times New Roman"/>
          <w:noProof/>
          <w:sz w:val="24"/>
          <w:szCs w:val="24"/>
          <w:vertAlign w:val="superscript"/>
        </w:rPr>
        <w:footnoteReference w:id="8"/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0A838600" w14:textId="05A7080D" w:rsidR="00F06EC6" w:rsidRPr="005634F6" w:rsidRDefault="009F1CAC" w:rsidP="009F1CAC">
      <w:pPr>
        <w:jc w:val="both"/>
        <w:rPr>
          <w:rFonts w:ascii="Times New Roman" w:hAnsi="Times New Roman"/>
          <w:noProof/>
          <w:sz w:val="24"/>
        </w:rPr>
      </w:pPr>
      <w:r w:rsidRPr="005634F6">
        <w:rPr>
          <w:rFonts w:ascii="Times New Roman" w:hAnsi="Times New Roman"/>
          <w:noProof/>
          <w:sz w:val="24"/>
        </w:rPr>
        <w:t>Môžu sa uviesť aj sociálne ukazovatele, ktoré môžu pomôcť objasniť širšie sociálno-ekonomické podmienky,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ktorých flotila pôsobí. To poskytuje členským štátom príležitosť poskytnúť dodatočné objasnenie situácie ich segmentov flotily, ktoré pozostávajú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najmenších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potenciálne najzraniteľnejších plavidiel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podnikov</w:t>
      </w:r>
      <w:r w:rsidR="00F06EC6" w:rsidRPr="005634F6">
        <w:rPr>
          <w:rFonts w:ascii="Times New Roman" w:hAnsi="Times New Roman"/>
          <w:noProof/>
          <w:sz w:val="24"/>
        </w:rPr>
        <w:t>.</w:t>
      </w:r>
    </w:p>
    <w:p w14:paraId="09A68F04" w14:textId="525AABC1" w:rsidR="009F1CAC" w:rsidRPr="005634F6" w:rsidRDefault="009F1CAC" w:rsidP="009F1CAC">
      <w:pPr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Tieto dodatočné ukazovatele sa nepovažujú za alternatívne ukazovatele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nie sú súčasťou výpočtu rovnováhy flotily.</w:t>
      </w:r>
    </w:p>
    <w:p w14:paraId="55C94C37" w14:textId="641CAB8D" w:rsidR="009F1CAC" w:rsidRPr="005634F6" w:rsidRDefault="00644007" w:rsidP="00644007">
      <w:pPr>
        <w:jc w:val="both"/>
        <w:rPr>
          <w:rFonts w:ascii="Times New Roman" w:eastAsia="Times New Roman" w:hAnsi="Times New Roman"/>
          <w:b/>
          <w:smallCaps/>
          <w:noProof/>
          <w:sz w:val="24"/>
          <w:szCs w:val="24"/>
        </w:rPr>
      </w:pPr>
      <w:r w:rsidRPr="005634F6">
        <w:rPr>
          <w:rFonts w:ascii="Times New Roman" w:hAnsi="Times New Roman"/>
          <w:b/>
          <w:smallCaps/>
          <w:noProof/>
          <w:sz w:val="24"/>
        </w:rPr>
        <w:t>3. Záverečné úvahy</w:t>
      </w:r>
    </w:p>
    <w:p w14:paraId="646E14A1" w14:textId="0699A933" w:rsidR="00446C2D" w:rsidRPr="005634F6" w:rsidDel="00B943D0" w:rsidRDefault="00446C2D" w:rsidP="009F1CAC">
      <w:pPr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  <w:r w:rsidRPr="005634F6">
        <w:rPr>
          <w:rFonts w:ascii="Times New Roman" w:hAnsi="Times New Roman"/>
          <w:noProof/>
          <w:sz w:val="24"/>
        </w:rPr>
        <w:t>Tieto usmernenia, ktoré sú špecifické pre segmenty flotily pozostávajúce</w:t>
      </w:r>
      <w:r w:rsidR="005634F6">
        <w:rPr>
          <w:rFonts w:ascii="Times New Roman" w:hAnsi="Times New Roman"/>
          <w:noProof/>
          <w:sz w:val="24"/>
        </w:rPr>
        <w:t xml:space="preserve"> z </w:t>
      </w:r>
      <w:r w:rsidRPr="005634F6">
        <w:rPr>
          <w:rFonts w:ascii="Times New Roman" w:hAnsi="Times New Roman"/>
          <w:noProof/>
          <w:sz w:val="24"/>
        </w:rPr>
        <w:t>plavidiel</w:t>
      </w:r>
      <w:r w:rsidR="005634F6">
        <w:rPr>
          <w:rFonts w:ascii="Times New Roman" w:hAnsi="Times New Roman"/>
          <w:noProof/>
          <w:sz w:val="24"/>
        </w:rPr>
        <w:t xml:space="preserve"> s </w:t>
      </w:r>
      <w:r w:rsidRPr="005634F6">
        <w:rPr>
          <w:rFonts w:ascii="Times New Roman" w:hAnsi="Times New Roman"/>
          <w:noProof/>
          <w:sz w:val="24"/>
        </w:rPr>
        <w:t>dĺžkou menej ako 12 metrov</w:t>
      </w:r>
      <w:r w:rsidR="005634F6">
        <w:rPr>
          <w:rFonts w:ascii="Times New Roman" w:hAnsi="Times New Roman"/>
          <w:noProof/>
          <w:sz w:val="24"/>
        </w:rPr>
        <w:t xml:space="preserve"> v </w:t>
      </w:r>
      <w:r w:rsidRPr="005634F6">
        <w:rPr>
          <w:rFonts w:ascii="Times New Roman" w:hAnsi="Times New Roman"/>
          <w:noProof/>
          <w:sz w:val="24"/>
        </w:rPr>
        <w:t>najvzdialenejších regiónoch, sa budú uplatňovať, kým výbor STECF neposkytne ďalšie odporúčanie týkajúce sa ukazovateľov použitých pri výpočte rovnováhy flotily</w:t>
      </w:r>
      <w:r w:rsidR="005634F6">
        <w:rPr>
          <w:rFonts w:ascii="Times New Roman" w:hAnsi="Times New Roman"/>
          <w:noProof/>
          <w:sz w:val="24"/>
        </w:rPr>
        <w:t xml:space="preserve"> a </w:t>
      </w:r>
      <w:r w:rsidRPr="005634F6">
        <w:rPr>
          <w:rFonts w:ascii="Times New Roman" w:hAnsi="Times New Roman"/>
          <w:noProof/>
          <w:sz w:val="24"/>
        </w:rPr>
        <w:t>ich príslušných prahových hodnôt, najmä od expertnej pracovnej skupiny výboru STECF pre najvzdialenejšie regióny.</w:t>
      </w:r>
      <w:r w:rsidR="005634F6">
        <w:rPr>
          <w:rFonts w:ascii="Times New Roman" w:hAnsi="Times New Roman"/>
          <w:noProof/>
          <w:sz w:val="24"/>
        </w:rPr>
        <w:t xml:space="preserve"> V </w:t>
      </w:r>
      <w:bookmarkStart w:id="8" w:name="_Hlk165384701"/>
      <w:r w:rsidRPr="005634F6">
        <w:rPr>
          <w:rFonts w:ascii="Times New Roman" w:hAnsi="Times New Roman"/>
          <w:noProof/>
          <w:sz w:val="24"/>
        </w:rPr>
        <w:t>žiadnom prípade sa nesmú uplatňovať po vypracovaní správ členských štátov</w:t>
      </w:r>
      <w:r w:rsidR="005634F6">
        <w:rPr>
          <w:rFonts w:ascii="Times New Roman" w:hAnsi="Times New Roman"/>
          <w:noProof/>
          <w:sz w:val="24"/>
        </w:rPr>
        <w:t xml:space="preserve"> o </w:t>
      </w:r>
      <w:r w:rsidRPr="005634F6">
        <w:rPr>
          <w:rFonts w:ascii="Times New Roman" w:hAnsi="Times New Roman"/>
          <w:noProof/>
          <w:sz w:val="24"/>
        </w:rPr>
        <w:t>flotile, ktoré sa majú predložiť do 31</w:t>
      </w:r>
      <w:r w:rsidR="005634F6">
        <w:rPr>
          <w:rFonts w:ascii="Times New Roman" w:hAnsi="Times New Roman"/>
          <w:noProof/>
          <w:sz w:val="24"/>
        </w:rPr>
        <w:t>. mája</w:t>
      </w:r>
      <w:r w:rsidRPr="005634F6">
        <w:rPr>
          <w:rFonts w:ascii="Times New Roman" w:hAnsi="Times New Roman"/>
          <w:noProof/>
          <w:sz w:val="24"/>
        </w:rPr>
        <w:t xml:space="preserve"> 2025.</w:t>
      </w:r>
      <w:bookmarkEnd w:id="8"/>
    </w:p>
    <w:sectPr w:rsidR="00446C2D" w:rsidRPr="005634F6" w:rsidDel="00B943D0" w:rsidSect="00DE33C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FD5AF" w14:textId="77777777" w:rsidR="00010DC9" w:rsidRDefault="00010DC9" w:rsidP="009F1CAC">
      <w:pPr>
        <w:spacing w:after="0" w:line="240" w:lineRule="auto"/>
      </w:pPr>
      <w:r>
        <w:separator/>
      </w:r>
    </w:p>
  </w:endnote>
  <w:endnote w:type="continuationSeparator" w:id="0">
    <w:p w14:paraId="72818961" w14:textId="77777777" w:rsidR="00010DC9" w:rsidRDefault="00010DC9" w:rsidP="009F1CAC">
      <w:pPr>
        <w:spacing w:after="0" w:line="240" w:lineRule="auto"/>
      </w:pPr>
      <w:r>
        <w:continuationSeparator/>
      </w:r>
    </w:p>
  </w:endnote>
  <w:endnote w:type="continuationNotice" w:id="1">
    <w:p w14:paraId="4723A6B4" w14:textId="77777777" w:rsidR="00010DC9" w:rsidRDefault="00010D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04A12" w14:textId="5F524680" w:rsidR="00C12E7C" w:rsidRPr="00C12E7C" w:rsidRDefault="00C12E7C" w:rsidP="00C12E7C">
    <w:pPr>
      <w:pStyle w:val="FooterCoverPage"/>
      <w:rPr>
        <w:rFonts w:ascii="Arial" w:hAnsi="Arial" w:cs="Arial"/>
        <w:b/>
        <w:sz w:val="48"/>
      </w:rPr>
    </w:pPr>
    <w:r w:rsidRPr="00C12E7C">
      <w:rPr>
        <w:rFonts w:ascii="Arial" w:hAnsi="Arial" w:cs="Arial"/>
        <w:b/>
        <w:sz w:val="48"/>
      </w:rPr>
      <w:t>SK</w:t>
    </w:r>
    <w:r w:rsidRPr="00C12E7C">
      <w:rPr>
        <w:rFonts w:ascii="Arial" w:hAnsi="Arial" w:cs="Arial"/>
        <w:b/>
        <w:sz w:val="48"/>
      </w:rPr>
      <w:tab/>
    </w:r>
    <w:r w:rsidRPr="00C12E7C">
      <w:rPr>
        <w:rFonts w:ascii="Arial" w:hAnsi="Arial" w:cs="Arial"/>
        <w:b/>
        <w:sz w:val="48"/>
      </w:rPr>
      <w:tab/>
    </w:r>
    <w:r w:rsidRPr="00C12E7C">
      <w:tab/>
    </w:r>
    <w:r w:rsidRPr="00C12E7C">
      <w:rPr>
        <w:rFonts w:ascii="Arial" w:hAnsi="Arial" w:cs="Arial"/>
        <w:b/>
        <w:sz w:val="48"/>
      </w:rPr>
      <w:t>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B4CB7" w14:textId="10FEF818" w:rsidR="00C12E7C" w:rsidRPr="00C12E7C" w:rsidRDefault="00C12E7C" w:rsidP="00C12E7C">
    <w:pPr>
      <w:pStyle w:val="FooterCoverPage"/>
      <w:rPr>
        <w:rFonts w:ascii="Arial" w:hAnsi="Arial" w:cs="Arial"/>
        <w:b/>
        <w:sz w:val="48"/>
      </w:rPr>
    </w:pPr>
    <w:r w:rsidRPr="00C12E7C">
      <w:rPr>
        <w:rFonts w:ascii="Arial" w:hAnsi="Arial" w:cs="Arial"/>
        <w:b/>
        <w:sz w:val="48"/>
      </w:rPr>
      <w:t>SK</w:t>
    </w:r>
    <w:r w:rsidRPr="00C12E7C">
      <w:rPr>
        <w:rFonts w:ascii="Arial" w:hAnsi="Arial" w:cs="Arial"/>
        <w:b/>
        <w:sz w:val="48"/>
      </w:rPr>
      <w:tab/>
    </w:r>
    <w:r w:rsidRPr="00C12E7C">
      <w:rPr>
        <w:rFonts w:ascii="Arial" w:hAnsi="Arial" w:cs="Arial"/>
        <w:b/>
        <w:sz w:val="48"/>
      </w:rPr>
      <w:tab/>
    </w:r>
    <w:r w:rsidRPr="00C12E7C">
      <w:tab/>
    </w:r>
    <w:r w:rsidRPr="00C12E7C">
      <w:rPr>
        <w:rFonts w:ascii="Arial" w:hAnsi="Arial" w:cs="Arial"/>
        <w:b/>
        <w:sz w:val="48"/>
      </w:rPr>
      <w:t>SK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B2FED" w14:textId="77777777" w:rsidR="00C12E7C" w:rsidRPr="00C12E7C" w:rsidRDefault="00C12E7C" w:rsidP="00C12E7C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66059" w14:textId="77777777" w:rsidR="001B6AFE" w:rsidRDefault="001B6AF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754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AA8864" w14:textId="726FCFC3" w:rsidR="001A11EC" w:rsidRDefault="001A11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E7C">
          <w:rPr>
            <w:noProof/>
          </w:rPr>
          <w:t>1</w:t>
        </w:r>
        <w:r>
          <w:fldChar w:fldCharType="end"/>
        </w:r>
      </w:p>
    </w:sdtContent>
  </w:sdt>
  <w:p w14:paraId="54DFE09E" w14:textId="77777777" w:rsidR="001B6AFE" w:rsidRDefault="001B6AF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4E1E1" w14:textId="77777777" w:rsidR="001B6AFE" w:rsidRDefault="001B6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8F9F6" w14:textId="77777777" w:rsidR="00010DC9" w:rsidRDefault="00010DC9" w:rsidP="009F1CAC">
      <w:pPr>
        <w:spacing w:after="0" w:line="240" w:lineRule="auto"/>
      </w:pPr>
      <w:r>
        <w:separator/>
      </w:r>
    </w:p>
  </w:footnote>
  <w:footnote w:type="continuationSeparator" w:id="0">
    <w:p w14:paraId="2A58E87B" w14:textId="77777777" w:rsidR="00010DC9" w:rsidRDefault="00010DC9" w:rsidP="009F1CAC">
      <w:pPr>
        <w:spacing w:after="0" w:line="240" w:lineRule="auto"/>
      </w:pPr>
      <w:r>
        <w:continuationSeparator/>
      </w:r>
    </w:p>
  </w:footnote>
  <w:footnote w:type="continuationNotice" w:id="1">
    <w:p w14:paraId="13E86601" w14:textId="77777777" w:rsidR="00010DC9" w:rsidRDefault="00010DC9">
      <w:pPr>
        <w:spacing w:after="0" w:line="240" w:lineRule="auto"/>
      </w:pPr>
    </w:p>
  </w:footnote>
  <w:footnote w:id="2">
    <w:p w14:paraId="39A9B8CF" w14:textId="0428FEEB" w:rsidR="002554CE" w:rsidRPr="00F06EC6" w:rsidRDefault="002554CE" w:rsidP="00F06EC6">
      <w:pPr>
        <w:pStyle w:val="FootnoteText"/>
        <w:spacing w:after="0" w:line="240" w:lineRule="auto"/>
        <w:ind w:left="720" w:hanging="720"/>
        <w:jc w:val="both"/>
        <w:rPr>
          <w:rFonts w:ascii="Times New Roman" w:hAnsi="Times New Roman"/>
        </w:rPr>
      </w:pPr>
      <w:r w:rsidRPr="00F06EC6">
        <w:rPr>
          <w:rStyle w:val="FootnoteReference"/>
          <w:rFonts w:ascii="Times New Roman" w:hAnsi="Times New Roman"/>
        </w:rPr>
        <w:footnoteRef/>
      </w:r>
      <w:r w:rsidRPr="00F06EC6">
        <w:rPr>
          <w:rFonts w:ascii="Times New Roman" w:hAnsi="Times New Roman"/>
        </w:rPr>
        <w:t xml:space="preserve"> </w:t>
      </w:r>
      <w:r w:rsidR="00F06EC6" w:rsidRPr="00F06EC6">
        <w:rPr>
          <w:rFonts w:ascii="Times New Roman" w:hAnsi="Times New Roman"/>
        </w:rPr>
        <w:tab/>
      </w:r>
      <w:r w:rsidRPr="00F06EC6">
        <w:rPr>
          <w:rFonts w:ascii="Times New Roman" w:hAnsi="Times New Roman"/>
        </w:rPr>
        <w:t>COM(2022) 198 final.</w:t>
      </w:r>
    </w:p>
  </w:footnote>
  <w:footnote w:id="3">
    <w:p w14:paraId="1414DFF3" w14:textId="33C83BCA" w:rsidR="00CB3EF8" w:rsidRPr="00F06EC6" w:rsidRDefault="00CB3EF8" w:rsidP="00F06EC6">
      <w:pPr>
        <w:pStyle w:val="FootnoteText"/>
        <w:spacing w:after="0" w:line="240" w:lineRule="auto"/>
        <w:ind w:left="720" w:hanging="720"/>
        <w:jc w:val="both"/>
        <w:rPr>
          <w:rFonts w:ascii="Times New Roman" w:hAnsi="Times New Roman"/>
        </w:rPr>
      </w:pPr>
      <w:r w:rsidRPr="00F06EC6">
        <w:rPr>
          <w:rStyle w:val="FootnoteReference"/>
          <w:rFonts w:ascii="Times New Roman" w:hAnsi="Times New Roman"/>
        </w:rPr>
        <w:footnoteRef/>
      </w:r>
      <w:r w:rsidRPr="00F06EC6">
        <w:rPr>
          <w:rFonts w:ascii="Times New Roman" w:hAnsi="Times New Roman"/>
        </w:rPr>
        <w:t xml:space="preserve"> </w:t>
      </w:r>
      <w:r w:rsidR="00F06EC6" w:rsidRPr="00F06EC6">
        <w:rPr>
          <w:rFonts w:ascii="Times New Roman" w:hAnsi="Times New Roman"/>
        </w:rPr>
        <w:tab/>
      </w:r>
      <w:r w:rsidRPr="00F06EC6">
        <w:rPr>
          <w:rFonts w:ascii="Times New Roman" w:hAnsi="Times New Roman"/>
        </w:rPr>
        <w:t>COM(2014) 545 final.</w:t>
      </w:r>
    </w:p>
  </w:footnote>
  <w:footnote w:id="4">
    <w:p w14:paraId="0769C98A" w14:textId="23AA73A0" w:rsidR="00144610" w:rsidRPr="00F06EC6" w:rsidRDefault="00144610" w:rsidP="00F06EC6">
      <w:pPr>
        <w:pStyle w:val="FootnoteText"/>
        <w:spacing w:after="0" w:line="240" w:lineRule="auto"/>
        <w:ind w:left="720" w:hanging="720"/>
        <w:jc w:val="both"/>
        <w:rPr>
          <w:rFonts w:ascii="Times New Roman" w:hAnsi="Times New Roman"/>
        </w:rPr>
      </w:pPr>
      <w:r w:rsidRPr="00F06EC6">
        <w:rPr>
          <w:rStyle w:val="FootnoteReference"/>
          <w:rFonts w:ascii="Times New Roman" w:hAnsi="Times New Roman"/>
          <w:lang w:val="en-GB"/>
        </w:rPr>
        <w:footnoteRef/>
      </w:r>
      <w:r w:rsidRPr="00F06EC6">
        <w:rPr>
          <w:rFonts w:ascii="Times New Roman" w:hAnsi="Times New Roman"/>
        </w:rPr>
        <w:t xml:space="preserve"> </w:t>
      </w:r>
      <w:r w:rsidR="00F06EC6" w:rsidRPr="00F06EC6">
        <w:rPr>
          <w:rFonts w:ascii="Times New Roman" w:hAnsi="Times New Roman"/>
        </w:rPr>
        <w:tab/>
      </w:r>
      <w:r w:rsidRPr="00F06EC6">
        <w:rPr>
          <w:rFonts w:ascii="Times New Roman" w:hAnsi="Times New Roman"/>
        </w:rPr>
        <w:t>Nariadenie Rady (ES) č. 199/2008 z 25. februára 2008 o vytvorení rámca Spoločenstva pre zber, správu a využívanie údajov v odvetví rybného hospodárstva a pre podporu vedeckého poradenstva súvisiaceho so spoločnou politikou v oblasti rybného hospodárstva (Ú. v. EÚ L 60, 5.3.2008, s. 1).</w:t>
      </w:r>
    </w:p>
  </w:footnote>
  <w:footnote w:id="5">
    <w:p w14:paraId="737F4140" w14:textId="5D22804A" w:rsidR="00FA6494" w:rsidRPr="00F06EC6" w:rsidRDefault="00FA6494" w:rsidP="00F06EC6">
      <w:pPr>
        <w:pStyle w:val="FootnoteText"/>
        <w:spacing w:after="0" w:line="240" w:lineRule="auto"/>
        <w:ind w:left="720" w:hanging="720"/>
        <w:jc w:val="both"/>
        <w:rPr>
          <w:rFonts w:ascii="Times New Roman" w:hAnsi="Times New Roman"/>
        </w:rPr>
      </w:pPr>
      <w:r w:rsidRPr="00F06EC6">
        <w:rPr>
          <w:rStyle w:val="FootnoteReference"/>
          <w:rFonts w:ascii="Times New Roman" w:hAnsi="Times New Roman"/>
        </w:rPr>
        <w:footnoteRef/>
      </w:r>
      <w:r w:rsidRPr="00F06EC6">
        <w:rPr>
          <w:rFonts w:ascii="Times New Roman" w:hAnsi="Times New Roman"/>
        </w:rPr>
        <w:t xml:space="preserve"> </w:t>
      </w:r>
      <w:r w:rsidR="00F06EC6" w:rsidRPr="00F06EC6">
        <w:rPr>
          <w:rFonts w:ascii="Times New Roman" w:hAnsi="Times New Roman"/>
        </w:rPr>
        <w:tab/>
      </w:r>
      <w:r w:rsidRPr="00F06EC6">
        <w:rPr>
          <w:rFonts w:ascii="Times New Roman" w:hAnsi="Times New Roman"/>
        </w:rPr>
        <w:t>Najmä STECF PLEN 24-01.</w:t>
      </w:r>
    </w:p>
  </w:footnote>
  <w:footnote w:id="6">
    <w:p w14:paraId="1FBDD35C" w14:textId="0FA07572" w:rsidR="009D0756" w:rsidRPr="00F06EC6" w:rsidDel="008C01CC" w:rsidRDefault="009D0756" w:rsidP="00F06EC6">
      <w:pPr>
        <w:pStyle w:val="FootnoteText"/>
        <w:spacing w:after="0" w:line="240" w:lineRule="auto"/>
        <w:ind w:left="720" w:hanging="720"/>
        <w:jc w:val="both"/>
        <w:rPr>
          <w:rFonts w:ascii="Times New Roman" w:hAnsi="Times New Roman"/>
        </w:rPr>
      </w:pPr>
      <w:r w:rsidRPr="00F06EC6">
        <w:rPr>
          <w:rStyle w:val="FootnoteReference"/>
          <w:rFonts w:ascii="Times New Roman" w:hAnsi="Times New Roman"/>
        </w:rPr>
        <w:footnoteRef/>
      </w:r>
      <w:r w:rsidRPr="00F06EC6">
        <w:rPr>
          <w:rFonts w:ascii="Times New Roman" w:hAnsi="Times New Roman"/>
        </w:rPr>
        <w:t xml:space="preserve"> </w:t>
      </w:r>
      <w:r w:rsidR="00F06EC6" w:rsidRPr="00F06EC6">
        <w:rPr>
          <w:rFonts w:ascii="Times New Roman" w:hAnsi="Times New Roman"/>
        </w:rPr>
        <w:tab/>
      </w:r>
      <w:r w:rsidRPr="00F06EC6">
        <w:rPr>
          <w:rFonts w:ascii="Times New Roman" w:hAnsi="Times New Roman"/>
          <w:color w:val="000000" w:themeColor="text1"/>
        </w:rPr>
        <w:t>Členské štáty by mali čo najlepšie využiť stĺpce „ACTIVITY“, „GEAR“ alebo „FISHERY“ vo formulári výzvy na predkladanie ekonomických údajov.</w:t>
      </w:r>
    </w:p>
  </w:footnote>
  <w:footnote w:id="7">
    <w:p w14:paraId="360761EF" w14:textId="19C652BC" w:rsidR="00945417" w:rsidRPr="00F06EC6" w:rsidRDefault="00945417" w:rsidP="00F06EC6">
      <w:pPr>
        <w:pStyle w:val="FootnoteText"/>
        <w:spacing w:after="0" w:line="240" w:lineRule="auto"/>
        <w:ind w:left="720" w:hanging="720"/>
        <w:jc w:val="both"/>
        <w:rPr>
          <w:rFonts w:ascii="Times New Roman" w:hAnsi="Times New Roman"/>
        </w:rPr>
      </w:pPr>
      <w:r w:rsidRPr="00F06EC6">
        <w:rPr>
          <w:rStyle w:val="FootnoteReference"/>
          <w:rFonts w:ascii="Times New Roman" w:hAnsi="Times New Roman"/>
        </w:rPr>
        <w:footnoteRef/>
      </w:r>
      <w:r w:rsidRPr="00F06EC6">
        <w:rPr>
          <w:rFonts w:ascii="Times New Roman" w:hAnsi="Times New Roman"/>
        </w:rPr>
        <w:t xml:space="preserve"> </w:t>
      </w:r>
      <w:r w:rsidR="00F06EC6" w:rsidRPr="00F06EC6">
        <w:rPr>
          <w:rFonts w:ascii="Times New Roman" w:hAnsi="Times New Roman"/>
        </w:rPr>
        <w:tab/>
      </w:r>
      <w:r w:rsidRPr="00F06EC6">
        <w:rPr>
          <w:rFonts w:ascii="Times New Roman" w:hAnsi="Times New Roman"/>
        </w:rPr>
        <w:t>STECF PLEN 24-01.</w:t>
      </w:r>
    </w:p>
  </w:footnote>
  <w:footnote w:id="8">
    <w:p w14:paraId="27FA9E2E" w14:textId="6860B23D" w:rsidR="009F1CAC" w:rsidRPr="00F06EC6" w:rsidRDefault="009F1CAC" w:rsidP="00F06EC6">
      <w:pPr>
        <w:pStyle w:val="FootnoteText"/>
        <w:spacing w:after="0" w:line="240" w:lineRule="auto"/>
        <w:ind w:left="720" w:hanging="720"/>
        <w:jc w:val="both"/>
        <w:rPr>
          <w:rFonts w:ascii="Times New Roman" w:hAnsi="Times New Roman"/>
        </w:rPr>
      </w:pPr>
      <w:r w:rsidRPr="00F06EC6">
        <w:rPr>
          <w:rStyle w:val="FootnoteReference"/>
          <w:rFonts w:ascii="Times New Roman" w:hAnsi="Times New Roman"/>
          <w:lang w:val="en-GB"/>
        </w:rPr>
        <w:footnoteRef/>
      </w:r>
      <w:r w:rsidRPr="00F06EC6">
        <w:rPr>
          <w:rFonts w:ascii="Times New Roman" w:hAnsi="Times New Roman"/>
        </w:rPr>
        <w:t xml:space="preserve"> </w:t>
      </w:r>
      <w:r w:rsidR="00F06EC6" w:rsidRPr="00F06EC6">
        <w:rPr>
          <w:rFonts w:ascii="Times New Roman" w:hAnsi="Times New Roman"/>
        </w:rPr>
        <w:tab/>
      </w:r>
      <w:r w:rsidRPr="00F06EC6">
        <w:rPr>
          <w:rFonts w:ascii="Times New Roman" w:hAnsi="Times New Roman"/>
        </w:rPr>
        <w:t>Výpočet týchto ukazovateľov je uvedený v správach STECF-PLEN-24-01 a STECF-15-02 s. 76 – 78, pričom n = 10 %.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8097D" w14:textId="77777777" w:rsidR="00C12E7C" w:rsidRPr="00C12E7C" w:rsidRDefault="00C12E7C" w:rsidP="00C12E7C">
    <w:pPr>
      <w:pStyle w:val="HeaderCoverPag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55CEB" w14:textId="77777777" w:rsidR="00C12E7C" w:rsidRPr="00C12E7C" w:rsidRDefault="00C12E7C" w:rsidP="00C12E7C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4CFE6" w14:textId="77777777" w:rsidR="00C12E7C" w:rsidRPr="00C12E7C" w:rsidRDefault="00C12E7C" w:rsidP="00C12E7C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1926D" w14:textId="77777777" w:rsidR="001B6AFE" w:rsidRDefault="001B6AF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9B189" w14:textId="77777777" w:rsidR="001B6AFE" w:rsidRDefault="001B6AF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3625B" w14:textId="77777777" w:rsidR="001B6AFE" w:rsidRDefault="001B6A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4FA2"/>
    <w:multiLevelType w:val="hybridMultilevel"/>
    <w:tmpl w:val="78DADF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386"/>
    <w:multiLevelType w:val="hybridMultilevel"/>
    <w:tmpl w:val="305CBE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61356"/>
    <w:multiLevelType w:val="hybridMultilevel"/>
    <w:tmpl w:val="0FBCF0F6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E2A8C"/>
    <w:multiLevelType w:val="hybridMultilevel"/>
    <w:tmpl w:val="746A8040"/>
    <w:lvl w:ilvl="0" w:tplc="39724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E22FAD"/>
    <w:multiLevelType w:val="multilevel"/>
    <w:tmpl w:val="46660D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B9554CA"/>
    <w:multiLevelType w:val="hybridMultilevel"/>
    <w:tmpl w:val="E12E573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markup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CORRIGENDUM" w:val="&lt;UNUSED&gt;"/>
    <w:docVar w:name="LW_COVERPAGE_EXISTS" w:val="True"/>
    <w:docVar w:name="LW_COVERPAGE_GUID" w:val="D439D342-039E-480B-8CC5-65013F5B339E"/>
    <w:docVar w:name="LW_COVERPAGE_TYPE" w:val="1"/>
    <w:docVar w:name="LW_CROSSREFERENCE" w:val="&lt;UNUSED&gt;"/>
    <w:docVar w:name="LW_DocType" w:val="NORMAL"/>
    <w:docVar w:name="LW_EMISSION" w:val="21. 5. 2024"/>
    <w:docVar w:name="LW_EMISSION_ISODATE" w:val="2024-05-21"/>
    <w:docVar w:name="LW_EMISSION_LOCATION" w:val="BRX"/>
    <w:docVar w:name="LW_EMISSION_PREFIX" w:val="V Bruseli"/>
    <w:docVar w:name="LW_EMISSION_SUFFIX" w:val=" "/>
    <w:docVar w:name="LW_ID_DOCTYPE_NONLW" w:val="CP-011"/>
    <w:docVar w:name="LW_LANGUE" w:val="SK"/>
    <w:docVar w:name="LW_LEVEL_OF_SENSITIVITY" w:val="Standard treatment"/>
    <w:docVar w:name="LW_NOM.INST" w:val="EURÓPSKA KOMISIA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24) 223"/>
    <w:docVar w:name="LW_REF.INTERNE" w:val="&lt;UNUSED&gt;"/>
    <w:docVar w:name="LW_SENSITIVITY" w:val="&lt;?xml version=&quot;1.0&quot; encoding=&quot;utf-8&quot;?&gt;_x000d__x000a_&lt;SensitivityLevel xmlns:xsd=&quot;http://www.w3.org/2001/XMLSchema&quot; xmlns:xsi=&quot;http://www.w3.org/2001/XMLSchema-instance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&lt;FMT:Bold&gt;Usmernenia pre analýzu rovnováhy medzi rybolovnou kapacitou a rybolovnými mo\u382?nos\u357?ami pre segmenty flotily pozostávajúce z plavidiel s d\u314?\u382?kou menej ako 12 metrov v najvzdialenej\u353?ích regiónoch pod\u318?a \u269?lánku 22 nariadenia Európskeho parlamentu a Rady (EÚ) \u269?. 1380/2013 o spolo\u269?nej rybárskej politike&lt;/FMT&gt;"/>
    <w:docVar w:name="LW_TYPE.DOC.CP" w:val="OZNÁMENIE KOMISIE RADE A EURÓPSKEMU PARLAMENTU"/>
    <w:docVar w:name="LW_TYPE.DOC.CP.USERTEXT" w:val="&lt;EMPTY&gt;"/>
    <w:docVar w:name="LwApiVersions" w:val="LW4CoDe 1.24.5.0; LW 9.0, Build 20240221"/>
  </w:docVars>
  <w:rsids>
    <w:rsidRoot w:val="009F1CAC"/>
    <w:rsid w:val="00000995"/>
    <w:rsid w:val="000027AE"/>
    <w:rsid w:val="00003A2E"/>
    <w:rsid w:val="00003EC7"/>
    <w:rsid w:val="00006A43"/>
    <w:rsid w:val="00010DC9"/>
    <w:rsid w:val="00011F6A"/>
    <w:rsid w:val="000134C6"/>
    <w:rsid w:val="000158CA"/>
    <w:rsid w:val="0002179C"/>
    <w:rsid w:val="000228BB"/>
    <w:rsid w:val="00023293"/>
    <w:rsid w:val="000237DB"/>
    <w:rsid w:val="00023AC3"/>
    <w:rsid w:val="00030227"/>
    <w:rsid w:val="000303D6"/>
    <w:rsid w:val="000328F5"/>
    <w:rsid w:val="00033AFD"/>
    <w:rsid w:val="0003462B"/>
    <w:rsid w:val="00034A6B"/>
    <w:rsid w:val="000406F9"/>
    <w:rsid w:val="00040E54"/>
    <w:rsid w:val="00042366"/>
    <w:rsid w:val="00043975"/>
    <w:rsid w:val="00044CCC"/>
    <w:rsid w:val="000450E5"/>
    <w:rsid w:val="00046653"/>
    <w:rsid w:val="00051F5A"/>
    <w:rsid w:val="0005402F"/>
    <w:rsid w:val="000562D4"/>
    <w:rsid w:val="00056D51"/>
    <w:rsid w:val="00057772"/>
    <w:rsid w:val="0006177D"/>
    <w:rsid w:val="00061C9E"/>
    <w:rsid w:val="00064C90"/>
    <w:rsid w:val="00065D40"/>
    <w:rsid w:val="00067400"/>
    <w:rsid w:val="0007023F"/>
    <w:rsid w:val="00074523"/>
    <w:rsid w:val="000747EC"/>
    <w:rsid w:val="000759D8"/>
    <w:rsid w:val="0007727C"/>
    <w:rsid w:val="00081D10"/>
    <w:rsid w:val="00092EF0"/>
    <w:rsid w:val="00094132"/>
    <w:rsid w:val="000A0B19"/>
    <w:rsid w:val="000A0F92"/>
    <w:rsid w:val="000A25DA"/>
    <w:rsid w:val="000A7112"/>
    <w:rsid w:val="000B05DA"/>
    <w:rsid w:val="000B16BA"/>
    <w:rsid w:val="000B306F"/>
    <w:rsid w:val="000B3353"/>
    <w:rsid w:val="000B7707"/>
    <w:rsid w:val="000C0EE2"/>
    <w:rsid w:val="000C211A"/>
    <w:rsid w:val="000C7C4E"/>
    <w:rsid w:val="000D0705"/>
    <w:rsid w:val="000D15E5"/>
    <w:rsid w:val="000E2CE6"/>
    <w:rsid w:val="000E4100"/>
    <w:rsid w:val="000E6A39"/>
    <w:rsid w:val="000F17B2"/>
    <w:rsid w:val="000F4195"/>
    <w:rsid w:val="000F7258"/>
    <w:rsid w:val="00107941"/>
    <w:rsid w:val="001134DE"/>
    <w:rsid w:val="00113EA5"/>
    <w:rsid w:val="00116790"/>
    <w:rsid w:val="001247B0"/>
    <w:rsid w:val="0013129B"/>
    <w:rsid w:val="00135F86"/>
    <w:rsid w:val="001411B3"/>
    <w:rsid w:val="00141F73"/>
    <w:rsid w:val="001442F6"/>
    <w:rsid w:val="00144610"/>
    <w:rsid w:val="001479D2"/>
    <w:rsid w:val="00161910"/>
    <w:rsid w:val="001651F3"/>
    <w:rsid w:val="0016589F"/>
    <w:rsid w:val="00166C75"/>
    <w:rsid w:val="00172B1F"/>
    <w:rsid w:val="00174439"/>
    <w:rsid w:val="001770F6"/>
    <w:rsid w:val="00177D48"/>
    <w:rsid w:val="00181E71"/>
    <w:rsid w:val="001873B5"/>
    <w:rsid w:val="001909C1"/>
    <w:rsid w:val="001916DB"/>
    <w:rsid w:val="00192838"/>
    <w:rsid w:val="0019589C"/>
    <w:rsid w:val="00195B3D"/>
    <w:rsid w:val="00196D2D"/>
    <w:rsid w:val="001971E3"/>
    <w:rsid w:val="001A0FC6"/>
    <w:rsid w:val="001A11EC"/>
    <w:rsid w:val="001A14BE"/>
    <w:rsid w:val="001A2E30"/>
    <w:rsid w:val="001A530C"/>
    <w:rsid w:val="001A5FE9"/>
    <w:rsid w:val="001A7009"/>
    <w:rsid w:val="001B1022"/>
    <w:rsid w:val="001B13A4"/>
    <w:rsid w:val="001B413B"/>
    <w:rsid w:val="001B6AFE"/>
    <w:rsid w:val="001C2B3F"/>
    <w:rsid w:val="001C5BDB"/>
    <w:rsid w:val="001C63E9"/>
    <w:rsid w:val="001C6E0F"/>
    <w:rsid w:val="001D0408"/>
    <w:rsid w:val="001D1FD6"/>
    <w:rsid w:val="001D46C0"/>
    <w:rsid w:val="001D50EF"/>
    <w:rsid w:val="001D57C5"/>
    <w:rsid w:val="001E2717"/>
    <w:rsid w:val="001E304D"/>
    <w:rsid w:val="001E3BE4"/>
    <w:rsid w:val="001E56D0"/>
    <w:rsid w:val="001E5896"/>
    <w:rsid w:val="001E630D"/>
    <w:rsid w:val="001E7C7C"/>
    <w:rsid w:val="001F0040"/>
    <w:rsid w:val="001F1EEA"/>
    <w:rsid w:val="001F3A89"/>
    <w:rsid w:val="00200704"/>
    <w:rsid w:val="00201E8C"/>
    <w:rsid w:val="00206974"/>
    <w:rsid w:val="00207A1B"/>
    <w:rsid w:val="00223954"/>
    <w:rsid w:val="00226F8D"/>
    <w:rsid w:val="00227DF6"/>
    <w:rsid w:val="00231D46"/>
    <w:rsid w:val="00236736"/>
    <w:rsid w:val="00241736"/>
    <w:rsid w:val="00253289"/>
    <w:rsid w:val="002554CE"/>
    <w:rsid w:val="00262F2B"/>
    <w:rsid w:val="0027072B"/>
    <w:rsid w:val="00277D77"/>
    <w:rsid w:val="00281CF7"/>
    <w:rsid w:val="00282D46"/>
    <w:rsid w:val="00284B0F"/>
    <w:rsid w:val="00286F91"/>
    <w:rsid w:val="002876F1"/>
    <w:rsid w:val="00287DA0"/>
    <w:rsid w:val="002977B4"/>
    <w:rsid w:val="002A0377"/>
    <w:rsid w:val="002A313F"/>
    <w:rsid w:val="002B2285"/>
    <w:rsid w:val="002B4283"/>
    <w:rsid w:val="002B66DE"/>
    <w:rsid w:val="002C07CA"/>
    <w:rsid w:val="002C2C1E"/>
    <w:rsid w:val="002C2F9A"/>
    <w:rsid w:val="002C47CC"/>
    <w:rsid w:val="002D470E"/>
    <w:rsid w:val="002E0921"/>
    <w:rsid w:val="002E4CA4"/>
    <w:rsid w:val="002F0782"/>
    <w:rsid w:val="002F72ED"/>
    <w:rsid w:val="00300C81"/>
    <w:rsid w:val="00301613"/>
    <w:rsid w:val="003025E4"/>
    <w:rsid w:val="00302DA2"/>
    <w:rsid w:val="00303E6E"/>
    <w:rsid w:val="00310DDF"/>
    <w:rsid w:val="0031668D"/>
    <w:rsid w:val="00316C9A"/>
    <w:rsid w:val="00330129"/>
    <w:rsid w:val="00335956"/>
    <w:rsid w:val="00336871"/>
    <w:rsid w:val="00340121"/>
    <w:rsid w:val="00344322"/>
    <w:rsid w:val="00351414"/>
    <w:rsid w:val="003515CB"/>
    <w:rsid w:val="00351B92"/>
    <w:rsid w:val="00354120"/>
    <w:rsid w:val="00354629"/>
    <w:rsid w:val="003549CF"/>
    <w:rsid w:val="003635F9"/>
    <w:rsid w:val="003638C8"/>
    <w:rsid w:val="00364D18"/>
    <w:rsid w:val="00364F78"/>
    <w:rsid w:val="003663D5"/>
    <w:rsid w:val="00367FAC"/>
    <w:rsid w:val="003704B6"/>
    <w:rsid w:val="003705AC"/>
    <w:rsid w:val="003710E8"/>
    <w:rsid w:val="00372611"/>
    <w:rsid w:val="00373829"/>
    <w:rsid w:val="00380824"/>
    <w:rsid w:val="0038483B"/>
    <w:rsid w:val="003A0CCF"/>
    <w:rsid w:val="003A1847"/>
    <w:rsid w:val="003A2A79"/>
    <w:rsid w:val="003A2F25"/>
    <w:rsid w:val="003A3894"/>
    <w:rsid w:val="003A3C4E"/>
    <w:rsid w:val="003A6CAD"/>
    <w:rsid w:val="003A76D0"/>
    <w:rsid w:val="003B5330"/>
    <w:rsid w:val="003C238B"/>
    <w:rsid w:val="003C4AEB"/>
    <w:rsid w:val="003C59CE"/>
    <w:rsid w:val="003C75C0"/>
    <w:rsid w:val="003D048A"/>
    <w:rsid w:val="003D45CE"/>
    <w:rsid w:val="003D687C"/>
    <w:rsid w:val="003E0721"/>
    <w:rsid w:val="003E4951"/>
    <w:rsid w:val="003E7803"/>
    <w:rsid w:val="003F17BB"/>
    <w:rsid w:val="003F18D9"/>
    <w:rsid w:val="003F52D7"/>
    <w:rsid w:val="003F595D"/>
    <w:rsid w:val="00401463"/>
    <w:rsid w:val="00403C35"/>
    <w:rsid w:val="00404CE5"/>
    <w:rsid w:val="00407E1F"/>
    <w:rsid w:val="0041076C"/>
    <w:rsid w:val="00410F87"/>
    <w:rsid w:val="004112C7"/>
    <w:rsid w:val="00413C69"/>
    <w:rsid w:val="00413F02"/>
    <w:rsid w:val="00416983"/>
    <w:rsid w:val="0042563D"/>
    <w:rsid w:val="00435827"/>
    <w:rsid w:val="00436C3A"/>
    <w:rsid w:val="00437EE5"/>
    <w:rsid w:val="00441363"/>
    <w:rsid w:val="00443A9A"/>
    <w:rsid w:val="00445388"/>
    <w:rsid w:val="00446C2D"/>
    <w:rsid w:val="00453042"/>
    <w:rsid w:val="00456407"/>
    <w:rsid w:val="00456B88"/>
    <w:rsid w:val="00456FEA"/>
    <w:rsid w:val="00462C26"/>
    <w:rsid w:val="0046415B"/>
    <w:rsid w:val="0048267E"/>
    <w:rsid w:val="004831C1"/>
    <w:rsid w:val="00483487"/>
    <w:rsid w:val="004848E2"/>
    <w:rsid w:val="00485206"/>
    <w:rsid w:val="00485F2A"/>
    <w:rsid w:val="00486A40"/>
    <w:rsid w:val="00486D1A"/>
    <w:rsid w:val="00486EF2"/>
    <w:rsid w:val="004912CE"/>
    <w:rsid w:val="00491B6D"/>
    <w:rsid w:val="00492C95"/>
    <w:rsid w:val="0049715F"/>
    <w:rsid w:val="0049739B"/>
    <w:rsid w:val="004A41ED"/>
    <w:rsid w:val="004A4B90"/>
    <w:rsid w:val="004B1AB3"/>
    <w:rsid w:val="004B3EEF"/>
    <w:rsid w:val="004B65FE"/>
    <w:rsid w:val="004B7864"/>
    <w:rsid w:val="004C5A3C"/>
    <w:rsid w:val="004C6054"/>
    <w:rsid w:val="004C6B71"/>
    <w:rsid w:val="004D0FCD"/>
    <w:rsid w:val="004D3704"/>
    <w:rsid w:val="004D4263"/>
    <w:rsid w:val="004D6AB3"/>
    <w:rsid w:val="004D7E87"/>
    <w:rsid w:val="004E5712"/>
    <w:rsid w:val="004F071C"/>
    <w:rsid w:val="004F2B85"/>
    <w:rsid w:val="004F305E"/>
    <w:rsid w:val="004F5671"/>
    <w:rsid w:val="004F57D5"/>
    <w:rsid w:val="004F6D03"/>
    <w:rsid w:val="004F6ECF"/>
    <w:rsid w:val="004F7B55"/>
    <w:rsid w:val="0050460C"/>
    <w:rsid w:val="00507975"/>
    <w:rsid w:val="005112CA"/>
    <w:rsid w:val="0051592E"/>
    <w:rsid w:val="00517277"/>
    <w:rsid w:val="00517353"/>
    <w:rsid w:val="00521166"/>
    <w:rsid w:val="00524CCF"/>
    <w:rsid w:val="00525A53"/>
    <w:rsid w:val="00533248"/>
    <w:rsid w:val="00534ED5"/>
    <w:rsid w:val="005353C6"/>
    <w:rsid w:val="005355A7"/>
    <w:rsid w:val="00542965"/>
    <w:rsid w:val="00545AEC"/>
    <w:rsid w:val="005507F8"/>
    <w:rsid w:val="00554FD4"/>
    <w:rsid w:val="00556C8E"/>
    <w:rsid w:val="00557547"/>
    <w:rsid w:val="005634F6"/>
    <w:rsid w:val="00567F94"/>
    <w:rsid w:val="00570A8F"/>
    <w:rsid w:val="00572B2E"/>
    <w:rsid w:val="00581F5C"/>
    <w:rsid w:val="005824A3"/>
    <w:rsid w:val="00582DDB"/>
    <w:rsid w:val="00583265"/>
    <w:rsid w:val="00586EAE"/>
    <w:rsid w:val="00596D10"/>
    <w:rsid w:val="005977B5"/>
    <w:rsid w:val="005A4E1B"/>
    <w:rsid w:val="005A65B2"/>
    <w:rsid w:val="005A76FE"/>
    <w:rsid w:val="005A7C2E"/>
    <w:rsid w:val="005B0186"/>
    <w:rsid w:val="005B5482"/>
    <w:rsid w:val="005C1E01"/>
    <w:rsid w:val="005C4719"/>
    <w:rsid w:val="005E07EB"/>
    <w:rsid w:val="005E2794"/>
    <w:rsid w:val="005E67BF"/>
    <w:rsid w:val="005E7C32"/>
    <w:rsid w:val="005F1FC5"/>
    <w:rsid w:val="005F48C9"/>
    <w:rsid w:val="005F61C0"/>
    <w:rsid w:val="00600BB2"/>
    <w:rsid w:val="00601E6D"/>
    <w:rsid w:val="00603580"/>
    <w:rsid w:val="00604333"/>
    <w:rsid w:val="00610910"/>
    <w:rsid w:val="0061459B"/>
    <w:rsid w:val="00616DA9"/>
    <w:rsid w:val="00621317"/>
    <w:rsid w:val="00622157"/>
    <w:rsid w:val="00631AB4"/>
    <w:rsid w:val="00633C25"/>
    <w:rsid w:val="006345BD"/>
    <w:rsid w:val="00641361"/>
    <w:rsid w:val="0064137D"/>
    <w:rsid w:val="0064223F"/>
    <w:rsid w:val="00644007"/>
    <w:rsid w:val="00645AFE"/>
    <w:rsid w:val="00647AF3"/>
    <w:rsid w:val="006526C5"/>
    <w:rsid w:val="006526EA"/>
    <w:rsid w:val="00653ADD"/>
    <w:rsid w:val="006568E3"/>
    <w:rsid w:val="0065695A"/>
    <w:rsid w:val="00660094"/>
    <w:rsid w:val="006628A8"/>
    <w:rsid w:val="006713D3"/>
    <w:rsid w:val="00674230"/>
    <w:rsid w:val="00674BE6"/>
    <w:rsid w:val="00680493"/>
    <w:rsid w:val="00686949"/>
    <w:rsid w:val="00692094"/>
    <w:rsid w:val="0069268D"/>
    <w:rsid w:val="00694EFD"/>
    <w:rsid w:val="00695186"/>
    <w:rsid w:val="0069544C"/>
    <w:rsid w:val="00695E44"/>
    <w:rsid w:val="006A502D"/>
    <w:rsid w:val="006A5D8E"/>
    <w:rsid w:val="006B05FF"/>
    <w:rsid w:val="006B07E7"/>
    <w:rsid w:val="006B0AD4"/>
    <w:rsid w:val="006B1863"/>
    <w:rsid w:val="006B1BD0"/>
    <w:rsid w:val="006C058B"/>
    <w:rsid w:val="006C233E"/>
    <w:rsid w:val="006C2E4A"/>
    <w:rsid w:val="006C3498"/>
    <w:rsid w:val="006C3E4E"/>
    <w:rsid w:val="006C7C92"/>
    <w:rsid w:val="006D086A"/>
    <w:rsid w:val="006D4A29"/>
    <w:rsid w:val="006D69B0"/>
    <w:rsid w:val="006E2FA3"/>
    <w:rsid w:val="006E57A5"/>
    <w:rsid w:val="006F2950"/>
    <w:rsid w:val="006F3A1D"/>
    <w:rsid w:val="006F4C1B"/>
    <w:rsid w:val="006F57A4"/>
    <w:rsid w:val="006F790D"/>
    <w:rsid w:val="007007FC"/>
    <w:rsid w:val="0070216B"/>
    <w:rsid w:val="00705E0C"/>
    <w:rsid w:val="00710442"/>
    <w:rsid w:val="00711007"/>
    <w:rsid w:val="0071453B"/>
    <w:rsid w:val="0071696A"/>
    <w:rsid w:val="00721FC5"/>
    <w:rsid w:val="00722F4B"/>
    <w:rsid w:val="00724A84"/>
    <w:rsid w:val="00726FFF"/>
    <w:rsid w:val="00730936"/>
    <w:rsid w:val="00732F2F"/>
    <w:rsid w:val="00733298"/>
    <w:rsid w:val="007352F9"/>
    <w:rsid w:val="007407F5"/>
    <w:rsid w:val="00741041"/>
    <w:rsid w:val="007700BB"/>
    <w:rsid w:val="007763F8"/>
    <w:rsid w:val="00776BC2"/>
    <w:rsid w:val="00780089"/>
    <w:rsid w:val="00781DDF"/>
    <w:rsid w:val="00787EFC"/>
    <w:rsid w:val="00792ABA"/>
    <w:rsid w:val="00796051"/>
    <w:rsid w:val="007964F0"/>
    <w:rsid w:val="00797E69"/>
    <w:rsid w:val="007A1AA3"/>
    <w:rsid w:val="007A2ADC"/>
    <w:rsid w:val="007A2B7F"/>
    <w:rsid w:val="007A44D7"/>
    <w:rsid w:val="007B131F"/>
    <w:rsid w:val="007B1A40"/>
    <w:rsid w:val="007B7F49"/>
    <w:rsid w:val="007C0BA8"/>
    <w:rsid w:val="007C1756"/>
    <w:rsid w:val="007C356D"/>
    <w:rsid w:val="007C6068"/>
    <w:rsid w:val="007C6D4F"/>
    <w:rsid w:val="007D0844"/>
    <w:rsid w:val="007D695B"/>
    <w:rsid w:val="007D6EEE"/>
    <w:rsid w:val="007D7957"/>
    <w:rsid w:val="007D7DE1"/>
    <w:rsid w:val="007E47F8"/>
    <w:rsid w:val="007E7CD4"/>
    <w:rsid w:val="007F08CF"/>
    <w:rsid w:val="007F46CF"/>
    <w:rsid w:val="007F4C84"/>
    <w:rsid w:val="00800D16"/>
    <w:rsid w:val="0080208A"/>
    <w:rsid w:val="0080700C"/>
    <w:rsid w:val="00811112"/>
    <w:rsid w:val="0081602A"/>
    <w:rsid w:val="00822044"/>
    <w:rsid w:val="00822840"/>
    <w:rsid w:val="008274BC"/>
    <w:rsid w:val="00834188"/>
    <w:rsid w:val="00836196"/>
    <w:rsid w:val="008371FC"/>
    <w:rsid w:val="008409E6"/>
    <w:rsid w:val="00842633"/>
    <w:rsid w:val="00845C38"/>
    <w:rsid w:val="00845C63"/>
    <w:rsid w:val="00845DED"/>
    <w:rsid w:val="008460C2"/>
    <w:rsid w:val="00851403"/>
    <w:rsid w:val="00852F71"/>
    <w:rsid w:val="00854DEC"/>
    <w:rsid w:val="00856A8B"/>
    <w:rsid w:val="00860D60"/>
    <w:rsid w:val="00861776"/>
    <w:rsid w:val="00864E46"/>
    <w:rsid w:val="00872B7D"/>
    <w:rsid w:val="00873F43"/>
    <w:rsid w:val="00875D87"/>
    <w:rsid w:val="008765E7"/>
    <w:rsid w:val="00876E28"/>
    <w:rsid w:val="00883BF4"/>
    <w:rsid w:val="008A66AD"/>
    <w:rsid w:val="008A763E"/>
    <w:rsid w:val="008B0CB7"/>
    <w:rsid w:val="008B1A14"/>
    <w:rsid w:val="008B2E36"/>
    <w:rsid w:val="008B3499"/>
    <w:rsid w:val="008B3590"/>
    <w:rsid w:val="008B3DED"/>
    <w:rsid w:val="008B4B7F"/>
    <w:rsid w:val="008B7A3F"/>
    <w:rsid w:val="008C01CC"/>
    <w:rsid w:val="008C1191"/>
    <w:rsid w:val="008C19DD"/>
    <w:rsid w:val="008C5BE9"/>
    <w:rsid w:val="008D0D14"/>
    <w:rsid w:val="008D1A84"/>
    <w:rsid w:val="008D2F44"/>
    <w:rsid w:val="008D5078"/>
    <w:rsid w:val="008D5147"/>
    <w:rsid w:val="008D57A3"/>
    <w:rsid w:val="008E0B4C"/>
    <w:rsid w:val="008E10CA"/>
    <w:rsid w:val="008E1A16"/>
    <w:rsid w:val="008F1294"/>
    <w:rsid w:val="008F2538"/>
    <w:rsid w:val="008F2E57"/>
    <w:rsid w:val="008F6B1C"/>
    <w:rsid w:val="008F6C6A"/>
    <w:rsid w:val="009003E0"/>
    <w:rsid w:val="00906CB9"/>
    <w:rsid w:val="0090749B"/>
    <w:rsid w:val="009074A0"/>
    <w:rsid w:val="00911FA2"/>
    <w:rsid w:val="00912E16"/>
    <w:rsid w:val="009141A2"/>
    <w:rsid w:val="00914988"/>
    <w:rsid w:val="009161F0"/>
    <w:rsid w:val="0092653F"/>
    <w:rsid w:val="00930913"/>
    <w:rsid w:val="00935987"/>
    <w:rsid w:val="00940666"/>
    <w:rsid w:val="00940E12"/>
    <w:rsid w:val="00945417"/>
    <w:rsid w:val="009479AC"/>
    <w:rsid w:val="0095371E"/>
    <w:rsid w:val="00953F43"/>
    <w:rsid w:val="00954EB1"/>
    <w:rsid w:val="009552C8"/>
    <w:rsid w:val="009616B7"/>
    <w:rsid w:val="009623A1"/>
    <w:rsid w:val="0096258E"/>
    <w:rsid w:val="0096465B"/>
    <w:rsid w:val="009706DD"/>
    <w:rsid w:val="0097105C"/>
    <w:rsid w:val="00972DAD"/>
    <w:rsid w:val="00973D68"/>
    <w:rsid w:val="00980813"/>
    <w:rsid w:val="00980CD6"/>
    <w:rsid w:val="0098107C"/>
    <w:rsid w:val="00982ED0"/>
    <w:rsid w:val="009830EF"/>
    <w:rsid w:val="009831A8"/>
    <w:rsid w:val="009836FC"/>
    <w:rsid w:val="00986338"/>
    <w:rsid w:val="00986D00"/>
    <w:rsid w:val="00993B3B"/>
    <w:rsid w:val="009A22EA"/>
    <w:rsid w:val="009A77E8"/>
    <w:rsid w:val="009A7AF8"/>
    <w:rsid w:val="009B0615"/>
    <w:rsid w:val="009B1CAE"/>
    <w:rsid w:val="009B40E2"/>
    <w:rsid w:val="009B4731"/>
    <w:rsid w:val="009B5410"/>
    <w:rsid w:val="009C5FE0"/>
    <w:rsid w:val="009D0756"/>
    <w:rsid w:val="009D1F07"/>
    <w:rsid w:val="009D7F96"/>
    <w:rsid w:val="009E2520"/>
    <w:rsid w:val="009E4EA9"/>
    <w:rsid w:val="009E56C2"/>
    <w:rsid w:val="009F1CAC"/>
    <w:rsid w:val="00A00A66"/>
    <w:rsid w:val="00A11F48"/>
    <w:rsid w:val="00A1326D"/>
    <w:rsid w:val="00A14165"/>
    <w:rsid w:val="00A17835"/>
    <w:rsid w:val="00A23301"/>
    <w:rsid w:val="00A326AE"/>
    <w:rsid w:val="00A331C8"/>
    <w:rsid w:val="00A349BB"/>
    <w:rsid w:val="00A3563A"/>
    <w:rsid w:val="00A35F0A"/>
    <w:rsid w:val="00A403F7"/>
    <w:rsid w:val="00A404BA"/>
    <w:rsid w:val="00A40F1C"/>
    <w:rsid w:val="00A42FAC"/>
    <w:rsid w:val="00A4395C"/>
    <w:rsid w:val="00A46F11"/>
    <w:rsid w:val="00A50B36"/>
    <w:rsid w:val="00A56EF9"/>
    <w:rsid w:val="00A572BA"/>
    <w:rsid w:val="00A57FFE"/>
    <w:rsid w:val="00A700E2"/>
    <w:rsid w:val="00A7303A"/>
    <w:rsid w:val="00A770C1"/>
    <w:rsid w:val="00A819B5"/>
    <w:rsid w:val="00A87968"/>
    <w:rsid w:val="00A9029B"/>
    <w:rsid w:val="00A9065D"/>
    <w:rsid w:val="00A9101C"/>
    <w:rsid w:val="00A967CD"/>
    <w:rsid w:val="00A977DD"/>
    <w:rsid w:val="00AA2D51"/>
    <w:rsid w:val="00AA4EA9"/>
    <w:rsid w:val="00AA730A"/>
    <w:rsid w:val="00AA7FE8"/>
    <w:rsid w:val="00AB1BAE"/>
    <w:rsid w:val="00AB207F"/>
    <w:rsid w:val="00AB630C"/>
    <w:rsid w:val="00AB77BA"/>
    <w:rsid w:val="00AC188E"/>
    <w:rsid w:val="00AC25D2"/>
    <w:rsid w:val="00AC50B2"/>
    <w:rsid w:val="00AC58BD"/>
    <w:rsid w:val="00AC6732"/>
    <w:rsid w:val="00AC7138"/>
    <w:rsid w:val="00AD058F"/>
    <w:rsid w:val="00AD251C"/>
    <w:rsid w:val="00AD63AB"/>
    <w:rsid w:val="00AD6652"/>
    <w:rsid w:val="00AD6BC7"/>
    <w:rsid w:val="00AD7DFB"/>
    <w:rsid w:val="00AD7FF8"/>
    <w:rsid w:val="00AE07CE"/>
    <w:rsid w:val="00AE3187"/>
    <w:rsid w:val="00AF0203"/>
    <w:rsid w:val="00AF4B54"/>
    <w:rsid w:val="00AF6E7A"/>
    <w:rsid w:val="00AF77A3"/>
    <w:rsid w:val="00AF7E3C"/>
    <w:rsid w:val="00B03705"/>
    <w:rsid w:val="00B07BDC"/>
    <w:rsid w:val="00B10189"/>
    <w:rsid w:val="00B1352A"/>
    <w:rsid w:val="00B13580"/>
    <w:rsid w:val="00B13A2D"/>
    <w:rsid w:val="00B13AB5"/>
    <w:rsid w:val="00B15384"/>
    <w:rsid w:val="00B2470D"/>
    <w:rsid w:val="00B2786C"/>
    <w:rsid w:val="00B2799F"/>
    <w:rsid w:val="00B314D2"/>
    <w:rsid w:val="00B31D68"/>
    <w:rsid w:val="00B36F27"/>
    <w:rsid w:val="00B41922"/>
    <w:rsid w:val="00B43BBB"/>
    <w:rsid w:val="00B45AC3"/>
    <w:rsid w:val="00B52504"/>
    <w:rsid w:val="00B5250C"/>
    <w:rsid w:val="00B54741"/>
    <w:rsid w:val="00B54AA0"/>
    <w:rsid w:val="00B61F7D"/>
    <w:rsid w:val="00B63291"/>
    <w:rsid w:val="00B63AAA"/>
    <w:rsid w:val="00B7340C"/>
    <w:rsid w:val="00B85DCB"/>
    <w:rsid w:val="00B91504"/>
    <w:rsid w:val="00B943D0"/>
    <w:rsid w:val="00B96AC4"/>
    <w:rsid w:val="00B96F50"/>
    <w:rsid w:val="00BA0808"/>
    <w:rsid w:val="00BA10F2"/>
    <w:rsid w:val="00BA4E85"/>
    <w:rsid w:val="00BB0320"/>
    <w:rsid w:val="00BC37FE"/>
    <w:rsid w:val="00BC5A23"/>
    <w:rsid w:val="00BC6698"/>
    <w:rsid w:val="00BC6BEE"/>
    <w:rsid w:val="00BC7CF8"/>
    <w:rsid w:val="00BD1DEA"/>
    <w:rsid w:val="00BD2C39"/>
    <w:rsid w:val="00BD5A43"/>
    <w:rsid w:val="00BD7686"/>
    <w:rsid w:val="00BE3ABB"/>
    <w:rsid w:val="00BE4EB1"/>
    <w:rsid w:val="00BF256D"/>
    <w:rsid w:val="00BF3DF8"/>
    <w:rsid w:val="00BF5549"/>
    <w:rsid w:val="00BF5939"/>
    <w:rsid w:val="00C017D2"/>
    <w:rsid w:val="00C057B0"/>
    <w:rsid w:val="00C06332"/>
    <w:rsid w:val="00C06871"/>
    <w:rsid w:val="00C07D48"/>
    <w:rsid w:val="00C12A34"/>
    <w:rsid w:val="00C12E7C"/>
    <w:rsid w:val="00C15EB3"/>
    <w:rsid w:val="00C1787A"/>
    <w:rsid w:val="00C23689"/>
    <w:rsid w:val="00C26D9E"/>
    <w:rsid w:val="00C31EA5"/>
    <w:rsid w:val="00C322CD"/>
    <w:rsid w:val="00C33633"/>
    <w:rsid w:val="00C36314"/>
    <w:rsid w:val="00C37D40"/>
    <w:rsid w:val="00C44729"/>
    <w:rsid w:val="00C44783"/>
    <w:rsid w:val="00C4518F"/>
    <w:rsid w:val="00C4754B"/>
    <w:rsid w:val="00C55ED1"/>
    <w:rsid w:val="00C6215F"/>
    <w:rsid w:val="00C635B8"/>
    <w:rsid w:val="00C6459F"/>
    <w:rsid w:val="00C661A0"/>
    <w:rsid w:val="00C71679"/>
    <w:rsid w:val="00C75665"/>
    <w:rsid w:val="00C814C3"/>
    <w:rsid w:val="00C814F3"/>
    <w:rsid w:val="00C81BA4"/>
    <w:rsid w:val="00C86727"/>
    <w:rsid w:val="00C90542"/>
    <w:rsid w:val="00C90C2F"/>
    <w:rsid w:val="00C94722"/>
    <w:rsid w:val="00CA2808"/>
    <w:rsid w:val="00CA5E64"/>
    <w:rsid w:val="00CA61D7"/>
    <w:rsid w:val="00CB121B"/>
    <w:rsid w:val="00CB1907"/>
    <w:rsid w:val="00CB2592"/>
    <w:rsid w:val="00CB3EF8"/>
    <w:rsid w:val="00CB4408"/>
    <w:rsid w:val="00CC046D"/>
    <w:rsid w:val="00CC14A8"/>
    <w:rsid w:val="00CC47EF"/>
    <w:rsid w:val="00CD178B"/>
    <w:rsid w:val="00CD79FB"/>
    <w:rsid w:val="00CE1FCB"/>
    <w:rsid w:val="00CE22B3"/>
    <w:rsid w:val="00CE65C9"/>
    <w:rsid w:val="00CF1C03"/>
    <w:rsid w:val="00CF73B7"/>
    <w:rsid w:val="00D062A2"/>
    <w:rsid w:val="00D10241"/>
    <w:rsid w:val="00D11B17"/>
    <w:rsid w:val="00D13A64"/>
    <w:rsid w:val="00D208BB"/>
    <w:rsid w:val="00D20E76"/>
    <w:rsid w:val="00D24AB7"/>
    <w:rsid w:val="00D27A0A"/>
    <w:rsid w:val="00D40D79"/>
    <w:rsid w:val="00D41329"/>
    <w:rsid w:val="00D420AC"/>
    <w:rsid w:val="00D5195E"/>
    <w:rsid w:val="00D61135"/>
    <w:rsid w:val="00D62F77"/>
    <w:rsid w:val="00D658A1"/>
    <w:rsid w:val="00D714B9"/>
    <w:rsid w:val="00D773E9"/>
    <w:rsid w:val="00D80AF8"/>
    <w:rsid w:val="00D81021"/>
    <w:rsid w:val="00D812E8"/>
    <w:rsid w:val="00D84977"/>
    <w:rsid w:val="00D903A4"/>
    <w:rsid w:val="00DA292C"/>
    <w:rsid w:val="00DA3E64"/>
    <w:rsid w:val="00DA54BF"/>
    <w:rsid w:val="00DB1835"/>
    <w:rsid w:val="00DB5656"/>
    <w:rsid w:val="00DB5D3D"/>
    <w:rsid w:val="00DB601D"/>
    <w:rsid w:val="00DB6716"/>
    <w:rsid w:val="00DC2028"/>
    <w:rsid w:val="00DC2487"/>
    <w:rsid w:val="00DC406D"/>
    <w:rsid w:val="00DC4A10"/>
    <w:rsid w:val="00DC5792"/>
    <w:rsid w:val="00DD3E82"/>
    <w:rsid w:val="00DD6298"/>
    <w:rsid w:val="00DD7160"/>
    <w:rsid w:val="00DE33C1"/>
    <w:rsid w:val="00DE5458"/>
    <w:rsid w:val="00DE6A95"/>
    <w:rsid w:val="00DE76AB"/>
    <w:rsid w:val="00DF0FCE"/>
    <w:rsid w:val="00DF19F4"/>
    <w:rsid w:val="00DF2318"/>
    <w:rsid w:val="00DF56D1"/>
    <w:rsid w:val="00E01736"/>
    <w:rsid w:val="00E029EC"/>
    <w:rsid w:val="00E0300A"/>
    <w:rsid w:val="00E04784"/>
    <w:rsid w:val="00E04C90"/>
    <w:rsid w:val="00E05A38"/>
    <w:rsid w:val="00E06673"/>
    <w:rsid w:val="00E073FF"/>
    <w:rsid w:val="00E111CB"/>
    <w:rsid w:val="00E15E14"/>
    <w:rsid w:val="00E21DA1"/>
    <w:rsid w:val="00E223AF"/>
    <w:rsid w:val="00E2579D"/>
    <w:rsid w:val="00E27903"/>
    <w:rsid w:val="00E365D7"/>
    <w:rsid w:val="00E368CE"/>
    <w:rsid w:val="00E37CE2"/>
    <w:rsid w:val="00E40440"/>
    <w:rsid w:val="00E44789"/>
    <w:rsid w:val="00E46F31"/>
    <w:rsid w:val="00E478B4"/>
    <w:rsid w:val="00E5713F"/>
    <w:rsid w:val="00E57715"/>
    <w:rsid w:val="00E64C01"/>
    <w:rsid w:val="00E66534"/>
    <w:rsid w:val="00E67230"/>
    <w:rsid w:val="00E67BCE"/>
    <w:rsid w:val="00E67D19"/>
    <w:rsid w:val="00E730C4"/>
    <w:rsid w:val="00E758D5"/>
    <w:rsid w:val="00E7616E"/>
    <w:rsid w:val="00E778EB"/>
    <w:rsid w:val="00E82AFD"/>
    <w:rsid w:val="00E8405C"/>
    <w:rsid w:val="00E87B51"/>
    <w:rsid w:val="00E912C3"/>
    <w:rsid w:val="00E913D4"/>
    <w:rsid w:val="00E97377"/>
    <w:rsid w:val="00EA0A1F"/>
    <w:rsid w:val="00EA1454"/>
    <w:rsid w:val="00EA455B"/>
    <w:rsid w:val="00EA7E9F"/>
    <w:rsid w:val="00EB01B6"/>
    <w:rsid w:val="00EB3C0D"/>
    <w:rsid w:val="00EB5D64"/>
    <w:rsid w:val="00EC1AB5"/>
    <w:rsid w:val="00EC3953"/>
    <w:rsid w:val="00EC54FB"/>
    <w:rsid w:val="00EC5559"/>
    <w:rsid w:val="00EC6493"/>
    <w:rsid w:val="00ED1FCB"/>
    <w:rsid w:val="00ED249E"/>
    <w:rsid w:val="00ED5109"/>
    <w:rsid w:val="00ED6EEB"/>
    <w:rsid w:val="00EE4C4B"/>
    <w:rsid w:val="00EE70A6"/>
    <w:rsid w:val="00EE7419"/>
    <w:rsid w:val="00EF1306"/>
    <w:rsid w:val="00EF4C17"/>
    <w:rsid w:val="00EF568F"/>
    <w:rsid w:val="00EF56A8"/>
    <w:rsid w:val="00EF60CB"/>
    <w:rsid w:val="00F01165"/>
    <w:rsid w:val="00F06EC6"/>
    <w:rsid w:val="00F13981"/>
    <w:rsid w:val="00F248B0"/>
    <w:rsid w:val="00F24E7D"/>
    <w:rsid w:val="00F2502A"/>
    <w:rsid w:val="00F2697A"/>
    <w:rsid w:val="00F2714A"/>
    <w:rsid w:val="00F306B7"/>
    <w:rsid w:val="00F3565C"/>
    <w:rsid w:val="00F400C1"/>
    <w:rsid w:val="00F436DC"/>
    <w:rsid w:val="00F44569"/>
    <w:rsid w:val="00F45F9C"/>
    <w:rsid w:val="00F47E8C"/>
    <w:rsid w:val="00F5087A"/>
    <w:rsid w:val="00F60DE7"/>
    <w:rsid w:val="00F61851"/>
    <w:rsid w:val="00F82DB5"/>
    <w:rsid w:val="00F841D8"/>
    <w:rsid w:val="00F85B05"/>
    <w:rsid w:val="00F85CCA"/>
    <w:rsid w:val="00F90F8B"/>
    <w:rsid w:val="00F9127F"/>
    <w:rsid w:val="00F97BE0"/>
    <w:rsid w:val="00FA0270"/>
    <w:rsid w:val="00FA5007"/>
    <w:rsid w:val="00FA6494"/>
    <w:rsid w:val="00FA77E6"/>
    <w:rsid w:val="00FB2F37"/>
    <w:rsid w:val="00FB37D8"/>
    <w:rsid w:val="00FB5655"/>
    <w:rsid w:val="00FB7E49"/>
    <w:rsid w:val="00FC1790"/>
    <w:rsid w:val="00FC7867"/>
    <w:rsid w:val="00FC78A1"/>
    <w:rsid w:val="00FD0D07"/>
    <w:rsid w:val="00FD3852"/>
    <w:rsid w:val="00FD3F43"/>
    <w:rsid w:val="00FD6FBC"/>
    <w:rsid w:val="00FE48D3"/>
    <w:rsid w:val="00FE4AA1"/>
    <w:rsid w:val="00FE7271"/>
    <w:rsid w:val="00FF0798"/>
    <w:rsid w:val="00FF0F8C"/>
    <w:rsid w:val="00FF44E3"/>
    <w:rsid w:val="00FF45CC"/>
    <w:rsid w:val="00FF6540"/>
    <w:rsid w:val="00FF7203"/>
    <w:rsid w:val="00FF724C"/>
    <w:rsid w:val="07C4BF57"/>
    <w:rsid w:val="0A304E3D"/>
    <w:rsid w:val="11EB123F"/>
    <w:rsid w:val="12AF77FB"/>
    <w:rsid w:val="143EA351"/>
    <w:rsid w:val="168D40AB"/>
    <w:rsid w:val="17D15C98"/>
    <w:rsid w:val="1C22109A"/>
    <w:rsid w:val="1CC0A6BB"/>
    <w:rsid w:val="1F8415E2"/>
    <w:rsid w:val="2159289B"/>
    <w:rsid w:val="21DA311E"/>
    <w:rsid w:val="24EE6BB7"/>
    <w:rsid w:val="26604F6F"/>
    <w:rsid w:val="27D687EB"/>
    <w:rsid w:val="28CA6D25"/>
    <w:rsid w:val="2A4075DC"/>
    <w:rsid w:val="2D086C63"/>
    <w:rsid w:val="2EC55C58"/>
    <w:rsid w:val="307182C1"/>
    <w:rsid w:val="39316D05"/>
    <w:rsid w:val="3BEE538E"/>
    <w:rsid w:val="41EE3E5F"/>
    <w:rsid w:val="42727081"/>
    <w:rsid w:val="43853946"/>
    <w:rsid w:val="43F343D1"/>
    <w:rsid w:val="451A6D04"/>
    <w:rsid w:val="46E910D4"/>
    <w:rsid w:val="484476E5"/>
    <w:rsid w:val="4BD673A2"/>
    <w:rsid w:val="4C326970"/>
    <w:rsid w:val="4D4D652D"/>
    <w:rsid w:val="4D68DC3D"/>
    <w:rsid w:val="52397476"/>
    <w:rsid w:val="5A04117C"/>
    <w:rsid w:val="6249D4CB"/>
    <w:rsid w:val="63AB46FA"/>
    <w:rsid w:val="64F7C5D2"/>
    <w:rsid w:val="67E6E812"/>
    <w:rsid w:val="680AF69C"/>
    <w:rsid w:val="6C1D6F04"/>
    <w:rsid w:val="743ED711"/>
    <w:rsid w:val="7447CBD2"/>
    <w:rsid w:val="746762C8"/>
    <w:rsid w:val="759EA544"/>
    <w:rsid w:val="76F62BD3"/>
    <w:rsid w:val="7A4A41DB"/>
    <w:rsid w:val="7A558028"/>
    <w:rsid w:val="7B2DC112"/>
    <w:rsid w:val="7E77B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3368AC"/>
  <w15:chartTrackingRefBased/>
  <w15:docId w15:val="{82874A58-1E51-4C65-B69D-C3A03ED2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C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F1C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1CA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rsid w:val="009F1CAC"/>
    <w:rPr>
      <w:rFonts w:cs="Times New Roman"/>
      <w:vertAlign w:val="superscript"/>
    </w:rPr>
  </w:style>
  <w:style w:type="paragraph" w:customStyle="1" w:styleId="Default">
    <w:name w:val="Default"/>
    <w:rsid w:val="009F1C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9F1CA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1CAC"/>
    <w:rPr>
      <w:rFonts w:ascii="Calibri" w:eastAsia="Calibri" w:hAnsi="Calibri" w:cs="Times New Roman"/>
      <w:sz w:val="20"/>
      <w:lang w:val="sk-SK"/>
    </w:rPr>
  </w:style>
  <w:style w:type="character" w:styleId="CommentReference">
    <w:name w:val="annotation reference"/>
    <w:rsid w:val="009F1CAC"/>
    <w:rPr>
      <w:rFonts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644007"/>
    <w:pPr>
      <w:ind w:left="720"/>
      <w:contextualSpacing/>
    </w:pPr>
  </w:style>
  <w:style w:type="paragraph" w:styleId="Revision">
    <w:name w:val="Revision"/>
    <w:hidden/>
    <w:uiPriority w:val="99"/>
    <w:semiHidden/>
    <w:rsid w:val="006D4A29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716"/>
    <w:pPr>
      <w:spacing w:line="240" w:lineRule="auto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716"/>
    <w:rPr>
      <w:rFonts w:ascii="Calibri" w:eastAsia="Calibri" w:hAnsi="Calibri" w:cs="Times New Roman"/>
      <w:b/>
      <w:bCs/>
      <w:sz w:val="20"/>
      <w:szCs w:val="20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0B1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6B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B1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6BA"/>
    <w:rPr>
      <w:rFonts w:ascii="Calibri" w:eastAsia="Calibri" w:hAnsi="Calibri" w:cs="Times New Roman"/>
    </w:rPr>
  </w:style>
  <w:style w:type="character" w:customStyle="1" w:styleId="Marker">
    <w:name w:val="Marker"/>
    <w:basedOn w:val="DefaultParagraphFont"/>
    <w:rsid w:val="001B6AFE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1B6AFE"/>
    <w:pPr>
      <w:spacing w:after="0" w:line="240" w:lineRule="auto"/>
      <w:jc w:val="both"/>
    </w:pPr>
    <w:rPr>
      <w:rFonts w:ascii="Times New Roman" w:eastAsiaTheme="minorHAnsi" w:hAnsi="Times New Roman"/>
      <w:sz w:val="24"/>
    </w:rPr>
  </w:style>
  <w:style w:type="paragraph" w:customStyle="1" w:styleId="FooterCoverPage">
    <w:name w:val="Footer Cover Page"/>
    <w:basedOn w:val="Normal"/>
    <w:link w:val="FooterCoverPageChar"/>
    <w:rsid w:val="001B6AFE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sid w:val="001B6AFE"/>
    <w:rPr>
      <w:rFonts w:ascii="Times New Roman" w:eastAsia="Calibri" w:hAnsi="Times New Roman" w:cs="Times New Roman"/>
      <w:sz w:val="24"/>
    </w:rPr>
  </w:style>
  <w:style w:type="paragraph" w:customStyle="1" w:styleId="FooterSensitivity">
    <w:name w:val="Footer Sensitivity"/>
    <w:basedOn w:val="Normal"/>
    <w:link w:val="FooterSensitivityChar"/>
    <w:rsid w:val="001B6AF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1B6AFE"/>
    <w:rPr>
      <w:rFonts w:ascii="Times New Roman" w:eastAsia="Calibri" w:hAnsi="Times New Roman" w:cs="Times New Roman"/>
      <w:b/>
      <w:sz w:val="32"/>
    </w:rPr>
  </w:style>
  <w:style w:type="paragraph" w:customStyle="1" w:styleId="HeaderCoverPage">
    <w:name w:val="Header Cover Page"/>
    <w:basedOn w:val="Normal"/>
    <w:link w:val="HeaderCoverPageChar"/>
    <w:rsid w:val="001B6AFE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sid w:val="001B6AFE"/>
    <w:rPr>
      <w:rFonts w:ascii="Times New Roman" w:eastAsia="Calibri" w:hAnsi="Times New Roman" w:cs="Times New Roman"/>
      <w:sz w:val="24"/>
    </w:rPr>
  </w:style>
  <w:style w:type="paragraph" w:customStyle="1" w:styleId="HeaderSensitivity">
    <w:name w:val="Header Sensitivity"/>
    <w:basedOn w:val="Normal"/>
    <w:link w:val="HeaderSensitivityChar"/>
    <w:rsid w:val="001B6AF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1B6AFE"/>
    <w:rPr>
      <w:rFonts w:ascii="Times New Roman" w:eastAsia="Calibri" w:hAnsi="Times New Roman" w:cs="Times New Roman"/>
      <w:b/>
      <w:sz w:val="32"/>
    </w:rPr>
  </w:style>
  <w:style w:type="paragraph" w:customStyle="1" w:styleId="HeaderSensitivityRight">
    <w:name w:val="Header Sensitivity Right"/>
    <w:basedOn w:val="Normal"/>
    <w:link w:val="HeaderSensitivityRightChar"/>
    <w:rsid w:val="001B6AFE"/>
    <w:pPr>
      <w:spacing w:after="120" w:line="240" w:lineRule="auto"/>
      <w:jc w:val="right"/>
    </w:pPr>
    <w:rPr>
      <w:rFonts w:ascii="Times New Roman" w:hAnsi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1B6AFE"/>
    <w:rPr>
      <w:rFonts w:ascii="Times New Roman" w:eastAsia="Calibri" w:hAnsi="Times New Roman" w:cs="Times New Roman"/>
      <w:sz w:val="28"/>
    </w:rPr>
  </w:style>
  <w:style w:type="paragraph" w:customStyle="1" w:styleId="ecl-u-type-prolonged-m">
    <w:name w:val="ecl-u-type-prolonged-m"/>
    <w:basedOn w:val="Normal"/>
    <w:rsid w:val="000E6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384198965F04CAC95112A80E087FD" ma:contentTypeVersion="6" ma:contentTypeDescription="Create a new document." ma:contentTypeScope="" ma:versionID="29645aa7544d47f0998cee539cfbef0d">
  <xsd:schema xmlns:xsd="http://www.w3.org/2001/XMLSchema" xmlns:xs="http://www.w3.org/2001/XMLSchema" xmlns:p="http://schemas.microsoft.com/office/2006/metadata/properties" xmlns:ns2="ebf6e92b-7f0b-4aa0-8110-2ac1b0aa9f9b" xmlns:ns3="1e58b153-092f-44e0-b7f3-6f68ee4e5819" targetNamespace="http://schemas.microsoft.com/office/2006/metadata/properties" ma:root="true" ma:fieldsID="2aabc6a5bdbfcc47ad5ffee31be05016" ns2:_="" ns3:_="">
    <xsd:import namespace="ebf6e92b-7f0b-4aa0-8110-2ac1b0aa9f9b"/>
    <xsd:import namespace="1e58b153-092f-44e0-b7f3-6f68ee4e5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6e92b-7f0b-4aa0-8110-2ac1b0aa9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8b153-092f-44e0-b7f3-6f68ee4e5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This value indicates the number of saves or revisions. The application is responsible for updating this value after each revision.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58b153-092f-44e0-b7f3-6f68ee4e5819">
      <UserInfo>
        <DisplayName>STAMOULIS Antonios (MARE)</DisplayName>
        <AccountId>9</AccountId>
        <AccountType/>
      </UserInfo>
      <UserInfo>
        <DisplayName>BOUKER Soumaya (MARE)</DisplayName>
        <AccountId>17</AccountId>
        <AccountType/>
      </UserInfo>
    </SharedWithUsers>
  </documentManagement>
</p:properties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3DB66-AA7C-417F-A26A-48E82748B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6e92b-7f0b-4aa0-8110-2ac1b0aa9f9b"/>
    <ds:schemaRef ds:uri="1e58b153-092f-44e0-b7f3-6f68ee4e5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8F3BD9-421A-487D-BB03-E099072365DD}">
  <ds:schemaRefs>
    <ds:schemaRef ds:uri="http://schemas.microsoft.com/office/2006/metadata/properties"/>
    <ds:schemaRef ds:uri="http://schemas.microsoft.com/office/infopath/2007/PartnerControls"/>
    <ds:schemaRef ds:uri="1e58b153-092f-44e0-b7f3-6f68ee4e5819"/>
  </ds:schemaRefs>
</ds:datastoreItem>
</file>

<file path=customXml/itemProps3.xml><?xml version="1.0" encoding="utf-8"?>
<ds:datastoreItem xmlns:ds="http://schemas.openxmlformats.org/officeDocument/2006/customXml" ds:itemID="{A1AEC8A1-95DC-4050-951D-1DF2CA64A9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7EDF2C-55CC-4BF6-8D56-D735ED569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>2024-05-02T09:23:00Z</cp:lastPrinted>
  <dcterms:created xsi:type="dcterms:W3CDTF">2024-05-17T13:16:00Z</dcterms:created>
  <dcterms:modified xsi:type="dcterms:W3CDTF">2024-05-29T07:05:00Z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0x0101001A7384198965F04CAC95112A80E087FD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2024-04-23T09:14:08Z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13f21be3-172f-4b6c-bd50-d93d5b453267</vt:lpwstr>
  </property>
  <property fmtid="{D5CDD505-2E9C-101B-9397-08002B2CF9AE}" pid="9" name="MSIP_Label_6bd9ddd1-4d20-43f6-abfa-fc3c07406f94_ContentBits">
    <vt:lpwstr>0</vt:lpwstr>
  </property>
  <property fmtid="{D5CDD505-2E9C-101B-9397-08002B2CF9AE}" pid="10" name="Level of sensitivity">
    <vt:lpwstr>Standard treatment</vt:lpwstr>
  </property>
  <property fmtid="{D5CDD505-2E9C-101B-9397-08002B2CF9AE}" pid="11" name="Part">
    <vt:lpwstr>1</vt:lpwstr>
  </property>
  <property fmtid="{D5CDD505-2E9C-101B-9397-08002B2CF9AE}" pid="12" name="Total parts">
    <vt:lpwstr>1</vt:lpwstr>
  </property>
  <property fmtid="{D5CDD505-2E9C-101B-9397-08002B2CF9AE}" pid="13" name="Last edited using">
    <vt:lpwstr>LW 9.0, Build 20230317</vt:lpwstr>
  </property>
  <property fmtid="{D5CDD505-2E9C-101B-9397-08002B2CF9AE}" pid="14" name="DocStatus">
    <vt:lpwstr>Green</vt:lpwstr>
  </property>
  <property fmtid="{D5CDD505-2E9C-101B-9397-08002B2CF9AE}" pid="15" name="CPTemplateID">
    <vt:lpwstr>CP-011</vt:lpwstr>
  </property>
  <property fmtid="{D5CDD505-2E9C-101B-9397-08002B2CF9AE}" pid="16" name="Created using">
    <vt:lpwstr>LW 9.0, Build 20230317</vt:lpwstr>
  </property>
  <property name="OP_sanitized" fmtid="{D5CDD505-2E9C-101B-9397-08002B2CF9AE}" pid="17">
    <vt:lpwstr>True</vt:lpwstr>
  </property>
</Properties>
</file>