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49696" w14:textId="11A64938" w:rsidR="0026613F" w:rsidRPr="00686E00" w:rsidRDefault="00F846B7" w:rsidP="00F846B7">
      <w:pPr>
        <w:pStyle w:val="Pagedecouverture"/>
        <w:rPr>
          <w:noProof/>
          <w:lang w:val="sk-SK"/>
        </w:rPr>
      </w:pPr>
      <w:bookmarkStart w:id="0" w:name="LW_BM_COVERPAGE"/>
      <w:r>
        <w:rPr>
          <w:noProof/>
          <w:lang w:val="sk-SK"/>
        </w:rPr>
        <w:pict w14:anchorId="0793BB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1FC8232D-3CD9-4B0E-B0AA-A393437979DC" style="width:455.25pt;height:399pt">
            <v:imagedata r:id="rId7" o:title=""/>
          </v:shape>
        </w:pict>
      </w:r>
    </w:p>
    <w:bookmarkEnd w:id="0"/>
    <w:p w14:paraId="25A1E19E" w14:textId="77777777" w:rsidR="0026613F" w:rsidRPr="00686E00" w:rsidRDefault="0026613F" w:rsidP="0026613F">
      <w:pPr>
        <w:rPr>
          <w:noProof/>
          <w:lang w:val="sk-SK"/>
        </w:rPr>
        <w:sectPr w:rsidR="0026613F" w:rsidRPr="00686E00" w:rsidSect="00F846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50504726" w14:textId="77777777" w:rsidR="00897858" w:rsidRPr="00686E00" w:rsidRDefault="00897858" w:rsidP="00897858">
      <w:pPr>
        <w:jc w:val="both"/>
        <w:rPr>
          <w:rFonts w:ascii="Times New Roman" w:hAnsi="Times New Roman" w:cs="Times New Roman"/>
          <w:b/>
          <w:noProof/>
          <w:sz w:val="24"/>
          <w:lang w:val="sk-SK"/>
        </w:rPr>
      </w:pPr>
      <w:bookmarkStart w:id="1" w:name="_GoBack"/>
      <w:bookmarkEnd w:id="1"/>
      <w:r w:rsidRPr="00686E00">
        <w:rPr>
          <w:rFonts w:ascii="Times New Roman" w:hAnsi="Times New Roman"/>
          <w:b/>
          <w:noProof/>
          <w:sz w:val="24"/>
          <w:lang w:val="sk-SK"/>
        </w:rPr>
        <w:lastRenderedPageBreak/>
        <w:t>Potreba konať</w:t>
      </w:r>
    </w:p>
    <w:p w14:paraId="32C66242" w14:textId="421A4D85" w:rsidR="00897858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Vo finančnom sektore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mimo neho sa prejavuje trend rozsiahlejšieho využívania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spoločného využívania údajov založený na technológiách.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súlade so stratégiou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oblasti digitálnych financií uverejnenou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roku 2020 je podpora financií založených na údajoch takisto jednou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z </w:t>
      </w:r>
      <w:r w:rsidRPr="00686E00">
        <w:rPr>
          <w:rFonts w:ascii="Times New Roman" w:hAnsi="Times New Roman"/>
          <w:noProof/>
          <w:sz w:val="24"/>
          <w:lang w:val="sk-SK"/>
        </w:rPr>
        <w:t>hlavných priorít programu Komisie. Dátové hospodárstvo podporované produkciou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využívaním údajov má značný rastový potenciál. Spomedzi rozličných sektorov predstavujú finančné služby najväčšieho používateľa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EÚ, pričom existujú rozsiahle prepojenia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inými sektormi. Uvoľnenie ďalšieho inovačného potenciálu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 xml:space="preserve">tomto sektore je preto kľúčové pre úspech širšej dátovej stratégie Komisie. </w:t>
      </w:r>
    </w:p>
    <w:p w14:paraId="7FB45590" w14:textId="40ECC162" w:rsidR="00897858" w:rsidRPr="00686E00" w:rsidRDefault="00897858" w:rsidP="00897858">
      <w:pPr>
        <w:jc w:val="both"/>
        <w:rPr>
          <w:noProof/>
          <w:u w:val="wave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Napriek značnému potenciálu mnohým inováciám bráni skutočnosť, že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výnimkou platobných účtov, na ktoré sa vzťahuje revidovaná smernica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platobných službách, zákazníci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oblasti finančných služieb nemajú účinnú kontrolu nad svojimi údajmi. Je preto pre nich ťažké vymieňať si údaje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inými poskytovateľmi, ktorí by ich mohli použiť na poskytovanie finančných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informačných služieb založených na údajoch zákazníkom. Dochádza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tomu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z </w:t>
      </w:r>
      <w:r w:rsidRPr="00686E00">
        <w:rPr>
          <w:rFonts w:ascii="Times New Roman" w:hAnsi="Times New Roman"/>
          <w:noProof/>
          <w:sz w:val="24"/>
          <w:lang w:val="sk-SK"/>
        </w:rPr>
        <w:t>niekoľkých dôvodov: po prvé, zákazníci nepociťujú dôveru,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preto sa zdráhajú poskytovať svoje údaje. Po druhé, aj keby zákazníci chceli poskytnúť svoje údaje, ich sprístupnenie 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praxi náročné,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to najmä pre nejasnú právnu situáciu, pokiaľ ide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prístup používateľov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týmto údajom. Po tretie, údaje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dátové rozhrania vo finančnom sektore nad rámec platobných účtov sú zriedka dostupné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ak dostupné sú, zväčša nie sú štandardizované,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dôsledku čoho je spracovanie údajov nákladnejšie.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napokon vlastníci údajov nemajú motiváciu vypracovať vysokokvalitné rozhrania, ktoré by spĺňali prevádzkové požiadavky používateľov údajov.</w:t>
      </w:r>
      <w:r w:rsidRPr="00686E00">
        <w:rPr>
          <w:noProof/>
          <w:u w:val="wave"/>
          <w:lang w:val="sk-SK"/>
        </w:rPr>
        <w:t xml:space="preserve"> </w:t>
      </w:r>
    </w:p>
    <w:p w14:paraId="4443827A" w14:textId="056D3125" w:rsidR="00897858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V dôsledku toho je pre nových účastníkov trhu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menších poskytovateľov inovatívnych služieb ťažšie ponúkať individualizované produkty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služby, ktoré by mohli viac vyhovovať osobitným potrebám zákazníkov, kým spotrebitelia nemajú prístup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týmto inovatívnym službám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v </w:t>
      </w:r>
      <w:r w:rsidRPr="00686E00">
        <w:rPr>
          <w:rFonts w:ascii="Times New Roman" w:hAnsi="Times New Roman"/>
          <w:noProof/>
          <w:sz w:val="24"/>
          <w:lang w:val="sk-SK"/>
        </w:rPr>
        <w:t>dôsledku obmedzenej hospodárskej súťaže budú za služby platiť vyššie poplatky. Existujúce prekážky navyše bránia podnikom –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to najmä malým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stredným podnikom (ďalej len „MSP“) – vo využívaní lepších, praktickejších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automatizovaných finančných služieb. Tieto prekážky takisto vedú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neustále nepriaznivým skúsenostiam zákazníkov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finančnými inštitúciami, keďže spomaľujú ich digitálnu transformáciu,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používateľov údajov, ktorí sú tretími stranami, pripravujú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obchodné príležitosti. Pokiaľ ide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hospodárstvo ako celok, brzdia prijatie obchodných modelov založených na údajoch, čo vedie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nižším investíciám súkromného sektora, nižšej miere využívania inovatívnych služieb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všeobecnému nedostatku istoty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dôvery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spoločné využívanie údajov.</w:t>
      </w:r>
    </w:p>
    <w:p w14:paraId="6CF16440" w14:textId="12CAE09E" w:rsidR="00897858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Rovnaké problémy zaznamenávajú všetky členské štáty EÚ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keďže držitelia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potenciálni používatelia finančných údajov na vnútornom trhu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finančnými službami často pôsobia vo viacerých členských štátoch, je nepravdepodobné, že by členské štáty tieto problémy dokázali vyriešiť samostatne. Uvedené problémy sa navyše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súčasnom právnom rámci EÚ dostatočne neriešia. Hoci EÚ prijala niekoľko právnych predpisov, ktoré sa uplatňujú vo všetkých odvetviach hospodárstva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kontexte Európskej dátovej stratégie, na to, aby dosiahli plný účinok, sa tieto predpisy ešte musia doplniť na odvetvovej úrovni. Na podporu rozšíriteľných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efektívnejších obchodných modelov, ktoré môžu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plnej miere využívať výhody jednotného trhu EÚ, sú potrebné nové sektorové predpisy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oblasti finančných služieb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EÚ, ktorých cieľom je dať zákazníkom – či už ide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spotrebiteľov alebo podniky – väčšiu kontrolu nad tým, ako sa realizuje prístup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ich finančným údajom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ako sa tieto údaje využívajú.</w:t>
      </w:r>
    </w:p>
    <w:p w14:paraId="039FD49A" w14:textId="77777777" w:rsidR="00897858" w:rsidRPr="00686E00" w:rsidRDefault="00897858" w:rsidP="00897858">
      <w:pPr>
        <w:keepNext/>
        <w:jc w:val="both"/>
        <w:rPr>
          <w:rFonts w:ascii="Times New Roman" w:hAnsi="Times New Roman" w:cs="Times New Roman"/>
          <w:b/>
          <w:noProof/>
          <w:sz w:val="24"/>
          <w:lang w:val="sk-SK"/>
        </w:rPr>
      </w:pPr>
      <w:r w:rsidRPr="00686E00">
        <w:rPr>
          <w:rFonts w:ascii="Times New Roman" w:hAnsi="Times New Roman"/>
          <w:b/>
          <w:noProof/>
          <w:sz w:val="24"/>
          <w:lang w:val="sk-SK"/>
        </w:rPr>
        <w:t>Možnosti politiky</w:t>
      </w:r>
    </w:p>
    <w:p w14:paraId="1C652282" w14:textId="1916A29A" w:rsidR="000938AB" w:rsidRPr="00686E00" w:rsidRDefault="00FA1ED0" w:rsidP="00FA1ED0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Pri príprave tohto posúdenia vplyvu sa objavili rôzne možnosti politiky.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možnostiach politiky sa takisto zohľadnilo úsilie expertnej skupiny Komisie pre európsky priestor pre finančné údaje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spätná väzba od zainteresovaných strán poskytnutá počas verejnej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cielenej konzultácie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otvorených financiách. Analyzované možnosti politiky sa rozdelili podľa špecifických cieľov, ktoré boli sformulované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reakcii na zistené príčiny problémov,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to takto: A) zvýšiť dôveru zákazníkov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spoločné využívanie údajov vo finančnom sektore; B) zaviazať držiteľov údajov, aby údaje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 sprístupnili používateľom údajov; C) podporiť štandardizáciu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príslušných rozhraní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D) podporiť zavedenie vysokokvalitných rozhraní na výmenu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 xml:space="preserve">zákazníkoch. </w:t>
      </w:r>
    </w:p>
    <w:p w14:paraId="25ABDA69" w14:textId="3AC2E957" w:rsidR="00897858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Možnosti sa analyzovali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ohľadom na ich účinnosť pri dosahovaní špecifických cieľov, ich efektívnosť</w:t>
      </w:r>
      <w:r w:rsidR="00A17CE7">
        <w:rPr>
          <w:rFonts w:ascii="Times New Roman" w:hAnsi="Times New Roman"/>
          <w:noProof/>
          <w:sz w:val="24"/>
          <w:lang w:val="sk-SK"/>
        </w:rPr>
        <w:t xml:space="preserve"> z </w:t>
      </w:r>
      <w:r w:rsidRPr="00686E00">
        <w:rPr>
          <w:rFonts w:ascii="Times New Roman" w:hAnsi="Times New Roman"/>
          <w:noProof/>
          <w:sz w:val="24"/>
          <w:lang w:val="sk-SK"/>
        </w:rPr>
        <w:t>hľadiska súvisiacich nákladov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ich súladu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existujúcim regulačným rámcom EÚ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 xml:space="preserve">oblasti spoločného využívania údajov. </w:t>
      </w:r>
    </w:p>
    <w:p w14:paraId="4CE6A60A" w14:textId="77777777" w:rsidR="00897858" w:rsidRPr="00686E00" w:rsidRDefault="00897858" w:rsidP="00897858">
      <w:pPr>
        <w:keepNext/>
        <w:jc w:val="both"/>
        <w:rPr>
          <w:rFonts w:ascii="Times New Roman" w:hAnsi="Times New Roman" w:cs="Times New Roman"/>
          <w:b/>
          <w:noProof/>
          <w:sz w:val="24"/>
          <w:lang w:val="sk-SK"/>
        </w:rPr>
      </w:pPr>
      <w:r w:rsidRPr="00686E00">
        <w:rPr>
          <w:rFonts w:ascii="Times New Roman" w:hAnsi="Times New Roman"/>
          <w:b/>
          <w:noProof/>
          <w:sz w:val="24"/>
          <w:lang w:val="sk-SK"/>
        </w:rPr>
        <w:t>Vplyvy uprednostňovanej možnosti</w:t>
      </w:r>
    </w:p>
    <w:p w14:paraId="477CBACE" w14:textId="77777777" w:rsidR="00897858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Na základe dôkladnej analýzy sa za uprednostňovaný určil tento balík možností politík:</w:t>
      </w:r>
    </w:p>
    <w:p w14:paraId="17173D44" w14:textId="5C37B27B" w:rsidR="00897858" w:rsidRPr="00686E00" w:rsidRDefault="00897858" w:rsidP="008978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požadovať, aby účastníci trhu zákazníkom poskytli prehľady povolení týkajúce sa otvorených financií, stanoviť pravidlá oprávnenosti prístupu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údajom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európskym orgánom dohľadu udeliť právomoc na vydávanie usmernení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rozsahu používania osobných údajov (možnosť A.3),</w:t>
      </w:r>
    </w:p>
    <w:p w14:paraId="719617AB" w14:textId="7B1068D7" w:rsidR="00897858" w:rsidRPr="00686E00" w:rsidRDefault="00897858" w:rsidP="008978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nariadiť povinný prístup používateľov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vybraným súborom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celom finančnom sektore (možnosť B.2),</w:t>
      </w:r>
    </w:p>
    <w:p w14:paraId="2616DD47" w14:textId="2ABB554C" w:rsidR="00897858" w:rsidRPr="00686E00" w:rsidRDefault="00897858" w:rsidP="008978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vyžadovať, aby účastníci trhu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rámci systémov spoločného využívania finančných údajov vypracovali spoločné normy pre údaje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rozhrania súvisiace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údajmi, ktoré podliehajú povinnému prístupu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rámci špecifického cieľa B (možnosť C.1),</w:t>
      </w:r>
    </w:p>
    <w:p w14:paraId="5633C4D5" w14:textId="145863F9" w:rsidR="00897858" w:rsidRPr="00686E00" w:rsidRDefault="00897858" w:rsidP="0089785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vyžadovať, aby držitelia údajov za náhradu zaviedli aplikačné programovacie rozhrania (API), prostredníctvom ktorých sa budú uplatňovať spoločné normy pre údaje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rozhrania vytvorené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rámci systémov spoločného využívania finančných údajov podľa cieľa C,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 xml:space="preserve">vyžadovať, aby sa členovia systému dohodli na zmluvnej zodpovednosti (možnosť D.3). </w:t>
      </w:r>
    </w:p>
    <w:p w14:paraId="3CDECCF3" w14:textId="1503730A" w:rsidR="00032541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Politika otvorených financií by mala pozitívny vplyv na spoločnosť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životné prostredie, ako aj na základné práva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MSP. Zákazníci, ktorí by boli ochotní sprístupniť svoje údaje, by čerpali výhody vyplývajúce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z </w:t>
      </w:r>
      <w:r w:rsidRPr="00686E00">
        <w:rPr>
          <w:rFonts w:ascii="Times New Roman" w:hAnsi="Times New Roman"/>
          <w:noProof/>
          <w:sz w:val="24"/>
          <w:lang w:val="sk-SK"/>
        </w:rPr>
        <w:t>nových produktov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služieb, ktoré by zlepšili ich hospodárske výsledky. Náležite vymedzený rozsah pôsobnosti tejto iniciatívy by zároveň úplne vylučoval súbory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najvyšším rizikom finančného vylúčenia zraniteľných spotrebiteľov. Prehľady povolení týkajúce sa otvorených financií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spojení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pravidlami oprávnenosti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rozsahom používania osobných údajov by navyše zákazníkov chránili pred inými potenciálnymi negatívnymi vplyvmi na právo na ochranu osobných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 xml:space="preserve">na právo na súkromie. </w:t>
      </w:r>
    </w:p>
    <w:p w14:paraId="328683F1" w14:textId="6A5B1BE5" w:rsidR="00032541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Údaje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 by sa poskytovali výlučne na žiadosť zákazníka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v </w:t>
      </w:r>
      <w:r w:rsidRPr="00686E00">
        <w:rPr>
          <w:rFonts w:ascii="Times New Roman" w:hAnsi="Times New Roman"/>
          <w:noProof/>
          <w:sz w:val="24"/>
          <w:lang w:val="sk-SK"/>
        </w:rPr>
        <w:t>súlade so všeobecným nariadením EÚ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ochrane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prípade osobných údajov, čím by sa zvýšila celková dôvera zákazníkov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spoločné využívanie údajov. Držitelia údajov by mali povinnosť poskytnúť prístup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súborom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celom finančnom sektore, ktoré majú vysokú pridanú hodnotu pre používateľov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ktoré pre zákazníkov predstavujú nízke riziko finančného vylúčenia. Tým by sa umožnila väčšia hospodárska súťaž, lepší prístup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finančným službám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zlepšila by sa skúsenosť zákazníkov prostredníctvom automatizácie. Požiadavka, aby účastníci trhu dodržiavali systém na vypracovanie spoločných noriem pre údaje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rozhrania, bude mať rovnaký vplyv na držiteľov údajov, používateľov údajov aj zákazníkov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uľahčí priame prepojenie medzi držiteľmi údajov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ich používateľmi, čím sa znížia náklady na prístup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údajom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 xml:space="preserve">ich spracovanie. </w:t>
      </w:r>
    </w:p>
    <w:p w14:paraId="1B1309A1" w14:textId="627C2072" w:rsidR="00897858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Právo držiteľov údajov požadovať primeranú náhradu za poskytovanie štandardizovaných technických rozhraní by im poskytlo jasnú motiváciu realizovať nevyhnutné investície do kvalitných rozhraní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urýchlilo by ich prijatie odvetvím. Hoci držitelia údajov budú musieť investovať do technických rozhraní, náklady na ich zriadenie sa časom prenesú na používateľov údajov. Obmedzením výšky tejto náhrady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súlade</w:t>
      </w:r>
      <w:r w:rsidR="00A17CE7">
        <w:rPr>
          <w:rFonts w:ascii="Times New Roman" w:hAnsi="Times New Roman"/>
          <w:noProof/>
          <w:sz w:val="24"/>
          <w:lang w:val="sk-SK"/>
        </w:rPr>
        <w:t xml:space="preserve"> s </w:t>
      </w:r>
      <w:r w:rsidRPr="00686E00">
        <w:rPr>
          <w:rFonts w:ascii="Times New Roman" w:hAnsi="Times New Roman"/>
          <w:noProof/>
          <w:sz w:val="24"/>
          <w:lang w:val="sk-SK"/>
        </w:rPr>
        <w:t>ustanoveniami uvedenými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návrhu aktu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údajoch, ktorými sa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prípade používateľov údajov, ktorými sú MSP, určuje maximálna výška náhrady na úrovni nákladov, sa riziko neželaných protisúťažných účinkov udržuje pod kontrolou.</w:t>
      </w:r>
    </w:p>
    <w:p w14:paraId="17DB5767" w14:textId="45C5955D" w:rsidR="00A17CE7" w:rsidRPr="00686E00" w:rsidRDefault="00897858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Z rámca pre otvorené financie by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obidvoch uvedených úlohách profitovali MSP, ktoré môžu byť buď používateľmi údajov alebo zákazníkmi.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úlohe zákazníkov by sa ich bezpečnosť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dôvera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výmene údajov posilnila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boli by schopní získať prístup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inovatívnejším službám, čo by mohlo viesť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zníženiu ich nákladov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prispieť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ich konkurencieschopnosti.</w:t>
      </w:r>
      <w:r w:rsidR="00A17CE7">
        <w:rPr>
          <w:rFonts w:ascii="Times New Roman" w:hAnsi="Times New Roman"/>
          <w:noProof/>
          <w:sz w:val="24"/>
          <w:lang w:val="sk-SK"/>
        </w:rPr>
        <w:t xml:space="preserve"> V </w:t>
      </w:r>
      <w:r w:rsidRPr="00686E00">
        <w:rPr>
          <w:rFonts w:ascii="Times New Roman" w:hAnsi="Times New Roman"/>
          <w:noProof/>
          <w:sz w:val="24"/>
          <w:lang w:val="sk-SK"/>
        </w:rPr>
        <w:t>postavení používateľov údajov by MSP znášali náklady na poskytovanie prehľadov povolení týkajúcich sa otvorených financií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na udeľovanie licencií na prístup</w:t>
      </w:r>
      <w:r w:rsidR="00A17CE7">
        <w:rPr>
          <w:rFonts w:ascii="Times New Roman" w:hAnsi="Times New Roman"/>
          <w:noProof/>
          <w:sz w:val="24"/>
          <w:lang w:val="sk-SK"/>
        </w:rPr>
        <w:t xml:space="preserve"> k </w:t>
      </w:r>
      <w:r w:rsidRPr="00686E00">
        <w:rPr>
          <w:rFonts w:ascii="Times New Roman" w:hAnsi="Times New Roman"/>
          <w:noProof/>
          <w:sz w:val="24"/>
          <w:lang w:val="sk-SK"/>
        </w:rPr>
        <w:t>údajom</w:t>
      </w:r>
      <w:r w:rsidR="00A17CE7">
        <w:rPr>
          <w:rFonts w:ascii="Times New Roman" w:hAnsi="Times New Roman"/>
          <w:noProof/>
          <w:sz w:val="24"/>
          <w:lang w:val="sk-SK"/>
        </w:rPr>
        <w:t xml:space="preserve"> o </w:t>
      </w:r>
      <w:r w:rsidRPr="00686E00">
        <w:rPr>
          <w:rFonts w:ascii="Times New Roman" w:hAnsi="Times New Roman"/>
          <w:noProof/>
          <w:sz w:val="24"/>
          <w:lang w:val="sk-SK"/>
        </w:rPr>
        <w:t>zákazníkoch, kým inovatívne služby by mohli zvýšiť ich efektívnosť</w:t>
      </w:r>
      <w:r w:rsidR="00A17CE7">
        <w:rPr>
          <w:rFonts w:ascii="Times New Roman" w:hAnsi="Times New Roman"/>
          <w:noProof/>
          <w:sz w:val="24"/>
          <w:lang w:val="sk-SK"/>
        </w:rPr>
        <w:t xml:space="preserve"> a </w:t>
      </w:r>
      <w:r w:rsidRPr="00686E00">
        <w:rPr>
          <w:rFonts w:ascii="Times New Roman" w:hAnsi="Times New Roman"/>
          <w:noProof/>
          <w:sz w:val="24"/>
          <w:lang w:val="sk-SK"/>
        </w:rPr>
        <w:t>prostredníctvom štandardizácie údajov by vznikli nové obchodné príležitosti. Predpokladá sa, že iniciatívou sa uľahčí vstup na trh inovatívnych startupov, ktoré ponúkajú nové druhy služieb založené na nových obchodných modeloch.</w:t>
      </w:r>
      <w:r w:rsidR="00A17CE7">
        <w:rPr>
          <w:rFonts w:ascii="Times New Roman" w:hAnsi="Times New Roman"/>
          <w:noProof/>
          <w:sz w:val="24"/>
          <w:lang w:val="sk-SK"/>
        </w:rPr>
        <w:t xml:space="preserve"> </w:t>
      </w:r>
    </w:p>
    <w:p w14:paraId="50B5B42D" w14:textId="54B4D160" w:rsidR="00F31280" w:rsidRPr="00686E00" w:rsidRDefault="00032541" w:rsidP="00897858">
      <w:pPr>
        <w:jc w:val="both"/>
        <w:rPr>
          <w:rFonts w:ascii="Times New Roman" w:hAnsi="Times New Roman" w:cs="Times New Roman"/>
          <w:noProof/>
          <w:sz w:val="24"/>
          <w:lang w:val="sk-SK"/>
        </w:rPr>
      </w:pPr>
      <w:r w:rsidRPr="00686E00">
        <w:rPr>
          <w:rFonts w:ascii="Times New Roman" w:hAnsi="Times New Roman"/>
          <w:noProof/>
          <w:sz w:val="24"/>
          <w:lang w:val="sk-SK"/>
        </w:rPr>
        <w:t>Zatiaľ čo sa vplyv iniciatívy bude monitorovať od nadobudnutia jej platnosti, jej hodnotenie by sa malo uskutočniť najskôr tri roky po začiatku jej vykonávania</w:t>
      </w:r>
      <w:r w:rsidRPr="00686E00">
        <w:rPr>
          <w:noProof/>
          <w:lang w:val="sk-SK"/>
        </w:rPr>
        <w:t xml:space="preserve">. </w:t>
      </w:r>
      <w:r w:rsidRPr="00686E00">
        <w:rPr>
          <w:rFonts w:ascii="Times New Roman" w:hAnsi="Times New Roman"/>
          <w:noProof/>
          <w:sz w:val="24"/>
          <w:lang w:val="sk-SK"/>
        </w:rPr>
        <w:t>Vďaka tomu budú výsledky založené na dostatočne dlhom období sledovania.</w:t>
      </w:r>
    </w:p>
    <w:sectPr w:rsidR="00F31280" w:rsidRPr="00686E00" w:rsidSect="0026613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9C53B" w14:textId="77777777" w:rsidR="00595C96" w:rsidRDefault="00595C96" w:rsidP="0026613F">
      <w:pPr>
        <w:spacing w:after="0" w:line="240" w:lineRule="auto"/>
      </w:pPr>
      <w:r>
        <w:separator/>
      </w:r>
    </w:p>
  </w:endnote>
  <w:endnote w:type="continuationSeparator" w:id="0">
    <w:p w14:paraId="21EB7AC4" w14:textId="77777777" w:rsidR="00595C96" w:rsidRDefault="00595C96" w:rsidP="0026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4EC8A" w14:textId="2B048CBB" w:rsidR="00686E00" w:rsidRPr="00F846B7" w:rsidRDefault="00686E00" w:rsidP="00F84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83175" w14:textId="1F1F7FA0" w:rsidR="00686E00" w:rsidRPr="00F846B7" w:rsidRDefault="00F846B7" w:rsidP="00F846B7">
    <w:pPr>
      <w:pStyle w:val="FooterCoverPage"/>
      <w:rPr>
        <w:rFonts w:ascii="Arial" w:hAnsi="Arial" w:cs="Arial"/>
        <w:b/>
        <w:sz w:val="48"/>
      </w:rPr>
    </w:pPr>
    <w:r w:rsidRPr="00F846B7">
      <w:rPr>
        <w:rFonts w:ascii="Arial" w:hAnsi="Arial" w:cs="Arial"/>
        <w:b/>
        <w:sz w:val="48"/>
      </w:rPr>
      <w:t>SK</w:t>
    </w:r>
    <w:r w:rsidRPr="00F846B7">
      <w:rPr>
        <w:rFonts w:ascii="Arial" w:hAnsi="Arial" w:cs="Arial"/>
        <w:b/>
        <w:sz w:val="48"/>
      </w:rPr>
      <w:tab/>
    </w:r>
    <w:r w:rsidRPr="00F846B7">
      <w:rPr>
        <w:rFonts w:ascii="Arial" w:hAnsi="Arial" w:cs="Arial"/>
        <w:b/>
        <w:sz w:val="48"/>
      </w:rPr>
      <w:tab/>
    </w:r>
    <w:r w:rsidRPr="00F846B7">
      <w:tab/>
    </w:r>
    <w:r w:rsidRPr="00F846B7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F2263" w14:textId="77777777" w:rsidR="00F846B7" w:rsidRPr="00F846B7" w:rsidRDefault="00F846B7" w:rsidP="00F846B7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C255D" w14:textId="77777777" w:rsidR="00595C96" w:rsidRDefault="00595C9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100745"/>
      <w:docPartObj>
        <w:docPartGallery w:val="Page Numbers (Bottom of Page)"/>
        <w:docPartUnique/>
      </w:docPartObj>
    </w:sdtPr>
    <w:sdtEndPr/>
    <w:sdtContent>
      <w:p w14:paraId="3731740B" w14:textId="6127FF02" w:rsidR="00595C96" w:rsidRDefault="00C152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6B7">
          <w:rPr>
            <w:noProof/>
          </w:rPr>
          <w:t>1</w:t>
        </w:r>
        <w:r>
          <w:fldChar w:fldCharType="end"/>
        </w:r>
      </w:p>
    </w:sdtContent>
  </w:sdt>
  <w:p w14:paraId="7F3D8F4D" w14:textId="77777777" w:rsidR="00595C96" w:rsidRDefault="00595C9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E872D" w14:textId="77777777" w:rsidR="00595C96" w:rsidRDefault="00595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32A8C" w14:textId="77777777" w:rsidR="00595C96" w:rsidRDefault="00595C96" w:rsidP="0026613F">
      <w:pPr>
        <w:spacing w:after="0" w:line="240" w:lineRule="auto"/>
      </w:pPr>
      <w:r>
        <w:separator/>
      </w:r>
    </w:p>
  </w:footnote>
  <w:footnote w:type="continuationSeparator" w:id="0">
    <w:p w14:paraId="76748CEA" w14:textId="77777777" w:rsidR="00595C96" w:rsidRDefault="00595C96" w:rsidP="0026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A788D" w14:textId="77777777" w:rsidR="00F846B7" w:rsidRPr="00F846B7" w:rsidRDefault="00F846B7" w:rsidP="00F84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317A7" w14:textId="77777777" w:rsidR="00F846B7" w:rsidRPr="00F846B7" w:rsidRDefault="00F846B7" w:rsidP="00F846B7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D214B" w14:textId="77777777" w:rsidR="00F846B7" w:rsidRPr="00F846B7" w:rsidRDefault="00F846B7" w:rsidP="00F846B7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0761A" w14:textId="77777777" w:rsidR="00595C96" w:rsidRDefault="00595C9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FEA3A" w14:textId="77777777" w:rsidR="00595C96" w:rsidRDefault="00595C9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BD7DC" w14:textId="77777777" w:rsidR="00595C96" w:rsidRDefault="00595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07DD"/>
    <w:multiLevelType w:val="hybridMultilevel"/>
    <w:tmpl w:val="9D5A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05F7F"/>
    <w:multiLevelType w:val="hybridMultilevel"/>
    <w:tmpl w:val="E6F6019C"/>
    <w:lvl w:ilvl="0" w:tplc="C56A2760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26E90"/>
    <w:multiLevelType w:val="hybridMultilevel"/>
    <w:tmpl w:val="94B6A0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1522"/>
    <w:multiLevelType w:val="hybridMultilevel"/>
    <w:tmpl w:val="E2160F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344F8"/>
    <w:multiLevelType w:val="hybridMultilevel"/>
    <w:tmpl w:val="38F6A5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Sprievodný dokument"/>
    <w:docVar w:name="LW_CORRIGENDUM" w:val="&lt;UNUSED&gt;"/>
    <w:docVar w:name="LW_COVERPAGE_EXISTS" w:val="True"/>
    <w:docVar w:name="LW_COVERPAGE_GUID" w:val="1FC8232D-3CD9-4B0E-B0AA-A393437979DC"/>
    <w:docVar w:name="LW_COVERPAGE_TYPE" w:val="1"/>
    <w:docVar w:name="LW_CROSSREFERENCE" w:val="{COM(2023) 360 final} - {SEC(2023) 255 final} - {SWD(2023) 224 final}"/>
    <w:docVar w:name="LW_DocType" w:val="NORMAL"/>
    <w:docVar w:name="LW_EMISSION" w:val="28. 6. 2023"/>
    <w:docVar w:name="LW_EMISSION_ISODATE" w:val="2023-06-28"/>
    <w:docVar w:name="LW_EMISSION_LOCATION" w:val="BRX"/>
    <w:docVar w:name="LW_EMISSION_PREFIX" w:val="V Bruseli"/>
    <w:docVar w:name="LW_EMISSION_SUFFIX" w:val=" "/>
    <w:docVar w:name="LW_ID_DOCTYPE_NONLW" w:val="CP-027"/>
    <w:docVar w:name="LW_LANGUE" w:val="SK"/>
    <w:docVar w:name="LW_LEVEL_OF_SENSITIVITY" w:val="Standard treatment"/>
    <w:docVar w:name="LW_NOM.INST" w:val="EURÓPSKA KOMISIA"/>
    <w:docVar w:name="LW_NOM.INST_JOINTDOC" w:val="&lt;EMPTY&gt;"/>
    <w:docVar w:name="LW_OBJETACTEPRINCIPAL.CP" w:val="o rámci pre prístup k finančným údajom a o zmene nariadení (EÚ) č. 1093/2010, (EÚ) č. 1094/2010, (EÚ) č. 1095/2010 a (EÚ) 2022/2554"/>
    <w:docVar w:name="LW_PART_NBR" w:val="1"/>
    <w:docVar w:name="LW_PART_NBR_TOTAL" w:val="1"/>
    <w:docVar w:name="LW_REF.INST.NEW" w:val="SWD"/>
    <w:docVar w:name="LW_REF.INST.NEW_ADOPTED" w:val="final"/>
    <w:docVar w:name="LW_REF.INST.NEW_TEXT" w:val="(2023) 23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PRACOVNÝ DOKUMENT ÚTVAROV KOMISIE_x000b__x000b_ZHRNUTIE SPRÁVY O POSÚDENÍ VPLYVU_x000b_"/>
    <w:docVar w:name="LW_TYPEACTEPRINCIPAL.CP" w:val="Návrh nariadenia Európskeho parlamentu a Rady"/>
    <w:docVar w:name="LwApiVersions" w:val="LW4CoDe 1.23.2.0; LW 8.0, Build 20211117"/>
  </w:docVars>
  <w:rsids>
    <w:rsidRoot w:val="0026613F"/>
    <w:rsid w:val="00032541"/>
    <w:rsid w:val="00086CB2"/>
    <w:rsid w:val="000938AB"/>
    <w:rsid w:val="000F0E57"/>
    <w:rsid w:val="000F5C3E"/>
    <w:rsid w:val="00110A1A"/>
    <w:rsid w:val="00157D3C"/>
    <w:rsid w:val="001C4778"/>
    <w:rsid w:val="002008DD"/>
    <w:rsid w:val="00216635"/>
    <w:rsid w:val="00223A84"/>
    <w:rsid w:val="002529A1"/>
    <w:rsid w:val="002557AE"/>
    <w:rsid w:val="0026613F"/>
    <w:rsid w:val="00270934"/>
    <w:rsid w:val="003A0DF2"/>
    <w:rsid w:val="003A5305"/>
    <w:rsid w:val="003C385F"/>
    <w:rsid w:val="003C7713"/>
    <w:rsid w:val="003F78DA"/>
    <w:rsid w:val="004A3979"/>
    <w:rsid w:val="005525E8"/>
    <w:rsid w:val="00595C96"/>
    <w:rsid w:val="00624693"/>
    <w:rsid w:val="00625497"/>
    <w:rsid w:val="00664C3A"/>
    <w:rsid w:val="00686E00"/>
    <w:rsid w:val="006938D5"/>
    <w:rsid w:val="006B7663"/>
    <w:rsid w:val="006E75B6"/>
    <w:rsid w:val="00736DB4"/>
    <w:rsid w:val="007A458B"/>
    <w:rsid w:val="008116C5"/>
    <w:rsid w:val="00897858"/>
    <w:rsid w:val="008B7E68"/>
    <w:rsid w:val="009C31D1"/>
    <w:rsid w:val="009F0590"/>
    <w:rsid w:val="00A17CE7"/>
    <w:rsid w:val="00B1566B"/>
    <w:rsid w:val="00B974C5"/>
    <w:rsid w:val="00C15247"/>
    <w:rsid w:val="00D00FEF"/>
    <w:rsid w:val="00D20FD1"/>
    <w:rsid w:val="00D6261A"/>
    <w:rsid w:val="00E804D9"/>
    <w:rsid w:val="00EC0B54"/>
    <w:rsid w:val="00F31280"/>
    <w:rsid w:val="00F50800"/>
    <w:rsid w:val="00F846B7"/>
    <w:rsid w:val="00FA1ED0"/>
    <w:rsid w:val="00FB5120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636829B6"/>
  <w15:chartTrackingRefBased/>
  <w15:docId w15:val="{FBF794B3-F85B-4F75-89A5-05B98C52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26613F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26613F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6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3F"/>
  </w:style>
  <w:style w:type="paragraph" w:styleId="Footer">
    <w:name w:val="footer"/>
    <w:basedOn w:val="Normal"/>
    <w:link w:val="FooterChar"/>
    <w:uiPriority w:val="99"/>
    <w:unhideWhenUsed/>
    <w:rsid w:val="0026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3F"/>
  </w:style>
  <w:style w:type="paragraph" w:customStyle="1" w:styleId="FooterCoverPage">
    <w:name w:val="Footer Cover Page"/>
    <w:basedOn w:val="Normal"/>
    <w:link w:val="FooterCoverPageChar"/>
    <w:rsid w:val="0026613F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6613F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2661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6613F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26613F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6613F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2661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6613F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26613F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6613F"/>
    <w:rPr>
      <w:rFonts w:ascii="Times New Roman" w:hAnsi="Times New Roman" w:cs="Times New Roman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897858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897858"/>
  </w:style>
  <w:style w:type="character" w:styleId="CommentReference">
    <w:name w:val="annotation reference"/>
    <w:basedOn w:val="DefaultParagraphFont"/>
    <w:uiPriority w:val="99"/>
    <w:semiHidden/>
    <w:unhideWhenUsed/>
    <w:rsid w:val="000938AB"/>
    <w:rPr>
      <w:sz w:val="16"/>
    </w:rPr>
  </w:style>
  <w:style w:type="paragraph" w:styleId="CommentText">
    <w:name w:val="annotation text"/>
    <w:basedOn w:val="Normal"/>
    <w:link w:val="CommentTextChar"/>
    <w:unhideWhenUsed/>
    <w:qFormat/>
    <w:rsid w:val="000938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938A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8AB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8AB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8AB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8AB"/>
    <w:rPr>
      <w:rFonts w:ascii="Segoe UI" w:hAnsi="Segoe UI" w:cs="Segoe UI"/>
      <w:sz w:val="18"/>
    </w:rPr>
  </w:style>
  <w:style w:type="character" w:styleId="Hyperlink">
    <w:name w:val="Hyperlink"/>
    <w:basedOn w:val="DefaultParagraphFont"/>
    <w:uiPriority w:val="99"/>
    <w:unhideWhenUsed/>
    <w:rsid w:val="000938A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E3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1276</Words>
  <Characters>7981</Characters>
  <Application>Microsoft Office Word</Application>
  <DocSecurity>0</DocSecurity>
  <Lines>119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40</cp:revision>
  <dcterms:created xsi:type="dcterms:W3CDTF">2023-06-16T10:09:00Z</dcterms:created>
  <dcterms:modified xsi:type="dcterms:W3CDTF">2023-09-06T16:15:00Z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Last edited using">
    <vt:lpwstr>LW 9.0, Build 20230317</vt:lpwstr>
  </property>
  <property fmtid="{D5CDD505-2E9C-101B-9397-08002B2CF9AE}" pid="8" name="Created using">
    <vt:lpwstr>LW 7.0.1, Build 20190916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2023-05-17T06:33:51Z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9f6f175f-a6b8-4975-a464-eb661ea57601</vt:lpwstr>
  </property>
  <property fmtid="{D5CDD505-2E9C-101B-9397-08002B2CF9AE}" pid="15" name="MSIP_Label_6bd9ddd1-4d20-43f6-abfa-fc3c07406f94_ContentBits">
    <vt:lpwstr>0</vt:lpwstr>
  </property>
  <property name="OP_sanitized" fmtid="{D5CDD505-2E9C-101B-9397-08002B2CF9AE}" pid="16">
    <vt:lpwstr>True</vt:lpwstr>
  </property>
</Properties>
</file>