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39F158" w14:textId="0EAE316B" w:rsidR="0020787E" w:rsidRPr="007D4FBA" w:rsidRDefault="00DB61CA" w:rsidP="00DB61CA">
      <w:pPr>
        <w:pStyle w:val="Pagedecouverture"/>
        <w:rPr>
          <w:noProof/>
        </w:rPr>
      </w:pPr>
      <w:r>
        <w:rPr>
          <w:noProof/>
        </w:rPr>
        <w:pict w14:anchorId="3A8A96B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5" type="#_x0000_t75" alt="4107D3E2-F75E-436C-B692-1FC4DF85839A" style="width:455.25pt;height:438.75pt">
            <v:imagedata r:id="rId8" o:title=""/>
          </v:shape>
        </w:pict>
      </w:r>
    </w:p>
    <w:p w14:paraId="0CEC6DC0" w14:textId="77777777" w:rsidR="0020787E" w:rsidRPr="007D4FBA" w:rsidRDefault="0020787E" w:rsidP="0020787E">
      <w:pPr>
        <w:rPr>
          <w:noProof/>
        </w:rPr>
        <w:sectPr w:rsidR="0020787E" w:rsidRPr="007D4FBA" w:rsidSect="00DB61CA">
          <w:footerReference w:type="default" r:id="rId9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653B1BBD" w14:textId="77777777" w:rsidR="0020787E" w:rsidRPr="007D4FBA" w:rsidRDefault="0020787E" w:rsidP="00BB6B30">
      <w:pPr>
        <w:pStyle w:val="Exposdesmotifstitre"/>
        <w:rPr>
          <w:noProof/>
        </w:rPr>
      </w:pPr>
      <w:bookmarkStart w:id="0" w:name="_GoBack"/>
      <w:bookmarkEnd w:id="0"/>
      <w:r w:rsidRPr="007D4FBA">
        <w:rPr>
          <w:noProof/>
        </w:rPr>
        <w:lastRenderedPageBreak/>
        <w:t>DÔVODOVÁ SPRÁVA</w:t>
      </w:r>
    </w:p>
    <w:p w14:paraId="27A41C52" w14:textId="54FFAB83" w:rsidR="0020787E" w:rsidRPr="007D4FBA" w:rsidRDefault="007E224E" w:rsidP="007E224E">
      <w:pPr>
        <w:pStyle w:val="ManualHeading1"/>
        <w:rPr>
          <w:rFonts w:eastAsia="Arial Unicode MS"/>
          <w:noProof/>
        </w:rPr>
      </w:pPr>
      <w:r w:rsidRPr="007E224E">
        <w:t>1.</w:t>
      </w:r>
      <w:r w:rsidRPr="007E224E">
        <w:tab/>
      </w:r>
      <w:r w:rsidR="0020787E" w:rsidRPr="007D4FBA">
        <w:rPr>
          <w:noProof/>
        </w:rPr>
        <w:t>Predmet návrhu</w:t>
      </w:r>
    </w:p>
    <w:p w14:paraId="5DDF3687" w14:textId="0D9D4747" w:rsidR="0020787E" w:rsidRPr="007D4FBA" w:rsidRDefault="0020787E" w:rsidP="00736AA9">
      <w:pPr>
        <w:rPr>
          <w:rFonts w:eastAsia="Arial Unicode MS"/>
          <w:noProof/>
        </w:rPr>
      </w:pPr>
      <w:bookmarkStart w:id="1" w:name="_Hlk144829166"/>
      <w:r w:rsidRPr="007D4FBA">
        <w:rPr>
          <w:noProof/>
        </w:rPr>
        <w:t>Tento návrh sa týka rozhodnutia o pozícii, ktorá sa má zaujať v mene Únie na 23. zasadnutí Zhromaždenia zmluvných strán Dohovoru o ochrane morského prostredia a pobrežných oblastí Stredozemného mora (ďalej len „Barcelonský dohovor“) a jeho protokolov, v súvislosti s pripravovaným prijatím troch nových regionálnych plánov (regionálny plán o riadení poľnohospodárstva, regionálny plán o riadení akvakultúry a regionálny plán o nakladaní so zrážkovou vodou v mestách) na základe článku 15 Protokolu o ochrane Stredozemného mora pred znečisťovaním zo zdrojov na pevnine a s prijatím zmien príloh II a III k Protokolu o osobitných chránených oblastiach a biologickej rozmanitosti.</w:t>
      </w:r>
    </w:p>
    <w:bookmarkEnd w:id="1"/>
    <w:p w14:paraId="573BB07C" w14:textId="02E98E2B" w:rsidR="0020787E" w:rsidRPr="007D4FBA" w:rsidRDefault="007E224E" w:rsidP="007E224E">
      <w:pPr>
        <w:pStyle w:val="ManualHeading1"/>
        <w:rPr>
          <w:noProof/>
        </w:rPr>
      </w:pPr>
      <w:r w:rsidRPr="007E224E">
        <w:t>2.</w:t>
      </w:r>
      <w:r w:rsidRPr="007E224E">
        <w:tab/>
      </w:r>
      <w:r w:rsidR="0020787E" w:rsidRPr="007D4FBA">
        <w:rPr>
          <w:noProof/>
        </w:rPr>
        <w:t>Kontext návrhu</w:t>
      </w:r>
    </w:p>
    <w:p w14:paraId="27EE5DEA" w14:textId="3A9F0E04" w:rsidR="0020787E" w:rsidRPr="007D4FBA" w:rsidRDefault="007E224E" w:rsidP="007E224E">
      <w:pPr>
        <w:pStyle w:val="ManualHeading2"/>
        <w:rPr>
          <w:noProof/>
        </w:rPr>
      </w:pPr>
      <w:r w:rsidRPr="007E224E">
        <w:t>2.1.</w:t>
      </w:r>
      <w:r w:rsidRPr="007E224E">
        <w:tab/>
      </w:r>
      <w:r w:rsidR="0020787E" w:rsidRPr="007D4FBA">
        <w:rPr>
          <w:noProof/>
        </w:rPr>
        <w:t>Dohovor o ochrane morského prostredia a pobrežných oblastí Stredozemného mora a jeho protokoly</w:t>
      </w:r>
    </w:p>
    <w:p w14:paraId="7E959DD0" w14:textId="77777777" w:rsidR="0020787E" w:rsidRPr="007D4FBA" w:rsidRDefault="0020787E" w:rsidP="00736AA9">
      <w:pPr>
        <w:rPr>
          <w:rFonts w:eastAsia="Arial Unicode MS"/>
          <w:noProof/>
        </w:rPr>
      </w:pPr>
      <w:r w:rsidRPr="007D4FBA">
        <w:rPr>
          <w:noProof/>
        </w:rPr>
        <w:t>Barcelonský dohovor a jeho sedem protokolov, ktoré boli prijaté ako súčasť akčného plánu pre Stredozemné more</w:t>
      </w:r>
      <w:r w:rsidRPr="007D4FBA">
        <w:rPr>
          <w:rStyle w:val="FootnoteReference"/>
          <w:rFonts w:eastAsia="Arial Unicode MS"/>
          <w:noProof/>
        </w:rPr>
        <w:footnoteReference w:id="1"/>
      </w:r>
      <w:r w:rsidRPr="007D4FBA">
        <w:rPr>
          <w:noProof/>
        </w:rPr>
        <w:t>, predstavujú hlavnú právne záväznú mnohostrannú environmentálnu dohodu pre Stredozemné more a ich cieľom je chrániť morské a pobrežné prostredie Stredozemného mora. Barcelonský dohovor nadobudol platnosť v roku 1978 a v roku 1995 bol zmenený. Zmeny Barcelonského dohovoru nadobudli platnosť v roku 2004.</w:t>
      </w:r>
    </w:p>
    <w:p w14:paraId="4CD44386" w14:textId="77777777" w:rsidR="00F86F83" w:rsidRPr="007D4FBA" w:rsidRDefault="00F86F83" w:rsidP="00736AA9">
      <w:pPr>
        <w:rPr>
          <w:rFonts w:eastAsia="Arial Unicode MS"/>
          <w:noProof/>
        </w:rPr>
      </w:pPr>
      <w:bookmarkStart w:id="2" w:name="_Hlk144813563"/>
      <w:r w:rsidRPr="007D4FBA">
        <w:rPr>
          <w:noProof/>
        </w:rPr>
        <w:t>Protokol o ochrane Stredozemného mora pred znečisťovaním zo zdrojov na pevnine (ďalej len „protokol o zdrojoch na pevnine“) je zameraný na prevenciu, zníženie a podľa možnosti úplnú elimináciu znečisťovania Stredozemného mora zhadzovaním odpadov alebo iných látok.</w:t>
      </w:r>
    </w:p>
    <w:p w14:paraId="062F5B67" w14:textId="77777777" w:rsidR="002125D9" w:rsidRPr="007D4FBA" w:rsidRDefault="002125D9" w:rsidP="00736AA9">
      <w:pPr>
        <w:rPr>
          <w:rFonts w:eastAsia="Arial Unicode MS"/>
          <w:noProof/>
        </w:rPr>
      </w:pPr>
      <w:r w:rsidRPr="007D4FBA">
        <w:rPr>
          <w:noProof/>
        </w:rPr>
        <w:t>Protokol o osobitných chránených oblastiach a biologickej rozmanitosti (ďalej len „protokol o OCHO a biologickej rozmanitosti“) je zameraný na ochranu biologickej rozmanitosti v Stredozemnom mori vytváraním a riadením osobitne chránených oblastí, ako aj chránením a zachovaním druhov.</w:t>
      </w:r>
    </w:p>
    <w:p w14:paraId="61D22B39" w14:textId="77777777" w:rsidR="0020787E" w:rsidRPr="007D4FBA" w:rsidRDefault="0020787E" w:rsidP="00736AA9">
      <w:pPr>
        <w:rPr>
          <w:rFonts w:eastAsia="Arial Unicode MS"/>
          <w:noProof/>
        </w:rPr>
      </w:pPr>
      <w:r w:rsidRPr="007D4FBA">
        <w:rPr>
          <w:noProof/>
        </w:rPr>
        <w:t>Európska únia je zmluvnou stranou Barcelonského dohovoru a jeho protokolov vrátane protokolu o zdrojoch na pevnine</w:t>
      </w:r>
      <w:r w:rsidRPr="007D4FBA">
        <w:rPr>
          <w:rStyle w:val="FootnoteReference"/>
          <w:rFonts w:eastAsia="Arial Unicode MS"/>
          <w:noProof/>
        </w:rPr>
        <w:footnoteReference w:id="2"/>
      </w:r>
      <w:r w:rsidRPr="007D4FBA">
        <w:rPr>
          <w:noProof/>
        </w:rPr>
        <w:t xml:space="preserve"> a protokolu o OCHO a biologickej rozmanitosti</w:t>
      </w:r>
      <w:r w:rsidRPr="007D4FBA">
        <w:rPr>
          <w:rStyle w:val="FootnoteReference"/>
          <w:rFonts w:eastAsia="Arial Unicode MS"/>
          <w:noProof/>
        </w:rPr>
        <w:footnoteReference w:id="3"/>
      </w:r>
      <w:r w:rsidRPr="007D4FBA">
        <w:rPr>
          <w:noProof/>
        </w:rPr>
        <w:t>. Zmluvnými stranami dohovoru a jeho protokolov sú aj Taliansko, Grécko, Španielsko, Francúzsko, Slovinsko, Malta, Cyprus a Chorvátsko spolu s ďalšími 13 krajinami v Stredomorí, ktoré nie sú členmi EÚ.</w:t>
      </w:r>
    </w:p>
    <w:bookmarkEnd w:id="2"/>
    <w:p w14:paraId="56D11B5F" w14:textId="47058A7F" w:rsidR="0020787E" w:rsidRPr="007D4FBA" w:rsidRDefault="007E224E" w:rsidP="007E224E">
      <w:pPr>
        <w:pStyle w:val="ManualHeading2"/>
        <w:rPr>
          <w:noProof/>
        </w:rPr>
      </w:pPr>
      <w:r w:rsidRPr="007E224E">
        <w:t>2.2.</w:t>
      </w:r>
      <w:r w:rsidRPr="007E224E">
        <w:tab/>
      </w:r>
      <w:r w:rsidR="0020787E" w:rsidRPr="007D4FBA">
        <w:rPr>
          <w:noProof/>
        </w:rPr>
        <w:t>Zasadnutie Zhromaždenia zmluvných strán Barcelonského dohovoru a jeho protokolov</w:t>
      </w:r>
    </w:p>
    <w:p w14:paraId="2F13FA68" w14:textId="77777777" w:rsidR="00CD0044" w:rsidRPr="007D4FBA" w:rsidRDefault="0020787E" w:rsidP="00736AA9">
      <w:pPr>
        <w:rPr>
          <w:rFonts w:eastAsia="Arial Unicode MS"/>
          <w:noProof/>
        </w:rPr>
      </w:pPr>
      <w:bookmarkStart w:id="3" w:name="_Hlk144813743"/>
      <w:r w:rsidRPr="007D4FBA">
        <w:rPr>
          <w:noProof/>
        </w:rPr>
        <w:t>Na zasadnutiach Zhromaždenia zmluvných strán Barcelonského dohovoru a jeho protokolov (ďalej len „Zhromaždenie zmluvných strán“) sa stretávajú ministri a vyšší úradníci zastupujúci všetky zmluvné strany Barcelonského dohovoru a jeho protokolov. Zmluvné strany sa stretnú 4. až 8. decembra 2023 v slovinskom Portoroži.</w:t>
      </w:r>
    </w:p>
    <w:p w14:paraId="2C7A3B07" w14:textId="77777777" w:rsidR="00CD0044" w:rsidRPr="007D4FBA" w:rsidRDefault="00CD0044" w:rsidP="00736AA9">
      <w:pPr>
        <w:rPr>
          <w:rFonts w:eastAsia="Arial Unicode MS"/>
          <w:noProof/>
        </w:rPr>
      </w:pPr>
      <w:r w:rsidRPr="007D4FBA">
        <w:rPr>
          <w:noProof/>
        </w:rPr>
        <w:t xml:space="preserve">Zhromaždenie zmluvných strán, ktoré zasadá každé dva roky, je najvyšším rozhodovacím orgánom dohovoru. Zmluvné strany, ktoré sú zastúpené príslušnými ministerstvami, na týchto bienálnych zasadnutiach rozhodujú o relevantných politikách, stratégiách, rozpočte a pracovnom programe. </w:t>
      </w:r>
    </w:p>
    <w:p w14:paraId="68374DD0" w14:textId="77777777" w:rsidR="009202A0" w:rsidRPr="007D4FBA" w:rsidRDefault="009202A0" w:rsidP="00736AA9">
      <w:pPr>
        <w:rPr>
          <w:rFonts w:eastAsia="Arial Unicode MS"/>
          <w:noProof/>
        </w:rPr>
      </w:pPr>
      <w:r w:rsidRPr="007D4FBA">
        <w:rPr>
          <w:noProof/>
        </w:rPr>
        <w:t>Podľa článku 25 Barcelonského dohovoru EÚ vykonáva svoje hlasovacie právo s počtom hlasov, ktorý sa rovná počtu jej členských štátov, ktoré sú zmluvnými stranami tohto dohovoru a jedného alebo viacerých jeho protokolov. EÚ nevykonáva svoje hlasovacie právo v prípadoch, keď toto právo vykonávajú jej členské štáty, a naopak.</w:t>
      </w:r>
    </w:p>
    <w:p w14:paraId="2CB10F56" w14:textId="77777777" w:rsidR="00667031" w:rsidRPr="007D4FBA" w:rsidRDefault="00667031" w:rsidP="00736AA9">
      <w:pPr>
        <w:rPr>
          <w:rFonts w:eastAsia="Arial Unicode MS"/>
          <w:noProof/>
        </w:rPr>
      </w:pPr>
      <w:r w:rsidRPr="007D4FBA">
        <w:rPr>
          <w:noProof/>
        </w:rPr>
        <w:t>Podľa článku 15 ods. 1 protokolu o zdrojoch na pevnine sa rozhodnutia o prijatí akčných plánov, programov a opatrení prijímajú dvojtretinovou väčšinou prítomných a hlasujúcich zmluvných strán.</w:t>
      </w:r>
    </w:p>
    <w:p w14:paraId="1FA629DD" w14:textId="77777777" w:rsidR="00F93F8F" w:rsidRPr="007D4FBA" w:rsidRDefault="00F93F8F" w:rsidP="00736AA9">
      <w:pPr>
        <w:rPr>
          <w:rFonts w:eastAsia="Arial Unicode MS"/>
          <w:noProof/>
        </w:rPr>
      </w:pPr>
      <w:r w:rsidRPr="007D4FBA">
        <w:rPr>
          <w:noProof/>
        </w:rPr>
        <w:t>Z článku 23 ods. 2 Barcelonského dohovoru vyplýva, že zmeny príloh k dohovoru alebo ku ktorémukoľvek protokolu prijíma Zhromaždenie zmluvných strán trojštvrtinovou väčšinou hlasov zmluvných strán tohto nástroja.</w:t>
      </w:r>
    </w:p>
    <w:bookmarkEnd w:id="3"/>
    <w:p w14:paraId="44A0D209" w14:textId="61F9CB9F" w:rsidR="0020787E" w:rsidRPr="007D4FBA" w:rsidRDefault="007E224E" w:rsidP="007E224E">
      <w:pPr>
        <w:pStyle w:val="ManualHeading2"/>
        <w:rPr>
          <w:noProof/>
        </w:rPr>
      </w:pPr>
      <w:r w:rsidRPr="007E224E">
        <w:t>2.3.</w:t>
      </w:r>
      <w:r w:rsidRPr="007E224E">
        <w:tab/>
      </w:r>
      <w:r w:rsidR="0020787E" w:rsidRPr="007D4FBA">
        <w:rPr>
          <w:noProof/>
        </w:rPr>
        <w:t>Pripravované akty, ktoré sa majú prijať na 23. zasadnutí Zhromaždenia zmluvných strán Barcelonského dohovoru a jeho protokolov</w:t>
      </w:r>
    </w:p>
    <w:p w14:paraId="68A6796F" w14:textId="77777777" w:rsidR="008B1004" w:rsidRPr="007D4FBA" w:rsidRDefault="00D0489E" w:rsidP="00736AA9">
      <w:pPr>
        <w:rPr>
          <w:rFonts w:eastAsia="Arial Unicode MS"/>
          <w:noProof/>
        </w:rPr>
      </w:pPr>
      <w:bookmarkStart w:id="4" w:name="_Hlk144814086"/>
      <w:r w:rsidRPr="007D4FBA">
        <w:rPr>
          <w:noProof/>
        </w:rPr>
        <w:t>Na 23. zasadnutí ministrov od 4. do 8. decembra 2023 majú zmluvné strany Barcelonského dohovoru a jeho protokolov prijať tieto akty (ďalej len „pripravované akty“):</w:t>
      </w:r>
    </w:p>
    <w:p w14:paraId="558D932E" w14:textId="77777777" w:rsidR="0020787E" w:rsidRPr="007D4FBA" w:rsidRDefault="0071255A" w:rsidP="00335CA1">
      <w:pPr>
        <w:pStyle w:val="Tiret0"/>
        <w:numPr>
          <w:ilvl w:val="0"/>
          <w:numId w:val="7"/>
        </w:numPr>
        <w:rPr>
          <w:noProof/>
        </w:rPr>
      </w:pPr>
      <w:r w:rsidRPr="007D4FBA">
        <w:rPr>
          <w:noProof/>
        </w:rPr>
        <w:t>návrhy na prijatie troch regionálnych plánov na základe článku 15 protokolu o zdrojoch na pevnine: 1. regionálny plán o riadení poľnohospodárstva, 2. regionálny plán o riadení akvakultúry a 3. regionálny plán o nakladaní so zrážkovou vodou v mestách,</w:t>
      </w:r>
    </w:p>
    <w:p w14:paraId="33542F38" w14:textId="77777777" w:rsidR="008B1004" w:rsidRPr="007D4FBA" w:rsidRDefault="00063F78" w:rsidP="008B1004">
      <w:pPr>
        <w:pStyle w:val="Tiret0"/>
        <w:rPr>
          <w:noProof/>
        </w:rPr>
      </w:pPr>
      <w:r w:rsidRPr="007D4FBA">
        <w:rPr>
          <w:noProof/>
        </w:rPr>
        <w:t>návrh na zmenu príloh II a III k protokolu o OCHO a biologickej rozmanitosti.</w:t>
      </w:r>
    </w:p>
    <w:p w14:paraId="3FA43336" w14:textId="77777777" w:rsidR="0020787E" w:rsidRPr="007D4FBA" w:rsidRDefault="0020787E" w:rsidP="00736AA9">
      <w:pPr>
        <w:rPr>
          <w:rFonts w:eastAsia="Arial Unicode MS"/>
          <w:noProof/>
        </w:rPr>
      </w:pPr>
      <w:r w:rsidRPr="007D4FBA">
        <w:rPr>
          <w:noProof/>
        </w:rPr>
        <w:t>Cieľom pripravovaných regionálnych plánov je znížiť znečistenie v Stredozemnom mori pochádzajúce z neudržateľného riadenia poľnohospodárstva, akvakultúry a nakladania so zrážkovou vodou a predchádzať takémuto znečisťovaniu. Súčasťou protokolu o zdrojoch na pevnine sú ustanovenia o prijatí regionálnych akčných plánov Zhromaždením zmluvných strán dohovoru v snahe eliminovať znečistenie zo zdrojov a činností na pevnine. Po prijatí plánov sa opatrenia a časové harmonogramy, ktoré sú v nich uvedené, stanú právne záväznými v súlade s článkom 15 ods. 3 protokolu o zdrojoch na pevnine.</w:t>
      </w:r>
    </w:p>
    <w:p w14:paraId="194D7D7B" w14:textId="77777777" w:rsidR="00C573C1" w:rsidRPr="007D4FBA" w:rsidRDefault="00C573C1" w:rsidP="00736AA9">
      <w:pPr>
        <w:rPr>
          <w:rFonts w:eastAsia="Arial Unicode MS"/>
          <w:noProof/>
        </w:rPr>
      </w:pPr>
      <w:r w:rsidRPr="007D4FBA">
        <w:rPr>
          <w:noProof/>
        </w:rPr>
        <w:t>Prílohy II a III k protokolu o OCHO a biologickej rozmanitosti sa menia s cieľom zahrnúť do nich deväť druhov drsnokožcov: šesť druhov do prílohy II (zoznam ohrozených alebo bezprostredne ohrozených druhov) a tri druhy do prílohy III (zoznam druhov, ktorých využívanie je regulované). Zmeny príloh k protokolu sa začnú uplatňovať pre všetky zmluvné strany protokolu o OCHO a biologickej rozmanitosti po uplynutí lehoty stanovenej zmluvnými stranami pri prijímaní zmeny v súlade s článkom 23 Barcelonského dohovoru a článkom 14 ods. 1 protokolu o OCHO a biologickej rozmanitosti.</w:t>
      </w:r>
    </w:p>
    <w:bookmarkEnd w:id="4"/>
    <w:p w14:paraId="4CD38983" w14:textId="3AAEE0FB" w:rsidR="0020787E" w:rsidRPr="007D4FBA" w:rsidRDefault="007E224E" w:rsidP="007E224E">
      <w:pPr>
        <w:pStyle w:val="ManualHeading1"/>
        <w:rPr>
          <w:rFonts w:eastAsia="Arial Unicode MS"/>
          <w:noProof/>
        </w:rPr>
      </w:pPr>
      <w:r w:rsidRPr="007E224E">
        <w:t>3.</w:t>
      </w:r>
      <w:r w:rsidRPr="007E224E">
        <w:tab/>
      </w:r>
      <w:r w:rsidR="0020787E" w:rsidRPr="007D4FBA">
        <w:rPr>
          <w:noProof/>
        </w:rPr>
        <w:t>Pozícia, ktorá sa má zaujať v mene Únie</w:t>
      </w:r>
    </w:p>
    <w:p w14:paraId="6A4F3869" w14:textId="4AD88337" w:rsidR="00F93F8F" w:rsidRPr="007D4FBA" w:rsidRDefault="00A63406" w:rsidP="00A63406">
      <w:pPr>
        <w:pStyle w:val="Point0"/>
        <w:rPr>
          <w:noProof/>
        </w:rPr>
      </w:pPr>
      <w:r>
        <w:rPr>
          <w:noProof/>
        </w:rPr>
        <w:t>1.</w:t>
      </w:r>
      <w:r>
        <w:rPr>
          <w:noProof/>
        </w:rPr>
        <w:tab/>
      </w:r>
      <w:r w:rsidR="00F93F8F" w:rsidRPr="007D4FBA">
        <w:rPr>
          <w:noProof/>
        </w:rPr>
        <w:t>Pokiaľ ide o regionálny akčný plán o riadení poľnohospodárstva:</w:t>
      </w:r>
    </w:p>
    <w:p w14:paraId="7C33FB78" w14:textId="77777777" w:rsidR="0020787E" w:rsidRPr="007D4FBA" w:rsidRDefault="00E11326" w:rsidP="00736AA9">
      <w:pPr>
        <w:rPr>
          <w:noProof/>
        </w:rPr>
      </w:pPr>
      <w:r w:rsidRPr="007D4FBA">
        <w:rPr>
          <w:noProof/>
        </w:rPr>
        <w:t>V súlade s cieľmi OSN v oblasti udržateľného rozvoja, najmä cieľmi 2, 6 a 14</w:t>
      </w:r>
      <w:r w:rsidRPr="007D4FBA">
        <w:rPr>
          <w:rStyle w:val="FootnoteReference"/>
          <w:noProof/>
        </w:rPr>
        <w:footnoteReference w:id="4"/>
      </w:r>
      <w:r w:rsidRPr="007D4FBA">
        <w:rPr>
          <w:noProof/>
        </w:rPr>
        <w:t>, Dohovorom OSN o boji proti dezertifikácii</w:t>
      </w:r>
      <w:r w:rsidRPr="007D4FBA">
        <w:rPr>
          <w:rStyle w:val="FootnoteReference"/>
          <w:noProof/>
        </w:rPr>
        <w:footnoteReference w:id="5"/>
      </w:r>
      <w:r w:rsidRPr="007D4FBA">
        <w:rPr>
          <w:noProof/>
        </w:rPr>
        <w:t xml:space="preserve"> a so Štokholmským dohovorom o perzistentných organických látkach</w:t>
      </w:r>
      <w:r w:rsidRPr="007D4FBA">
        <w:rPr>
          <w:rStyle w:val="FootnoteReference"/>
          <w:noProof/>
        </w:rPr>
        <w:footnoteReference w:id="6"/>
      </w:r>
      <w:r w:rsidRPr="007D4FBA">
        <w:rPr>
          <w:noProof/>
        </w:rPr>
        <w:t xml:space="preserve"> si pripravovaný regionálny plán vyžaduje zriadenie regulačného rámca (do roku 2028) a zároveň vykonanie opatrení (do roku 2030) týkajúcich sa zníženia vstupu znečisťujúcich látok a ďalšieho odpadu, ako aj príspevok k udržateľnému poľnohospodárstvu. </w:t>
      </w:r>
    </w:p>
    <w:p w14:paraId="714316F0" w14:textId="77777777" w:rsidR="00F93F8F" w:rsidRPr="007D4FBA" w:rsidRDefault="00397C5E" w:rsidP="00BB603D">
      <w:pPr>
        <w:rPr>
          <w:noProof/>
        </w:rPr>
      </w:pPr>
      <w:r w:rsidRPr="007D4FBA">
        <w:rPr>
          <w:noProof/>
        </w:rPr>
        <w:t>Pripravovaný regionálny plán je v plnom súlade s cieľmi Únie vyplývajúcimi zo Zelenej dohody, predovšetkým z jej stratégie Z farmy na stôl</w:t>
      </w:r>
      <w:r w:rsidRPr="007D4FBA">
        <w:rPr>
          <w:rStyle w:val="FootnoteReference"/>
          <w:noProof/>
        </w:rPr>
        <w:footnoteReference w:id="7"/>
      </w:r>
      <w:r w:rsidRPr="007D4FBA">
        <w:rPr>
          <w:noProof/>
        </w:rPr>
        <w:t xml:space="preserve"> a zo stratégie biodiverzity</w:t>
      </w:r>
      <w:r w:rsidRPr="007D4FBA">
        <w:rPr>
          <w:rStyle w:val="FootnoteReference"/>
          <w:noProof/>
        </w:rPr>
        <w:footnoteReference w:id="8"/>
      </w:r>
      <w:r w:rsidRPr="007D4FBA">
        <w:rPr>
          <w:noProof/>
        </w:rPr>
        <w:t>, ktoré sú zamerané na znižovanie znečistenia a na podporu poľnohospodárstva s nízkymi vstupmi. Navrhovaná pozícia by bola v súlade aj so širšími politikami EÚ o ochrane kvality vodných útvarov EÚ a morského a pobrežného prostredia pred znečistením zo zdrojov na pevnine, ako aj o udržateľnom používaní pesticídov a znižovaní strát živín.</w:t>
      </w:r>
    </w:p>
    <w:p w14:paraId="35D3E834" w14:textId="77777777" w:rsidR="00397C5E" w:rsidRPr="007D4FBA" w:rsidRDefault="00397C5E" w:rsidP="00BB603D">
      <w:pPr>
        <w:rPr>
          <w:noProof/>
        </w:rPr>
      </w:pPr>
      <w:r w:rsidRPr="007D4FBA">
        <w:rPr>
          <w:noProof/>
        </w:rPr>
        <w:t>Preto sa navrhuje, aby Únia podporila prijatie pripravovaného regionálneho plánu o riadení poľnohospodárstva.</w:t>
      </w:r>
    </w:p>
    <w:p w14:paraId="1D7FE5D7" w14:textId="1BABA1CF" w:rsidR="00F93F8F" w:rsidRPr="007D4FBA" w:rsidRDefault="00A63406" w:rsidP="00A63406">
      <w:pPr>
        <w:pStyle w:val="Point0"/>
        <w:rPr>
          <w:noProof/>
        </w:rPr>
      </w:pPr>
      <w:r>
        <w:rPr>
          <w:noProof/>
        </w:rPr>
        <w:t>2.</w:t>
      </w:r>
      <w:r>
        <w:rPr>
          <w:noProof/>
        </w:rPr>
        <w:tab/>
      </w:r>
      <w:r w:rsidR="00A64991" w:rsidRPr="007D4FBA">
        <w:rPr>
          <w:noProof/>
        </w:rPr>
        <w:t>Pokiaľ ide o regionálny akčný plán o riadení akvakultúry:</w:t>
      </w:r>
    </w:p>
    <w:p w14:paraId="4EA11F81" w14:textId="77777777" w:rsidR="00BB603D" w:rsidRPr="007D4FBA" w:rsidRDefault="00BB603D" w:rsidP="00BB603D">
      <w:pPr>
        <w:rPr>
          <w:noProof/>
        </w:rPr>
      </w:pPr>
      <w:r w:rsidRPr="007D4FBA">
        <w:rPr>
          <w:noProof/>
        </w:rPr>
        <w:t>V súlade s cieľom OSN v oblasti udržateľného rozvoja 14, ako aj s celosvetovými a regionálnymi usmerneniami a iniciatívami týkajúcimi sa udržateľného rozvoja akvakultúry</w:t>
      </w:r>
      <w:r w:rsidRPr="007D4FBA">
        <w:rPr>
          <w:rStyle w:val="FootnoteReference"/>
          <w:noProof/>
        </w:rPr>
        <w:footnoteReference w:id="9"/>
      </w:r>
      <w:r w:rsidRPr="007D4FBA">
        <w:rPr>
          <w:noProof/>
        </w:rPr>
        <w:t xml:space="preserve"> si regionálny plán vyžaduje zriadenie regulačného rámca (do roku 2027), ktorým sa stanovia prevádzkové podmienky pre zariadenia akvakultúry, a súčasťou regionálneho plánu je vykonanie opatrení na minimalizáciu znečistenia z akvakultúrnych činností (do roku 2028/2030), na podporu environmentálne udržateľnej akvakultúry (do roku 2027) a na reguláciu produkcie plastového odpadu z akvakultúry (do roku 2028).</w:t>
      </w:r>
    </w:p>
    <w:p w14:paraId="16426CC3" w14:textId="77777777" w:rsidR="00BB603D" w:rsidRPr="007D4FBA" w:rsidRDefault="00BB603D" w:rsidP="00BB603D">
      <w:pPr>
        <w:rPr>
          <w:noProof/>
        </w:rPr>
      </w:pPr>
      <w:r w:rsidRPr="007D4FBA">
        <w:rPr>
          <w:noProof/>
        </w:rPr>
        <w:t>Keďže pripravovaný regionálny plán je v plnom súlade s cieľmi Únie vyplývajúcimi zo Zelenej dohody a súvisiacich stratégií</w:t>
      </w:r>
      <w:r w:rsidRPr="007D4FBA">
        <w:rPr>
          <w:rStyle w:val="FootnoteReference"/>
          <w:noProof/>
        </w:rPr>
        <w:footnoteReference w:id="10"/>
      </w:r>
      <w:r w:rsidRPr="007D4FBA">
        <w:rPr>
          <w:noProof/>
        </w:rPr>
        <w:t xml:space="preserve"> a s usmerneniami, predovšetkým so strategickými usmerneniami Komisie pre udržateľnejšiu a konkurencieschopnejšiu akvakultúru EÚ na obdobie 2021 až 2030</w:t>
      </w:r>
      <w:r w:rsidRPr="007D4FBA">
        <w:rPr>
          <w:rStyle w:val="FootnoteReference"/>
          <w:noProof/>
        </w:rPr>
        <w:footnoteReference w:id="11"/>
      </w:r>
      <w:r w:rsidRPr="007D4FBA">
        <w:rPr>
          <w:noProof/>
        </w:rPr>
        <w:t>, pokiaľ ide o zlepšenie environmentálnych vlastností akvakultúry a zníženie znečisťovania plastmi, ako aj o environmentálnu politiku týkajúcu sa zabezpečenia dobrej kvality pobrežných a morských vôd EÚ, navrhuje sa, aby Únia podporila prijatie pripravovaného aktu.</w:t>
      </w:r>
    </w:p>
    <w:p w14:paraId="0D53209A" w14:textId="77777777" w:rsidR="00397C5E" w:rsidRPr="007D4FBA" w:rsidRDefault="00397C5E" w:rsidP="00BB603D">
      <w:pPr>
        <w:rPr>
          <w:noProof/>
        </w:rPr>
      </w:pPr>
      <w:r w:rsidRPr="007D4FBA">
        <w:rPr>
          <w:noProof/>
        </w:rPr>
        <w:t>Preto sa navrhuje, aby Únia podporila prijatie pripravovaného regionálneho plánu o riadení akvakultúry.</w:t>
      </w:r>
    </w:p>
    <w:p w14:paraId="49166A6B" w14:textId="6A3BB85F" w:rsidR="00F93F8F" w:rsidRPr="007D4FBA" w:rsidRDefault="00A63406" w:rsidP="00A63406">
      <w:pPr>
        <w:pStyle w:val="Point0"/>
        <w:rPr>
          <w:noProof/>
        </w:rPr>
      </w:pPr>
      <w:r>
        <w:rPr>
          <w:noProof/>
        </w:rPr>
        <w:t>3.</w:t>
      </w:r>
      <w:r>
        <w:rPr>
          <w:noProof/>
        </w:rPr>
        <w:tab/>
      </w:r>
      <w:r w:rsidR="00F93F8F" w:rsidRPr="007D4FBA">
        <w:rPr>
          <w:noProof/>
        </w:rPr>
        <w:t>Pokiaľ ide o regionálny akčný plán o nakladaní so zrážkovou vodou v mestách:</w:t>
      </w:r>
    </w:p>
    <w:p w14:paraId="7BFD66BB" w14:textId="77777777" w:rsidR="00825DB5" w:rsidRPr="007D4FBA" w:rsidRDefault="00825DB5" w:rsidP="00825DB5">
      <w:pPr>
        <w:rPr>
          <w:noProof/>
        </w:rPr>
      </w:pPr>
      <w:r w:rsidRPr="007D4FBA">
        <w:rPr>
          <w:noProof/>
        </w:rPr>
        <w:t>V súlade s cieľom OSN v oblasti udržateľného rozvoja 14 si pripravovaný regionálny plán vyžaduje zriadenie regulačného rámca (do roku 2028) na zníženie objemu odtekajúcej zrážkovej vody a vrcholových prietokov, ako aj na riešenie súvisiacich aspektov znečisťovania v dôsledku nakladania so zrážkovou vodou v mestách. Súčasťou plánu je aj vykonanie plánov o nakladaní so zrážkovou vodou (do roku 2030) na základe výberu príslušných kontrolných opatrení, ako aj zavedenie sezónnej údržby systémov zberu zrážkovej vody (do roku 2028) s cieľom zabezpečiť ich efektívne fungovanie.</w:t>
      </w:r>
    </w:p>
    <w:p w14:paraId="435B084C" w14:textId="77777777" w:rsidR="008F251F" w:rsidRPr="007D4FBA" w:rsidRDefault="008F251F" w:rsidP="00825DB5">
      <w:pPr>
        <w:rPr>
          <w:noProof/>
        </w:rPr>
      </w:pPr>
      <w:r w:rsidRPr="007D4FBA">
        <w:rPr>
          <w:noProof/>
        </w:rPr>
        <w:t>Navrhovaný regionálny plán je v plnom súlade s politikami Únie o ochrane kvality vodných útvarov EÚ a pobrežného a morského prostredia pred znečistením zo zdrojov na pevnine, ako aj o správnom nakladaní s komunálnymi odpadovými vodami.</w:t>
      </w:r>
    </w:p>
    <w:p w14:paraId="165A28E6" w14:textId="77777777" w:rsidR="00397C5E" w:rsidRPr="007D4FBA" w:rsidRDefault="00397C5E" w:rsidP="00BB603D">
      <w:pPr>
        <w:rPr>
          <w:noProof/>
        </w:rPr>
      </w:pPr>
      <w:r w:rsidRPr="007D4FBA">
        <w:rPr>
          <w:noProof/>
        </w:rPr>
        <w:t>Preto sa navrhuje, aby Únia podporila prijatie pripravovaného regionálneho plánu o nakladaní so zrážkovou vodou v mestách.</w:t>
      </w:r>
    </w:p>
    <w:p w14:paraId="1BDFB881" w14:textId="013320A7" w:rsidR="00F93F8F" w:rsidRPr="007D4FBA" w:rsidRDefault="00A63406" w:rsidP="00A63406">
      <w:pPr>
        <w:pStyle w:val="Point0"/>
        <w:rPr>
          <w:noProof/>
        </w:rPr>
      </w:pPr>
      <w:r>
        <w:rPr>
          <w:noProof/>
        </w:rPr>
        <w:t>4.</w:t>
      </w:r>
      <w:r>
        <w:rPr>
          <w:noProof/>
        </w:rPr>
        <w:tab/>
      </w:r>
      <w:r w:rsidR="00F93F8F" w:rsidRPr="007D4FBA">
        <w:rPr>
          <w:noProof/>
        </w:rPr>
        <w:t>Pokiaľ ide o zmeny príloh II a III k protokolu o OCHO a biologickej rozmanitosti:</w:t>
      </w:r>
    </w:p>
    <w:p w14:paraId="70B5E222" w14:textId="77777777" w:rsidR="00FC1B5C" w:rsidRPr="007D4FBA" w:rsidRDefault="00FC1B5C" w:rsidP="00FC1B5C">
      <w:pPr>
        <w:rPr>
          <w:noProof/>
        </w:rPr>
      </w:pPr>
      <w:bookmarkStart w:id="5" w:name="_Hlk144823755"/>
      <w:r w:rsidRPr="007D4FBA">
        <w:rPr>
          <w:noProof/>
        </w:rPr>
        <w:t>Z posúdení v Červenej knihe Medzinárodnej únie na ochranu prírody (IUCN)</w:t>
      </w:r>
      <w:r w:rsidRPr="007D4FBA">
        <w:rPr>
          <w:rStyle w:val="FootnoteReference"/>
          <w:noProof/>
        </w:rPr>
        <w:footnoteReference w:id="12"/>
      </w:r>
      <w:r w:rsidRPr="007D4FBA">
        <w:rPr>
          <w:noProof/>
        </w:rPr>
        <w:t xml:space="preserve"> vyplýva, že druhy drsnokožcov, ktoré sa navrhujú na zahrnutie do prílohy II („ohrozené alebo bezprostredne ohrozené druhy“) a prílohy III (druhy, ktorých využívanie je regulované), sú (kriticky) ohrozené, zraniteľné alebo takmer ohrozené.  Takéto navrhované zahrnutie druhov a príslušné zdôvodnenie sú v súlade s rozhodnutím IG.17/14 o spoločných kritériách týkajúcich sa navrhovania zmien príloh II a III k protokolu o OCHO a biologickej rozmanitosti</w:t>
      </w:r>
      <w:r w:rsidRPr="007D4FBA">
        <w:rPr>
          <w:rStyle w:val="FootnoteReference"/>
          <w:noProof/>
        </w:rPr>
        <w:footnoteReference w:id="13"/>
      </w:r>
      <w:r w:rsidRPr="007D4FBA">
        <w:rPr>
          <w:noProof/>
        </w:rPr>
        <w:t>.</w:t>
      </w:r>
    </w:p>
    <w:p w14:paraId="0CB1382D" w14:textId="77777777" w:rsidR="007B771C" w:rsidRPr="007D4FBA" w:rsidRDefault="00FC1B5C" w:rsidP="00825DB5">
      <w:pPr>
        <w:rPr>
          <w:noProof/>
        </w:rPr>
      </w:pPr>
      <w:r w:rsidRPr="007D4FBA">
        <w:rPr>
          <w:noProof/>
        </w:rPr>
        <w:t xml:space="preserve">Navrhované zmeny sú v plnom súlade s cieľmi Únie vyplývajúcimi zo stratégie EÚ v oblasti biodiverzity, ako aj s medzinárodnými záväzkami chrániť a obnovovať biodiverzitu v rámci Dohovoru OSN o biologickej diverzite (DBD). Okrem toho sú v súlade s prístupom Únie v rámci rybárskej politiky EÚ o ochrane rybolovných zdrojov a morských ekosystémov prostredníctvom technických opatrení, ktorá vychádza z odporúčaní regionálnych orgánov. </w:t>
      </w:r>
    </w:p>
    <w:p w14:paraId="05C4D9B6" w14:textId="77777777" w:rsidR="00397C5E" w:rsidRPr="007D4FBA" w:rsidRDefault="00397C5E" w:rsidP="00825DB5">
      <w:pPr>
        <w:rPr>
          <w:noProof/>
        </w:rPr>
      </w:pPr>
      <w:r w:rsidRPr="007D4FBA">
        <w:rPr>
          <w:noProof/>
        </w:rPr>
        <w:t>Preto sa navrhuje, aby Únia podporila zmenu príloh II a III k protokolu o OCHO a biologickej rozmanitosti.</w:t>
      </w:r>
    </w:p>
    <w:p w14:paraId="6BE0D9E8" w14:textId="77777777" w:rsidR="0020787E" w:rsidRPr="007D4FBA" w:rsidRDefault="000B6DCC" w:rsidP="00736AA9">
      <w:pPr>
        <w:rPr>
          <w:noProof/>
        </w:rPr>
      </w:pPr>
      <w:r w:rsidRPr="007D4FBA">
        <w:rPr>
          <w:noProof/>
        </w:rPr>
        <w:t>Pozícia Únie sa vyžaduje na prijatie pripravovaných aktov z dôvodu právne záväzných účinkov týchto aktov</w:t>
      </w:r>
      <w:bookmarkEnd w:id="5"/>
      <w:r w:rsidRPr="007D4FBA">
        <w:rPr>
          <w:noProof/>
        </w:rPr>
        <w:t>.</w:t>
      </w:r>
    </w:p>
    <w:p w14:paraId="2C147B5D" w14:textId="058782BB" w:rsidR="0020787E" w:rsidRPr="007D4FBA" w:rsidRDefault="007E224E" w:rsidP="007E224E">
      <w:pPr>
        <w:pStyle w:val="ManualHeading1"/>
        <w:rPr>
          <w:noProof/>
        </w:rPr>
      </w:pPr>
      <w:r w:rsidRPr="007E224E">
        <w:t>4.</w:t>
      </w:r>
      <w:r w:rsidRPr="007E224E">
        <w:tab/>
      </w:r>
      <w:r w:rsidR="0020787E" w:rsidRPr="007D4FBA">
        <w:rPr>
          <w:noProof/>
        </w:rPr>
        <w:t>Právny základ</w:t>
      </w:r>
    </w:p>
    <w:p w14:paraId="28CD6FC9" w14:textId="0240A85C" w:rsidR="0020787E" w:rsidRPr="007D4FBA" w:rsidRDefault="007E224E" w:rsidP="007E224E">
      <w:pPr>
        <w:pStyle w:val="ManualHeading2"/>
        <w:rPr>
          <w:noProof/>
        </w:rPr>
      </w:pPr>
      <w:r w:rsidRPr="007E224E">
        <w:t>4.1.</w:t>
      </w:r>
      <w:r w:rsidRPr="007E224E">
        <w:tab/>
      </w:r>
      <w:r w:rsidR="0020787E" w:rsidRPr="007D4FBA">
        <w:rPr>
          <w:noProof/>
        </w:rPr>
        <w:t>Procesnoprávny základ</w:t>
      </w:r>
    </w:p>
    <w:p w14:paraId="6C46330E" w14:textId="48FBE302" w:rsidR="0020787E" w:rsidRPr="007D4FBA" w:rsidRDefault="007E224E" w:rsidP="007E224E">
      <w:pPr>
        <w:pStyle w:val="ManualHeading3"/>
        <w:rPr>
          <w:noProof/>
        </w:rPr>
      </w:pPr>
      <w:r w:rsidRPr="007E224E">
        <w:t>4.1.1.</w:t>
      </w:r>
      <w:r w:rsidRPr="007E224E">
        <w:tab/>
      </w:r>
      <w:r w:rsidR="0020787E" w:rsidRPr="007D4FBA">
        <w:rPr>
          <w:noProof/>
        </w:rPr>
        <w:t>Zásady</w:t>
      </w:r>
    </w:p>
    <w:p w14:paraId="5C219366" w14:textId="77777777" w:rsidR="0020787E" w:rsidRPr="007D4FBA" w:rsidRDefault="0020787E" w:rsidP="00736AA9">
      <w:pPr>
        <w:rPr>
          <w:noProof/>
        </w:rPr>
      </w:pPr>
      <w:r w:rsidRPr="007D4FBA">
        <w:rPr>
          <w:noProof/>
        </w:rPr>
        <w:t xml:space="preserve">V článku 218 ods. 9 Zmluvy o fungovaní Európskej únie (ZFEÚ) sa stanovujú rozhodnutia, ktorými sa určujú </w:t>
      </w:r>
      <w:r w:rsidRPr="007D4FBA">
        <w:rPr>
          <w:i/>
          <w:noProof/>
        </w:rPr>
        <w:t>„pozície, ktoré sa majú prijať v mene Únie v rámci orgánu zriadeného dohodou, keď je tento orgán vyzvaný prijať akty s právnymi účinkami s výnimkou aktov dopĺňajúcich alebo meniacich inštitucionálny rámec danej dohody“</w:t>
      </w:r>
      <w:r w:rsidRPr="007D4FBA">
        <w:rPr>
          <w:noProof/>
        </w:rPr>
        <w:t>.</w:t>
      </w:r>
    </w:p>
    <w:p w14:paraId="0F209EE0" w14:textId="77777777" w:rsidR="0020787E" w:rsidRPr="007D4FBA" w:rsidRDefault="0020787E" w:rsidP="00736AA9">
      <w:pPr>
        <w:rPr>
          <w:noProof/>
        </w:rPr>
      </w:pPr>
      <w:r w:rsidRPr="007D4FBA">
        <w:rPr>
          <w:noProof/>
        </w:rPr>
        <w:t xml:space="preserve">Pojem </w:t>
      </w:r>
      <w:r w:rsidRPr="007D4FBA">
        <w:rPr>
          <w:i/>
          <w:noProof/>
        </w:rPr>
        <w:t>„akty s právnymi účinkami“</w:t>
      </w:r>
      <w:r w:rsidRPr="007D4FBA">
        <w:rPr>
          <w:noProof/>
        </w:rPr>
        <w:t xml:space="preserve"> zahŕňa akty, ktoré majú právne účinky na základe pravidiel medzinárodného práva, ktorým sa riadi predmetný orgán. Zahŕňa aj nástroje, ktoré nemajú záväzný účinok podľa medzinárodného práva, ale </w:t>
      </w:r>
      <w:r w:rsidRPr="007D4FBA">
        <w:rPr>
          <w:i/>
          <w:noProof/>
        </w:rPr>
        <w:t>„môžu rozhodujúcim spôsobom ovplyvniť obsah právnej úpravy prijatej normotvorcom Únie</w:t>
      </w:r>
      <w:r w:rsidRPr="007D4FBA">
        <w:rPr>
          <w:noProof/>
        </w:rPr>
        <w:t>“</w:t>
      </w:r>
      <w:r w:rsidRPr="007D4FBA">
        <w:rPr>
          <w:rStyle w:val="FootnoteReference"/>
          <w:noProof/>
        </w:rPr>
        <w:footnoteReference w:id="14"/>
      </w:r>
      <w:r w:rsidRPr="007D4FBA">
        <w:rPr>
          <w:noProof/>
        </w:rPr>
        <w:t>.</w:t>
      </w:r>
    </w:p>
    <w:p w14:paraId="717BC3A6" w14:textId="6DC21065" w:rsidR="0020787E" w:rsidRPr="007D4FBA" w:rsidRDefault="007E224E" w:rsidP="007E224E">
      <w:pPr>
        <w:pStyle w:val="ManualHeading3"/>
        <w:rPr>
          <w:noProof/>
        </w:rPr>
      </w:pPr>
      <w:r w:rsidRPr="007E224E">
        <w:t>4.1.2.</w:t>
      </w:r>
      <w:r w:rsidRPr="007E224E">
        <w:tab/>
      </w:r>
      <w:r w:rsidR="0020787E" w:rsidRPr="007D4FBA">
        <w:rPr>
          <w:noProof/>
        </w:rPr>
        <w:t>Uplatnenie na tento prípad</w:t>
      </w:r>
    </w:p>
    <w:p w14:paraId="340DB410" w14:textId="77777777" w:rsidR="0020787E" w:rsidRPr="007D4FBA" w:rsidRDefault="0020787E" w:rsidP="00736AA9">
      <w:pPr>
        <w:rPr>
          <w:noProof/>
        </w:rPr>
      </w:pPr>
      <w:bookmarkStart w:id="6" w:name="_Hlk144827307"/>
      <w:r w:rsidRPr="007D4FBA">
        <w:rPr>
          <w:noProof/>
        </w:rPr>
        <w:t>Zhromaždenie zmluvných strán je orgán zriadený dohodou, konkrétne Barcelonským dohovorom.</w:t>
      </w:r>
    </w:p>
    <w:p w14:paraId="0CC18DED" w14:textId="77777777" w:rsidR="00152D31" w:rsidRPr="007D4FBA" w:rsidRDefault="0020787E" w:rsidP="00736AA9">
      <w:pPr>
        <w:rPr>
          <w:noProof/>
        </w:rPr>
      </w:pPr>
      <w:r w:rsidRPr="007D4FBA">
        <w:rPr>
          <w:noProof/>
        </w:rPr>
        <w:t>Akty, ktoré má Zhromaždenie zmluvných strán prijať, predstavujú akty s právnymi účinkami. Pripravované akty budú podľa medzinárodného práva záväzné v súlade s článkom 15 ods. 3 protokolu o zdrojoch na pevnine, pokiaľ ide o pripravované regionálne plány, a s článkom 29 Barcelonského dohovoru, pokiaľ ide o pripravované zmeny príloh k protokolu o OCHO a biologickej rozmanitosti.</w:t>
      </w:r>
    </w:p>
    <w:p w14:paraId="786E74D7" w14:textId="77777777" w:rsidR="0020787E" w:rsidRPr="007D4FBA" w:rsidRDefault="0020787E" w:rsidP="00736AA9">
      <w:pPr>
        <w:rPr>
          <w:noProof/>
        </w:rPr>
      </w:pPr>
      <w:r w:rsidRPr="007D4FBA">
        <w:rPr>
          <w:noProof/>
        </w:rPr>
        <w:t>Pripravované akty nedopĺňajú ani nemenia inštitucionálny rámec dohody.</w:t>
      </w:r>
    </w:p>
    <w:p w14:paraId="408561B4" w14:textId="77777777" w:rsidR="0020787E" w:rsidRPr="007D4FBA" w:rsidRDefault="0020787E" w:rsidP="00736AA9">
      <w:pPr>
        <w:rPr>
          <w:noProof/>
        </w:rPr>
      </w:pPr>
      <w:r w:rsidRPr="007D4FBA">
        <w:rPr>
          <w:noProof/>
        </w:rPr>
        <w:t>Procesnoprávnym základom navrhovaného rozhodnutia je preto článok 218 ods. 9 ZFEÚ.</w:t>
      </w:r>
    </w:p>
    <w:bookmarkEnd w:id="6"/>
    <w:p w14:paraId="58020B22" w14:textId="7C01D7D5" w:rsidR="0020787E" w:rsidRPr="007D4FBA" w:rsidRDefault="007E224E" w:rsidP="007E224E">
      <w:pPr>
        <w:pStyle w:val="ManualHeading2"/>
        <w:rPr>
          <w:noProof/>
        </w:rPr>
      </w:pPr>
      <w:r w:rsidRPr="007E224E">
        <w:t>4.2.</w:t>
      </w:r>
      <w:r w:rsidRPr="007E224E">
        <w:tab/>
      </w:r>
      <w:r w:rsidR="0020787E" w:rsidRPr="007D4FBA">
        <w:rPr>
          <w:noProof/>
        </w:rPr>
        <w:t>Hmotnoprávny základ</w:t>
      </w:r>
    </w:p>
    <w:p w14:paraId="617201E6" w14:textId="2B2D1816" w:rsidR="0020787E" w:rsidRPr="007D4FBA" w:rsidRDefault="007E224E" w:rsidP="007E224E">
      <w:pPr>
        <w:pStyle w:val="ManualHeading3"/>
        <w:rPr>
          <w:noProof/>
        </w:rPr>
      </w:pPr>
      <w:r w:rsidRPr="007E224E">
        <w:t>4.2.1.</w:t>
      </w:r>
      <w:r w:rsidRPr="007E224E">
        <w:tab/>
      </w:r>
      <w:r w:rsidR="0020787E" w:rsidRPr="007D4FBA">
        <w:rPr>
          <w:noProof/>
        </w:rPr>
        <w:t>Zásady</w:t>
      </w:r>
    </w:p>
    <w:p w14:paraId="6DBFB9A1" w14:textId="77777777" w:rsidR="0020787E" w:rsidRPr="007D4FBA" w:rsidRDefault="0020787E" w:rsidP="00736AA9">
      <w:pPr>
        <w:rPr>
          <w:noProof/>
        </w:rPr>
      </w:pPr>
      <w:r w:rsidRPr="007D4FBA">
        <w:rPr>
          <w:noProof/>
        </w:rPr>
        <w:t>Hmotnoprávny základ rozhodnutia podľa článku 218 ods. 9 ZFEÚ závisí predovšetkým od cieľa a obsahu pripravovaného aktu, v súvislosti s ktorým sa zaujíma pozícia v mene Únie. Ak pripravovaný akt sleduje dva ciele alebo obsahuje dve zložky a ak jeden z týchto cieľov alebo jednu z týchto zložiek možno určiť ako hlavnú, zatiaľ čo druhý cieľ alebo druhá zložka je len vedľajšia, rozhodnutie podľa článku 218 ods. 9 ZFEÚ musí byť založené na jedinom hmotnoprávnom základe, a to na tom, ktorý si vyžaduje hlavný alebo prevažujúci cieľ alebo zložka.</w:t>
      </w:r>
    </w:p>
    <w:p w14:paraId="6F4156F6" w14:textId="62B7405D" w:rsidR="0020787E" w:rsidRPr="007D4FBA" w:rsidRDefault="007E224E" w:rsidP="007E224E">
      <w:pPr>
        <w:pStyle w:val="ManualHeading3"/>
        <w:rPr>
          <w:noProof/>
        </w:rPr>
      </w:pPr>
      <w:bookmarkStart w:id="7" w:name="_Hlk144829467"/>
      <w:r w:rsidRPr="007E224E">
        <w:t>4.2.2.</w:t>
      </w:r>
      <w:r w:rsidRPr="007E224E">
        <w:tab/>
      </w:r>
      <w:r w:rsidR="0020787E" w:rsidRPr="007D4FBA">
        <w:rPr>
          <w:noProof/>
        </w:rPr>
        <w:t>Uplatnenie na tento prípad</w:t>
      </w:r>
    </w:p>
    <w:p w14:paraId="38B216C6" w14:textId="77777777" w:rsidR="0020787E" w:rsidRPr="007D4FBA" w:rsidRDefault="0020787E" w:rsidP="00736AA9">
      <w:pPr>
        <w:rPr>
          <w:i/>
          <w:noProof/>
        </w:rPr>
      </w:pPr>
      <w:r w:rsidRPr="007D4FBA">
        <w:rPr>
          <w:noProof/>
        </w:rPr>
        <w:t xml:space="preserve">Hlavný cieľ a obsah pripravovaných aktov sa týkajú ochrany životného prostredia. </w:t>
      </w:r>
    </w:p>
    <w:p w14:paraId="23208A11" w14:textId="77777777" w:rsidR="0020787E" w:rsidRPr="007D4FBA" w:rsidRDefault="0020787E" w:rsidP="00736AA9">
      <w:pPr>
        <w:rPr>
          <w:noProof/>
        </w:rPr>
      </w:pPr>
      <w:r w:rsidRPr="007D4FBA">
        <w:rPr>
          <w:noProof/>
        </w:rPr>
        <w:t>Hmotnoprávnym základom navrhovaného rozhodnutia je preto článok 192 ods. 1 ZFEÚ.</w:t>
      </w:r>
    </w:p>
    <w:bookmarkEnd w:id="7"/>
    <w:p w14:paraId="325D6360" w14:textId="39D6062A" w:rsidR="0020787E" w:rsidRPr="007D4FBA" w:rsidRDefault="007E224E" w:rsidP="007E224E">
      <w:pPr>
        <w:pStyle w:val="ManualHeading2"/>
        <w:rPr>
          <w:noProof/>
        </w:rPr>
      </w:pPr>
      <w:r w:rsidRPr="007E224E">
        <w:t>4.3.</w:t>
      </w:r>
      <w:r w:rsidRPr="007E224E">
        <w:tab/>
      </w:r>
      <w:r w:rsidR="0020787E" w:rsidRPr="007D4FBA">
        <w:rPr>
          <w:noProof/>
        </w:rPr>
        <w:t>Záver</w:t>
      </w:r>
    </w:p>
    <w:p w14:paraId="43BA325E" w14:textId="77777777" w:rsidR="0020787E" w:rsidRPr="007D4FBA" w:rsidRDefault="0020787E" w:rsidP="00736AA9">
      <w:pPr>
        <w:rPr>
          <w:noProof/>
        </w:rPr>
      </w:pPr>
      <w:r w:rsidRPr="007D4FBA">
        <w:rPr>
          <w:noProof/>
        </w:rPr>
        <w:t>Právnym základom navrhovaného rozhodnutia by mal byť článok 192 ods. 1 ZFEÚ v spojení s článkom 218 ods. 9 ZFEÚ.</w:t>
      </w:r>
    </w:p>
    <w:p w14:paraId="592B077B" w14:textId="77777777" w:rsidR="0020787E" w:rsidRPr="007D4FBA" w:rsidRDefault="0020787E" w:rsidP="00FD40BA">
      <w:pPr>
        <w:rPr>
          <w:noProof/>
        </w:rPr>
        <w:sectPr w:rsidR="0020787E" w:rsidRPr="007D4FBA" w:rsidSect="00DB61CA">
          <w:footerReference w:type="default" r:id="rId10"/>
          <w:footerReference w:type="first" r:id="rId11"/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</w:p>
    <w:p w14:paraId="6D6E51BC" w14:textId="4E084456" w:rsidR="00855D3B" w:rsidRDefault="00855D3B" w:rsidP="00855D3B">
      <w:pPr>
        <w:pStyle w:val="Rfrenceinterinstitutionnelle"/>
        <w:rPr>
          <w:noProof/>
        </w:rPr>
      </w:pPr>
      <w:r w:rsidRPr="00855D3B">
        <w:t>2023/0357 (NLE)</w:t>
      </w:r>
    </w:p>
    <w:p w14:paraId="62CAD086" w14:textId="6F355E44" w:rsidR="0020787E" w:rsidRPr="007D4FBA" w:rsidRDefault="007D4FBA" w:rsidP="007D4FBA">
      <w:pPr>
        <w:pStyle w:val="Statut"/>
        <w:rPr>
          <w:noProof/>
        </w:rPr>
      </w:pPr>
      <w:r w:rsidRPr="007D4FBA">
        <w:rPr>
          <w:noProof/>
        </w:rPr>
        <w:t>Návrh</w:t>
      </w:r>
    </w:p>
    <w:p w14:paraId="19AE9287" w14:textId="0FA38F7D" w:rsidR="0020787E" w:rsidRPr="007D4FBA" w:rsidRDefault="007D4FBA" w:rsidP="007D4FBA">
      <w:pPr>
        <w:pStyle w:val="Typedudocument"/>
        <w:rPr>
          <w:noProof/>
        </w:rPr>
      </w:pPr>
      <w:r w:rsidRPr="007D4FBA">
        <w:rPr>
          <w:noProof/>
        </w:rPr>
        <w:t>ROZHODNUTIE RADY</w:t>
      </w:r>
    </w:p>
    <w:p w14:paraId="59380375" w14:textId="6A7624C1" w:rsidR="0020787E" w:rsidRPr="007D4FBA" w:rsidRDefault="007D4FBA" w:rsidP="007D4FBA">
      <w:pPr>
        <w:pStyle w:val="Titreobjet"/>
        <w:rPr>
          <w:noProof/>
        </w:rPr>
      </w:pPr>
      <w:r w:rsidRPr="007D4FBA">
        <w:rPr>
          <w:noProof/>
        </w:rPr>
        <w:t>o pozícii, ktorá sa má zaujať v mene Európskej únie na zasadnutí zmluvných strán Dohovoru o ochrane morského prostredia a pobrežných oblastí Stredozemného mora (Barcelonský dohovor), v súvislosti s prijatím regionálneho plánu o riadení poľnohospodárstva, regionálneho plánu o riadení akvakultúry, regionálneho plánu o nakladaní so zrážkovou vodou v mestách na základe článku 15 Protokolu o ochrane Stredozemného mora pred znečistením zo zdrojov na pevnine a s prijatím zmien príloh II a III k Protokolu o osobitných chránených oblastiach a biologickej rozmanitosti</w:t>
      </w:r>
    </w:p>
    <w:p w14:paraId="54E9851B" w14:textId="77777777" w:rsidR="0020787E" w:rsidRPr="007D4FBA" w:rsidRDefault="0020787E" w:rsidP="00BE7CB9">
      <w:pPr>
        <w:pStyle w:val="Institutionquiagit"/>
        <w:rPr>
          <w:noProof/>
        </w:rPr>
      </w:pPr>
      <w:r w:rsidRPr="007D4FBA">
        <w:rPr>
          <w:noProof/>
        </w:rPr>
        <w:t>RADA EURÓPSKEJ ÚNIE,</w:t>
      </w:r>
    </w:p>
    <w:p w14:paraId="1DA44257" w14:textId="77777777" w:rsidR="0020787E" w:rsidRPr="007D4FBA" w:rsidRDefault="0020787E" w:rsidP="00BE7CB9">
      <w:pPr>
        <w:rPr>
          <w:noProof/>
        </w:rPr>
      </w:pPr>
      <w:r w:rsidRPr="007D4FBA">
        <w:rPr>
          <w:noProof/>
        </w:rPr>
        <w:t>so zreteľom na Zmluvu o fungovaní Európskej únie, a najmä na jej článok 192 ods. 1 v spojení s jej článkom 218 ods. 9,</w:t>
      </w:r>
    </w:p>
    <w:p w14:paraId="4191BBCD" w14:textId="77777777" w:rsidR="0020787E" w:rsidRPr="007D4FBA" w:rsidRDefault="0020787E" w:rsidP="00BE7CB9">
      <w:pPr>
        <w:rPr>
          <w:noProof/>
        </w:rPr>
      </w:pPr>
      <w:r w:rsidRPr="007D4FBA">
        <w:rPr>
          <w:noProof/>
        </w:rPr>
        <w:t>so zreteľom na návrh Európskej komisie,</w:t>
      </w:r>
    </w:p>
    <w:p w14:paraId="0EDE8A28" w14:textId="77777777" w:rsidR="0020787E" w:rsidRPr="007D4FBA" w:rsidRDefault="0020787E" w:rsidP="00BE7CB9">
      <w:pPr>
        <w:rPr>
          <w:noProof/>
        </w:rPr>
      </w:pPr>
      <w:r w:rsidRPr="007D4FBA">
        <w:rPr>
          <w:noProof/>
        </w:rPr>
        <w:t>keďže:</w:t>
      </w:r>
    </w:p>
    <w:p w14:paraId="0A66DC7A" w14:textId="7E7A6DDF" w:rsidR="00BB2672" w:rsidRPr="007D4FBA" w:rsidRDefault="007E224E" w:rsidP="007E224E">
      <w:pPr>
        <w:pStyle w:val="ManualConsidrant"/>
        <w:rPr>
          <w:noProof/>
        </w:rPr>
      </w:pPr>
      <w:r w:rsidRPr="007E224E">
        <w:t>(1)</w:t>
      </w:r>
      <w:r w:rsidRPr="007E224E">
        <w:tab/>
      </w:r>
      <w:r w:rsidR="00BB2672" w:rsidRPr="007D4FBA">
        <w:rPr>
          <w:noProof/>
        </w:rPr>
        <w:t>Únia je zmluvnou stranou Dohovoru o ochrane morského prostredia a pobrežných oblastí Stredozemného mora (ďalej len „Barcelonský dohovor“)</w:t>
      </w:r>
      <w:r w:rsidR="00BB2672" w:rsidRPr="007D4FBA">
        <w:rPr>
          <w:rStyle w:val="FootnoteReference"/>
          <w:noProof/>
        </w:rPr>
        <w:footnoteReference w:id="15"/>
      </w:r>
      <w:r w:rsidR="00BB2672" w:rsidRPr="007D4FBA">
        <w:rPr>
          <w:noProof/>
        </w:rPr>
        <w:t>.</w:t>
      </w:r>
    </w:p>
    <w:p w14:paraId="2724F3C9" w14:textId="52B17FA3" w:rsidR="0020787E" w:rsidRPr="007D4FBA" w:rsidRDefault="007E224E" w:rsidP="007E224E">
      <w:pPr>
        <w:pStyle w:val="ManualConsidrant"/>
        <w:rPr>
          <w:noProof/>
        </w:rPr>
      </w:pPr>
      <w:r w:rsidRPr="007E224E">
        <w:t>(2)</w:t>
      </w:r>
      <w:r w:rsidRPr="007E224E">
        <w:tab/>
      </w:r>
      <w:r w:rsidR="00B44CED" w:rsidRPr="007D4FBA">
        <w:rPr>
          <w:noProof/>
        </w:rPr>
        <w:t>Protokol o ochrane Stredozemného mora pred znečisťovaním zo zdrojov a činností na pevnine (ďalej len „protokol o zdrojoch na pevnine“) bol uzavretý Úniou rozhodnutím Rady 1999/801/ES</w:t>
      </w:r>
      <w:r w:rsidR="00B44CED" w:rsidRPr="007D4FBA">
        <w:rPr>
          <w:rStyle w:val="FootnoteReference"/>
          <w:noProof/>
        </w:rPr>
        <w:footnoteReference w:id="16"/>
      </w:r>
      <w:r w:rsidR="00B44CED" w:rsidRPr="007D4FBA">
        <w:rPr>
          <w:noProof/>
        </w:rPr>
        <w:t xml:space="preserve"> a nadobudol platnosť 11. mája 2008. </w:t>
      </w:r>
    </w:p>
    <w:p w14:paraId="4FA93A17" w14:textId="3A365D99" w:rsidR="00B6056A" w:rsidRPr="007D4FBA" w:rsidRDefault="007E224E" w:rsidP="007E224E">
      <w:pPr>
        <w:pStyle w:val="ManualConsidrant"/>
        <w:rPr>
          <w:noProof/>
        </w:rPr>
      </w:pPr>
      <w:r w:rsidRPr="007E224E">
        <w:t>(3)</w:t>
      </w:r>
      <w:r w:rsidRPr="007E224E">
        <w:tab/>
      </w:r>
      <w:r w:rsidR="00B6056A" w:rsidRPr="007D4FBA">
        <w:rPr>
          <w:noProof/>
        </w:rPr>
        <w:t>Protokol o osobitných chránených oblastiach a biologickej rozmanitosti (ďalej len „protokol o OCHO a biologickej rozmanitosti“) bol uzavretý Úniou rozhodnutím Rady 1999/800/ES</w:t>
      </w:r>
      <w:r w:rsidR="00B6056A" w:rsidRPr="007D4FBA">
        <w:rPr>
          <w:rStyle w:val="FootnoteReference"/>
          <w:noProof/>
        </w:rPr>
        <w:footnoteReference w:id="17"/>
      </w:r>
      <w:r w:rsidR="00B6056A" w:rsidRPr="007D4FBA">
        <w:rPr>
          <w:noProof/>
        </w:rPr>
        <w:t xml:space="preserve"> a nadobudol platnosť 12. decembra 1999.</w:t>
      </w:r>
    </w:p>
    <w:p w14:paraId="2A26568E" w14:textId="6DFA6660" w:rsidR="00686D59" w:rsidRPr="007D4FBA" w:rsidRDefault="007E224E" w:rsidP="007E224E">
      <w:pPr>
        <w:pStyle w:val="ManualConsidrant"/>
        <w:rPr>
          <w:noProof/>
        </w:rPr>
      </w:pPr>
      <w:r w:rsidRPr="007E224E">
        <w:t>(4)</w:t>
      </w:r>
      <w:r w:rsidRPr="007E224E">
        <w:tab/>
      </w:r>
      <w:r w:rsidR="00686D59" w:rsidRPr="007D4FBA">
        <w:rPr>
          <w:noProof/>
        </w:rPr>
        <w:t>Podľa článku 15 protokolu o zdrojoch na pevnine môže Zhromaždenie zmluvných strán Barcelonského dohovoru a jeho protokolov prijímať regionálne akčné plány obsahujúce opatrenia a časový harmonogram ich vykonávania.</w:t>
      </w:r>
    </w:p>
    <w:p w14:paraId="1BD34308" w14:textId="7537851B" w:rsidR="00686D59" w:rsidRPr="007D4FBA" w:rsidRDefault="007E224E" w:rsidP="007E224E">
      <w:pPr>
        <w:pStyle w:val="ManualConsidrant"/>
        <w:rPr>
          <w:noProof/>
        </w:rPr>
      </w:pPr>
      <w:r w:rsidRPr="007E224E">
        <w:t>(5)</w:t>
      </w:r>
      <w:r w:rsidRPr="007E224E">
        <w:tab/>
      </w:r>
      <w:r w:rsidR="00C7691A" w:rsidRPr="007D4FBA">
        <w:rPr>
          <w:noProof/>
        </w:rPr>
        <w:t>Podľa článku 18 Barcelonského dohovoru môže Zhromaždenie zmluvných strán prijímať zmeny protokolov k Barcelonskému dohovoru. Podľa článku 23 Barcelonského dohovoru a jeho protokolov v spojení s článkom 14 ods. 1 protokolu o OCHO a biologickej rozmanitosti sa má zmena príloh k protokolu začať uplatňovať pre všetky zmluvné strany protokolu o OCHO a biologickej rozmanitosti po uplynutí lehoty stanovenej zmluvnými stranami pri prijímaní zmeny, s výnimkou tých, ktoré depozitárovi písomne oznámili, že zmenu nemôžu schváliť.</w:t>
      </w:r>
    </w:p>
    <w:p w14:paraId="12BF3B49" w14:textId="2BABB47A" w:rsidR="00C7691A" w:rsidRPr="007D4FBA" w:rsidRDefault="007E224E" w:rsidP="007E224E">
      <w:pPr>
        <w:pStyle w:val="ManualConsidrant"/>
        <w:rPr>
          <w:noProof/>
        </w:rPr>
      </w:pPr>
      <w:r w:rsidRPr="007E224E">
        <w:t>(6)</w:t>
      </w:r>
      <w:r w:rsidRPr="007E224E">
        <w:tab/>
      </w:r>
      <w:r w:rsidR="00C7691A" w:rsidRPr="007D4FBA">
        <w:rPr>
          <w:noProof/>
        </w:rPr>
        <w:t>Na 23. zasadnutí/stretnutí Zhromaždenia zmluvných strán Barcelonského dohovoru a jeho protokolov, ktoré sa bude konať 4. – 8. decembra 2023, sa majú prijať tri nové regionálne plány na základe protokolu o zdrojoch na pevnine (regionálny plán o riadení poľnohospodárstva, regionálny plán o riadení akvakultúry a regionálny plán o nakladaní so zrážkovou vodou v mestách) a návrh na zmenu príloh II a III k protokolu o OCHO a biologickej rozmanitosti tak, aby sa do nich zahrnulo deväť druhov drsnokožcov: päť druhov do prílohy II (zoznam ohrozených alebo bezprostredne ohrozených druhov) a štyri druhy do prílohy III (zoznam druhov, ktorých využívanie je regulované).</w:t>
      </w:r>
    </w:p>
    <w:p w14:paraId="4D522DE5" w14:textId="19995DAF" w:rsidR="0020787E" w:rsidRPr="007D4FBA" w:rsidRDefault="007E224E" w:rsidP="007E224E">
      <w:pPr>
        <w:pStyle w:val="ManualConsidrant"/>
        <w:rPr>
          <w:noProof/>
        </w:rPr>
      </w:pPr>
      <w:bookmarkStart w:id="8" w:name="_Hlk144828465"/>
      <w:r w:rsidRPr="007E224E">
        <w:t>(7)</w:t>
      </w:r>
      <w:r w:rsidRPr="007E224E">
        <w:tab/>
      </w:r>
      <w:r w:rsidR="0020787E" w:rsidRPr="007D4FBA">
        <w:rPr>
          <w:noProof/>
        </w:rPr>
        <w:t>Je vhodné stanoviť pozíciu, ktorá sa má zaujať v mene Únie na zasadnutí Zhromaždenia zmluvných strán Barcelonského dohovoru a jeho protokolov týkajúcom sa prijatia týchto návrhov, keďže regionálne plány budú pre Úniu záväzné v súlade s článkom 15 ods. 3 protokolu o zdrojoch na pevnine</w:t>
      </w:r>
      <w:bookmarkEnd w:id="8"/>
      <w:r w:rsidR="0020787E" w:rsidRPr="007D4FBA">
        <w:rPr>
          <w:noProof/>
        </w:rPr>
        <w:t xml:space="preserve"> a zmeny príloh II a III k protokolu o OCHO a biologickej rozmanitosti budú pre Úniu záväzné v súlade s článkom 29 Barcelonského dohovoru.</w:t>
      </w:r>
    </w:p>
    <w:p w14:paraId="64B783E1" w14:textId="15AC99EA" w:rsidR="0020787E" w:rsidRPr="007D4FBA" w:rsidRDefault="007E224E" w:rsidP="007E224E">
      <w:pPr>
        <w:pStyle w:val="ManualConsidrant"/>
        <w:rPr>
          <w:noProof/>
        </w:rPr>
      </w:pPr>
      <w:bookmarkStart w:id="9" w:name="_Hlk144828523"/>
      <w:r w:rsidRPr="007E224E">
        <w:t>(8)</w:t>
      </w:r>
      <w:r w:rsidRPr="007E224E">
        <w:tab/>
      </w:r>
      <w:r w:rsidR="00B44CED" w:rsidRPr="007D4FBA">
        <w:rPr>
          <w:noProof/>
        </w:rPr>
        <w:t>Keďže pripravované regionálne plány sú v súlade s cieľmi a politikami Únie v oblasti zníženia znečistenia z poľnohospodárstva, akvakultúry a zrážkovej vody v mestách a zlepšenia ochrany pobrežného a morského prostredia, navrhuje sa, aby Únia podporila prijatie navrhovaných regionálnych plánov.</w:t>
      </w:r>
    </w:p>
    <w:p w14:paraId="33D04B60" w14:textId="138CA542" w:rsidR="008379FA" w:rsidRPr="007D4FBA" w:rsidRDefault="007E224E" w:rsidP="007E224E">
      <w:pPr>
        <w:pStyle w:val="ManualConsidrant"/>
        <w:rPr>
          <w:noProof/>
        </w:rPr>
      </w:pPr>
      <w:r w:rsidRPr="007E224E">
        <w:t>(9)</w:t>
      </w:r>
      <w:r w:rsidRPr="007E224E">
        <w:tab/>
      </w:r>
      <w:r w:rsidR="008379FA" w:rsidRPr="007D4FBA">
        <w:rPr>
          <w:noProof/>
        </w:rPr>
        <w:t>Keďže pripravované zmeny príloh II a III k protokolu o OCHO a biologickej rozmanitosti sú v súlade s cieľmi Únie vyplývajúcimi zo Zelenej dohody, najmä zo stratégie EÚ v oblasti biodiverzity, ako aj s právom Únie o ochrane rybolovných zdrojov a morských ekosystémov, navrhuje sa, aby Únia podporila prijatie navrhovaných zmien,</w:t>
      </w:r>
    </w:p>
    <w:bookmarkEnd w:id="9"/>
    <w:p w14:paraId="58E86F6D" w14:textId="77777777" w:rsidR="0020787E" w:rsidRPr="007D4FBA" w:rsidRDefault="0020787E" w:rsidP="00BE7CB9">
      <w:pPr>
        <w:pStyle w:val="Formuledadoption"/>
        <w:rPr>
          <w:noProof/>
        </w:rPr>
      </w:pPr>
      <w:r w:rsidRPr="007D4FBA">
        <w:rPr>
          <w:noProof/>
        </w:rPr>
        <w:t>PRIJALA TOTO ROZHODNUTIE:</w:t>
      </w:r>
    </w:p>
    <w:p w14:paraId="6807825C" w14:textId="77777777" w:rsidR="0020787E" w:rsidRPr="007D4FBA" w:rsidRDefault="0020787E" w:rsidP="00BE7CB9">
      <w:pPr>
        <w:pStyle w:val="Titrearticle"/>
        <w:rPr>
          <w:noProof/>
        </w:rPr>
      </w:pPr>
      <w:r w:rsidRPr="007D4FBA">
        <w:rPr>
          <w:noProof/>
        </w:rPr>
        <w:t>Článok 1</w:t>
      </w:r>
    </w:p>
    <w:p w14:paraId="0320F47E" w14:textId="77777777" w:rsidR="0020787E" w:rsidRPr="007D4FBA" w:rsidRDefault="0020787E" w:rsidP="00BE7CB9">
      <w:pPr>
        <w:rPr>
          <w:noProof/>
        </w:rPr>
      </w:pPr>
      <w:bookmarkStart w:id="10" w:name="_Hlk144828601"/>
      <w:r w:rsidRPr="007D4FBA">
        <w:rPr>
          <w:noProof/>
        </w:rPr>
        <w:t>Pozícia, ktorá sa má zaujať v mene Únie na 23. zasadnutí Zhromaždenia zmluvných strán Barcelonského dohovoru a jeho protokolov, je podporiť prijatie týchto rozhodnutí na základe článku 15 protokolu o zdrojoch na pevnine:</w:t>
      </w:r>
    </w:p>
    <w:p w14:paraId="22503CEC" w14:textId="0937740C" w:rsidR="0020787E" w:rsidRPr="007D4FBA" w:rsidRDefault="00A63406" w:rsidP="00A63406">
      <w:pPr>
        <w:pStyle w:val="Point0"/>
        <w:rPr>
          <w:noProof/>
        </w:rPr>
      </w:pPr>
      <w:r>
        <w:rPr>
          <w:noProof/>
        </w:rPr>
        <w:t>a)</w:t>
      </w:r>
      <w:r>
        <w:rPr>
          <w:noProof/>
        </w:rPr>
        <w:tab/>
      </w:r>
      <w:r w:rsidR="004E700A" w:rsidRPr="007D4FBA">
        <w:rPr>
          <w:noProof/>
        </w:rPr>
        <w:t xml:space="preserve">prijatie regionálneho plánu o riadení poľnohospodárstva; </w:t>
      </w:r>
    </w:p>
    <w:p w14:paraId="7B3DF795" w14:textId="677EBF74" w:rsidR="002B2FD6" w:rsidRPr="007D4FBA" w:rsidRDefault="00A63406" w:rsidP="00A63406">
      <w:pPr>
        <w:pStyle w:val="Point0"/>
        <w:rPr>
          <w:noProof/>
        </w:rPr>
      </w:pPr>
      <w:r>
        <w:rPr>
          <w:noProof/>
        </w:rPr>
        <w:t>b)</w:t>
      </w:r>
      <w:r>
        <w:rPr>
          <w:noProof/>
        </w:rPr>
        <w:tab/>
      </w:r>
      <w:r w:rsidR="004E700A" w:rsidRPr="007D4FBA">
        <w:rPr>
          <w:noProof/>
        </w:rPr>
        <w:t>prijatie regionálneho plánu o riadení akvakultúry;</w:t>
      </w:r>
    </w:p>
    <w:p w14:paraId="13501BC6" w14:textId="153CC890" w:rsidR="004E700A" w:rsidRPr="007D4FBA" w:rsidRDefault="00A63406" w:rsidP="00A63406">
      <w:pPr>
        <w:pStyle w:val="Point0"/>
        <w:rPr>
          <w:noProof/>
        </w:rPr>
      </w:pPr>
      <w:r>
        <w:rPr>
          <w:noProof/>
        </w:rPr>
        <w:t>c)</w:t>
      </w:r>
      <w:r>
        <w:rPr>
          <w:noProof/>
        </w:rPr>
        <w:tab/>
      </w:r>
      <w:r w:rsidR="004E700A" w:rsidRPr="007D4FBA">
        <w:rPr>
          <w:noProof/>
        </w:rPr>
        <w:t xml:space="preserve">prijatie regionálneho plánu o nakladaní so zrážkovou vodou v mestách. </w:t>
      </w:r>
    </w:p>
    <w:bookmarkEnd w:id="10"/>
    <w:p w14:paraId="03462C29" w14:textId="77777777" w:rsidR="002B2FD6" w:rsidRPr="007D4FBA" w:rsidRDefault="0020787E" w:rsidP="002B2FD6">
      <w:pPr>
        <w:pStyle w:val="Titrearticle"/>
        <w:rPr>
          <w:noProof/>
        </w:rPr>
      </w:pPr>
      <w:r w:rsidRPr="007D4FBA">
        <w:rPr>
          <w:noProof/>
        </w:rPr>
        <w:t>Článok 2</w:t>
      </w:r>
    </w:p>
    <w:p w14:paraId="3618E155" w14:textId="77777777" w:rsidR="004E700A" w:rsidRPr="007D4FBA" w:rsidRDefault="004E700A" w:rsidP="004E700A">
      <w:pPr>
        <w:rPr>
          <w:noProof/>
        </w:rPr>
      </w:pPr>
      <w:r w:rsidRPr="007D4FBA">
        <w:rPr>
          <w:noProof/>
        </w:rPr>
        <w:t>Pozícia, ktorá sa má zaujať v mene Únie na 23. zasadnutí/stretnutí Zhromaždenia zmluvných strán Barcelonského dohovoru a jeho protokolov, je podporiť:</w:t>
      </w:r>
    </w:p>
    <w:p w14:paraId="73895BCF" w14:textId="61AC63D3" w:rsidR="004E700A" w:rsidRPr="007D4FBA" w:rsidRDefault="00A63406" w:rsidP="00A63406">
      <w:pPr>
        <w:pStyle w:val="Point0"/>
        <w:rPr>
          <w:noProof/>
        </w:rPr>
      </w:pPr>
      <w:r>
        <w:rPr>
          <w:noProof/>
        </w:rPr>
        <w:t>a)</w:t>
      </w:r>
      <w:r>
        <w:rPr>
          <w:noProof/>
        </w:rPr>
        <w:tab/>
      </w:r>
      <w:r w:rsidR="004E700A" w:rsidRPr="007D4FBA">
        <w:rPr>
          <w:noProof/>
        </w:rPr>
        <w:t>zahrnutie týchto druhov drsnokožcov do prílohy II k protokolu o OCHO a biologickej rozmanitosti:</w:t>
      </w:r>
    </w:p>
    <w:p w14:paraId="7794148C" w14:textId="77777777" w:rsidR="004E700A" w:rsidRPr="007D4FBA" w:rsidRDefault="00B67E4C" w:rsidP="00335CA1">
      <w:pPr>
        <w:pStyle w:val="Tiret1"/>
        <w:numPr>
          <w:ilvl w:val="0"/>
          <w:numId w:val="10"/>
        </w:numPr>
        <w:rPr>
          <w:noProof/>
        </w:rPr>
      </w:pPr>
      <w:r w:rsidRPr="007D4FBA">
        <w:rPr>
          <w:i/>
          <w:noProof/>
        </w:rPr>
        <w:t>Aetomylaeus bovinus</w:t>
      </w:r>
      <w:r w:rsidRPr="007D4FBA">
        <w:rPr>
          <w:noProof/>
        </w:rPr>
        <w:t xml:space="preserve"> (Geoffroy St. Hilaire, 1817),</w:t>
      </w:r>
    </w:p>
    <w:p w14:paraId="06E544E9" w14:textId="77777777" w:rsidR="00EB0F57" w:rsidRPr="007D4FBA" w:rsidRDefault="00EB0F57" w:rsidP="004E700A">
      <w:pPr>
        <w:pStyle w:val="Tiret1"/>
        <w:rPr>
          <w:noProof/>
        </w:rPr>
      </w:pPr>
      <w:r w:rsidRPr="007D4FBA">
        <w:rPr>
          <w:i/>
          <w:noProof/>
        </w:rPr>
        <w:t>Alopias superciliosus</w:t>
      </w:r>
      <w:r w:rsidRPr="007D4FBA">
        <w:rPr>
          <w:noProof/>
        </w:rPr>
        <w:t xml:space="preserve"> (Lowe, 1841),</w:t>
      </w:r>
    </w:p>
    <w:p w14:paraId="24915079" w14:textId="77777777" w:rsidR="00EB0F57" w:rsidRPr="007D4FBA" w:rsidRDefault="00EB0F57" w:rsidP="004E700A">
      <w:pPr>
        <w:pStyle w:val="Tiret1"/>
        <w:rPr>
          <w:noProof/>
        </w:rPr>
      </w:pPr>
      <w:r w:rsidRPr="007D4FBA">
        <w:rPr>
          <w:i/>
          <w:noProof/>
        </w:rPr>
        <w:t>Bathytoshia lata</w:t>
      </w:r>
      <w:r w:rsidRPr="007D4FBA">
        <w:rPr>
          <w:noProof/>
        </w:rPr>
        <w:t xml:space="preserve"> (Garman, 1880),</w:t>
      </w:r>
    </w:p>
    <w:p w14:paraId="75C903C7" w14:textId="77777777" w:rsidR="00EB0F57" w:rsidRPr="007D4FBA" w:rsidRDefault="00EB0F57" w:rsidP="004E700A">
      <w:pPr>
        <w:pStyle w:val="Tiret1"/>
        <w:rPr>
          <w:noProof/>
        </w:rPr>
      </w:pPr>
      <w:r w:rsidRPr="007D4FBA">
        <w:rPr>
          <w:i/>
          <w:noProof/>
        </w:rPr>
        <w:t>Dasyatis pastinaca</w:t>
      </w:r>
      <w:r w:rsidRPr="007D4FBA">
        <w:rPr>
          <w:noProof/>
        </w:rPr>
        <w:t xml:space="preserve"> (Linnaeus, 1758),</w:t>
      </w:r>
    </w:p>
    <w:p w14:paraId="3BA2D09F" w14:textId="77777777" w:rsidR="004E700A" w:rsidRPr="007D4FBA" w:rsidRDefault="00EB0F57" w:rsidP="004E700A">
      <w:pPr>
        <w:pStyle w:val="Tiret1"/>
        <w:rPr>
          <w:noProof/>
        </w:rPr>
      </w:pPr>
      <w:r w:rsidRPr="007D4FBA">
        <w:rPr>
          <w:i/>
          <w:noProof/>
        </w:rPr>
        <w:t>Rhinoptera marginata</w:t>
      </w:r>
      <w:r w:rsidRPr="007D4FBA">
        <w:rPr>
          <w:noProof/>
        </w:rPr>
        <w:t xml:space="preserve"> (Geoffroy St. Hilaire, 1817) a</w:t>
      </w:r>
    </w:p>
    <w:p w14:paraId="702A29D1" w14:textId="79FD1BE7" w:rsidR="004E700A" w:rsidRPr="007D4FBA" w:rsidRDefault="00A63406" w:rsidP="00A63406">
      <w:pPr>
        <w:pStyle w:val="Point0"/>
        <w:rPr>
          <w:noProof/>
        </w:rPr>
      </w:pPr>
      <w:r>
        <w:rPr>
          <w:noProof/>
        </w:rPr>
        <w:t>b)</w:t>
      </w:r>
      <w:r>
        <w:rPr>
          <w:noProof/>
        </w:rPr>
        <w:tab/>
      </w:r>
      <w:r w:rsidR="004E700A" w:rsidRPr="007D4FBA">
        <w:rPr>
          <w:noProof/>
        </w:rPr>
        <w:t>zahrnutie týchto druhov drsnokožcov do prílohy III k protokolu o OCHO a biologickej rozmanitosti:</w:t>
      </w:r>
    </w:p>
    <w:p w14:paraId="1C9330C3" w14:textId="77777777" w:rsidR="004E700A" w:rsidRPr="007D4FBA" w:rsidRDefault="00EB0F57" w:rsidP="004E700A">
      <w:pPr>
        <w:pStyle w:val="Tiret1"/>
        <w:rPr>
          <w:noProof/>
        </w:rPr>
      </w:pPr>
      <w:r w:rsidRPr="007D4FBA">
        <w:rPr>
          <w:i/>
          <w:noProof/>
        </w:rPr>
        <w:t>Dasyatis marmorata</w:t>
      </w:r>
      <w:r w:rsidRPr="007D4FBA">
        <w:rPr>
          <w:noProof/>
        </w:rPr>
        <w:t xml:space="preserve"> (Steindachner, 1892),</w:t>
      </w:r>
    </w:p>
    <w:p w14:paraId="55C269CD" w14:textId="77777777" w:rsidR="004E700A" w:rsidRPr="007D4FBA" w:rsidRDefault="00EB0F57" w:rsidP="004E700A">
      <w:pPr>
        <w:pStyle w:val="Tiret1"/>
        <w:rPr>
          <w:noProof/>
        </w:rPr>
      </w:pPr>
      <w:r w:rsidRPr="007D4FBA">
        <w:rPr>
          <w:i/>
          <w:noProof/>
        </w:rPr>
        <w:t>Hexanchus griseus</w:t>
      </w:r>
      <w:r w:rsidRPr="007D4FBA">
        <w:rPr>
          <w:noProof/>
        </w:rPr>
        <w:t xml:space="preserve"> (Bonnaterre, 1788),</w:t>
      </w:r>
    </w:p>
    <w:p w14:paraId="1E61C9D2" w14:textId="77777777" w:rsidR="00EB0F57" w:rsidRPr="007D4FBA" w:rsidRDefault="00EB0F57" w:rsidP="004E700A">
      <w:pPr>
        <w:pStyle w:val="Tiret1"/>
        <w:rPr>
          <w:noProof/>
        </w:rPr>
      </w:pPr>
      <w:r w:rsidRPr="007D4FBA">
        <w:rPr>
          <w:i/>
          <w:noProof/>
        </w:rPr>
        <w:t>Pteroplatytrygon violacea</w:t>
      </w:r>
      <w:r w:rsidRPr="007D4FBA">
        <w:rPr>
          <w:noProof/>
        </w:rPr>
        <w:t xml:space="preserve"> (Bonaparte, 1832),</w:t>
      </w:r>
    </w:p>
    <w:p w14:paraId="288849CB" w14:textId="77777777" w:rsidR="00BB2672" w:rsidRPr="007D4FBA" w:rsidRDefault="00BB2672" w:rsidP="00A64B81">
      <w:pPr>
        <w:pStyle w:val="Tiret1"/>
        <w:rPr>
          <w:noProof/>
        </w:rPr>
      </w:pPr>
      <w:r w:rsidRPr="007D4FBA">
        <w:rPr>
          <w:i/>
          <w:noProof/>
        </w:rPr>
        <w:t>Myliobatis aquila</w:t>
      </w:r>
      <w:r w:rsidRPr="007D4FBA">
        <w:rPr>
          <w:noProof/>
        </w:rPr>
        <w:t xml:space="preserve"> (Linnaeus, 1758).</w:t>
      </w:r>
    </w:p>
    <w:p w14:paraId="0F83B5AF" w14:textId="77777777" w:rsidR="004E700A" w:rsidRPr="007D4FBA" w:rsidRDefault="004E700A" w:rsidP="004E700A">
      <w:pPr>
        <w:pStyle w:val="Titrearticle"/>
        <w:rPr>
          <w:noProof/>
        </w:rPr>
      </w:pPr>
      <w:r w:rsidRPr="007D4FBA">
        <w:rPr>
          <w:noProof/>
        </w:rPr>
        <w:t>Článok 3</w:t>
      </w:r>
    </w:p>
    <w:p w14:paraId="4ADDB23F" w14:textId="77777777" w:rsidR="004E700A" w:rsidRPr="007D4FBA" w:rsidRDefault="004E700A" w:rsidP="004E700A">
      <w:pPr>
        <w:rPr>
          <w:noProof/>
        </w:rPr>
      </w:pPr>
      <w:r w:rsidRPr="007D4FBA">
        <w:rPr>
          <w:noProof/>
        </w:rPr>
        <w:t>Pred prijatím rozhodnutia na 23. zasadnutí Zhromaždenia zmluvných strán Barcelonského dohovoru a jeho protokolov sa na základe koordinácie na mieste môžu odsúhlasiť menšie úpravy tejto pozície.</w:t>
      </w:r>
    </w:p>
    <w:p w14:paraId="360BF327" w14:textId="77777777" w:rsidR="004E700A" w:rsidRPr="007D4FBA" w:rsidRDefault="004E700A" w:rsidP="00BF7BD4">
      <w:pPr>
        <w:pStyle w:val="Titrearticle"/>
        <w:rPr>
          <w:noProof/>
        </w:rPr>
      </w:pPr>
      <w:r w:rsidRPr="007D4FBA">
        <w:rPr>
          <w:noProof/>
        </w:rPr>
        <w:t>Článok 4</w:t>
      </w:r>
    </w:p>
    <w:p w14:paraId="037BF7F6" w14:textId="77777777" w:rsidR="0020787E" w:rsidRPr="007D4FBA" w:rsidRDefault="0020787E" w:rsidP="00BE7CB9">
      <w:pPr>
        <w:rPr>
          <w:noProof/>
        </w:rPr>
      </w:pPr>
      <w:r w:rsidRPr="007D4FBA">
        <w:rPr>
          <w:noProof/>
        </w:rPr>
        <w:t>Toto rozhodnutie je určené Komisii.</w:t>
      </w:r>
    </w:p>
    <w:p w14:paraId="689C45CC" w14:textId="600EE906" w:rsidR="0020787E" w:rsidRPr="007D4FBA" w:rsidRDefault="00D709A7" w:rsidP="00BF7BD4">
      <w:pPr>
        <w:pStyle w:val="Fait"/>
        <w:rPr>
          <w:noProof/>
        </w:rPr>
      </w:pPr>
      <w:r w:rsidRPr="00D709A7">
        <w:t>V Bruseli</w:t>
      </w:r>
    </w:p>
    <w:p w14:paraId="4E2EA02A" w14:textId="77777777" w:rsidR="0020787E" w:rsidRPr="007D4FBA" w:rsidRDefault="0020787E" w:rsidP="00BF7BD4">
      <w:pPr>
        <w:pStyle w:val="Institutionquisigne"/>
        <w:rPr>
          <w:noProof/>
        </w:rPr>
      </w:pPr>
      <w:r w:rsidRPr="007D4FBA">
        <w:rPr>
          <w:noProof/>
        </w:rPr>
        <w:tab/>
        <w:t>Za Radu</w:t>
      </w:r>
    </w:p>
    <w:p w14:paraId="6DC34B2A" w14:textId="77777777" w:rsidR="0020787E" w:rsidRPr="007D4FBA" w:rsidRDefault="0020787E" w:rsidP="0020787E">
      <w:pPr>
        <w:pStyle w:val="Personnequisigne"/>
        <w:rPr>
          <w:noProof/>
        </w:rPr>
      </w:pPr>
      <w:r w:rsidRPr="007D4FBA">
        <w:rPr>
          <w:noProof/>
        </w:rPr>
        <w:tab/>
        <w:t>predseda</w:t>
      </w:r>
    </w:p>
    <w:sectPr w:rsidR="0020787E" w:rsidRPr="007D4FBA" w:rsidSect="00DB61CA"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6E6451" w14:textId="77777777" w:rsidR="0020787E" w:rsidRDefault="0020787E" w:rsidP="0020787E">
      <w:pPr>
        <w:spacing w:before="0" w:after="0"/>
      </w:pPr>
      <w:r>
        <w:separator/>
      </w:r>
    </w:p>
  </w:endnote>
  <w:endnote w:type="continuationSeparator" w:id="0">
    <w:p w14:paraId="7CE5199A" w14:textId="77777777" w:rsidR="0020787E" w:rsidRDefault="0020787E" w:rsidP="0020787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3A8B68" w14:textId="259B05C8" w:rsidR="0020787E" w:rsidRPr="00DB61CA" w:rsidRDefault="00DB61CA" w:rsidP="00DB61CA">
    <w:pPr>
      <w:pStyle w:val="Footer"/>
      <w:rPr>
        <w:rFonts w:ascii="Arial" w:hAnsi="Arial" w:cs="Arial"/>
        <w:b/>
        <w:sz w:val="48"/>
      </w:rPr>
    </w:pPr>
    <w:r w:rsidRPr="00DB61CA">
      <w:rPr>
        <w:rFonts w:ascii="Arial" w:hAnsi="Arial" w:cs="Arial"/>
        <w:b/>
        <w:sz w:val="48"/>
      </w:rPr>
      <w:t>SK</w:t>
    </w:r>
    <w:r w:rsidRPr="00DB61CA">
      <w:rPr>
        <w:rFonts w:ascii="Arial" w:hAnsi="Arial" w:cs="Arial"/>
        <w:b/>
        <w:sz w:val="48"/>
      </w:rPr>
      <w:tab/>
    </w:r>
    <w:r w:rsidRPr="00DB61CA">
      <w:rPr>
        <w:rFonts w:ascii="Arial" w:hAnsi="Arial" w:cs="Arial"/>
        <w:b/>
        <w:sz w:val="48"/>
      </w:rPr>
      <w:tab/>
    </w:r>
    <w:r w:rsidRPr="00DB61CA">
      <w:tab/>
    </w:r>
    <w:r w:rsidRPr="00DB61CA">
      <w:rPr>
        <w:rFonts w:ascii="Arial" w:hAnsi="Arial" w:cs="Arial"/>
        <w:b/>
        <w:sz w:val="48"/>
      </w:rPr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3AC7A1" w14:textId="2A5A2910" w:rsidR="00DB61CA" w:rsidRPr="00DB61CA" w:rsidRDefault="00DB61CA" w:rsidP="00DB61CA">
    <w:pPr>
      <w:pStyle w:val="Footer"/>
      <w:rPr>
        <w:rFonts w:ascii="Arial" w:hAnsi="Arial" w:cs="Arial"/>
        <w:b/>
        <w:sz w:val="48"/>
      </w:rPr>
    </w:pPr>
    <w:r w:rsidRPr="00DB61CA">
      <w:rPr>
        <w:rFonts w:ascii="Arial" w:hAnsi="Arial" w:cs="Arial"/>
        <w:b/>
        <w:sz w:val="48"/>
      </w:rPr>
      <w:t>SK</w:t>
    </w:r>
    <w:r w:rsidRPr="00DB61CA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 w:rsidR="00BF7BD4">
      <w:rPr>
        <w:noProof/>
      </w:rPr>
      <w:t>8</w:t>
    </w:r>
    <w:r>
      <w:fldChar w:fldCharType="end"/>
    </w:r>
    <w:r>
      <w:tab/>
    </w:r>
    <w:r w:rsidRPr="00DB61CA">
      <w:tab/>
    </w:r>
    <w:r w:rsidRPr="00DB61CA">
      <w:rPr>
        <w:rFonts w:ascii="Arial" w:hAnsi="Arial" w:cs="Arial"/>
        <w:b/>
        <w:sz w:val="48"/>
      </w:rPr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A89D30" w14:textId="77777777" w:rsidR="00DB61CA" w:rsidRPr="00DB61CA" w:rsidRDefault="00DB61CA" w:rsidP="00DB61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0C99A9" w14:textId="77777777" w:rsidR="0020787E" w:rsidRDefault="0020787E" w:rsidP="0020787E">
      <w:pPr>
        <w:spacing w:before="0" w:after="0"/>
      </w:pPr>
      <w:r>
        <w:separator/>
      </w:r>
    </w:p>
  </w:footnote>
  <w:footnote w:type="continuationSeparator" w:id="0">
    <w:p w14:paraId="2A75B53D" w14:textId="77777777" w:rsidR="0020787E" w:rsidRDefault="0020787E" w:rsidP="0020787E">
      <w:pPr>
        <w:spacing w:before="0" w:after="0"/>
      </w:pPr>
      <w:r>
        <w:continuationSeparator/>
      </w:r>
    </w:p>
  </w:footnote>
  <w:footnote w:id="1">
    <w:p w14:paraId="12680752" w14:textId="2A09F71A" w:rsidR="00D73582" w:rsidRPr="00BE469B" w:rsidRDefault="00D73582">
      <w:pPr>
        <w:pStyle w:val="FootnoteText"/>
      </w:pPr>
      <w:r>
        <w:rPr>
          <w:rStyle w:val="FootnoteReference"/>
        </w:rPr>
        <w:footnoteRef/>
      </w:r>
      <w:r>
        <w:tab/>
        <w:t xml:space="preserve">Dohovor o ochrane Stredozemného mora pred znečistením (Barcelonský dohovor) bol prijatý 16. februára 1976 a platnosť nadobudol 12. februára 1978. Uvedený dohovor bol pozmenený Dohovorom o ochrane morského prostredia a pobrežných oblastí Stredozemného mora 10. júna 1995. Pozmenený dohovor nadobudol platnosť 9. júla 2004; </w:t>
      </w:r>
      <w:hyperlink r:id="rId1" w:history="1">
        <w:r>
          <w:rPr>
            <w:rStyle w:val="Hyperlink"/>
          </w:rPr>
          <w:t>https://wedocs.unep.org/bitstream/handle/20.500.11822/31970/bcp2019_web_eng.pdf</w:t>
        </w:r>
      </w:hyperlink>
      <w:r w:rsidR="00A63406" w:rsidRPr="00A63406">
        <w:rPr>
          <w:rStyle w:val="Hyperlink"/>
          <w:u w:val="none"/>
        </w:rPr>
        <w:t>.</w:t>
      </w:r>
    </w:p>
  </w:footnote>
  <w:footnote w:id="2">
    <w:p w14:paraId="3BED92AE" w14:textId="77777777" w:rsidR="0020787E" w:rsidRPr="00B035F8" w:rsidRDefault="0020787E" w:rsidP="00736AA9">
      <w:pPr>
        <w:pStyle w:val="FootnoteText"/>
      </w:pPr>
      <w:r>
        <w:rPr>
          <w:rStyle w:val="FootnoteReference"/>
        </w:rPr>
        <w:footnoteRef/>
      </w:r>
      <w:r>
        <w:tab/>
        <w:t>Rozhodnutie Rady 1999/801/ES (Ú. v. ES L 322, 14.12.1999, s. 18 – 31).</w:t>
      </w:r>
    </w:p>
  </w:footnote>
  <w:footnote w:id="3">
    <w:p w14:paraId="2420F867" w14:textId="7AD43E50" w:rsidR="002125D9" w:rsidRPr="002125D9" w:rsidRDefault="002125D9">
      <w:pPr>
        <w:pStyle w:val="FootnoteText"/>
      </w:pPr>
      <w:r>
        <w:rPr>
          <w:rStyle w:val="FootnoteReference"/>
        </w:rPr>
        <w:footnoteRef/>
      </w:r>
      <w:r>
        <w:tab/>
        <w:t>Rozhodnutie Rady 1999/800/ES (Ú. v. ES L 322, 14.12.1999, p.1).</w:t>
      </w:r>
    </w:p>
  </w:footnote>
  <w:footnote w:id="4">
    <w:p w14:paraId="1FE63D12" w14:textId="7E12B643" w:rsidR="0050784B" w:rsidRPr="00BE469B" w:rsidRDefault="0050784B">
      <w:pPr>
        <w:pStyle w:val="FootnoteText"/>
      </w:pPr>
      <w:r>
        <w:rPr>
          <w:rStyle w:val="FootnoteReference"/>
        </w:rPr>
        <w:footnoteRef/>
      </w:r>
      <w:r>
        <w:tab/>
        <w:t>Cieľ 2: Ukončiť hlad, dosiahnuť potravinovú bezpečnosť a lepšiu výživu a podporovať udržateľné poľnohospodárstvo, cieľ 6: Zabezpečiť dostupnosť a udržateľný manažment vody a sanitárnych opatrení pre všetkých, cieľ 14: Zachovať a udržateľne využívať oceány, moria a zdroje mora na udržateľný rozvoj, prijaté na 70. zasadnutí Valného zhromaždenia OSN, ktoré sa uskutočnilo 25. septembra 2015 pod názvom Transformujeme náš svet: Agenda 2030 pre udržateľný rozvoj.</w:t>
      </w:r>
    </w:p>
  </w:footnote>
  <w:footnote w:id="5">
    <w:p w14:paraId="5EC1911C" w14:textId="645F1196" w:rsidR="002F4B4F" w:rsidRPr="00BE469B" w:rsidRDefault="002F4B4F">
      <w:pPr>
        <w:pStyle w:val="FootnoteText"/>
      </w:pPr>
      <w:r>
        <w:rPr>
          <w:rStyle w:val="FootnoteReference"/>
        </w:rPr>
        <w:footnoteRef/>
      </w:r>
      <w:r>
        <w:tab/>
        <w:t xml:space="preserve">Dohovor Organizácie Spojených národov o boji proti dezertifikácii v krajinách postihnutých vážnym suchom a/alebo dezertifikáciou, hlavne v Afrike (UNCCD), prijatý v roku 1994, </w:t>
      </w:r>
      <w:hyperlink r:id="rId2" w:history="1">
        <w:r>
          <w:rPr>
            <w:rStyle w:val="Hyperlink"/>
          </w:rPr>
          <w:t>UNCCD_Convention_ENG_0_0.pdf</w:t>
        </w:r>
      </w:hyperlink>
      <w:r>
        <w:t xml:space="preserve">. </w:t>
      </w:r>
    </w:p>
  </w:footnote>
  <w:footnote w:id="6">
    <w:p w14:paraId="42E8DA81" w14:textId="1DB068DC" w:rsidR="002F4B4F" w:rsidRPr="00BE469B" w:rsidRDefault="002F4B4F">
      <w:pPr>
        <w:pStyle w:val="FootnoteText"/>
      </w:pPr>
      <w:r>
        <w:rPr>
          <w:rStyle w:val="FootnoteReference"/>
        </w:rPr>
        <w:footnoteRef/>
      </w:r>
      <w:r>
        <w:tab/>
        <w:t xml:space="preserve">Štokholmský dohovor o perzistentných organických látkach (UNEP) bol prijatý 22. mája 2001, platnosť nadobudol 17. mája 2004 a bol naposledy zrevidovaný v roku 2019, </w:t>
      </w:r>
      <w:hyperlink r:id="rId3" w:history="1">
        <w:r>
          <w:rPr>
            <w:rStyle w:val="Hyperlink"/>
          </w:rPr>
          <w:t>https://chm.pops.int</w:t>
        </w:r>
      </w:hyperlink>
      <w:r>
        <w:t>.</w:t>
      </w:r>
    </w:p>
  </w:footnote>
  <w:footnote w:id="7">
    <w:p w14:paraId="7A135FF3" w14:textId="32B741E3" w:rsidR="004D7EF0" w:rsidRPr="00BE469B" w:rsidRDefault="004D7EF0">
      <w:pPr>
        <w:pStyle w:val="FootnoteText"/>
      </w:pPr>
      <w:r>
        <w:rPr>
          <w:rStyle w:val="FootnoteReference"/>
        </w:rPr>
        <w:footnoteRef/>
      </w:r>
      <w:r>
        <w:tab/>
        <w:t>Oznámenie Komisie z 20. mája 2020 s názvom Stratégia „z farmy na stôl“ v záujme spravodlivého, zdravého potravinového systému šetrného k životnému prostrediu [COM(2020) 381 final].</w:t>
      </w:r>
    </w:p>
  </w:footnote>
  <w:footnote w:id="8">
    <w:p w14:paraId="5454EC5B" w14:textId="1DDFFCBA" w:rsidR="00DA1A8B" w:rsidRPr="008D6BE5" w:rsidRDefault="00DA1A8B" w:rsidP="00DA1A8B">
      <w:pPr>
        <w:pStyle w:val="FootnoteText"/>
      </w:pPr>
      <w:r>
        <w:rPr>
          <w:rStyle w:val="FootnoteReference"/>
        </w:rPr>
        <w:footnoteRef/>
      </w:r>
      <w:r>
        <w:tab/>
        <w:t>Oznámenie Komisie z 20. mája 2020 s názvom Stratégia EÚ v oblasti biodiverzity do roku 2030 – Prinavrátenie prírody do našich životov [COM(2020) 380 final].</w:t>
      </w:r>
    </w:p>
  </w:footnote>
  <w:footnote w:id="9">
    <w:p w14:paraId="58FC3B4B" w14:textId="7575A8C6" w:rsidR="00EA3044" w:rsidRPr="005C5884" w:rsidRDefault="00EA3044" w:rsidP="00EA3044">
      <w:pPr>
        <w:pStyle w:val="FootnoteText"/>
      </w:pPr>
      <w:r>
        <w:rPr>
          <w:rStyle w:val="FootnoteReference"/>
        </w:rPr>
        <w:footnoteRef/>
      </w:r>
      <w:r>
        <w:tab/>
        <w:t>Usmernenia pre udržateľné poľnohospodárstvo, ktoré vypracúva Organizácia OSN pre výživu a poľnohospodárstvo (FAO) a ktoré majú byť prijaté v roku 2024, a strategické usmernenia pre udržateľnejšiu a konkurencieschopnejšiu akvakultúru EÚ na obdobie 2021 až 2030, ktoré prijala Európska komisia v máji 2021 [COM(2021) 236 final].</w:t>
      </w:r>
    </w:p>
  </w:footnote>
  <w:footnote w:id="10">
    <w:p w14:paraId="5F7B9D16" w14:textId="3B70C34F" w:rsidR="00477A31" w:rsidRPr="00BE469B" w:rsidRDefault="00477A31">
      <w:pPr>
        <w:pStyle w:val="FootnoteText"/>
      </w:pPr>
      <w:r>
        <w:rPr>
          <w:rStyle w:val="FootnoteReference"/>
        </w:rPr>
        <w:footnoteRef/>
      </w:r>
      <w:r>
        <w:tab/>
        <w:t>Najmä stratégia EÚ Z farmy na stôl [COM(2020) 381 final] a stratégia EÚ v oblasti biodiverzity [COM(2020) 380 final].</w:t>
      </w:r>
    </w:p>
  </w:footnote>
  <w:footnote w:id="11">
    <w:p w14:paraId="244643F7" w14:textId="0023D9A5" w:rsidR="00477A31" w:rsidRPr="00477A31" w:rsidRDefault="00477A31">
      <w:pPr>
        <w:pStyle w:val="FootnoteText"/>
      </w:pPr>
      <w:r>
        <w:rPr>
          <w:rStyle w:val="FootnoteReference"/>
        </w:rPr>
        <w:footnoteRef/>
      </w:r>
      <w:r>
        <w:tab/>
        <w:t>COM(2021) 236 final.</w:t>
      </w:r>
    </w:p>
  </w:footnote>
  <w:footnote w:id="12">
    <w:p w14:paraId="36AA0E95" w14:textId="0A25425E" w:rsidR="00982185" w:rsidRPr="00BE469B" w:rsidRDefault="00982185">
      <w:pPr>
        <w:pStyle w:val="FootnoteText"/>
      </w:pPr>
      <w:r>
        <w:rPr>
          <w:rStyle w:val="FootnoteReference"/>
        </w:rPr>
        <w:footnoteRef/>
      </w:r>
      <w:r>
        <w:tab/>
        <w:t>Červená kniha ohrozených druhov Medzinárodnej únie na ochranu prírody vytvorená v roku 1964, www.iucnredlist.org.</w:t>
      </w:r>
    </w:p>
  </w:footnote>
  <w:footnote w:id="13">
    <w:p w14:paraId="34FE3848" w14:textId="341A3BDA" w:rsidR="00982185" w:rsidRPr="00BE469B" w:rsidRDefault="00982185">
      <w:pPr>
        <w:pStyle w:val="FootnoteText"/>
      </w:pPr>
      <w:r>
        <w:rPr>
          <w:rStyle w:val="FootnoteReference"/>
        </w:rPr>
        <w:footnoteRef/>
      </w:r>
      <w:r>
        <w:tab/>
        <w:t>Spoločné kritériá týkajúce sa navrhovania zmien príloh II a III k Protokolu o osobitne chránených oblastiach a biologickej rozmanitosti v Stredozemnom mori prijaté na 15. zasadnutí Zhromaždenia zmluvných strán Barcelonského dohovoru, UNEP(DEPI)/MED IG.17/10 príloha V.</w:t>
      </w:r>
    </w:p>
  </w:footnote>
  <w:footnote w:id="14">
    <w:p w14:paraId="17C1E6F1" w14:textId="77777777" w:rsidR="0020787E" w:rsidRPr="00B035F8" w:rsidRDefault="0020787E" w:rsidP="00736AA9">
      <w:pPr>
        <w:pStyle w:val="FootnoteText"/>
      </w:pPr>
      <w:r>
        <w:rPr>
          <w:rStyle w:val="FootnoteReference"/>
        </w:rPr>
        <w:footnoteRef/>
      </w:r>
      <w:r>
        <w:tab/>
        <w:t xml:space="preserve">Rozsudok Súdneho dvora zo 7. októbra 2014, Nemecko/Rada, C-399/12, ECLI:EU:C:2014:2258, body 61 až 64. </w:t>
      </w:r>
    </w:p>
  </w:footnote>
  <w:footnote w:id="15">
    <w:p w14:paraId="04C57BA7" w14:textId="39BAC7B0" w:rsidR="00BB2672" w:rsidRPr="00BE469B" w:rsidRDefault="00BB2672">
      <w:pPr>
        <w:pStyle w:val="FootnoteText"/>
      </w:pPr>
      <w:r>
        <w:rPr>
          <w:rStyle w:val="FootnoteReference"/>
        </w:rPr>
        <w:footnoteRef/>
      </w:r>
      <w:r>
        <w:tab/>
        <w:t>Rozhodnutie Rady 77/585/EHS z 25. júla 1977 o uzavretí Dohovoru o ochrane Stredozemného mora pred znečistením a protokolu na prevenciu znečisťovania Stredozemného mora odpadom zhadzovaným z lodí a lietadiel (Ú. v. ES L 240, 19.9.1977, s. 1).</w:t>
      </w:r>
    </w:p>
  </w:footnote>
  <w:footnote w:id="16">
    <w:p w14:paraId="27256FD0" w14:textId="77777777" w:rsidR="0020787E" w:rsidRPr="002B0BFE" w:rsidRDefault="0020787E" w:rsidP="00BE7CB9">
      <w:pPr>
        <w:pStyle w:val="FootnoteText"/>
      </w:pPr>
      <w:r>
        <w:rPr>
          <w:rStyle w:val="FootnoteReference"/>
        </w:rPr>
        <w:footnoteRef/>
      </w:r>
      <w:r>
        <w:tab/>
        <w:t>Ú. v. ES L 322, 14.12.1999, s. 18 – 31.</w:t>
      </w:r>
    </w:p>
  </w:footnote>
  <w:footnote w:id="17">
    <w:p w14:paraId="623F569A" w14:textId="2E3013A8" w:rsidR="00B6056A" w:rsidRPr="00B6056A" w:rsidRDefault="00B6056A">
      <w:pPr>
        <w:pStyle w:val="FootnoteText"/>
      </w:pPr>
      <w:r>
        <w:rPr>
          <w:rStyle w:val="FootnoteReference"/>
        </w:rPr>
        <w:footnoteRef/>
      </w:r>
      <w:r>
        <w:tab/>
        <w:t>Ú. v. ES L 322, 14.12.1999, s. 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816C9CB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E47051B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EF9E30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66E0FB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5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7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8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9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1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2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3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4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6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8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>
      <w:startOverride w:val="1"/>
    </w:lvlOverride>
  </w:num>
  <w:num w:numId="10">
    <w:abstractNumId w:val="8"/>
    <w:lvlOverride w:ilvl="0">
      <w:startOverride w:val="1"/>
    </w:lvlOverride>
  </w:num>
  <w:num w:numId="11">
    <w:abstractNumId w:val="15"/>
  </w:num>
  <w:num w:numId="12">
    <w:abstractNumId w:val="8"/>
  </w:num>
  <w:num w:numId="13">
    <w:abstractNumId w:val="17"/>
  </w:num>
  <w:num w:numId="14">
    <w:abstractNumId w:val="7"/>
  </w:num>
  <w:num w:numId="15">
    <w:abstractNumId w:val="9"/>
  </w:num>
  <w:num w:numId="16">
    <w:abstractNumId w:val="10"/>
  </w:num>
  <w:num w:numId="17">
    <w:abstractNumId w:val="5"/>
  </w:num>
  <w:num w:numId="18">
    <w:abstractNumId w:val="16"/>
  </w:num>
  <w:num w:numId="19">
    <w:abstractNumId w:val="4"/>
  </w:num>
  <w:num w:numId="20">
    <w:abstractNumId w:val="11"/>
  </w:num>
  <w:num w:numId="21">
    <w:abstractNumId w:val="13"/>
  </w:num>
  <w:num w:numId="22">
    <w:abstractNumId w:val="14"/>
  </w:num>
  <w:num w:numId="23">
    <w:abstractNumId w:val="6"/>
  </w:num>
  <w:num w:numId="24">
    <w:abstractNumId w:val="12"/>
  </w:num>
  <w:num w:numId="25">
    <w:abstractNumId w:val="18"/>
  </w:num>
  <w:num w:numId="26">
    <w:abstractNumId w:val="15"/>
  </w:num>
  <w:num w:numId="27">
    <w:abstractNumId w:val="8"/>
  </w:num>
  <w:num w:numId="28">
    <w:abstractNumId w:val="17"/>
  </w:num>
  <w:num w:numId="29">
    <w:abstractNumId w:val="7"/>
  </w:num>
  <w:num w:numId="30">
    <w:abstractNumId w:val="9"/>
  </w:num>
  <w:num w:numId="31">
    <w:abstractNumId w:val="10"/>
  </w:num>
  <w:num w:numId="32">
    <w:abstractNumId w:val="5"/>
  </w:num>
  <w:num w:numId="33">
    <w:abstractNumId w:val="16"/>
  </w:num>
  <w:num w:numId="34">
    <w:abstractNumId w:val="4"/>
  </w:num>
  <w:num w:numId="35">
    <w:abstractNumId w:val="11"/>
  </w:num>
  <w:num w:numId="36">
    <w:abstractNumId w:val="13"/>
  </w:num>
  <w:num w:numId="37">
    <w:abstractNumId w:val="14"/>
  </w:num>
  <w:num w:numId="38">
    <w:abstractNumId w:val="6"/>
  </w:num>
  <w:num w:numId="39">
    <w:abstractNumId w:val="12"/>
  </w:num>
  <w:num w:numId="40">
    <w:abstractNumId w:val="18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R_RefLast" w:val="0"/>
    <w:docVar w:name="DQCDateTime" w:val="2023-10-25 15:47:40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Status" w:val="Green"/>
    <w:docVar w:name="DQCVersion" w:val="3"/>
    <w:docVar w:name="DQCWithWarnings" w:val="0"/>
    <w:docVar w:name="LW_CORRIGENDUM" w:val="&lt;UNUSED&gt;"/>
    <w:docVar w:name="LW_COVERPAGE_EXISTS" w:val="True"/>
    <w:docVar w:name="LW_COVERPAGE_GUID" w:val="4107D3E2-F75E-436C-B692-1FC4DF85839A"/>
    <w:docVar w:name="LW_COVERPAGE_TYPE" w:val="1"/>
    <w:docVar w:name="LW_CROSSREFERENCE" w:val="&lt;UNUSED&gt;"/>
    <w:docVar w:name="LW_DocType" w:val="COM"/>
    <w:docVar w:name="LW_EMISSION" w:val="16. 10. 2023"/>
    <w:docVar w:name="LW_EMISSION_ISODATE" w:val="2023-10-16"/>
    <w:docVar w:name="LW_EMISSION_LOCATION" w:val="BRX"/>
    <w:docVar w:name="LW_EMISSION_PREFIX" w:val="V Bruseli"/>
    <w:docVar w:name="LW_EMISSION_SUFFIX" w:val=" "/>
    <w:docVar w:name="LW_ID_DOCMODEL" w:val="SJ-043"/>
    <w:docVar w:name="LW_ID_DOCSIGNATURE" w:val="SJ-019"/>
    <w:docVar w:name="LW_ID_DOCSTRUCTURE" w:val="COM/PL/ORG"/>
    <w:docVar w:name="LW_ID_DOCTYPE" w:val="SJ-043"/>
    <w:docVar w:name="LW_ID_STATUT" w:val="SJ-019"/>
    <w:docVar w:name="LW_INSERT_EXP.MOTIFS.NEW" w:val="1"/>
    <w:docVar w:name="LW_INTERETEEE.CP" w:val="&lt;UNUSED&gt;"/>
    <w:docVar w:name="LW_LANGUE" w:val="SK"/>
    <w:docVar w:name="LW_LEVEL_OF_SENSITIVITY" w:val="Standard treatment"/>
    <w:docVar w:name="LW_NOM.INST" w:val="EURÓPSKA KOMISIA"/>
    <w:docVar w:name="LW_NOM.INST_JOINTDOC" w:val="&lt;EMPTY&gt;"/>
    <w:docVar w:name="LW_PART_NBR" w:val="1"/>
    <w:docVar w:name="LW_PART_NBR_TOTAL" w:val="1"/>
    <w:docVar w:name="LW_REF.II.NEW.CP" w:val="NLE"/>
    <w:docVar w:name="LW_REF.II.NEW.CP_NUMBER" w:val="0357"/>
    <w:docVar w:name="LW_REF.II.NEW.CP_YEAR" w:val="2023"/>
    <w:docVar w:name="LW_REF.INST.NEW" w:val="COM"/>
    <w:docVar w:name="LW_REF.INST.NEW_ADOPTED" w:val="final"/>
    <w:docVar w:name="LW_REF.INST.NEW_TEXT" w:val="(2023) 586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TATUT.CP" w:val="Návrh"/>
    <w:docVar w:name="LW_SUPERTITRE" w:val="&lt;UNUSED&gt;"/>
    <w:docVar w:name="LW_TITRE.OBJ.CP" w:val="o pozícii, ktorá sa má zaujať v mene Európskej únie na zasadnutí zmluvných strán Dohovoru o ochrane morského prostredia a pobrežných oblastí Stredozemného mora (Barcelonský dohovor), v súvislosti s prijatím regionálneho plánu o riadení poľnohospodárstva, regionálneho plánu o riadení akvakultúry, regionálneho plánu o nakladaní so zrážkovou vodou v mestách na základe článku 15 Protokolu o ochrane Stredozemného mora pred znečistením zo zdrojov na pevnine a s prijatím zmien príloh II a III k Protokolu o osobitných chránených oblastiach a biologickej rozmanitosti"/>
    <w:docVar w:name="LW_TYPE.DOC.CP" w:val="ROZHODNUTIE RADY"/>
    <w:docVar w:name="LwApiVersions" w:val="LW4CoDe 1.23.2.0; LW 8.0, Build 20211117"/>
  </w:docVars>
  <w:rsids>
    <w:rsidRoot w:val="0020787E"/>
    <w:rsid w:val="000115C3"/>
    <w:rsid w:val="000211F4"/>
    <w:rsid w:val="0004192C"/>
    <w:rsid w:val="00045172"/>
    <w:rsid w:val="00063F78"/>
    <w:rsid w:val="00076727"/>
    <w:rsid w:val="000975BB"/>
    <w:rsid w:val="000B6DCC"/>
    <w:rsid w:val="000C00E6"/>
    <w:rsid w:val="000D066B"/>
    <w:rsid w:val="000E4CC4"/>
    <w:rsid w:val="000F79C0"/>
    <w:rsid w:val="001065F5"/>
    <w:rsid w:val="001238EF"/>
    <w:rsid w:val="001350FD"/>
    <w:rsid w:val="00135539"/>
    <w:rsid w:val="00152D31"/>
    <w:rsid w:val="00167BF6"/>
    <w:rsid w:val="00197613"/>
    <w:rsid w:val="001A3A57"/>
    <w:rsid w:val="0020128A"/>
    <w:rsid w:val="0020787E"/>
    <w:rsid w:val="002125D9"/>
    <w:rsid w:val="00233DC7"/>
    <w:rsid w:val="00247779"/>
    <w:rsid w:val="002655F6"/>
    <w:rsid w:val="00273DF1"/>
    <w:rsid w:val="00280D35"/>
    <w:rsid w:val="00285BEE"/>
    <w:rsid w:val="0029533F"/>
    <w:rsid w:val="002B2FD6"/>
    <w:rsid w:val="002B30AF"/>
    <w:rsid w:val="002C360A"/>
    <w:rsid w:val="002C3EE7"/>
    <w:rsid w:val="002F4B4F"/>
    <w:rsid w:val="0033344A"/>
    <w:rsid w:val="00335CA1"/>
    <w:rsid w:val="00341F58"/>
    <w:rsid w:val="003900C7"/>
    <w:rsid w:val="00397C5E"/>
    <w:rsid w:val="003C6462"/>
    <w:rsid w:val="003D5B11"/>
    <w:rsid w:val="00420999"/>
    <w:rsid w:val="0042648E"/>
    <w:rsid w:val="004429D1"/>
    <w:rsid w:val="00463A54"/>
    <w:rsid w:val="00477A31"/>
    <w:rsid w:val="0048094D"/>
    <w:rsid w:val="004936D2"/>
    <w:rsid w:val="004B1FE4"/>
    <w:rsid w:val="004D731A"/>
    <w:rsid w:val="004D7EF0"/>
    <w:rsid w:val="004E700A"/>
    <w:rsid w:val="0050784B"/>
    <w:rsid w:val="00522F40"/>
    <w:rsid w:val="005655B9"/>
    <w:rsid w:val="005A0355"/>
    <w:rsid w:val="005B1EB6"/>
    <w:rsid w:val="00640291"/>
    <w:rsid w:val="00667031"/>
    <w:rsid w:val="00686D59"/>
    <w:rsid w:val="00695CB6"/>
    <w:rsid w:val="006E71DC"/>
    <w:rsid w:val="006F7143"/>
    <w:rsid w:val="00704667"/>
    <w:rsid w:val="0071255A"/>
    <w:rsid w:val="0072640E"/>
    <w:rsid w:val="007325BA"/>
    <w:rsid w:val="007507A5"/>
    <w:rsid w:val="00773331"/>
    <w:rsid w:val="007910AD"/>
    <w:rsid w:val="007932EF"/>
    <w:rsid w:val="007B771C"/>
    <w:rsid w:val="007D4FBA"/>
    <w:rsid w:val="007E05B0"/>
    <w:rsid w:val="007E224E"/>
    <w:rsid w:val="007E68F9"/>
    <w:rsid w:val="00801897"/>
    <w:rsid w:val="008037BB"/>
    <w:rsid w:val="00810086"/>
    <w:rsid w:val="00825DB5"/>
    <w:rsid w:val="00836BB4"/>
    <w:rsid w:val="008379FA"/>
    <w:rsid w:val="00855D3B"/>
    <w:rsid w:val="008664B4"/>
    <w:rsid w:val="00874D22"/>
    <w:rsid w:val="008953D8"/>
    <w:rsid w:val="008A2914"/>
    <w:rsid w:val="008B1004"/>
    <w:rsid w:val="008B39B9"/>
    <w:rsid w:val="008D00B9"/>
    <w:rsid w:val="008E33D3"/>
    <w:rsid w:val="008E4D8E"/>
    <w:rsid w:val="008F251F"/>
    <w:rsid w:val="009202A0"/>
    <w:rsid w:val="009350D0"/>
    <w:rsid w:val="00982185"/>
    <w:rsid w:val="00984B06"/>
    <w:rsid w:val="009A365B"/>
    <w:rsid w:val="009A47C2"/>
    <w:rsid w:val="009B5EBB"/>
    <w:rsid w:val="009B7CE9"/>
    <w:rsid w:val="00A63406"/>
    <w:rsid w:val="00A64991"/>
    <w:rsid w:val="00A64B81"/>
    <w:rsid w:val="00A65951"/>
    <w:rsid w:val="00A733C1"/>
    <w:rsid w:val="00A82842"/>
    <w:rsid w:val="00AA22FD"/>
    <w:rsid w:val="00AA3DC4"/>
    <w:rsid w:val="00AB6944"/>
    <w:rsid w:val="00AC0F5A"/>
    <w:rsid w:val="00AE62E5"/>
    <w:rsid w:val="00B03D20"/>
    <w:rsid w:val="00B24D04"/>
    <w:rsid w:val="00B3342D"/>
    <w:rsid w:val="00B44CED"/>
    <w:rsid w:val="00B6056A"/>
    <w:rsid w:val="00B67E4C"/>
    <w:rsid w:val="00BB2672"/>
    <w:rsid w:val="00BB603D"/>
    <w:rsid w:val="00BD57E0"/>
    <w:rsid w:val="00BE469B"/>
    <w:rsid w:val="00BF7BD4"/>
    <w:rsid w:val="00C12301"/>
    <w:rsid w:val="00C14BCF"/>
    <w:rsid w:val="00C17B83"/>
    <w:rsid w:val="00C350C5"/>
    <w:rsid w:val="00C400B2"/>
    <w:rsid w:val="00C573C1"/>
    <w:rsid w:val="00C666CD"/>
    <w:rsid w:val="00C67602"/>
    <w:rsid w:val="00C7691A"/>
    <w:rsid w:val="00C87831"/>
    <w:rsid w:val="00CB0674"/>
    <w:rsid w:val="00CC0805"/>
    <w:rsid w:val="00CC4657"/>
    <w:rsid w:val="00CD0044"/>
    <w:rsid w:val="00CD6D02"/>
    <w:rsid w:val="00D03F14"/>
    <w:rsid w:val="00D0489E"/>
    <w:rsid w:val="00D12A63"/>
    <w:rsid w:val="00D20381"/>
    <w:rsid w:val="00D22F7E"/>
    <w:rsid w:val="00D502EA"/>
    <w:rsid w:val="00D709A7"/>
    <w:rsid w:val="00D70A0B"/>
    <w:rsid w:val="00D73582"/>
    <w:rsid w:val="00DA1A8B"/>
    <w:rsid w:val="00DB5A19"/>
    <w:rsid w:val="00DB61CA"/>
    <w:rsid w:val="00DB7D68"/>
    <w:rsid w:val="00DB7E1D"/>
    <w:rsid w:val="00DF31F3"/>
    <w:rsid w:val="00DF3F60"/>
    <w:rsid w:val="00E11326"/>
    <w:rsid w:val="00EA3044"/>
    <w:rsid w:val="00EA3A6C"/>
    <w:rsid w:val="00EA5694"/>
    <w:rsid w:val="00EB0F57"/>
    <w:rsid w:val="00EB2150"/>
    <w:rsid w:val="00EE52D3"/>
    <w:rsid w:val="00F162C7"/>
    <w:rsid w:val="00F5191C"/>
    <w:rsid w:val="00F55151"/>
    <w:rsid w:val="00F86F83"/>
    <w:rsid w:val="00F93F8F"/>
    <w:rsid w:val="00FB7CBA"/>
    <w:rsid w:val="00FC1B5C"/>
    <w:rsid w:val="00FC38F8"/>
    <w:rsid w:val="00FD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4A582A9B"/>
  <w15:docId w15:val="{4D2AE743-4158-47B4-8825-ED1302133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sk-SK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3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3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3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3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33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33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33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semiHidden/>
    <w:unhideWhenUsed/>
    <w:rsid w:val="00836BB4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836BB4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836BB4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836BB4"/>
    <w:pPr>
      <w:numPr>
        <w:numId w:val="4"/>
      </w:numPr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B6056A"/>
    <w:pPr>
      <w:spacing w:before="0"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6056A"/>
    <w:rPr>
      <w:rFonts w:ascii="Times New Roman" w:hAnsi="Times New Roman" w:cs="Times New Roman"/>
      <w:sz w:val="20"/>
      <w:szCs w:val="20"/>
      <w:lang w:val="sk-SK"/>
    </w:rPr>
  </w:style>
  <w:style w:type="character" w:styleId="EndnoteReference">
    <w:name w:val="endnote reference"/>
    <w:basedOn w:val="DefaultParagraphFont"/>
    <w:uiPriority w:val="99"/>
    <w:semiHidden/>
    <w:unhideWhenUsed/>
    <w:rsid w:val="00B6056A"/>
    <w:rPr>
      <w:vertAlign w:val="superscript"/>
    </w:rPr>
  </w:style>
  <w:style w:type="paragraph" w:styleId="ListParagraph">
    <w:name w:val="List Paragraph"/>
    <w:basedOn w:val="Normal"/>
    <w:uiPriority w:val="34"/>
    <w:qFormat/>
    <w:rsid w:val="00F93F8F"/>
    <w:pPr>
      <w:ind w:left="720"/>
      <w:contextualSpacing/>
    </w:pPr>
  </w:style>
  <w:style w:type="paragraph" w:styleId="Revision">
    <w:name w:val="Revision"/>
    <w:hidden/>
    <w:uiPriority w:val="99"/>
    <w:semiHidden/>
    <w:rsid w:val="00420999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D57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D57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D57E0"/>
    <w:rPr>
      <w:rFonts w:ascii="Times New Roman" w:hAnsi="Times New Roman" w:cs="Times New Roman"/>
      <w:sz w:val="20"/>
      <w:szCs w:val="20"/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7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57E0"/>
    <w:rPr>
      <w:rFonts w:ascii="Times New Roman" w:hAnsi="Times New Roman" w:cs="Times New Roman"/>
      <w:b/>
      <w:bCs/>
      <w:sz w:val="20"/>
      <w:szCs w:val="20"/>
      <w:lang w:val="sk-S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7CBA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7CBA"/>
    <w:rPr>
      <w:rFonts w:ascii="Segoe UI" w:hAnsi="Segoe UI" w:cs="Segoe UI"/>
      <w:sz w:val="18"/>
      <w:szCs w:val="18"/>
      <w:lang w:val="sk-SK"/>
    </w:rPr>
  </w:style>
  <w:style w:type="character" w:styleId="Hyperlink">
    <w:name w:val="Hyperlink"/>
    <w:basedOn w:val="DefaultParagraphFont"/>
    <w:uiPriority w:val="99"/>
    <w:unhideWhenUsed/>
    <w:rsid w:val="00C17B83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22F4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B61CA"/>
    <w:pPr>
      <w:tabs>
        <w:tab w:val="center" w:pos="4535"/>
        <w:tab w:val="right" w:pos="9071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DB61CA"/>
    <w:rPr>
      <w:rFonts w:ascii="Times New Roman" w:hAnsi="Times New Roman" w:cs="Times New Roman"/>
      <w:sz w:val="24"/>
      <w:lang w:val="sk-SK"/>
    </w:rPr>
  </w:style>
  <w:style w:type="paragraph" w:styleId="Footer">
    <w:name w:val="footer"/>
    <w:basedOn w:val="Normal"/>
    <w:link w:val="FooterChar"/>
    <w:uiPriority w:val="99"/>
    <w:unhideWhenUsed/>
    <w:rsid w:val="00DB61CA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sid w:val="00DB61CA"/>
    <w:rPr>
      <w:rFonts w:ascii="Times New Roman" w:hAnsi="Times New Roman" w:cs="Times New Roman"/>
      <w:sz w:val="24"/>
      <w:lang w:val="sk-SK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shd w:val="clear" w:color="auto" w:fill="auto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paragraph" w:customStyle="1" w:styleId="HeaderLandscape">
    <w:name w:val="HeaderLandscape"/>
    <w:basedOn w:val="Normal"/>
    <w:rsid w:val="00DB61CA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al"/>
    <w:rsid w:val="00DB61CA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DB61C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DB61CA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DB61C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26"/>
      </w:numPr>
    </w:pPr>
  </w:style>
  <w:style w:type="paragraph" w:customStyle="1" w:styleId="Tiret1">
    <w:name w:val="Tiret 1"/>
    <w:basedOn w:val="Point1"/>
    <w:pPr>
      <w:numPr>
        <w:numId w:val="27"/>
      </w:numPr>
    </w:pPr>
  </w:style>
  <w:style w:type="paragraph" w:customStyle="1" w:styleId="Tiret2">
    <w:name w:val="Tiret 2"/>
    <w:basedOn w:val="Point2"/>
    <w:pPr>
      <w:numPr>
        <w:numId w:val="28"/>
      </w:numPr>
    </w:pPr>
  </w:style>
  <w:style w:type="paragraph" w:customStyle="1" w:styleId="Tiret3">
    <w:name w:val="Tiret 3"/>
    <w:basedOn w:val="Point3"/>
    <w:pPr>
      <w:numPr>
        <w:numId w:val="29"/>
      </w:numPr>
    </w:pPr>
  </w:style>
  <w:style w:type="paragraph" w:customStyle="1" w:styleId="Tiret4">
    <w:name w:val="Tiret 4"/>
    <w:basedOn w:val="Point4"/>
    <w:pPr>
      <w:numPr>
        <w:numId w:val="30"/>
      </w:numPr>
    </w:pPr>
  </w:style>
  <w:style w:type="paragraph" w:customStyle="1" w:styleId="Tiret5">
    <w:name w:val="Tiret 5"/>
    <w:basedOn w:val="Point5"/>
    <w:pPr>
      <w:numPr>
        <w:numId w:val="31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32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32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32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32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32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32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32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sid w:val="00DF31F3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4"/>
      </w:numPr>
    </w:pPr>
  </w:style>
  <w:style w:type="paragraph" w:customStyle="1" w:styleId="Point1number">
    <w:name w:val="Point 1 (number)"/>
    <w:basedOn w:val="Normal"/>
    <w:pPr>
      <w:numPr>
        <w:ilvl w:val="2"/>
        <w:numId w:val="34"/>
      </w:numPr>
    </w:pPr>
  </w:style>
  <w:style w:type="paragraph" w:customStyle="1" w:styleId="Point2number">
    <w:name w:val="Point 2 (number)"/>
    <w:basedOn w:val="Normal"/>
    <w:pPr>
      <w:numPr>
        <w:ilvl w:val="4"/>
        <w:numId w:val="34"/>
      </w:numPr>
    </w:pPr>
  </w:style>
  <w:style w:type="paragraph" w:customStyle="1" w:styleId="Point3number">
    <w:name w:val="Point 3 (number)"/>
    <w:basedOn w:val="Normal"/>
    <w:pPr>
      <w:numPr>
        <w:ilvl w:val="6"/>
        <w:numId w:val="34"/>
      </w:numPr>
    </w:pPr>
  </w:style>
  <w:style w:type="paragraph" w:customStyle="1" w:styleId="Point0letter">
    <w:name w:val="Point 0 (letter)"/>
    <w:basedOn w:val="Normal"/>
    <w:pPr>
      <w:numPr>
        <w:ilvl w:val="1"/>
        <w:numId w:val="34"/>
      </w:numPr>
    </w:pPr>
  </w:style>
  <w:style w:type="paragraph" w:customStyle="1" w:styleId="Point1letter">
    <w:name w:val="Point 1 (letter)"/>
    <w:basedOn w:val="Normal"/>
    <w:pPr>
      <w:numPr>
        <w:ilvl w:val="3"/>
        <w:numId w:val="34"/>
      </w:numPr>
    </w:pPr>
  </w:style>
  <w:style w:type="paragraph" w:customStyle="1" w:styleId="Point2letter">
    <w:name w:val="Point 2 (letter)"/>
    <w:basedOn w:val="Normal"/>
    <w:pPr>
      <w:numPr>
        <w:ilvl w:val="5"/>
        <w:numId w:val="34"/>
      </w:numPr>
    </w:pPr>
  </w:style>
  <w:style w:type="paragraph" w:customStyle="1" w:styleId="Point3letter">
    <w:name w:val="Point 3 (letter)"/>
    <w:basedOn w:val="Normal"/>
    <w:pPr>
      <w:numPr>
        <w:ilvl w:val="7"/>
        <w:numId w:val="34"/>
      </w:numPr>
    </w:pPr>
  </w:style>
  <w:style w:type="paragraph" w:customStyle="1" w:styleId="Point4letter">
    <w:name w:val="Point 4 (letter)"/>
    <w:basedOn w:val="Normal"/>
    <w:pPr>
      <w:numPr>
        <w:ilvl w:val="8"/>
        <w:numId w:val="34"/>
      </w:numPr>
    </w:pPr>
  </w:style>
  <w:style w:type="paragraph" w:customStyle="1" w:styleId="Bullet0">
    <w:name w:val="Bullet 0"/>
    <w:basedOn w:val="Normal"/>
    <w:pPr>
      <w:numPr>
        <w:numId w:val="35"/>
      </w:numPr>
    </w:pPr>
  </w:style>
  <w:style w:type="paragraph" w:customStyle="1" w:styleId="Bullet1">
    <w:name w:val="Bullet 1"/>
    <w:basedOn w:val="Normal"/>
    <w:pPr>
      <w:numPr>
        <w:numId w:val="36"/>
      </w:numPr>
    </w:pPr>
  </w:style>
  <w:style w:type="paragraph" w:customStyle="1" w:styleId="Bullet2">
    <w:name w:val="Bullet 2"/>
    <w:basedOn w:val="Normal"/>
    <w:pPr>
      <w:numPr>
        <w:numId w:val="37"/>
      </w:numPr>
    </w:pPr>
  </w:style>
  <w:style w:type="paragraph" w:customStyle="1" w:styleId="Bullet3">
    <w:name w:val="Bullet 3"/>
    <w:basedOn w:val="Normal"/>
    <w:pPr>
      <w:numPr>
        <w:numId w:val="38"/>
      </w:numPr>
    </w:pPr>
  </w:style>
  <w:style w:type="paragraph" w:customStyle="1" w:styleId="Bullet4">
    <w:name w:val="Bullet 4"/>
    <w:basedOn w:val="Normal"/>
    <w:pPr>
      <w:numPr>
        <w:numId w:val="39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40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pPr>
      <w:spacing w:before="360" w:after="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spacing w:before="360" w:after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3" Type="http://schemas.openxmlformats.org/officeDocument/2006/relationships/hyperlink" Target="https://chm.pops.int" TargetMode="External"/><Relationship Id="rId2" Type="http://schemas.openxmlformats.org/officeDocument/2006/relationships/hyperlink" Target="https://www.unccd.int/sites/default/files/2022-02/UNCCD_Convention_ENG_0_0.pdf" TargetMode="External"/><Relationship Id="rId1" Type="http://schemas.openxmlformats.org/officeDocument/2006/relationships/hyperlink" Target="https://wedocs.unep.org/bitstream/handle/20.500.11822/31970/bcp2019_web_eng.pdf" TargetMode="Externa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Public\Documents\Templates\CO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A23096-46D4-4834-9813-5898B9E6B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COM.dotm</Template>
  <TotalTime>12</TotalTime>
  <Pages>9</Pages>
  <Words>2537</Words>
  <Characters>15126</Characters>
  <Application>Microsoft Office Word</Application>
  <DocSecurity>0</DocSecurity>
  <Lines>270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48</cp:revision>
  <cp:lastPrinted>2023-09-05T15:52:00Z</cp:lastPrinted>
  <dcterms:created xsi:type="dcterms:W3CDTF">2023-10-06T07:46:00Z</dcterms:created>
  <dcterms:modified xsi:type="dcterms:W3CDTF">2023-10-25T13:47:00Z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COM/PL/ORG</vt:lpwstr>
  </property>
  <property fmtid="{D5CDD505-2E9C-101B-9397-08002B2CF9AE}" pid="3" name="Version">
    <vt:lpwstr>8.0.25.0</vt:lpwstr>
  </property>
  <property fmtid="{D5CDD505-2E9C-101B-9397-08002B2CF9AE}" pid="4" name="Last edited using">
    <vt:lpwstr>LW 9.0, Build 20230317</vt:lpwstr>
  </property>
  <property fmtid="{D5CDD505-2E9C-101B-9397-08002B2CF9AE}" pid="5" name="Created using">
    <vt:lpwstr>LW 9.0, Build 20230317</vt:lpwstr>
  </property>
  <property fmtid="{D5CDD505-2E9C-101B-9397-08002B2CF9AE}" pid="6" name="Part">
    <vt:lpwstr>1</vt:lpwstr>
  </property>
  <property fmtid="{D5CDD505-2E9C-101B-9397-08002B2CF9AE}" pid="7" name="Total parts">
    <vt:lpwstr>1</vt:lpwstr>
  </property>
  <property fmtid="{D5CDD505-2E9C-101B-9397-08002B2CF9AE}" pid="8" name="Level of sensitivity">
    <vt:lpwstr>Standard treatment</vt:lpwstr>
  </property>
  <property fmtid="{D5CDD505-2E9C-101B-9397-08002B2CF9AE}" pid="9" name="LWTemplateID">
    <vt:lpwstr>SJ-043</vt:lpwstr>
  </property>
  <property fmtid="{D5CDD505-2E9C-101B-9397-08002B2CF9AE}" pid="10" name="MSIP_Label_6bd9ddd1-4d20-43f6-abfa-fc3c07406f94_Enabled">
    <vt:lpwstr>true</vt:lpwstr>
  </property>
  <property fmtid="{D5CDD505-2E9C-101B-9397-08002B2CF9AE}" pid="11" name="MSIP_Label_6bd9ddd1-4d20-43f6-abfa-fc3c07406f94_SetDate">
    <vt:lpwstr>2023-09-03T13:54:42Z</vt:lpwstr>
  </property>
  <property fmtid="{D5CDD505-2E9C-101B-9397-08002B2CF9AE}" pid="12" name="MSIP_Label_6bd9ddd1-4d20-43f6-abfa-fc3c07406f94_Method">
    <vt:lpwstr>Privileged</vt:lpwstr>
  </property>
  <property fmtid="{D5CDD505-2E9C-101B-9397-08002B2CF9AE}" pid="13" name="MSIP_Label_6bd9ddd1-4d20-43f6-abfa-fc3c07406f94_Name">
    <vt:lpwstr>Commission Use</vt:lpwstr>
  </property>
  <property fmtid="{D5CDD505-2E9C-101B-9397-08002B2CF9AE}" pid="14" name="MSIP_Label_6bd9ddd1-4d20-43f6-abfa-fc3c07406f94_SiteId">
    <vt:lpwstr>b24c8b06-522c-46fe-9080-70926f8dddb1</vt:lpwstr>
  </property>
  <property fmtid="{D5CDD505-2E9C-101B-9397-08002B2CF9AE}" pid="15" name="MSIP_Label_6bd9ddd1-4d20-43f6-abfa-fc3c07406f94_ActionId">
    <vt:lpwstr>853b5a6e-8188-4b26-9636-c3de4e9c6756</vt:lpwstr>
  </property>
  <property fmtid="{D5CDD505-2E9C-101B-9397-08002B2CF9AE}" pid="16" name="MSIP_Label_6bd9ddd1-4d20-43f6-abfa-fc3c07406f94_ContentBits">
    <vt:lpwstr>0</vt:lpwstr>
  </property>
  <property fmtid="{D5CDD505-2E9C-101B-9397-08002B2CF9AE}" pid="17" name="DQCStatus">
    <vt:lpwstr>Green (DQC version 03)</vt:lpwstr>
  </property>
  <property name="OP_sanitized" fmtid="{D5CDD505-2E9C-101B-9397-08002B2CF9AE}" pid="18">
    <vt:lpwstr>True</vt:lpwstr>
  </property>
</Properties>
</file>