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intelligence2.xml" ContentType="application/vnd.ms-office.intelligence2+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0F970" w14:textId="1EA633F9" w:rsidR="009C37EE" w:rsidRPr="008854EA" w:rsidRDefault="00EE79E1" w:rsidP="00EE79E1">
      <w:pPr>
        <w:pStyle w:val="Pagedecouverture"/>
        <w:rPr>
          <w:noProof/>
          <w:lang w:val="sk-SK"/>
        </w:rPr>
      </w:pPr>
      <w:bookmarkStart w:id="0" w:name="LW_BM_COVERPAGE"/>
      <w:r>
        <w:rPr>
          <w:noProof/>
          <w:lang w:val="sk-SK"/>
        </w:rPr>
        <w:pict w14:anchorId="38057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BC0B253-57DA-425D-A456-5C69230DE0F1" style="width:455.25pt;height:310.5pt">
            <v:imagedata r:id="rId11" o:title=""/>
          </v:shape>
        </w:pict>
      </w:r>
    </w:p>
    <w:bookmarkEnd w:id="0"/>
    <w:p w14:paraId="65926C32" w14:textId="77777777" w:rsidR="009C37EE" w:rsidRPr="008854EA" w:rsidRDefault="009C37EE" w:rsidP="009C37EE">
      <w:pPr>
        <w:rPr>
          <w:noProof/>
          <w:lang w:val="sk-SK"/>
        </w:rPr>
        <w:sectPr w:rsidR="009C37EE" w:rsidRPr="008854EA" w:rsidSect="00EE79E1">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41405791" w14:textId="00D4E41A" w:rsidR="00E31BEE" w:rsidRPr="008854EA" w:rsidRDefault="00E31BEE" w:rsidP="000A3A3F">
      <w:pPr>
        <w:pStyle w:val="Heading1"/>
        <w:rPr>
          <w:rFonts w:ascii="Times New Roman" w:hAnsi="Times New Roman" w:cs="Times New Roman"/>
          <w:noProof/>
          <w:sz w:val="32"/>
          <w:szCs w:val="32"/>
          <w:lang w:val="sk-SK"/>
        </w:rPr>
      </w:pPr>
      <w:bookmarkStart w:id="1" w:name="_GoBack"/>
      <w:bookmarkEnd w:id="1"/>
      <w:r w:rsidRPr="008854EA">
        <w:rPr>
          <w:rFonts w:ascii="Times New Roman" w:hAnsi="Times New Roman" w:cs="Times New Roman"/>
          <w:noProof/>
          <w:sz w:val="32"/>
          <w:szCs w:val="32"/>
          <w:lang w:val="sk-SK"/>
        </w:rPr>
        <w:lastRenderedPageBreak/>
        <w:t>VÝVOJ V OBLASTI EMISIÍ A POKROK DOSIAHNUTÝ V RÁMCI OPATRENÍ V OBLASTI KLÍMY</w:t>
      </w:r>
    </w:p>
    <w:p w14:paraId="5C6C26AC" w14:textId="77777777" w:rsidR="00E31BEE" w:rsidRPr="008854EA" w:rsidRDefault="00E31BEE" w:rsidP="00E31BEE">
      <w:pPr>
        <w:pStyle w:val="Heading2"/>
        <w:rPr>
          <w:rFonts w:ascii="Times New Roman" w:hAnsi="Times New Roman" w:cs="Times New Roman"/>
          <w:noProof/>
          <w:lang w:val="sk-SK"/>
        </w:rPr>
      </w:pPr>
      <w:r w:rsidRPr="008854EA">
        <w:rPr>
          <w:rFonts w:ascii="Times New Roman" w:hAnsi="Times New Roman"/>
          <w:noProof/>
          <w:lang w:val="sk-SK"/>
        </w:rPr>
        <w:t xml:space="preserve">Emisie skleníkových plynov a medzinárodné záväzky EÚ </w:t>
      </w:r>
    </w:p>
    <w:p w14:paraId="4F724FB5" w14:textId="2E8C8018" w:rsidR="00541698" w:rsidRPr="008854EA" w:rsidRDefault="00541698" w:rsidP="00541698">
      <w:pPr>
        <w:pStyle w:val="Body"/>
        <w:rPr>
          <w:noProof/>
          <w:lang w:val="sk-SK"/>
        </w:rPr>
      </w:pPr>
      <w:r w:rsidRPr="008854EA">
        <w:rPr>
          <w:noProof/>
          <w:lang w:val="sk-SK"/>
        </w:rPr>
        <w:t>V marci 2023 Medzivládny panel o zmene klímy (ďalej len „IPCC“) potvrdil, že globálne otepľovanie spôsobené antropogénnymi emisiami skleníkových plynov zvyšuje frekvenciu a závažnosť klimatických a poveternostných extrémov, čo má rozsiahly a nepriaznivý vplyv na ľudí a prírodu na celom svete. Tieto vplyvy zintenzívni každý nárast teplôt, a je preto potrebné celosvetovo zaviesť urgentné opatrenia v oblasti klímy s cieľom obmedziť globálne otepľovanie a prispôsobiť sa jeho vplyvom. Globálne emisie skleníkových plynov musia do roku 2030 klesnúť o 43 % a do roku 2050 o 84 % pod úrovne z roku 2019, a ak máme obmedziť zvyšovanie teploty na 1,5 °C s nulovým alebo obmedzeným prekročením, musí sa do začiatku 50. rokov 21. storočia dosiahnuť globálna nulová bilancia emisií CO</w:t>
      </w:r>
      <w:r w:rsidRPr="008854EA">
        <w:rPr>
          <w:noProof/>
          <w:vertAlign w:val="subscript"/>
          <w:lang w:val="sk-SK"/>
        </w:rPr>
        <w:t>2</w:t>
      </w:r>
      <w:r w:rsidRPr="008854EA">
        <w:rPr>
          <w:noProof/>
          <w:lang w:val="sk-SK"/>
        </w:rPr>
        <w:t>. Zníženie emisií skleníkových plynov má mnoho súvisiacich prínosov, a to aj pokiaľ ide o kvalitu ovzdušia, zdravie, biodiverzitu a energetickú bezpečnosť</w:t>
      </w:r>
      <w:r w:rsidRPr="008854EA">
        <w:rPr>
          <w:noProof/>
          <w:vertAlign w:val="superscript"/>
          <w:lang w:val="sk-SK"/>
        </w:rPr>
        <w:footnoteReference w:id="2"/>
      </w:r>
      <w:r w:rsidRPr="008854EA">
        <w:rPr>
          <w:noProof/>
          <w:lang w:val="sk-SK"/>
        </w:rPr>
        <w:t xml:space="preserve">. </w:t>
      </w:r>
    </w:p>
    <w:p w14:paraId="6F68C1A5" w14:textId="2A8C89B2" w:rsidR="00541698" w:rsidRPr="008854EA" w:rsidRDefault="46268CC3" w:rsidP="00541698">
      <w:pPr>
        <w:pStyle w:val="Body"/>
        <w:rPr>
          <w:noProof/>
          <w:lang w:val="sk-SK"/>
        </w:rPr>
      </w:pPr>
      <w:r w:rsidRPr="008854EA">
        <w:rPr>
          <w:noProof/>
          <w:lang w:val="sk-SK"/>
        </w:rPr>
        <w:t>Európa sa od 80. rokov 20. storočia zohrieva dvakrát rýchlejšie, čo má ďalekosiahly vplyv na sociálno-ekonomickú štruktúru a ekosystémy regiónu</w:t>
      </w:r>
      <w:r w:rsidRPr="008854EA">
        <w:rPr>
          <w:noProof/>
          <w:vertAlign w:val="superscript"/>
          <w:lang w:val="sk-SK"/>
        </w:rPr>
        <w:footnoteReference w:id="3"/>
      </w:r>
      <w:r w:rsidRPr="008854EA">
        <w:rPr>
          <w:noProof/>
          <w:lang w:val="sk-SK"/>
        </w:rPr>
        <w:t>. V roku 2022 sme boli svedkami ničivých vplyvov súvisiacich s otepľujúcou sa klímou, pričom extrémne výkyvy počasia boli čoraz častejšie. Horúčavy koncom jari a v lete, pri ktorých boli na mnohých miestach zaznamenané teplotné rekordy, vyústili do rekordného počtu dní s veľmi silným teplotným stresom, ktorý viedol až k viac ako 61 000 zbytočných úmrtí v celej Európe.</w:t>
      </w:r>
      <w:r w:rsidRPr="008854EA">
        <w:rPr>
          <w:noProof/>
          <w:vertAlign w:val="superscript"/>
          <w:lang w:val="sk-SK"/>
        </w:rPr>
        <w:footnoteReference w:id="4"/>
      </w:r>
      <w:r w:rsidRPr="008854EA">
        <w:rPr>
          <w:noProof/>
          <w:lang w:val="sk-SK"/>
        </w:rPr>
        <w:t xml:space="preserve"> Po horúcich a suchých podmienkach na jar a v lete, ktoré spôsobili suchá vo väčšine Európy a podnietili mnohé prírodné požiare, nasledovali silné zrážky a intenzívne povodne na jeseň, ktoré spôsobili desiatky úmrtí</w:t>
      </w:r>
      <w:r w:rsidRPr="008854EA">
        <w:rPr>
          <w:rStyle w:val="FootnoteReference"/>
          <w:rFonts w:cs="Times New Roman"/>
          <w:noProof/>
          <w:lang w:val="sk-SK"/>
        </w:rPr>
        <w:footnoteReference w:id="5"/>
      </w:r>
      <w:r w:rsidRPr="008854EA">
        <w:rPr>
          <w:noProof/>
          <w:lang w:val="sk-SK"/>
        </w:rPr>
        <w:t>. Celkovo bolo leto 2022 najteplejším zaznamenaným letom v Európe</w:t>
      </w:r>
      <w:r w:rsidRPr="008854EA">
        <w:rPr>
          <w:rStyle w:val="FootnoteReference"/>
          <w:rFonts w:cs="Times New Roman"/>
          <w:noProof/>
          <w:lang w:val="sk-SK"/>
        </w:rPr>
        <w:footnoteReference w:id="6"/>
      </w:r>
      <w:r w:rsidRPr="008854EA">
        <w:rPr>
          <w:noProof/>
          <w:lang w:val="sk-SK"/>
        </w:rPr>
        <w:t>. V roku 2023 aj naďalej padali teplotné rekordy, čím sa potvrdzuje neobyčajné tempo zmeny klímy. Júl bol najteplejším zaznamenaným mesiacom s globálnymi teplotami o 1,5 </w:t>
      </w:r>
      <w:r w:rsidRPr="008854EA">
        <w:rPr>
          <w:noProof/>
          <w:vertAlign w:val="superscript"/>
          <w:lang w:val="sk-SK"/>
        </w:rPr>
        <w:t>o</w:t>
      </w:r>
      <w:r w:rsidRPr="008854EA">
        <w:rPr>
          <w:noProof/>
          <w:lang w:val="sk-SK"/>
        </w:rPr>
        <w:t>C vyššími ako bol teplotný priemer pred industrializáciou. Narastajúce teploty a zvyšujúca sa frekvencia extrémnych výkyvov počasia prispeli k početným prírodným požiarom a do konca júla 2023 postihli viac ako 182 000 hektárov územia v rámci EÚ, čo je o 40 % viac ako bol priemer v rokoch 2003 až 2022,</w:t>
      </w:r>
      <w:r w:rsidRPr="008854EA">
        <w:rPr>
          <w:rStyle w:val="FootnoteReference"/>
          <w:noProof/>
          <w:lang w:val="sk-SK"/>
        </w:rPr>
        <w:footnoteReference w:id="7"/>
      </w:r>
      <w:r w:rsidRPr="008854EA">
        <w:rPr>
          <w:noProof/>
          <w:lang w:val="sk-SK"/>
        </w:rPr>
        <w:t xml:space="preserve"> pričom časti Európy zasiahli aj nebývalé záplavy</w:t>
      </w:r>
      <w:r w:rsidRPr="008854EA">
        <w:rPr>
          <w:rStyle w:val="FootnoteReference"/>
          <w:noProof/>
          <w:lang w:val="sk-SK"/>
        </w:rPr>
        <w:footnoteReference w:id="8"/>
      </w:r>
      <w:r w:rsidRPr="008854EA">
        <w:rPr>
          <w:noProof/>
          <w:lang w:val="sk-SK"/>
        </w:rPr>
        <w:t>.</w:t>
      </w:r>
    </w:p>
    <w:p w14:paraId="33371EB9" w14:textId="49FB7BB3" w:rsidR="00541698" w:rsidRPr="008854EA" w:rsidRDefault="00541698" w:rsidP="00541698">
      <w:pPr>
        <w:pStyle w:val="Body"/>
        <w:rPr>
          <w:noProof/>
          <w:lang w:val="sk-SK"/>
        </w:rPr>
      </w:pPr>
      <w:r w:rsidRPr="008854EA">
        <w:rPr>
          <w:noProof/>
          <w:lang w:val="sk-SK"/>
        </w:rPr>
        <w:t xml:space="preserve">V roku 2022 </w:t>
      </w:r>
      <w:r w:rsidRPr="008854EA">
        <w:rPr>
          <w:b/>
          <w:noProof/>
          <w:lang w:val="sk-SK"/>
        </w:rPr>
        <w:t>globálne emisie</w:t>
      </w:r>
      <w:r w:rsidRPr="008854EA">
        <w:rPr>
          <w:noProof/>
          <w:lang w:val="sk-SK"/>
        </w:rPr>
        <w:t xml:space="preserve"> opäť dosiahli úroveň narastajúceho trendu spred pandémie, pričom ich úroveň dosiahla 53,8 miliardy ton ekvivalentu CO</w:t>
      </w:r>
      <w:r w:rsidRPr="008854EA">
        <w:rPr>
          <w:noProof/>
          <w:vertAlign w:val="subscript"/>
          <w:lang w:val="sk-SK"/>
        </w:rPr>
        <w:t>2</w:t>
      </w:r>
      <w:r w:rsidRPr="008854EA">
        <w:rPr>
          <w:noProof/>
          <w:lang w:val="sk-SK"/>
        </w:rPr>
        <w:t>, čo je vysoko nad úroveň emisií v roku 2019. Z predbežných údajov JRC</w:t>
      </w:r>
      <w:r w:rsidRPr="008854EA">
        <w:rPr>
          <w:rStyle w:val="FootnoteReference"/>
          <w:rFonts w:cs="Times New Roman"/>
          <w:noProof/>
          <w:lang w:val="sk-SK"/>
        </w:rPr>
        <w:footnoteReference w:id="9"/>
      </w:r>
      <w:r w:rsidRPr="008854EA">
        <w:rPr>
          <w:noProof/>
          <w:lang w:val="sk-SK"/>
        </w:rPr>
        <w:t xml:space="preserve"> vyplýva, že globálne emisie skleníkových plynov narástli v roku 2022 o 1,4 % v porovnaní s úrovňami v roku 2021, a to napriek 3,4 % nárastu svetového HDP za rovnaké obdobie, keďže svetové hospodárstvo sa aj naďalej zotavovalo z pandémie. Hlavnou hnacou silou nárastu emisií skleníkových plynov bola doprava (+4,7 % alebo 361 miliónov ton ekvivalentu CO</w:t>
      </w:r>
      <w:r w:rsidRPr="008854EA">
        <w:rPr>
          <w:noProof/>
          <w:vertAlign w:val="subscript"/>
          <w:lang w:val="sk-SK"/>
        </w:rPr>
        <w:t>2</w:t>
      </w:r>
      <w:r w:rsidRPr="008854EA">
        <w:rPr>
          <w:noProof/>
          <w:lang w:val="sk-SK"/>
        </w:rPr>
        <w:t>), hoci objem v rámci nej vyprodukovaných emisií bol pod úrovňou pred pandémiou, ďalej výroba paliva</w:t>
      </w:r>
      <w:r w:rsidRPr="008854EA">
        <w:rPr>
          <w:rStyle w:val="FootnoteReference"/>
          <w:noProof/>
          <w:lang w:val="sk-SK"/>
        </w:rPr>
        <w:footnoteReference w:id="10"/>
      </w:r>
      <w:r w:rsidRPr="008854EA">
        <w:rPr>
          <w:noProof/>
          <w:lang w:val="sk-SK"/>
        </w:rPr>
        <w:t xml:space="preserve"> (+2,6 % alebo 157 miliónov ton ekvivalentu CO</w:t>
      </w:r>
      <w:r w:rsidRPr="008854EA">
        <w:rPr>
          <w:noProof/>
          <w:vertAlign w:val="subscript"/>
          <w:lang w:val="sk-SK"/>
        </w:rPr>
        <w:t>2</w:t>
      </w:r>
      <w:r w:rsidRPr="008854EA">
        <w:rPr>
          <w:noProof/>
          <w:lang w:val="sk-SK"/>
        </w:rPr>
        <w:t>) a energie (+0,9 % alebo 136 miliónov ton ekvivalentu CO</w:t>
      </w:r>
      <w:r w:rsidRPr="008854EA">
        <w:rPr>
          <w:noProof/>
          <w:vertAlign w:val="subscript"/>
          <w:lang w:val="sk-SK"/>
        </w:rPr>
        <w:t>2</w:t>
      </w:r>
      <w:r w:rsidRPr="008854EA">
        <w:rPr>
          <w:noProof/>
          <w:lang w:val="sk-SK"/>
        </w:rPr>
        <w:t>). Medzi väčšími zdrojmi emisií nastal najvýznamnejší nárast emisií v Indonézii (+10 % alebo 113 miliónov ton ekvivalentu CO</w:t>
      </w:r>
      <w:r w:rsidRPr="008854EA">
        <w:rPr>
          <w:noProof/>
          <w:vertAlign w:val="subscript"/>
          <w:lang w:val="sk-SK"/>
        </w:rPr>
        <w:t>2</w:t>
      </w:r>
      <w:r w:rsidRPr="008854EA">
        <w:rPr>
          <w:noProof/>
          <w:lang w:val="sk-SK"/>
        </w:rPr>
        <w:t>) a Indii (+5 % alebo 189 miliónov ton ekvivalentu CO</w:t>
      </w:r>
      <w:r w:rsidRPr="008854EA">
        <w:rPr>
          <w:noProof/>
          <w:vertAlign w:val="subscript"/>
          <w:lang w:val="sk-SK"/>
        </w:rPr>
        <w:t>2</w:t>
      </w:r>
      <w:r w:rsidRPr="008854EA">
        <w:rPr>
          <w:noProof/>
          <w:lang w:val="sk-SK"/>
        </w:rPr>
        <w:t>), zatiaľ čo Čína preukázala obmedzený nárast (+0,3 % alebo 52 miliónov ton ekvivalentu CO</w:t>
      </w:r>
      <w:r w:rsidRPr="008854EA">
        <w:rPr>
          <w:noProof/>
          <w:vertAlign w:val="subscript"/>
          <w:lang w:val="sk-SK"/>
        </w:rPr>
        <w:t>2</w:t>
      </w:r>
      <w:r w:rsidRPr="008854EA">
        <w:rPr>
          <w:noProof/>
          <w:lang w:val="sk-SK"/>
        </w:rPr>
        <w:t xml:space="preserve">). </w:t>
      </w:r>
    </w:p>
    <w:p w14:paraId="5A425C38" w14:textId="65EF4F6B" w:rsidR="00541698" w:rsidRPr="008854EA" w:rsidRDefault="00E31BEE" w:rsidP="00541698">
      <w:pPr>
        <w:pStyle w:val="Body"/>
        <w:rPr>
          <w:noProof/>
          <w:lang w:val="sk-SK"/>
        </w:rPr>
      </w:pPr>
      <w:r w:rsidRPr="008854EA">
        <w:rPr>
          <w:noProof/>
          <w:lang w:val="sk-SK"/>
        </w:rPr>
        <w:t>Z predbežných údajov</w:t>
      </w:r>
      <w:r w:rsidRPr="008854EA">
        <w:rPr>
          <w:rStyle w:val="FootnoteReference"/>
          <w:noProof/>
          <w:lang w:val="sk-SK"/>
        </w:rPr>
        <w:footnoteReference w:id="11"/>
      </w:r>
      <w:r w:rsidRPr="008854EA">
        <w:rPr>
          <w:noProof/>
          <w:lang w:val="sk-SK"/>
        </w:rPr>
        <w:t xml:space="preserve"> za rok 2022 vyplýva, že celkové emisie skleníkových plynov v EÚ (okrem využívania pôdy, zmeny využívania pôd, lesného hospodárstva a medzinárodného letectva) sa znížili o 2,4 % v porovnaní s rokom 2021, čo je pokračovaním 30-ročného klesajúceho trendu, zatiaľ čo HDP EÚ narástol v roku 2022 o 3,5 % (graf 1.a). Emisie, na ktoré sa vzťahuje systém obchodovania s emisnými kvótami skleníkových plynov v Európskej únii (ďalej ako „EU ETS“), klesli o 0,2 % a emisie, na ktoré sa nevzťahuje ETS klesli o 2,9 %.</w:t>
      </w:r>
      <w:bookmarkStart w:id="2" w:name="_Ref135151626"/>
    </w:p>
    <w:p w14:paraId="131F249B" w14:textId="46FC898F" w:rsidR="00E31BEE" w:rsidRPr="008854EA" w:rsidRDefault="00E31BEE" w:rsidP="006D2314">
      <w:pPr>
        <w:pStyle w:val="Caption"/>
        <w:spacing w:after="0"/>
        <w:jc w:val="center"/>
        <w:rPr>
          <w:rFonts w:cstheme="minorHAnsi"/>
          <w:noProof/>
          <w:color w:val="FF0000"/>
          <w:lang w:val="sk-SK"/>
        </w:rPr>
      </w:pPr>
      <w:r w:rsidRPr="008854EA">
        <w:rPr>
          <w:noProof/>
          <w:lang w:val="sk-SK"/>
        </w:rPr>
        <w:t>Graf 1</w:t>
      </w:r>
      <w:bookmarkEnd w:id="2"/>
      <w:r w:rsidRPr="008854EA">
        <w:rPr>
          <w:noProof/>
          <w:lang w:val="sk-SK"/>
        </w:rPr>
        <w:t>:</w:t>
      </w:r>
      <w:r w:rsidRPr="008854EA">
        <w:rPr>
          <w:noProof/>
          <w:sz w:val="22"/>
          <w:lang w:val="sk-SK"/>
        </w:rPr>
        <w:t xml:space="preserve"> Emisie skleníkových plynov v EÚ (okrem využívania pôdy, zmeny vo využívaní pôdy a lesného hospodárstva) a podľa sektora</w:t>
      </w:r>
      <w:r w:rsidRPr="008854EA">
        <w:rPr>
          <w:noProof/>
          <w:sz w:val="22"/>
          <w:vertAlign w:val="superscript"/>
          <w:lang w:val="sk-SK"/>
        </w:rPr>
        <w:footnoteReference w:id="12"/>
      </w:r>
      <w:r w:rsidRPr="008854EA">
        <w:rPr>
          <w:noProof/>
          <w:sz w:val="22"/>
          <w:lang w:val="sk-SK"/>
        </w:rPr>
        <w:t xml:space="preserve">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743"/>
      </w:tblGrid>
      <w:tr w:rsidR="00CD31AD" w:rsidRPr="008854EA" w14:paraId="3561D078" w14:textId="77777777" w:rsidTr="005C372D">
        <w:tc>
          <w:tcPr>
            <w:tcW w:w="4002" w:type="dxa"/>
          </w:tcPr>
          <w:p w14:paraId="2CCC193D" w14:textId="41814FFF" w:rsidR="00E31BEE" w:rsidRPr="008854EA" w:rsidRDefault="003D1389" w:rsidP="00FC088C">
            <w:pPr>
              <w:pStyle w:val="ListParagraph"/>
              <w:ind w:left="0"/>
              <w:jc w:val="center"/>
              <w:rPr>
                <w:rFonts w:cstheme="minorHAnsi"/>
                <w:i/>
                <w:noProof/>
                <w:color w:val="44546A" w:themeColor="text2"/>
                <w:sz w:val="18"/>
                <w:lang w:val="sk-SK"/>
              </w:rPr>
            </w:pPr>
            <w:r w:rsidRPr="008854EA">
              <w:rPr>
                <w:b/>
                <w:i/>
                <w:noProof/>
                <w:color w:val="44546A" w:themeColor="text2"/>
                <w:sz w:val="18"/>
                <w:lang w:val="sk-SK"/>
              </w:rPr>
              <w:t>Graf 1</w:t>
            </w:r>
            <w:r w:rsidR="002C4653" w:rsidRPr="008854EA">
              <w:rPr>
                <w:b/>
                <w:i/>
                <w:noProof/>
                <w:color w:val="44546A" w:themeColor="text2"/>
                <w:sz w:val="18"/>
                <w:lang w:val="sk-SK"/>
              </w:rPr>
              <w:t>.</w:t>
            </w:r>
            <w:r w:rsidRPr="008854EA">
              <w:rPr>
                <w:b/>
                <w:i/>
                <w:noProof/>
                <w:color w:val="44546A" w:themeColor="text2"/>
                <w:sz w:val="18"/>
                <w:lang w:val="sk-SK"/>
              </w:rPr>
              <w:t>a</w:t>
            </w:r>
          </w:p>
        </w:tc>
        <w:tc>
          <w:tcPr>
            <w:tcW w:w="4566" w:type="dxa"/>
          </w:tcPr>
          <w:p w14:paraId="2CF10537" w14:textId="18E6BEAF" w:rsidR="00E31BEE" w:rsidRPr="008854EA" w:rsidRDefault="003D1389" w:rsidP="00FC088C">
            <w:pPr>
              <w:pStyle w:val="ListParagraph"/>
              <w:ind w:left="0"/>
              <w:jc w:val="center"/>
              <w:rPr>
                <w:rFonts w:cstheme="minorHAnsi"/>
                <w:i/>
                <w:noProof/>
                <w:color w:val="44546A" w:themeColor="text2"/>
                <w:sz w:val="18"/>
                <w:lang w:val="sk-SK"/>
              </w:rPr>
            </w:pPr>
            <w:r w:rsidRPr="008854EA">
              <w:rPr>
                <w:b/>
                <w:i/>
                <w:noProof/>
                <w:color w:val="44546A" w:themeColor="text2"/>
                <w:sz w:val="18"/>
                <w:lang w:val="sk-SK"/>
              </w:rPr>
              <w:t>Graf 1</w:t>
            </w:r>
            <w:r w:rsidR="002C4653" w:rsidRPr="008854EA">
              <w:rPr>
                <w:b/>
                <w:i/>
                <w:noProof/>
                <w:color w:val="44546A" w:themeColor="text2"/>
                <w:sz w:val="18"/>
                <w:lang w:val="sk-SK"/>
              </w:rPr>
              <w:t>.</w:t>
            </w:r>
            <w:r w:rsidRPr="008854EA">
              <w:rPr>
                <w:b/>
                <w:i/>
                <w:noProof/>
                <w:color w:val="44546A" w:themeColor="text2"/>
                <w:sz w:val="18"/>
                <w:lang w:val="sk-SK"/>
              </w:rPr>
              <w:t>b</w:t>
            </w:r>
          </w:p>
        </w:tc>
      </w:tr>
      <w:tr w:rsidR="00CD31AD" w:rsidRPr="008854EA" w14:paraId="6C2F05CD" w14:textId="77777777" w:rsidTr="005C372D">
        <w:tc>
          <w:tcPr>
            <w:tcW w:w="4002" w:type="dxa"/>
          </w:tcPr>
          <w:p w14:paraId="04875BFF" w14:textId="5C10840A" w:rsidR="00E31BEE" w:rsidRPr="008854EA" w:rsidRDefault="00CD31AD" w:rsidP="00FC088C">
            <w:pPr>
              <w:pStyle w:val="ListParagraph"/>
              <w:ind w:left="0" w:hanging="100"/>
              <w:jc w:val="center"/>
              <w:rPr>
                <w:rFonts w:cstheme="minorHAnsi"/>
                <w:noProof/>
                <w:lang w:val="sk-SK"/>
              </w:rPr>
            </w:pPr>
            <w:r w:rsidRPr="008854EA">
              <w:rPr>
                <w:rFonts w:cstheme="minorHAnsi"/>
                <w:noProof/>
                <w:lang w:val="en-GB" w:eastAsia="en-GB"/>
              </w:rPr>
              <w:drawing>
                <wp:inline distT="0" distB="0" distL="0" distR="0" wp14:anchorId="377FBC65" wp14:editId="3F4B05C6">
                  <wp:extent cx="2667000" cy="2343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2343150"/>
                          </a:xfrm>
                          <a:prstGeom prst="rect">
                            <a:avLst/>
                          </a:prstGeom>
                          <a:noFill/>
                          <a:ln>
                            <a:noFill/>
                          </a:ln>
                        </pic:spPr>
                      </pic:pic>
                    </a:graphicData>
                  </a:graphic>
                </wp:inline>
              </w:drawing>
            </w:r>
          </w:p>
        </w:tc>
        <w:tc>
          <w:tcPr>
            <w:tcW w:w="4566" w:type="dxa"/>
          </w:tcPr>
          <w:p w14:paraId="57E0F54A" w14:textId="77908463" w:rsidR="00E31BEE" w:rsidRPr="008854EA" w:rsidRDefault="00CD31AD" w:rsidP="00FC088C">
            <w:pPr>
              <w:pStyle w:val="ListParagraph"/>
              <w:ind w:left="0"/>
              <w:rPr>
                <w:rFonts w:cstheme="minorHAnsi"/>
                <w:noProof/>
                <w:lang w:val="sk-SK"/>
              </w:rPr>
            </w:pPr>
            <w:r w:rsidRPr="008854EA">
              <w:rPr>
                <w:rFonts w:cstheme="minorHAnsi"/>
                <w:noProof/>
                <w:lang w:val="en-GB" w:eastAsia="en-GB"/>
              </w:rPr>
              <w:drawing>
                <wp:inline distT="0" distB="0" distL="0" distR="0" wp14:anchorId="5E1384F1" wp14:editId="6BC1C003">
                  <wp:extent cx="2874999" cy="2143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872" cy="2147503"/>
                          </a:xfrm>
                          <a:prstGeom prst="rect">
                            <a:avLst/>
                          </a:prstGeom>
                          <a:noFill/>
                          <a:ln>
                            <a:noFill/>
                          </a:ln>
                        </pic:spPr>
                      </pic:pic>
                    </a:graphicData>
                  </a:graphic>
                </wp:inline>
              </w:drawing>
            </w:r>
          </w:p>
        </w:tc>
      </w:tr>
    </w:tbl>
    <w:p w14:paraId="62FE7538" w14:textId="77777777" w:rsidR="00E31BEE" w:rsidRPr="008854EA" w:rsidRDefault="00E31BEE" w:rsidP="00E31BEE">
      <w:pPr>
        <w:pStyle w:val="ListParagraph"/>
        <w:jc w:val="both"/>
        <w:rPr>
          <w:rFonts w:cstheme="minorHAnsi"/>
          <w:noProof/>
          <w:lang w:val="sk-SK"/>
        </w:rPr>
      </w:pPr>
    </w:p>
    <w:p w14:paraId="7B1D3219" w14:textId="77777777" w:rsidR="00FD08D8" w:rsidRPr="008854EA" w:rsidRDefault="00FD08D8" w:rsidP="00FD08D8">
      <w:pPr>
        <w:pStyle w:val="Body"/>
        <w:rPr>
          <w:noProof/>
          <w:lang w:val="sk-SK"/>
        </w:rPr>
      </w:pPr>
      <w:r w:rsidRPr="008854EA">
        <w:rPr>
          <w:noProof/>
          <w:lang w:val="sk-SK"/>
        </w:rPr>
        <w:t>Výnimočné udalosti posledných troch až štyroch rokov spôsobili, že posudzovanie vývoja emisií skleníkových plynov sa skomplikovalo, a tieto udalosti zároveň ovplyvnili aj emisie v roku 2022. Pre lepšie objasnenie sa preto v tejto správe hodnotí medziročná zmena v emisiách a porovnáva sa s úrovňou pred pandémiou. Zákazy vychádzania počas pandémie ochorenia COVID-19 a s ňou súvisiace obmedzenia viedli v roku 2020 k bezprecedentným, ale dočasným poklesom emisií skleníkových plynov o 8 %. V roku 2021 hospodárska obnova rôznym spôsobom ovplyvnila regióny a sektory. Niektoré sektory, ako je sektor dopravy a s dopravou súvisiace emisie, sa v plnej miere obnovili až v roku 2022. Energetická kríza, ktorá sa začala v roku 2021, pokračovala aj v roku 2022 a prehĺbila ju nevyprovokovaná a neodôvodnená invázia Ruska na Ukrajinu, kvôli ktorej sa ceny za energie, najmä za plyn, vyšplhali do rekordných výšok. Okrem toho znížená úroveň výroby jadrovej energie</w:t>
      </w:r>
      <w:r w:rsidRPr="008854EA">
        <w:rPr>
          <w:rStyle w:val="FootnoteReference"/>
          <w:noProof/>
          <w:lang w:val="sk-SK"/>
        </w:rPr>
        <w:footnoteReference w:id="13"/>
      </w:r>
      <w:r w:rsidRPr="008854EA">
        <w:rPr>
          <w:noProof/>
          <w:lang w:val="sk-SK"/>
        </w:rPr>
        <w:t xml:space="preserve"> a nízka úroveň výroby elektrickej energie z vodných zdrojov</w:t>
      </w:r>
      <w:r w:rsidRPr="008854EA">
        <w:rPr>
          <w:rStyle w:val="FootnoteReference"/>
          <w:noProof/>
          <w:lang w:val="sk-SK"/>
        </w:rPr>
        <w:footnoteReference w:id="14"/>
      </w:r>
      <w:r w:rsidRPr="008854EA">
        <w:rPr>
          <w:noProof/>
          <w:lang w:val="sk-SK"/>
        </w:rPr>
        <w:t xml:space="preserve"> viedli k zvýšenému využívaniu uhlia a lignitu na výrobu elektriny, a to nad úroveň zaznamenanú v roku 2021. Vysoké ceny za energie takisto podnietili opatrenia na zníženie dopytu po energii v priemyselnom sektore a v domácnostiach. </w:t>
      </w:r>
    </w:p>
    <w:p w14:paraId="47008C8F" w14:textId="727E4894" w:rsidR="00FD08D8" w:rsidRPr="008854EA" w:rsidRDefault="00FD08D8" w:rsidP="00FD08D8">
      <w:pPr>
        <w:pStyle w:val="Body"/>
        <w:rPr>
          <w:noProof/>
          <w:lang w:val="sk-SK"/>
        </w:rPr>
      </w:pPr>
      <w:r w:rsidRPr="008854EA">
        <w:rPr>
          <w:noProof/>
          <w:lang w:val="sk-SK"/>
        </w:rPr>
        <w:t>Pokiaľ ide o emisie EÚ podľa sektora, nastali tieto zmeny (graf 1.b). Očakáva sa, že emisie zo sektora energetiky a dopravy sa za rok 2022 zvýšili, hoci zostanú pod úrovňou z roku 2019 pred pandémiou, a zároveň sa očakáva výrazné znižovanie emisií v budovách a v odvetví priemyslu, najmä kvôli pokračujúcemu nárastu cien za energie. Pokiaľ ide o emisie v poľnohospodárstve, tie zostávajú aj napriek miernemu poklesu v roku 2022 zväčša na rovnakej úrovni ako pred desiatimi rokmi.</w:t>
      </w:r>
    </w:p>
    <w:p w14:paraId="5AD65919" w14:textId="27447DC2" w:rsidR="00541698" w:rsidRPr="008854EA" w:rsidRDefault="00541698" w:rsidP="00541698">
      <w:pPr>
        <w:pStyle w:val="Body"/>
        <w:rPr>
          <w:noProof/>
          <w:lang w:val="sk-SK"/>
        </w:rPr>
      </w:pPr>
      <w:r w:rsidRPr="008854EA">
        <w:rPr>
          <w:noProof/>
          <w:lang w:val="sk-SK"/>
        </w:rPr>
        <w:t>Zdá sa, že predbežné údaje za rok 2022 o čistom odstraňovaní skleníkových plynov zo sektora využívania pôdy, zmien vo využívaní pôdy a lesného hospodárstva (ďalej len „LULUCF“) naznačujú pozastavenie jeho momentálne klesajúceho vývoja, pričom sa očakáva zvyšovanie úrovne záchytu uhlíka vo výške 6 % v porovnaní s rokom 2021, hoci približný objem emisií zostáva predmetom rozsiahlych revízií. Následne sa v roku 2022 celkové čisté emisie skleníkových plynov (vrátane LULUCF) znížili o 3,0 % ročne, čo predstavuje pokles o 32,5 % v porovnaní s úrovňou v roku 1990.</w:t>
      </w:r>
    </w:p>
    <w:p w14:paraId="7B55324B" w14:textId="2ABF0EE9" w:rsidR="00E31BEE" w:rsidRPr="008854EA" w:rsidRDefault="00E31BEE" w:rsidP="00E31BEE">
      <w:pPr>
        <w:pStyle w:val="Body"/>
        <w:rPr>
          <w:rFonts w:cstheme="minorBidi"/>
          <w:noProof/>
          <w:color w:val="7030A0"/>
          <w:sz w:val="18"/>
          <w:lang w:val="sk-SK"/>
        </w:rPr>
      </w:pPr>
      <w:r w:rsidRPr="008854EA">
        <w:rPr>
          <w:noProof/>
          <w:lang w:val="sk-SK"/>
        </w:rPr>
        <w:t xml:space="preserve">V rámci EÚ sa výrazne zvýšili overené emisie prevádzkovateľov lietadiel, a to o 75 % v porovnaní s rokom 2021, keďže sa tento priemysel zotavuje z veľmi nízkych úrovní činnosti počas pandémie ochorenia COVID-19. </w:t>
      </w:r>
    </w:p>
    <w:p w14:paraId="0E776069" w14:textId="77777777" w:rsidR="00E31BEE" w:rsidRPr="008854EA" w:rsidRDefault="00E31BEE" w:rsidP="00E31BEE">
      <w:pPr>
        <w:pStyle w:val="Heading2"/>
        <w:ind w:left="576"/>
        <w:rPr>
          <w:rFonts w:ascii="Times New Roman" w:hAnsi="Times New Roman" w:cs="Times New Roman"/>
          <w:noProof/>
          <w:lang w:val="sk-SK"/>
        </w:rPr>
      </w:pPr>
      <w:r w:rsidRPr="008854EA">
        <w:rPr>
          <w:rFonts w:ascii="Times New Roman" w:hAnsi="Times New Roman"/>
          <w:noProof/>
          <w:lang w:val="sk-SK"/>
        </w:rPr>
        <w:t>Na ceste k dosiahnutiu cieľa klimatickej neutrality</w:t>
      </w:r>
    </w:p>
    <w:p w14:paraId="0437C6F3" w14:textId="7F7BE861" w:rsidR="00541698" w:rsidRPr="008854EA" w:rsidRDefault="00541698" w:rsidP="00541698">
      <w:pPr>
        <w:pStyle w:val="Body"/>
        <w:rPr>
          <w:noProof/>
          <w:lang w:val="sk-SK"/>
        </w:rPr>
      </w:pPr>
      <w:bookmarkStart w:id="3" w:name="_Ref135152950"/>
      <w:r w:rsidRPr="008854EA">
        <w:rPr>
          <w:noProof/>
          <w:lang w:val="sk-SK"/>
        </w:rPr>
        <w:t>Okrem posudzovania dosiahnutého pokroku v rámci politiky v oblasti zmeny klímy podľa nariadenia o riadení</w:t>
      </w:r>
      <w:r w:rsidRPr="008854EA">
        <w:rPr>
          <w:noProof/>
          <w:vertAlign w:val="superscript"/>
          <w:lang w:val="sk-SK"/>
        </w:rPr>
        <w:footnoteReference w:id="15"/>
      </w:r>
      <w:r w:rsidRPr="008854EA">
        <w:rPr>
          <w:noProof/>
          <w:lang w:val="sk-SK"/>
        </w:rPr>
        <w:t xml:space="preserve"> sa v tomto roku po prvýkrát v správe posudzuje aj pokrok podľa európskeho právneho predpisu v oblasti klímy</w:t>
      </w:r>
      <w:r w:rsidRPr="008854EA">
        <w:rPr>
          <w:noProof/>
          <w:vertAlign w:val="superscript"/>
          <w:lang w:val="sk-SK"/>
        </w:rPr>
        <w:footnoteReference w:id="16"/>
      </w:r>
      <w:r w:rsidRPr="008854EA">
        <w:rPr>
          <w:noProof/>
          <w:lang w:val="sk-SK"/>
        </w:rPr>
        <w:t xml:space="preserve"> vrátane kolektívneho pokroku, ktorý dosiahli členské štáty na ceste k dosiahnutiu cieľa klimatickej neutrality EÚ do roku 2050</w:t>
      </w:r>
      <w:r w:rsidRPr="008854EA">
        <w:rPr>
          <w:rStyle w:val="FootnoteReference"/>
          <w:noProof/>
          <w:lang w:val="sk-SK"/>
        </w:rPr>
        <w:footnoteReference w:id="17"/>
      </w:r>
      <w:r w:rsidRPr="008854EA">
        <w:rPr>
          <w:noProof/>
          <w:lang w:val="sk-SK"/>
        </w:rPr>
        <w:t xml:space="preserve">. V správe sa pokrok skúma z viacerých aspektov a zdrojov, a berie sa do úvahy zložitosť mnohých spôsobov dosahovania klimaticky neutrálneho a odolného hospodárstva. </w:t>
      </w:r>
    </w:p>
    <w:p w14:paraId="4F8ECE71" w14:textId="4E010316" w:rsidR="00BC606E" w:rsidRPr="008854EA" w:rsidRDefault="00BC606E" w:rsidP="00541698">
      <w:pPr>
        <w:pStyle w:val="Body"/>
        <w:rPr>
          <w:noProof/>
          <w:lang w:val="sk-SK"/>
        </w:rPr>
      </w:pPr>
      <w:r w:rsidRPr="008854EA">
        <w:rPr>
          <w:noProof/>
          <w:lang w:val="sk-SK"/>
        </w:rPr>
        <w:t>Predbežné údaje na rok 2022 celkovo ukazujú, že čisté domáce emisie skleníkových plynov EÚ (t. j. vrátane LULUCF a vynímajúc medzinárodnú dopravu) plynule klesajú v súlade s lineárnym nastavením dosiahnuť cieľ EÚ na rok 2030 zameraný na zníženie emisií skleníkových plynov (t. j. −55 %) a cieľ EÚ v oblasti klimatickej neutrality do roku 2050</w:t>
      </w:r>
      <w:r w:rsidRPr="008854EA">
        <w:rPr>
          <w:rStyle w:val="FootnoteReference"/>
          <w:rFonts w:cs="Times New Roman"/>
          <w:noProof/>
          <w:lang w:val="sk-SK"/>
        </w:rPr>
        <w:footnoteReference w:id="18"/>
      </w:r>
      <w:r w:rsidRPr="008854EA">
        <w:rPr>
          <w:noProof/>
          <w:lang w:val="sk-SK"/>
        </w:rPr>
        <w:t>. Tempo znižovania emisií sa však musí zvýšiť s cieľom takmer strojnásobiť priemerné ročné zníženie emisií dosiahnuté za poslednú dekádu (pozri graf 2.a). V porovnaní s minulým úsilím znižovať emisie je najvýraznejšie zníženie emisií potrebné v budovách a v sektore dopravy, kde je tempo dekarbonizácie pomalé či dokonca sa vývoj znižovania hýbe opačným smerom. Zároveň je zásadné prijať kroky v sektore LULUCF s cieľom dosiahnuť významný pokrok v odstraňovaní uhlíka. Hoci sa dosiahnutie znižovania emisií, ktoré sa vyžaduje od sektora poľnohospodárstva, zdá pri pohľade na pokrok za posledné tri desaťročia uskutočniteľné, obavy spôsobuje nedostatok zásadného pokroku v posledných rokoch, a teda si vyžaduje istú zmenu (graf 3.b).</w:t>
      </w:r>
    </w:p>
    <w:p w14:paraId="316B7AD1" w14:textId="33293D83" w:rsidR="00B56AE7" w:rsidRPr="008854EA" w:rsidRDefault="00BC606E" w:rsidP="00541698">
      <w:pPr>
        <w:pStyle w:val="Body"/>
        <w:rPr>
          <w:noProof/>
          <w:lang w:val="sk-SK"/>
        </w:rPr>
      </w:pPr>
      <w:r w:rsidRPr="008854EA">
        <w:rPr>
          <w:noProof/>
          <w:lang w:val="sk-SK"/>
        </w:rPr>
        <w:t>Hoci je toto zníženie emisií značné, nie je bezprecedentné. Dva roky pred pandémiou bol zaznamenaný ročný priemerný pokles emisií o 120 miliónov ton ekvivalentu CO</w:t>
      </w:r>
      <w:r w:rsidRPr="008854EA">
        <w:rPr>
          <w:noProof/>
          <w:vertAlign w:val="subscript"/>
          <w:lang w:val="sk-SK"/>
        </w:rPr>
        <w:t>2</w:t>
      </w:r>
      <w:r w:rsidRPr="008854EA">
        <w:rPr>
          <w:noProof/>
          <w:lang w:val="sk-SK"/>
        </w:rPr>
        <w:t>, a to vďaka pokroku, pokiaľ ide o energetickú účinnosť a rýchlemu zavádzaniu obnoviteľných zdrojov energie. V roku 2022 všetci aktéri v EÚ vrátane energeticky náročného priemyselného odvetvia znížili svoj dopyt po energii v porovnaní s úrovňami pred pandémiou, čím sa ušetrilo viac ako 18 % plynu v porovnaní s obdobím pred piatimi rokmi</w:t>
      </w:r>
      <w:r w:rsidRPr="008854EA">
        <w:rPr>
          <w:rStyle w:val="FootnoteReference"/>
          <w:noProof/>
          <w:lang w:val="sk-SK"/>
        </w:rPr>
        <w:footnoteReference w:id="19"/>
      </w:r>
      <w:r w:rsidRPr="008854EA">
        <w:rPr>
          <w:noProof/>
          <w:lang w:val="sk-SK"/>
        </w:rPr>
        <w:t>.</w:t>
      </w:r>
    </w:p>
    <w:p w14:paraId="4628D3BE" w14:textId="77777777" w:rsidR="00711986" w:rsidRPr="008854EA" w:rsidRDefault="00711986">
      <w:pPr>
        <w:spacing w:after="160" w:line="259" w:lineRule="auto"/>
        <w:rPr>
          <w:rFonts w:ascii="Times New Roman" w:eastAsiaTheme="minorEastAsia" w:hAnsi="Times New Roman"/>
          <w:b/>
          <w:noProof/>
          <w:color w:val="44546A" w:themeColor="text2"/>
          <w:sz w:val="20"/>
          <w:lang w:val="sk-SK"/>
        </w:rPr>
      </w:pPr>
      <w:r w:rsidRPr="008854EA">
        <w:rPr>
          <w:noProof/>
          <w:lang w:val="sk-SK"/>
        </w:rPr>
        <w:br w:type="page"/>
      </w:r>
    </w:p>
    <w:p w14:paraId="475E0FAD" w14:textId="4723DED8" w:rsidR="00E31BEE" w:rsidRPr="008854EA" w:rsidRDefault="00E31BEE" w:rsidP="009215E5">
      <w:pPr>
        <w:pStyle w:val="Caption"/>
        <w:pBdr>
          <w:bottom w:val="single" w:sz="4" w:space="1" w:color="auto"/>
        </w:pBdr>
        <w:spacing w:after="0"/>
        <w:jc w:val="left"/>
        <w:rPr>
          <w:rFonts w:cstheme="minorHAnsi"/>
          <w:noProof/>
          <w:color w:val="FF0000"/>
          <w:lang w:val="sk-SK"/>
        </w:rPr>
      </w:pPr>
      <w:r w:rsidRPr="008854EA">
        <w:rPr>
          <w:noProof/>
          <w:lang w:val="sk-SK"/>
        </w:rPr>
        <w:t>Graf 2</w:t>
      </w:r>
      <w:bookmarkEnd w:id="3"/>
      <w:r w:rsidRPr="008854EA">
        <w:rPr>
          <w:noProof/>
          <w:lang w:val="sk-SK"/>
        </w:rPr>
        <w:t>:</w:t>
      </w:r>
      <w:r w:rsidRPr="008854EA">
        <w:rPr>
          <w:noProof/>
          <w:sz w:val="22"/>
          <w:lang w:val="sk-SK"/>
        </w:rPr>
        <w:t xml:space="preserve"> Čisté emisie skleníkových plynov EÚ, ciele a súhrnné prognózy členských štátov</w:t>
      </w:r>
      <w:r w:rsidRPr="008854EA">
        <w:rPr>
          <w:noProof/>
          <w:sz w:val="22"/>
          <w:vertAlign w:val="superscript"/>
          <w:lang w:val="sk-SK"/>
        </w:rPr>
        <w:footnoteReference w:id="20"/>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4299"/>
      </w:tblGrid>
      <w:tr w:rsidR="00102234" w:rsidRPr="008854EA" w14:paraId="131046F1" w14:textId="77777777" w:rsidTr="00B56AE7">
        <w:trPr>
          <w:trHeight w:val="285"/>
        </w:trPr>
        <w:tc>
          <w:tcPr>
            <w:tcW w:w="4180" w:type="dxa"/>
            <w:vAlign w:val="center"/>
          </w:tcPr>
          <w:p w14:paraId="7E8C4419" w14:textId="7C404497" w:rsidR="005C372D" w:rsidRPr="008854EA" w:rsidRDefault="005C372D" w:rsidP="005C372D">
            <w:pPr>
              <w:pStyle w:val="ListParagraph"/>
              <w:spacing w:before="120" w:after="0"/>
              <w:ind w:left="0"/>
              <w:jc w:val="center"/>
              <w:rPr>
                <w:b/>
                <w:i/>
                <w:noProof/>
                <w:color w:val="44546A" w:themeColor="text2"/>
                <w:sz w:val="18"/>
                <w:lang w:val="sk-SK"/>
              </w:rPr>
            </w:pPr>
            <w:r w:rsidRPr="008854EA">
              <w:rPr>
                <w:b/>
                <w:i/>
                <w:noProof/>
                <w:color w:val="44546A" w:themeColor="text2"/>
                <w:sz w:val="18"/>
                <w:lang w:val="sk-SK"/>
              </w:rPr>
              <w:t>Graf 2.a</w:t>
            </w:r>
          </w:p>
        </w:tc>
        <w:tc>
          <w:tcPr>
            <w:tcW w:w="4051" w:type="dxa"/>
            <w:vAlign w:val="center"/>
          </w:tcPr>
          <w:p w14:paraId="4EB154DC" w14:textId="77777777" w:rsidR="005C372D" w:rsidRPr="008854EA" w:rsidRDefault="005C372D" w:rsidP="005C372D">
            <w:pPr>
              <w:pStyle w:val="ListParagraph"/>
              <w:spacing w:before="120"/>
              <w:ind w:left="0"/>
              <w:jc w:val="center"/>
              <w:rPr>
                <w:b/>
                <w:i/>
                <w:noProof/>
                <w:color w:val="44546A" w:themeColor="text2"/>
                <w:sz w:val="18"/>
                <w:lang w:val="sk-SK"/>
              </w:rPr>
            </w:pPr>
          </w:p>
          <w:p w14:paraId="661D74A2" w14:textId="2F9A54BB" w:rsidR="005C372D" w:rsidRPr="008854EA" w:rsidRDefault="005C372D" w:rsidP="005C372D">
            <w:pPr>
              <w:pStyle w:val="ListParagraph"/>
              <w:spacing w:before="120" w:after="0"/>
              <w:ind w:left="0"/>
              <w:jc w:val="center"/>
              <w:rPr>
                <w:b/>
                <w:i/>
                <w:noProof/>
                <w:color w:val="44546A" w:themeColor="text2"/>
                <w:sz w:val="18"/>
                <w:lang w:val="sk-SK"/>
              </w:rPr>
            </w:pPr>
            <w:r w:rsidRPr="008854EA">
              <w:rPr>
                <w:b/>
                <w:i/>
                <w:noProof/>
                <w:color w:val="44546A" w:themeColor="text2"/>
                <w:sz w:val="18"/>
                <w:lang w:val="sk-SK"/>
              </w:rPr>
              <w:t>Graf 2.b</w:t>
            </w:r>
          </w:p>
        </w:tc>
      </w:tr>
      <w:tr w:rsidR="00102234" w:rsidRPr="008854EA" w14:paraId="37FD4137" w14:textId="77777777" w:rsidTr="00B56AE7">
        <w:trPr>
          <w:trHeight w:val="3977"/>
        </w:trPr>
        <w:tc>
          <w:tcPr>
            <w:tcW w:w="4180" w:type="dxa"/>
          </w:tcPr>
          <w:p w14:paraId="727E4817" w14:textId="3400721A" w:rsidR="00E31BEE" w:rsidRPr="008854EA" w:rsidRDefault="003B61AB" w:rsidP="00B56AE7">
            <w:pPr>
              <w:pStyle w:val="ListParagraph"/>
              <w:ind w:left="0" w:right="178" w:hanging="720"/>
              <w:jc w:val="center"/>
              <w:rPr>
                <w:rFonts w:cstheme="minorHAnsi"/>
                <w:noProof/>
                <w:lang w:val="sk-SK"/>
              </w:rPr>
            </w:pPr>
            <w:r w:rsidRPr="008854EA">
              <w:rPr>
                <w:noProof/>
                <w:lang w:val="en-GB" w:eastAsia="en-GB"/>
              </w:rPr>
              <w:drawing>
                <wp:inline distT="0" distB="0" distL="0" distR="0" wp14:anchorId="10261FD9" wp14:editId="024F0C9F">
                  <wp:extent cx="2502202"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3520" cy="2285019"/>
                          </a:xfrm>
                          <a:prstGeom prst="rect">
                            <a:avLst/>
                          </a:prstGeom>
                        </pic:spPr>
                      </pic:pic>
                    </a:graphicData>
                  </a:graphic>
                </wp:inline>
              </w:drawing>
            </w:r>
          </w:p>
        </w:tc>
        <w:tc>
          <w:tcPr>
            <w:tcW w:w="4051" w:type="dxa"/>
          </w:tcPr>
          <w:p w14:paraId="71A09190" w14:textId="7F8B9CC4" w:rsidR="00E31BEE" w:rsidRPr="008854EA" w:rsidRDefault="001216C5" w:rsidP="00FC088C">
            <w:pPr>
              <w:pStyle w:val="ListParagraph"/>
              <w:ind w:left="0"/>
              <w:rPr>
                <w:rFonts w:cstheme="minorHAnsi"/>
                <w:noProof/>
                <w:lang w:val="sk-SK"/>
              </w:rPr>
            </w:pPr>
            <w:r w:rsidRPr="008854EA">
              <w:rPr>
                <w:noProof/>
                <w:lang w:val="en-GB" w:eastAsia="en-GB"/>
              </w:rPr>
              <w:drawing>
                <wp:inline distT="0" distB="0" distL="0" distR="0" wp14:anchorId="2A0A1286" wp14:editId="39408B1B">
                  <wp:extent cx="2593121" cy="22661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9326" cy="2315240"/>
                          </a:xfrm>
                          <a:prstGeom prst="rect">
                            <a:avLst/>
                          </a:prstGeom>
                        </pic:spPr>
                      </pic:pic>
                    </a:graphicData>
                  </a:graphic>
                </wp:inline>
              </w:drawing>
            </w:r>
          </w:p>
        </w:tc>
      </w:tr>
    </w:tbl>
    <w:p w14:paraId="0531ADA9" w14:textId="77777777" w:rsidR="005C372D" w:rsidRPr="008854EA" w:rsidRDefault="005C372D" w:rsidP="005C372D">
      <w:pPr>
        <w:pStyle w:val="Body"/>
        <w:pBdr>
          <w:top w:val="single" w:sz="4" w:space="1" w:color="auto"/>
        </w:pBdr>
        <w:rPr>
          <w:noProof/>
          <w:lang w:val="sk-SK"/>
        </w:rPr>
      </w:pPr>
    </w:p>
    <w:p w14:paraId="6630AB4E" w14:textId="5A4431A7" w:rsidR="00AE0772" w:rsidRPr="008854EA" w:rsidRDefault="00BC606E" w:rsidP="005C372D">
      <w:pPr>
        <w:pStyle w:val="Body"/>
        <w:pBdr>
          <w:top w:val="single" w:sz="4" w:space="1" w:color="auto"/>
        </w:pBdr>
        <w:rPr>
          <w:noProof/>
          <w:lang w:val="sk-SK"/>
        </w:rPr>
      </w:pPr>
      <w:r w:rsidRPr="008854EA">
        <w:rPr>
          <w:noProof/>
          <w:lang w:val="sk-SK"/>
        </w:rPr>
        <w:t>Energetická kríza so sebou priniesla aj nebývalý impulz, pokiaľ ide o energiu z obnoviteľných zdrojov. V roku 2022 bol v EÚ nainštalovaný rekordný počet systémov na výrobu veternej a solárnej energie s kapacitou 60 GW</w:t>
      </w:r>
      <w:r w:rsidRPr="008854EA">
        <w:rPr>
          <w:rStyle w:val="FootnoteReference"/>
          <w:rFonts w:cs="Times New Roman"/>
          <w:noProof/>
          <w:lang w:val="sk-SK"/>
        </w:rPr>
        <w:footnoteReference w:id="21"/>
      </w:r>
      <w:r w:rsidRPr="008854EA">
        <w:rPr>
          <w:noProof/>
          <w:lang w:val="sk-SK"/>
        </w:rPr>
        <w:t xml:space="preserve"> a trh s tepelnými čerpadlami prekonal nový rekord približne s troma miliónmi predaných jednotiek (+37 %)</w:t>
      </w:r>
      <w:r w:rsidRPr="008854EA">
        <w:rPr>
          <w:rStyle w:val="FootnoteReference"/>
          <w:rFonts w:cs="Times New Roman"/>
          <w:noProof/>
          <w:lang w:val="sk-SK"/>
        </w:rPr>
        <w:footnoteReference w:id="22"/>
      </w:r>
      <w:r w:rsidRPr="008854EA">
        <w:rPr>
          <w:noProof/>
          <w:lang w:val="sk-SK"/>
        </w:rPr>
        <w:t>. Napriek pokračujúcej recesii na trhu s automobilmi a vyšším výrobným nákladom dosiahol podiel elektrických vozidiel predaných v Európe v roku 2022 úroveň 21,6 %, a zároveň prudko vzrástla dostupnosť verejne dostupných nabíjačiek o viac ako 50 % v porovnaní s rokom 2021</w:t>
      </w:r>
      <w:r w:rsidRPr="008854EA">
        <w:rPr>
          <w:rStyle w:val="FootnoteReference"/>
          <w:rFonts w:cs="Times New Roman"/>
          <w:noProof/>
          <w:lang w:val="sk-SK"/>
        </w:rPr>
        <w:footnoteReference w:id="23"/>
      </w:r>
      <w:r w:rsidRPr="008854EA">
        <w:rPr>
          <w:noProof/>
          <w:lang w:val="sk-SK"/>
        </w:rPr>
        <w:t>.</w:t>
      </w:r>
    </w:p>
    <w:p w14:paraId="6429C04D" w14:textId="30C34322" w:rsidR="00BC606E" w:rsidRPr="008854EA" w:rsidRDefault="00BC606E" w:rsidP="005C372D">
      <w:pPr>
        <w:pStyle w:val="Body"/>
        <w:pBdr>
          <w:top w:val="single" w:sz="4" w:space="1" w:color="auto"/>
        </w:pBdr>
        <w:rPr>
          <w:noProof/>
          <w:lang w:val="sk-SK"/>
        </w:rPr>
      </w:pPr>
      <w:r w:rsidRPr="008854EA">
        <w:rPr>
          <w:noProof/>
          <w:lang w:val="sk-SK"/>
        </w:rPr>
        <w:t>Na udržanie takéhoto smerovania sú však zásadné opatrenia zo strany členských štátov EÚ. Dňa 15. marca 2023 členské štáty aktualizovali svoje projekcie skleníkových plynov a po prvýkrát zhodnotili pokrok dosiahnutý pri plnení zámerov, cieľov a príspevkov stanovených vo svojich pôvodných integrovaných národných energetických a klimatických plánoch (ďalej len „NEKP“). Existujúce NEKP odrážajú minulé ciele ešte z obdobia, než EÚ zvýšila svoje ambície v oblasti klímy v rámci Európskej zelenej dohody. Toto posúdenie takisto prispieva k dôležitému procesu aktualizácie integrovaných NEKP zo strany členských štátov, ktorá práve prebieha.</w:t>
      </w:r>
    </w:p>
    <w:p w14:paraId="76BBDA30" w14:textId="2D7CE731" w:rsidR="00E31BEE" w:rsidRPr="008854EA" w:rsidRDefault="00E31BEE" w:rsidP="009215E5">
      <w:pPr>
        <w:pStyle w:val="Caption"/>
        <w:pBdr>
          <w:bottom w:val="single" w:sz="4" w:space="1" w:color="auto"/>
        </w:pBdr>
        <w:spacing w:after="0" w:line="240" w:lineRule="auto"/>
        <w:jc w:val="left"/>
        <w:rPr>
          <w:noProof/>
          <w:sz w:val="22"/>
          <w:lang w:val="sk-SK"/>
        </w:rPr>
      </w:pPr>
      <w:bookmarkStart w:id="4" w:name="_Ref136943085"/>
      <w:r w:rsidRPr="008854EA">
        <w:rPr>
          <w:noProof/>
          <w:sz w:val="22"/>
          <w:lang w:val="sk-SK"/>
        </w:rPr>
        <w:t>Graf 3</w:t>
      </w:r>
      <w:bookmarkEnd w:id="4"/>
      <w:r w:rsidRPr="008854EA">
        <w:rPr>
          <w:noProof/>
          <w:lang w:val="sk-SK"/>
        </w:rPr>
        <w:t>:</w:t>
      </w:r>
      <w:r w:rsidRPr="008854EA">
        <w:rPr>
          <w:noProof/>
          <w:sz w:val="22"/>
          <w:lang w:val="sk-SK"/>
        </w:rPr>
        <w:t xml:space="preserve"> Emisie skleníkových plynov a ich odstraňovanie v EÚ podľa sektora, minulých trendov a požadovaného zníženia</w:t>
      </w:r>
      <w:r w:rsidRPr="008854EA">
        <w:rPr>
          <w:noProof/>
          <w:sz w:val="22"/>
          <w:vertAlign w:val="superscript"/>
          <w:lang w:val="sk-SK"/>
        </w:rPr>
        <w:footnoteReference w:id="24"/>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4287"/>
        <w:gridCol w:w="136"/>
        <w:gridCol w:w="4169"/>
      </w:tblGrid>
      <w:tr w:rsidR="000A3A3F" w:rsidRPr="008854EA" w14:paraId="35D99EF8" w14:textId="77777777" w:rsidTr="0045408A">
        <w:trPr>
          <w:gridBefore w:val="1"/>
          <w:wBefore w:w="344" w:type="dxa"/>
          <w:trHeight w:val="246"/>
        </w:trPr>
        <w:tc>
          <w:tcPr>
            <w:tcW w:w="2848" w:type="dxa"/>
          </w:tcPr>
          <w:p w14:paraId="1FAE636B" w14:textId="36A87966" w:rsidR="00E31BEE" w:rsidRPr="008854EA" w:rsidRDefault="003D1389" w:rsidP="00FC088C">
            <w:pPr>
              <w:pStyle w:val="ListParagraph"/>
              <w:ind w:left="0"/>
              <w:jc w:val="center"/>
              <w:rPr>
                <w:rFonts w:cstheme="minorHAnsi"/>
                <w:i/>
                <w:noProof/>
                <w:color w:val="44546A" w:themeColor="text2"/>
                <w:sz w:val="18"/>
                <w:lang w:val="sk-SK"/>
              </w:rPr>
            </w:pPr>
            <w:r w:rsidRPr="008854EA">
              <w:rPr>
                <w:b/>
                <w:i/>
                <w:noProof/>
                <w:color w:val="44546A" w:themeColor="text2"/>
                <w:sz w:val="18"/>
                <w:lang w:val="sk-SK"/>
              </w:rPr>
              <w:t>Graf 3.a</w:t>
            </w:r>
          </w:p>
        </w:tc>
        <w:tc>
          <w:tcPr>
            <w:tcW w:w="4788" w:type="dxa"/>
            <w:gridSpan w:val="2"/>
          </w:tcPr>
          <w:p w14:paraId="0028BCA4" w14:textId="4261FCAA" w:rsidR="00E31BEE" w:rsidRPr="008854EA" w:rsidRDefault="003D1389" w:rsidP="00FC088C">
            <w:pPr>
              <w:pStyle w:val="ListParagraph"/>
              <w:ind w:left="0"/>
              <w:jc w:val="center"/>
              <w:rPr>
                <w:rFonts w:cstheme="minorHAnsi"/>
                <w:i/>
                <w:noProof/>
                <w:color w:val="44546A" w:themeColor="text2"/>
                <w:sz w:val="18"/>
                <w:lang w:val="sk-SK"/>
              </w:rPr>
            </w:pPr>
            <w:r w:rsidRPr="008854EA">
              <w:rPr>
                <w:b/>
                <w:i/>
                <w:noProof/>
                <w:color w:val="44546A" w:themeColor="text2"/>
                <w:sz w:val="18"/>
                <w:lang w:val="sk-SK"/>
              </w:rPr>
              <w:t>Graf 3</w:t>
            </w:r>
            <w:r w:rsidR="00102234" w:rsidRPr="008854EA">
              <w:rPr>
                <w:b/>
                <w:i/>
                <w:noProof/>
                <w:color w:val="44546A" w:themeColor="text2"/>
                <w:sz w:val="18"/>
                <w:lang w:val="sk-SK"/>
              </w:rPr>
              <w:t>.</w:t>
            </w:r>
            <w:r w:rsidRPr="008854EA">
              <w:rPr>
                <w:b/>
                <w:i/>
                <w:noProof/>
                <w:color w:val="44546A" w:themeColor="text2"/>
                <w:sz w:val="18"/>
                <w:lang w:val="sk-SK"/>
              </w:rPr>
              <w:t>b</w:t>
            </w:r>
          </w:p>
        </w:tc>
      </w:tr>
      <w:tr w:rsidR="000A3A3F" w:rsidRPr="008854EA" w14:paraId="4967C248" w14:textId="77777777" w:rsidTr="0045408A">
        <w:trPr>
          <w:trHeight w:val="3422"/>
        </w:trPr>
        <w:tc>
          <w:tcPr>
            <w:tcW w:w="3289" w:type="dxa"/>
            <w:gridSpan w:val="3"/>
          </w:tcPr>
          <w:p w14:paraId="78B45D31" w14:textId="334E7193" w:rsidR="00E31BEE" w:rsidRPr="008854EA" w:rsidRDefault="000A3A3F" w:rsidP="00FC088C">
            <w:pPr>
              <w:pStyle w:val="ListParagraph"/>
              <w:ind w:left="0" w:hanging="251"/>
              <w:jc w:val="center"/>
              <w:rPr>
                <w:rFonts w:cstheme="minorHAnsi"/>
                <w:noProof/>
                <w:lang w:val="sk-SK"/>
              </w:rPr>
            </w:pPr>
            <w:r w:rsidRPr="008854EA">
              <w:rPr>
                <w:rFonts w:cstheme="minorHAnsi"/>
                <w:noProof/>
                <w:lang w:val="en-GB" w:eastAsia="en-GB"/>
              </w:rPr>
              <w:drawing>
                <wp:inline distT="0" distB="0" distL="0" distR="0" wp14:anchorId="41347AE9" wp14:editId="06AFFF36">
                  <wp:extent cx="3198196" cy="2047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7381" cy="2060160"/>
                          </a:xfrm>
                          <a:prstGeom prst="rect">
                            <a:avLst/>
                          </a:prstGeom>
                          <a:noFill/>
                          <a:ln>
                            <a:noFill/>
                          </a:ln>
                        </pic:spPr>
                      </pic:pic>
                    </a:graphicData>
                  </a:graphic>
                </wp:inline>
              </w:drawing>
            </w:r>
          </w:p>
        </w:tc>
        <w:tc>
          <w:tcPr>
            <w:tcW w:w="4691" w:type="dxa"/>
          </w:tcPr>
          <w:p w14:paraId="3A682BDE" w14:textId="6139DF2B" w:rsidR="00E31BEE" w:rsidRPr="008854EA" w:rsidRDefault="000A3A3F" w:rsidP="00FC088C">
            <w:pPr>
              <w:pStyle w:val="ListParagraph"/>
              <w:ind w:left="0"/>
              <w:rPr>
                <w:rFonts w:cstheme="minorHAnsi"/>
                <w:noProof/>
                <w:lang w:val="sk-SK"/>
              </w:rPr>
            </w:pPr>
            <w:r w:rsidRPr="008854EA">
              <w:rPr>
                <w:rFonts w:cstheme="minorHAnsi"/>
                <w:noProof/>
                <w:lang w:val="en-GB" w:eastAsia="en-GB"/>
              </w:rPr>
              <w:drawing>
                <wp:inline distT="0" distB="0" distL="0" distR="0" wp14:anchorId="7FC4078B" wp14:editId="5CD2F478">
                  <wp:extent cx="2589616" cy="2000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182" cy="2018452"/>
                          </a:xfrm>
                          <a:prstGeom prst="rect">
                            <a:avLst/>
                          </a:prstGeom>
                          <a:noFill/>
                          <a:ln>
                            <a:noFill/>
                          </a:ln>
                        </pic:spPr>
                      </pic:pic>
                    </a:graphicData>
                  </a:graphic>
                </wp:inline>
              </w:drawing>
            </w:r>
          </w:p>
        </w:tc>
      </w:tr>
    </w:tbl>
    <w:p w14:paraId="0F97E8FA" w14:textId="77777777" w:rsidR="009215E5" w:rsidRPr="008854EA" w:rsidRDefault="009215E5" w:rsidP="009215E5">
      <w:pPr>
        <w:pStyle w:val="Body"/>
        <w:pBdr>
          <w:top w:val="single" w:sz="4" w:space="1" w:color="auto"/>
        </w:pBdr>
        <w:rPr>
          <w:noProof/>
          <w:lang w:val="sk-SK"/>
        </w:rPr>
      </w:pPr>
    </w:p>
    <w:p w14:paraId="1999245E" w14:textId="7FCDA74B" w:rsidR="00E31BEE" w:rsidRPr="008854EA" w:rsidRDefault="00E31BEE" w:rsidP="009215E5">
      <w:pPr>
        <w:pStyle w:val="Body"/>
        <w:pBdr>
          <w:top w:val="single" w:sz="4" w:space="1" w:color="auto"/>
        </w:pBdr>
        <w:rPr>
          <w:noProof/>
          <w:lang w:val="sk-SK"/>
        </w:rPr>
      </w:pPr>
      <w:r w:rsidRPr="008854EA">
        <w:rPr>
          <w:noProof/>
          <w:lang w:val="sk-SK"/>
        </w:rPr>
        <w:t>V správach o pokroku NEKP z roku 2023 si viac ako polovica členských štátov stanovila v súlade so svojimi národnými dlhodobými stratégiami za cieľ dosiahnuť do roku 2050 alebo skôr klimatickú neutralitu. Väčšina členských štátov takisto uviedla kvantitatívne národné ciele v oblasti skleníkových plynov do roku 2050</w:t>
      </w:r>
      <w:r w:rsidRPr="008854EA">
        <w:rPr>
          <w:rStyle w:val="FootnoteReference"/>
          <w:rFonts w:cs="Times New Roman"/>
          <w:noProof/>
          <w:lang w:val="sk-SK"/>
        </w:rPr>
        <w:footnoteReference w:id="25"/>
      </w:r>
      <w:r w:rsidRPr="008854EA">
        <w:rPr>
          <w:noProof/>
          <w:lang w:val="sk-SK"/>
        </w:rPr>
        <w:t>. Po ich zhrnutí pre EÚ27 sa v národných cieľoch v oblasti skleníkových plynov predložených členskými štátmi pri rôznych predkladaniach správ</w:t>
      </w:r>
      <w:r w:rsidRPr="008854EA">
        <w:rPr>
          <w:rStyle w:val="FootnoteReference"/>
          <w:rFonts w:cs="Times New Roman"/>
          <w:noProof/>
          <w:lang w:val="sk-SK"/>
        </w:rPr>
        <w:footnoteReference w:id="26"/>
      </w:r>
      <w:r w:rsidRPr="008854EA">
        <w:rPr>
          <w:noProof/>
          <w:lang w:val="sk-SK"/>
        </w:rPr>
        <w:t xml:space="preserve"> naznačujú isté medzery, pokiaľ ide o ciele EÚ (t. j. medzera vo výške približne 3 % v porovnaní s cieľom zníženia skleníkových plynov o 55 % do roku 2030 a medzera vo výške 8 %, pokiaľ ide o nulovú bilanciu emisií skleníkových plynov do roku 2050), hoci sa v nich odráža vôľa splniť ciele stanovené na úrovni EÚ (pozri graf 2.b)</w:t>
      </w:r>
      <w:r w:rsidRPr="008854EA">
        <w:rPr>
          <w:rStyle w:val="FootnoteReference"/>
          <w:noProof/>
          <w:lang w:val="sk-SK"/>
        </w:rPr>
        <w:footnoteReference w:id="27"/>
      </w:r>
      <w:r w:rsidRPr="008854EA">
        <w:rPr>
          <w:noProof/>
          <w:lang w:val="sk-SK"/>
        </w:rPr>
        <w:t xml:space="preserve"> </w:t>
      </w:r>
    </w:p>
    <w:p w14:paraId="124B4513" w14:textId="269711B9" w:rsidR="00BC606E" w:rsidRPr="008854EA" w:rsidRDefault="00BC606E" w:rsidP="009215E5">
      <w:pPr>
        <w:pStyle w:val="Body"/>
        <w:pBdr>
          <w:top w:val="single" w:sz="4" w:space="1" w:color="auto"/>
        </w:pBdr>
        <w:rPr>
          <w:noProof/>
          <w:lang w:val="sk-SK"/>
        </w:rPr>
      </w:pPr>
      <w:r w:rsidRPr="008854EA">
        <w:rPr>
          <w:noProof/>
          <w:lang w:val="sk-SK"/>
        </w:rPr>
        <w:t>Projekcie členských štátov o emisiách skleníkových plynov poskytujú doplňujúce údaje o očakávanom vývoji v oblasti emisií skleníkových plynov v EÚ. Najnovšie projekcie predložené v marci 2023 ponúkajú jasnejší pohľad na mieru rizika súvisiaceho s nesplnením cieľov EÚ v oblasti klímy zo strany EÚ. S ohľadom na existujúce politické opatrenia sa v súhrnných prognózach na úrovni EÚ naznačuje medzera 15 percentuálnych bodov, pokiaľ ide o cieľ EÚ znížiť do roku 2030 emisie skleníkových plynov o 55 %, a užšia medzera piatich percentuálnych bodov pri zohľadnení dodatočných politických opatrení (graf 2.b). Členské štáty EÚ ešte musia na dosiahnutie klimatickej neutrality do roku 2050 prijať dodatočné zmierňujúce opatrenia s cieľom znížiť emisie približne o 1 600 miliónov ton ekvivalentu CO</w:t>
      </w:r>
      <w:r w:rsidRPr="008854EA">
        <w:rPr>
          <w:noProof/>
          <w:vertAlign w:val="subscript"/>
          <w:lang w:val="sk-SK"/>
        </w:rPr>
        <w:t>2</w:t>
      </w:r>
      <w:r w:rsidRPr="008854EA">
        <w:rPr>
          <w:noProof/>
          <w:lang w:val="sk-SK"/>
        </w:rPr>
        <w:t xml:space="preserve"> (alebo 34 percentuálnych bodov).</w:t>
      </w:r>
    </w:p>
    <w:p w14:paraId="51570442" w14:textId="6CA5AF5C" w:rsidR="00BC606E" w:rsidRPr="008854EA" w:rsidRDefault="00BC606E" w:rsidP="009215E5">
      <w:pPr>
        <w:pStyle w:val="Body"/>
        <w:pBdr>
          <w:top w:val="single" w:sz="4" w:space="1" w:color="auto"/>
        </w:pBdr>
        <w:rPr>
          <w:noProof/>
          <w:lang w:val="sk-SK"/>
        </w:rPr>
      </w:pPr>
      <w:r w:rsidRPr="008854EA">
        <w:rPr>
          <w:noProof/>
          <w:lang w:val="sk-SK"/>
        </w:rPr>
        <w:t>Členské štáty EÚ takisto vykázali pokrok v rámci viac ako 3 000 individuálnych politík a opatrení, pričom veľká väčšina sa osobitne zameriavala na znižovanie emisií skleníkových plynov a zvyšovanie odstraňovania uhlíka. Z </w:t>
      </w:r>
      <w:r w:rsidRPr="008854EA">
        <w:rPr>
          <w:i/>
          <w:iCs/>
          <w:noProof/>
          <w:lang w:val="sk-SK"/>
        </w:rPr>
        <w:t xml:space="preserve">nových </w:t>
      </w:r>
      <w:r w:rsidRPr="008854EA">
        <w:rPr>
          <w:noProof/>
          <w:lang w:val="sk-SK"/>
        </w:rPr>
        <w:t>opatrení, ktoré sa osobitne zameriavajú na dekarbonizáciu, sa vykonala približne jedna tretina (t. j. od roku 2022 alebo neskôr). Počet opatrení zameraných na zmiernenie zmeny klímy sa podľa nahlásených údajov v roku 2023 zvýšil v porovnaní s predchádzajúcim cyklom podávania správ o 19 %. Toto je v súlade s ambicióznejším klimatickým cieľom EÚ a odráža prácu na príprave aktualizovaných národných energetických a klimatických plánov, pričom záverečné verzie plánov sú naplánované na jún 2024</w:t>
      </w:r>
      <w:r w:rsidRPr="008854EA">
        <w:rPr>
          <w:rStyle w:val="FootnoteReference"/>
          <w:rFonts w:cs="Times New Roman"/>
          <w:noProof/>
          <w:lang w:val="sk-SK"/>
        </w:rPr>
        <w:footnoteReference w:id="28"/>
      </w:r>
      <w:r w:rsidRPr="008854EA">
        <w:rPr>
          <w:noProof/>
          <w:lang w:val="sk-SK"/>
        </w:rPr>
        <w:t>.</w:t>
      </w:r>
    </w:p>
    <w:p w14:paraId="2314E7BE" w14:textId="3BCFE4E8" w:rsidR="00E31BEE" w:rsidRPr="008854EA" w:rsidRDefault="00E31BEE" w:rsidP="009215E5">
      <w:pPr>
        <w:pStyle w:val="Caption"/>
        <w:spacing w:after="0" w:line="240" w:lineRule="auto"/>
        <w:ind w:left="284"/>
        <w:jc w:val="left"/>
        <w:rPr>
          <w:noProof/>
          <w:sz w:val="22"/>
          <w:lang w:val="sk-SK"/>
        </w:rPr>
      </w:pPr>
      <w:bookmarkStart w:id="5" w:name="_Ref138699916"/>
      <w:r w:rsidRPr="008854EA">
        <w:rPr>
          <w:noProof/>
          <w:sz w:val="22"/>
          <w:lang w:val="sk-SK"/>
        </w:rPr>
        <w:t>Graf 4</w:t>
      </w:r>
      <w:bookmarkEnd w:id="5"/>
      <w:r w:rsidRPr="008854EA">
        <w:rPr>
          <w:noProof/>
          <w:lang w:val="sk-SK"/>
        </w:rPr>
        <w:t>:</w:t>
      </w:r>
      <w:r w:rsidRPr="008854EA">
        <w:rPr>
          <w:noProof/>
          <w:sz w:val="22"/>
          <w:lang w:val="sk-SK"/>
        </w:rPr>
        <w:t xml:space="preserve"> Počet jednotlivých politík a opatrení (rozmer dekarbonizácie) podľa dotknutého sektora a súhrnné nahlásené očakávané úspory emisií a zvýšenie čistého odstraňovania emisií</w:t>
      </w:r>
      <w:r w:rsidRPr="008854EA">
        <w:rPr>
          <w:noProof/>
          <w:sz w:val="22"/>
          <w:vertAlign w:val="superscript"/>
          <w:lang w:val="sk-SK"/>
        </w:rPr>
        <w:footnoteReference w:id="29"/>
      </w:r>
      <w:r w:rsidRPr="008854EA">
        <w:rPr>
          <w:noProof/>
          <w:sz w:val="22"/>
          <w:lang w:val="sk-SK"/>
        </w:rPr>
        <w:t xml:space="preserve"> </w:t>
      </w:r>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448"/>
      </w:tblGrid>
      <w:tr w:rsidR="002959AD" w:rsidRPr="008854EA" w14:paraId="3AD8DB19" w14:textId="77777777" w:rsidTr="009215E5">
        <w:tc>
          <w:tcPr>
            <w:tcW w:w="4194" w:type="dxa"/>
          </w:tcPr>
          <w:p w14:paraId="740B2356" w14:textId="1A4EA1B6" w:rsidR="00E31BEE" w:rsidRPr="008854EA" w:rsidRDefault="003D1389" w:rsidP="009215E5">
            <w:pPr>
              <w:pStyle w:val="ListParagraph"/>
              <w:ind w:left="-294"/>
              <w:jc w:val="center"/>
              <w:rPr>
                <w:rFonts w:cstheme="minorHAnsi"/>
                <w:i/>
                <w:noProof/>
                <w:color w:val="44546A" w:themeColor="text2"/>
                <w:sz w:val="18"/>
                <w:lang w:val="sk-SK"/>
              </w:rPr>
            </w:pPr>
            <w:r w:rsidRPr="008854EA">
              <w:rPr>
                <w:b/>
                <w:i/>
                <w:noProof/>
                <w:color w:val="44546A" w:themeColor="text2"/>
                <w:sz w:val="18"/>
                <w:lang w:val="sk-SK"/>
              </w:rPr>
              <w:t>Graf 4.a</w:t>
            </w:r>
          </w:p>
        </w:tc>
        <w:tc>
          <w:tcPr>
            <w:tcW w:w="4374" w:type="dxa"/>
          </w:tcPr>
          <w:p w14:paraId="6A5786BC" w14:textId="354EB449" w:rsidR="00E31BEE" w:rsidRPr="008854EA" w:rsidRDefault="003D1389" w:rsidP="00FC088C">
            <w:pPr>
              <w:pStyle w:val="ListParagraph"/>
              <w:ind w:left="0"/>
              <w:jc w:val="center"/>
              <w:rPr>
                <w:rFonts w:cstheme="minorHAnsi"/>
                <w:i/>
                <w:noProof/>
                <w:color w:val="44546A" w:themeColor="text2"/>
                <w:sz w:val="18"/>
                <w:lang w:val="sk-SK"/>
              </w:rPr>
            </w:pPr>
            <w:r w:rsidRPr="008854EA">
              <w:rPr>
                <w:b/>
                <w:i/>
                <w:noProof/>
                <w:color w:val="44546A" w:themeColor="text2"/>
                <w:sz w:val="18"/>
                <w:lang w:val="sk-SK"/>
              </w:rPr>
              <w:t>Graf 4</w:t>
            </w:r>
            <w:r w:rsidR="00B205F6" w:rsidRPr="008854EA">
              <w:rPr>
                <w:b/>
                <w:i/>
                <w:noProof/>
                <w:color w:val="44546A" w:themeColor="text2"/>
                <w:sz w:val="18"/>
                <w:lang w:val="sk-SK"/>
              </w:rPr>
              <w:t>.</w:t>
            </w:r>
            <w:r w:rsidRPr="008854EA">
              <w:rPr>
                <w:b/>
                <w:i/>
                <w:noProof/>
                <w:color w:val="44546A" w:themeColor="text2"/>
                <w:sz w:val="18"/>
                <w:lang w:val="sk-SK"/>
              </w:rPr>
              <w:t>b</w:t>
            </w:r>
          </w:p>
        </w:tc>
      </w:tr>
      <w:tr w:rsidR="002959AD" w:rsidRPr="008854EA" w14:paraId="190001BA" w14:textId="77777777" w:rsidTr="009215E5">
        <w:tc>
          <w:tcPr>
            <w:tcW w:w="4194" w:type="dxa"/>
          </w:tcPr>
          <w:p w14:paraId="2C5A3124" w14:textId="56C588F5" w:rsidR="00E31BEE" w:rsidRPr="008854EA" w:rsidRDefault="002959AD" w:rsidP="009215E5">
            <w:pPr>
              <w:pStyle w:val="ListParagraph"/>
              <w:ind w:left="-294"/>
              <w:jc w:val="center"/>
              <w:rPr>
                <w:rFonts w:cstheme="minorHAnsi"/>
                <w:noProof/>
                <w:lang w:val="sk-SK"/>
              </w:rPr>
            </w:pPr>
            <w:r w:rsidRPr="008854EA">
              <w:rPr>
                <w:rFonts w:cstheme="minorHAnsi"/>
                <w:noProof/>
                <w:lang w:val="en-GB" w:eastAsia="en-GB"/>
              </w:rPr>
              <w:drawing>
                <wp:inline distT="0" distB="0" distL="0" distR="0" wp14:anchorId="46FA8A83" wp14:editId="62A0C4D2">
                  <wp:extent cx="2908833" cy="22820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3083" cy="2316739"/>
                          </a:xfrm>
                          <a:prstGeom prst="rect">
                            <a:avLst/>
                          </a:prstGeom>
                          <a:noFill/>
                          <a:ln>
                            <a:noFill/>
                          </a:ln>
                        </pic:spPr>
                      </pic:pic>
                    </a:graphicData>
                  </a:graphic>
                </wp:inline>
              </w:drawing>
            </w:r>
          </w:p>
        </w:tc>
        <w:tc>
          <w:tcPr>
            <w:tcW w:w="4374" w:type="dxa"/>
          </w:tcPr>
          <w:p w14:paraId="1B1BEA80" w14:textId="37D032E9" w:rsidR="00E31BEE" w:rsidRPr="008854EA" w:rsidRDefault="002959AD" w:rsidP="00FC088C">
            <w:pPr>
              <w:pStyle w:val="ListParagraph"/>
              <w:ind w:left="0"/>
              <w:jc w:val="center"/>
              <w:rPr>
                <w:rFonts w:cstheme="minorHAnsi"/>
                <w:noProof/>
                <w:lang w:val="sk-SK"/>
              </w:rPr>
            </w:pPr>
            <w:r w:rsidRPr="008854EA">
              <w:rPr>
                <w:rFonts w:cstheme="minorHAnsi"/>
                <w:noProof/>
                <w:lang w:val="en-GB" w:eastAsia="en-GB"/>
              </w:rPr>
              <w:drawing>
                <wp:inline distT="0" distB="0" distL="0" distR="0" wp14:anchorId="6AE98A7C" wp14:editId="35DD081D">
                  <wp:extent cx="2721787" cy="23572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8561" cy="2371783"/>
                          </a:xfrm>
                          <a:prstGeom prst="rect">
                            <a:avLst/>
                          </a:prstGeom>
                          <a:noFill/>
                          <a:ln>
                            <a:noFill/>
                          </a:ln>
                        </pic:spPr>
                      </pic:pic>
                    </a:graphicData>
                  </a:graphic>
                </wp:inline>
              </w:drawing>
            </w:r>
          </w:p>
        </w:tc>
      </w:tr>
    </w:tbl>
    <w:p w14:paraId="304EEC27" w14:textId="77777777" w:rsidR="00E31BEE" w:rsidRPr="008854EA" w:rsidRDefault="00E31BEE" w:rsidP="00E31BEE">
      <w:pPr>
        <w:spacing w:line="259" w:lineRule="auto"/>
        <w:jc w:val="both"/>
        <w:rPr>
          <w:rFonts w:ascii="Times New Roman" w:hAnsi="Times New Roman" w:cs="Times New Roman"/>
          <w:noProof/>
          <w:lang w:val="sk-SK"/>
        </w:rPr>
      </w:pPr>
    </w:p>
    <w:p w14:paraId="79AE5FFA" w14:textId="54E40D69" w:rsidR="00E31BEE" w:rsidRPr="008854EA" w:rsidRDefault="00E31BEE" w:rsidP="00E31BEE">
      <w:pPr>
        <w:pStyle w:val="Body"/>
        <w:rPr>
          <w:noProof/>
          <w:lang w:val="sk-SK"/>
        </w:rPr>
      </w:pPr>
      <w:r w:rsidRPr="008854EA">
        <w:rPr>
          <w:noProof/>
          <w:lang w:val="sk-SK"/>
        </w:rPr>
        <w:t>Sektory s najväčším počtom opatrení sú sektor dopravy (23 %), spotreby energie (22 %) a dodávok energie (21 %), čo čiastočne odráža výzvy a priority sektorov (graf 4.a). Informácie o očakávaných (</w:t>
      </w:r>
      <w:r w:rsidRPr="008854EA">
        <w:rPr>
          <w:i/>
          <w:iCs/>
          <w:noProof/>
          <w:lang w:val="sk-SK"/>
        </w:rPr>
        <w:t>ex-ante</w:t>
      </w:r>
      <w:r w:rsidRPr="008854EA">
        <w:rPr>
          <w:noProof/>
          <w:lang w:val="sk-SK"/>
        </w:rPr>
        <w:t xml:space="preserve">) úsporách emisií vychádzajúcich z týchto opatrení sú dôležité na posúdenie očakávaného pokroku dosiahnutého vďaka plánovaným a vykonávaným opatreniam. Nanešťastie v roku 2023 nahlásilo kvantitatívne </w:t>
      </w:r>
      <w:r w:rsidRPr="008854EA">
        <w:rPr>
          <w:i/>
          <w:iCs/>
          <w:noProof/>
          <w:lang w:val="sk-SK"/>
        </w:rPr>
        <w:t xml:space="preserve">ex ante </w:t>
      </w:r>
      <w:r w:rsidRPr="008854EA">
        <w:rPr>
          <w:noProof/>
          <w:lang w:val="sk-SK"/>
        </w:rPr>
        <w:t xml:space="preserve">úspory aspoň na jeden rok a v rámci jedného opatrenia len 18 členských štátov. To je menej ako v roku 2021, a preto je vypracovanie súhrnného posúdenia výnimočne náročné (graf 4.b). Opäť sa tým zdôrazňuje, že je potrebné, aby členské štáty posilnili svoju činnosť s cieľom systematickejšie posúdiť účinky vykonávaných politík, a to </w:t>
      </w:r>
      <w:r w:rsidRPr="008854EA">
        <w:rPr>
          <w:i/>
          <w:iCs/>
          <w:noProof/>
          <w:lang w:val="sk-SK"/>
        </w:rPr>
        <w:t>ex ante</w:t>
      </w:r>
      <w:r w:rsidRPr="008854EA">
        <w:rPr>
          <w:noProof/>
          <w:lang w:val="sk-SK"/>
        </w:rPr>
        <w:t xml:space="preserve"> aj </w:t>
      </w:r>
      <w:r w:rsidRPr="008854EA">
        <w:rPr>
          <w:i/>
          <w:iCs/>
          <w:noProof/>
          <w:lang w:val="sk-SK"/>
        </w:rPr>
        <w:t>ex post</w:t>
      </w:r>
      <w:r w:rsidRPr="008854EA">
        <w:rPr>
          <w:noProof/>
          <w:lang w:val="sk-SK"/>
        </w:rPr>
        <w:t>.</w:t>
      </w:r>
    </w:p>
    <w:p w14:paraId="31A5014B" w14:textId="456DC5AD" w:rsidR="00E31BEE" w:rsidRPr="008854EA" w:rsidRDefault="00E31BEE" w:rsidP="00E31BEE">
      <w:pPr>
        <w:pStyle w:val="Body"/>
        <w:rPr>
          <w:noProof/>
          <w:lang w:val="sk-SK"/>
        </w:rPr>
      </w:pPr>
      <w:r w:rsidRPr="008854EA">
        <w:rPr>
          <w:noProof/>
          <w:lang w:val="sk-SK"/>
        </w:rPr>
        <w:t>Na záver možno zhrnúť, že hoci sa emisie skleníkových plynov podľa väčšiny súčasných údajov znižujú a v teréne možno badať povzbudivé znaky činnosti, pokrok smerom k cieľom EÚ v oblasti klímy sa zdá nedostatočný. Najviac opatrení je potrebných v oblastiach, kde:</w:t>
      </w:r>
    </w:p>
    <w:p w14:paraId="222F5D4F" w14:textId="56390B42" w:rsidR="00E31BEE" w:rsidRPr="008854EA" w:rsidRDefault="00E31BEE" w:rsidP="00E31BEE">
      <w:pPr>
        <w:pStyle w:val="Body"/>
        <w:numPr>
          <w:ilvl w:val="0"/>
          <w:numId w:val="34"/>
        </w:numPr>
        <w:rPr>
          <w:noProof/>
          <w:lang w:val="sk-SK"/>
        </w:rPr>
      </w:pPr>
      <w:r w:rsidRPr="008854EA">
        <w:rPr>
          <w:noProof/>
          <w:lang w:val="sk-SK"/>
        </w:rPr>
        <w:t xml:space="preserve">sa aj naďalej vyžaduje zásadné znižovanie emisií (budovy, doprava), </w:t>
      </w:r>
    </w:p>
    <w:p w14:paraId="0E1B68FC" w14:textId="7DDAA5D8" w:rsidR="00E31BEE" w:rsidRPr="008854EA" w:rsidRDefault="00A50575" w:rsidP="00E31BEE">
      <w:pPr>
        <w:pStyle w:val="Body"/>
        <w:numPr>
          <w:ilvl w:val="0"/>
          <w:numId w:val="34"/>
        </w:numPr>
        <w:rPr>
          <w:noProof/>
          <w:lang w:val="sk-SK"/>
        </w:rPr>
      </w:pPr>
      <w:r w:rsidRPr="008854EA">
        <w:rPr>
          <w:noProof/>
          <w:lang w:val="sk-SK"/>
        </w:rPr>
        <w:t xml:space="preserve">je dosahovanie súčasného pokroku príliš pomalé (poľnohospodárstvo), </w:t>
      </w:r>
    </w:p>
    <w:p w14:paraId="4C973163" w14:textId="61CA7A47" w:rsidR="00E31BEE" w:rsidRPr="008854EA" w:rsidRDefault="00CF383B" w:rsidP="00E31BEE">
      <w:pPr>
        <w:pStyle w:val="Body"/>
        <w:numPr>
          <w:ilvl w:val="0"/>
          <w:numId w:val="34"/>
        </w:numPr>
        <w:rPr>
          <w:noProof/>
          <w:lang w:val="sk-SK"/>
        </w:rPr>
      </w:pPr>
      <w:r w:rsidRPr="008854EA">
        <w:rPr>
          <w:noProof/>
          <w:lang w:val="sk-SK"/>
        </w:rPr>
        <w:t xml:space="preserve">sa čísla nevyvíjajú správnym smerom (využívanie pôdy, zmeny vo využívaní pôdy a lesné hospodárstvo). </w:t>
      </w:r>
    </w:p>
    <w:p w14:paraId="5F4E7263" w14:textId="45BFCD2B" w:rsidR="00E31BEE" w:rsidRPr="008854EA" w:rsidRDefault="00E31BEE" w:rsidP="00E31BEE">
      <w:pPr>
        <w:pStyle w:val="Body"/>
        <w:rPr>
          <w:noProof/>
          <w:lang w:val="sk-SK"/>
        </w:rPr>
      </w:pPr>
      <w:r w:rsidRPr="008854EA">
        <w:rPr>
          <w:noProof/>
          <w:lang w:val="sk-SK"/>
        </w:rPr>
        <w:t>Z posúdenia vyplýva, že ak sa EÚ a jej členské štáty chcú dostať na bezpečnejšiu a istejšiu cestu smerom ku klimatickej neutralite do roku 2050, musia významne zvýšiť tempo zavádzania zmien. Je potrebné v plnej miere prijať legislatívny balík Fit for 55 a všetky jeho časti treba urýchlene zavádzať. Je potrebné podrobnejšie monitorovanie s cieľom posúdiť pokrok, pokiaľ ide o kľúčové faktory podporujúce emisie v rôznych sektoroch, s cieľom lepšie poukázať na oblasti, v ktorých chýba pokrok alebo v ktorých je potrebných viac opatrení.</w:t>
      </w:r>
    </w:p>
    <w:p w14:paraId="5F872E7C" w14:textId="77777777" w:rsidR="00E31BEE" w:rsidRPr="008854EA" w:rsidRDefault="00E31BEE" w:rsidP="00E31BEE">
      <w:pPr>
        <w:pStyle w:val="Heading2"/>
        <w:ind w:left="576"/>
        <w:rPr>
          <w:rFonts w:ascii="Times New Roman" w:hAnsi="Times New Roman" w:cs="Times New Roman"/>
          <w:noProof/>
          <w:lang w:val="sk-SK"/>
        </w:rPr>
      </w:pPr>
      <w:r w:rsidRPr="008854EA">
        <w:rPr>
          <w:rFonts w:ascii="Times New Roman" w:hAnsi="Times New Roman"/>
          <w:noProof/>
          <w:lang w:val="sk-SK"/>
        </w:rPr>
        <w:t xml:space="preserve">Pokrok opatrení EÚ v oblasti klímy </w:t>
      </w:r>
    </w:p>
    <w:p w14:paraId="3357CA22" w14:textId="320ADF3D" w:rsidR="008A51FB" w:rsidRPr="008854EA" w:rsidRDefault="00E31BEE" w:rsidP="00E31BEE">
      <w:pPr>
        <w:pStyle w:val="Body"/>
        <w:rPr>
          <w:noProof/>
          <w:color w:val="000000" w:themeColor="text1"/>
          <w:lang w:val="sk-SK"/>
        </w:rPr>
      </w:pPr>
      <w:r w:rsidRPr="008854EA">
        <w:rPr>
          <w:noProof/>
          <w:color w:val="000000" w:themeColor="text1"/>
          <w:lang w:val="sk-SK"/>
        </w:rPr>
        <w:t>V balíku Fit for 55 sa EÚ stavia na cestu k dosiahnutiu svojich cieľov v oblasti klímy spravodlivým, nákladovo efektívnym a konkurencieschopným spôsobom. Spoluzákonodarcovia prijali väčšinu kľúčových návrhov v balíku</w:t>
      </w:r>
      <w:r w:rsidRPr="008854EA">
        <w:rPr>
          <w:noProof/>
          <w:color w:val="000000" w:themeColor="text1"/>
          <w:vertAlign w:val="superscript"/>
          <w:lang w:val="sk-SK"/>
        </w:rPr>
        <w:footnoteReference w:id="30"/>
      </w:r>
      <w:r w:rsidRPr="008854EA">
        <w:rPr>
          <w:noProof/>
          <w:color w:val="000000" w:themeColor="text1"/>
          <w:lang w:val="sk-SK"/>
        </w:rPr>
        <w:t xml:space="preserve"> a politiky EÚ sú teraz zosúladené s aktualizovaným cieľom na rok 2030 stanoveným v európskom právnom predpise v oblasti klímy. </w:t>
      </w:r>
      <w:r w:rsidRPr="008854EA">
        <w:rPr>
          <w:noProof/>
          <w:lang w:val="sk-SK"/>
        </w:rPr>
        <w:t>Vykonávaním nových právnych predpisov v rámci balíka Fit for 55</w:t>
      </w:r>
      <w:r w:rsidRPr="008854EA">
        <w:rPr>
          <w:noProof/>
          <w:color w:val="000000" w:themeColor="text1"/>
          <w:vertAlign w:val="superscript"/>
          <w:lang w:val="sk-SK"/>
        </w:rPr>
        <w:footnoteReference w:id="31"/>
      </w:r>
      <w:r w:rsidRPr="008854EA">
        <w:rPr>
          <w:noProof/>
          <w:lang w:val="sk-SK"/>
        </w:rPr>
        <w:t xml:space="preserve"> sa EÚ a jej členským štátom umožní znížiť do roku 2030</w:t>
      </w:r>
      <w:r w:rsidRPr="008854EA">
        <w:rPr>
          <w:noProof/>
          <w:color w:val="000000" w:themeColor="text1"/>
          <w:vertAlign w:val="superscript"/>
          <w:lang w:val="sk-SK"/>
        </w:rPr>
        <w:footnoteReference w:id="32"/>
      </w:r>
      <w:r w:rsidRPr="008854EA">
        <w:rPr>
          <w:noProof/>
          <w:lang w:val="sk-SK"/>
        </w:rPr>
        <w:t xml:space="preserve"> čisté </w:t>
      </w:r>
      <w:bookmarkStart w:id="6" w:name="_Hlk141433980"/>
      <w:r w:rsidRPr="008854EA">
        <w:rPr>
          <w:noProof/>
          <w:lang w:val="sk-SK"/>
        </w:rPr>
        <w:t>emisie skleníkových plynov aspoň o 55 %</w:t>
      </w:r>
      <w:bookmarkEnd w:id="6"/>
      <w:r w:rsidRPr="008854EA">
        <w:rPr>
          <w:noProof/>
          <w:lang w:val="sk-SK"/>
        </w:rPr>
        <w:t xml:space="preserve"> v porovnaní s úrovňami v roku 1990 (pozri tabuľku 1 pracovného dokumentu útvarov Komisie – Technické informácie).</w:t>
      </w:r>
    </w:p>
    <w:p w14:paraId="7AD00FB7" w14:textId="7E88A367" w:rsidR="00515A65" w:rsidRPr="008854EA" w:rsidRDefault="00E31BEE" w:rsidP="00E31BEE">
      <w:pPr>
        <w:pStyle w:val="Body"/>
        <w:rPr>
          <w:noProof/>
          <w:color w:val="000000" w:themeColor="text1"/>
          <w:lang w:val="sk-SK"/>
        </w:rPr>
      </w:pPr>
      <w:r w:rsidRPr="008854EA">
        <w:rPr>
          <w:noProof/>
          <w:color w:val="000000" w:themeColor="text1"/>
          <w:lang w:val="sk-SK"/>
        </w:rPr>
        <w:t>Revidovanou smernicou o ETS sa zvyšuje úroveň ambícií v rámci existujúceho systému zo zníženia emisií o 43 % na 62 % do roku 2030 v porovnaní s úrovňami v roku 2005 a rozširuje sa systém tak, aby sa vzťahoval aj na medzinárodnú námornú dopravu. Na spaľovanie paliva v sektoroch cestnej dopravy, budov a sektoroch s nízkym množstvom emisií sa bude uplatňovať samostatný systém stanovovania cien uhlíka</w:t>
      </w:r>
      <w:r w:rsidRPr="008854EA">
        <w:rPr>
          <w:noProof/>
          <w:color w:val="000000" w:themeColor="text1"/>
          <w:vertAlign w:val="superscript"/>
          <w:lang w:val="sk-SK"/>
        </w:rPr>
        <w:footnoteReference w:id="33"/>
      </w:r>
      <w:r w:rsidRPr="008854EA">
        <w:rPr>
          <w:noProof/>
          <w:color w:val="000000" w:themeColor="text1"/>
          <w:lang w:val="sk-SK"/>
        </w:rPr>
        <w:t xml:space="preserve"> (ETS2), pričom cieľom bude dosiahnuť v rámci všetkých dotknutých sektorov zníženie emisií o 42 % v porovnaní s rokom 2005. V zmenenom nariadení o spoločnom úsilí (ďalej len „ESR“) sa pre sektory, na ktoré sa vzťahuje, zvýšil cieľ zníženia emisií skleníkových plynov na úrovni EÚ z 29 % na 40 % do roku 2030 v porovnaní s rokom 2005, čo znamená, že každý členský štát si aktualizoval ciele na rok 2030. V novom nariadení LULUCF sa stanovuje celkový cieľ na rok 2030 na úrovni EÚ týkajúci sa čistých odstránených emisií v sektore LULUCF, ktorý predstavuje 310 miliónov ton ekvivalentu CO</w:t>
      </w:r>
      <w:r w:rsidRPr="008854EA">
        <w:rPr>
          <w:noProof/>
          <w:color w:val="000000" w:themeColor="text1"/>
          <w:vertAlign w:val="subscript"/>
          <w:lang w:val="sk-SK"/>
        </w:rPr>
        <w:t>2</w:t>
      </w:r>
      <w:r w:rsidRPr="008854EA">
        <w:rPr>
          <w:noProof/>
          <w:color w:val="000000" w:themeColor="text1"/>
          <w:lang w:val="sk-SK"/>
        </w:rPr>
        <w:t xml:space="preserve">. </w:t>
      </w:r>
    </w:p>
    <w:p w14:paraId="600F21D0" w14:textId="71C73627" w:rsidR="00E31BEE" w:rsidRPr="008854EA" w:rsidRDefault="00772183" w:rsidP="00E31BEE">
      <w:pPr>
        <w:pStyle w:val="Body"/>
        <w:rPr>
          <w:noProof/>
          <w:color w:val="000000" w:themeColor="text1"/>
          <w:lang w:val="sk-SK"/>
        </w:rPr>
      </w:pPr>
      <w:r w:rsidRPr="008854EA">
        <w:rPr>
          <w:noProof/>
          <w:color w:val="000000" w:themeColor="text1"/>
          <w:lang w:val="sk-SK"/>
        </w:rPr>
        <w:t>S cieľom zabezpečiť spravodlivý prechod na klimatickú neutralitu vytvorila EÚ nový fond, Sociálno-klimatický fond, ktorý bude pridružený k novému systému ETS2, a ktorý sa zameria na vplyv stanovovania cien uhlíka na nové sektory a poskytne podporu zraniteľným domácnostiam, mikropodnikom a používateľom dopravy. Spolu s Fondom na spravodlivú transformáciu podporujúcim územia najviac ovplyvnené transformáciou (pozri kapitolu 6) zabezpečia, aby sa na nikoho nezabudlo.</w:t>
      </w:r>
      <w:r w:rsidRPr="008854EA">
        <w:rPr>
          <w:noProof/>
          <w:lang w:val="sk-SK"/>
        </w:rPr>
        <w:t xml:space="preserve"> </w:t>
      </w:r>
      <w:r w:rsidRPr="008854EA">
        <w:rPr>
          <w:noProof/>
          <w:color w:val="000000" w:themeColor="text1"/>
          <w:lang w:val="sk-SK"/>
        </w:rPr>
        <w:t>Prostredníctvom najnovších legislatívnych iniciatív súvisiacich s trhom s elektrinou sa takisto posilní postavenie spotrebiteľov energie. Komisia v rámci aktu o emisne neutrálnom priemysle podporí zriadenie špecializovaných akadémií pre zvyšovanie úrovne zručností a získavanie nových zručností v tejto oblasti.</w:t>
      </w:r>
    </w:p>
    <w:p w14:paraId="3F910F70" w14:textId="74041B0B" w:rsidR="00E31BEE" w:rsidRPr="008854EA" w:rsidRDefault="00E31BEE">
      <w:pPr>
        <w:pStyle w:val="Body"/>
        <w:rPr>
          <w:noProof/>
          <w:highlight w:val="green"/>
          <w:lang w:val="sk-SK"/>
        </w:rPr>
      </w:pPr>
      <w:r w:rsidRPr="008854EA">
        <w:rPr>
          <w:noProof/>
          <w:color w:val="000000" w:themeColor="text1"/>
          <w:lang w:val="sk-SK"/>
        </w:rPr>
        <w:t>V rokoch 2022 a 2023 Komisia prijala dodatočné návrhy na urýchlenie prechodu ku klimatickej neutralite.</w:t>
      </w:r>
      <w:r w:rsidRPr="008854EA">
        <w:rPr>
          <w:b/>
          <w:noProof/>
          <w:color w:val="000000" w:themeColor="text1"/>
          <w:lang w:val="sk-SK"/>
        </w:rPr>
        <w:t xml:space="preserve"> </w:t>
      </w:r>
      <w:r w:rsidRPr="008854EA">
        <w:rPr>
          <w:noProof/>
          <w:color w:val="000000" w:themeColor="text1"/>
          <w:lang w:val="sk-SK"/>
        </w:rPr>
        <w:t>Zákonodarné orgány napríklad dosiahli predbežnú dohodu o revidovanom nariadení o fluórovaných skleníkových plynoch, prostredníctvom ktorej sa ďalšej znížia emisie z týchto veľmi silných skleníkových plynov. Komisia navrhla ambicióznejšie ciele znižovania emisií pre ťažké úžitkové vozidlá.</w:t>
      </w:r>
      <w:r w:rsidRPr="008854EA">
        <w:rPr>
          <w:b/>
          <w:noProof/>
          <w:color w:val="000000" w:themeColor="text1"/>
          <w:lang w:val="sk-SK"/>
        </w:rPr>
        <w:t xml:space="preserve"> </w:t>
      </w:r>
      <w:r w:rsidRPr="008854EA">
        <w:rPr>
          <w:noProof/>
          <w:color w:val="000000" w:themeColor="text1"/>
          <w:lang w:val="sk-SK"/>
        </w:rPr>
        <w:t xml:space="preserve">Komisia takisto predložila plán REPowerEU so špecifickými opatreniami na zníženie energetickej závislosti EÚ od ruských fosílnych palív a nové opatrenia na zrýchlenie realizácie Európskej zelenej dohody, vychádzajúc z balíka Fit for 55. </w:t>
      </w:r>
      <w:r w:rsidRPr="008854EA">
        <w:rPr>
          <w:noProof/>
          <w:lang w:val="sk-SK"/>
        </w:rPr>
        <w:t xml:space="preserve">Komisia s cieľom posilniť konkurencieschopnosť emisne neutrálneho priemyslu Európy a podporiť inovácie, najmä v rámci zelených technológií, predložila Priemyselný plán Zelenej dohody. </w:t>
      </w:r>
      <w:r w:rsidRPr="008854EA">
        <w:rPr>
          <w:noProof/>
          <w:color w:val="000000" w:themeColor="text1"/>
          <w:lang w:val="sk-SK"/>
        </w:rPr>
        <w:t>V kapitole 2 pracovného dokumentu útvarov Komisie – Technické informácie sa uvádza prehľad nedávno prijatej politiky prispievajúcej k zosúladeniu politík na úrovni EÚ s cieľmi v oblasti klímy.</w:t>
      </w:r>
    </w:p>
    <w:p w14:paraId="0F2A73B9" w14:textId="0AEB9EB6" w:rsidR="00E31BEE" w:rsidRPr="008854EA" w:rsidRDefault="00E31BEE" w:rsidP="00E31BEE">
      <w:pPr>
        <w:pStyle w:val="Body"/>
        <w:rPr>
          <w:noProof/>
          <w:color w:val="000000" w:themeColor="text1"/>
          <w:lang w:val="sk-SK"/>
        </w:rPr>
      </w:pPr>
      <w:r w:rsidRPr="008854EA">
        <w:rPr>
          <w:noProof/>
          <w:color w:val="000000" w:themeColor="text1"/>
          <w:lang w:val="sk-SK"/>
        </w:rPr>
        <w:t>V novembri 2021 Komisia zaktualizovala svoje nástroje pre lepšiu právnu reguláciu s cieľom zabezpečiť, aby nové politiky EÚ boli v súlade s cieľmi v oblasti klímy. Všetky navrhované opatrenia EÚ by sa teraz mali v rámci procesu posudzovania vplyvu posudzovať z pohľadu ich súladu s cieľmi v oblasti klímy, s cieľom klimatickej neutrality a cieľom zabezpečenia pokroku pri adaptácii, a to v súlade s Európskym právnym predpisom v oblasti klímy (kontrola súladu v oblasti klímy). Pri vykonávaní tejto kontroly sa dosiahol dobrý pokrok. Od začiatku roka 2022 sa pre toto posúdenie považovalo za relevantných 27 posúdení vplyvu (z 57 posúdení vplyvu, ktoré kontroloval výbor pre kontrolu regulácie</w:t>
      </w:r>
      <w:r w:rsidRPr="008854EA">
        <w:rPr>
          <w:noProof/>
          <w:vertAlign w:val="superscript"/>
          <w:lang w:val="sk-SK"/>
        </w:rPr>
        <w:footnoteReference w:id="34"/>
      </w:r>
      <w:r w:rsidRPr="008854EA">
        <w:rPr>
          <w:noProof/>
          <w:color w:val="000000" w:themeColor="text1"/>
          <w:lang w:val="sk-SK"/>
        </w:rPr>
        <w:t>) pričom sa ukázalo, že v 20 posúdeniach vplyvu sa dostatočne posúdil súlad iniciatívy s cieľmi v oblasti klímy, zatiaľ čo v siedmich posúdeniach vplyvu sa klimatické aspekty neposúdili dostatočne. To predstavuje takmer 75 % relevantných prípadov a odráža skutočnosť, že ide o novú požiadavku. S viacerými skúsenosťami pri vykonávaní kontroly súladu v oblasti klímy by sa mohol súlad s touto novou požiadavkou o posúdení vplyvu ďalej zlepšiť.</w:t>
      </w:r>
    </w:p>
    <w:p w14:paraId="3B53E789" w14:textId="7DC63EB2" w:rsidR="00A8242A" w:rsidRPr="008854EA" w:rsidRDefault="00E31BEE" w:rsidP="00E31BEE">
      <w:pPr>
        <w:pStyle w:val="Body"/>
        <w:rPr>
          <w:noProof/>
          <w:lang w:val="sk-SK"/>
        </w:rPr>
      </w:pPr>
      <w:r w:rsidRPr="008854EA">
        <w:rPr>
          <w:noProof/>
          <w:color w:val="000000" w:themeColor="text1"/>
          <w:lang w:val="sk-SK"/>
        </w:rPr>
        <w:t xml:space="preserve">Hoci sa dosiahli pokroky na zabezpečenie toho, aby politiky EÚ dostali EÚ na cestu ku emisne neutrálnemu hospodárstvu, nedávny vývoj v oblasti emisií v sektore dopravy a veľmi pomalé tempo znižovania emisií v poľnohospodárstve spolu s poklesom záchytu uhlíka vzbudzujú obavy (pozri kapitolu 3 a 4). </w:t>
      </w:r>
      <w:r w:rsidRPr="008854EA">
        <w:rPr>
          <w:noProof/>
          <w:lang w:val="sk-SK"/>
        </w:rPr>
        <w:t xml:space="preserve">Napriek pokroku v oblasti zeleného financovania zo súkromných zdrojov sú potrebné významné dodatočné investície na financovanie zelenej transformácie. To si vyžaduje opatrenia, najmä presmerovanie financií s cieľom umožniť transformáciu „hnedých“ sektorov (pozri kapitolu 6). </w:t>
      </w:r>
    </w:p>
    <w:p w14:paraId="6AA642E4" w14:textId="22871F65" w:rsidR="00E31BEE" w:rsidRPr="008854EA" w:rsidRDefault="00092F6A" w:rsidP="00E31BEE">
      <w:pPr>
        <w:pStyle w:val="Body"/>
        <w:rPr>
          <w:i/>
          <w:noProof/>
          <w:color w:val="000000" w:themeColor="text1"/>
          <w:lang w:val="sk-SK"/>
        </w:rPr>
      </w:pPr>
      <w:r w:rsidRPr="008854EA">
        <w:rPr>
          <w:noProof/>
          <w:lang w:val="sk-SK"/>
        </w:rPr>
        <w:t xml:space="preserve">Ako sa vyžaduje v európskom právnom predpise v oblasti klímy, </w:t>
      </w:r>
      <w:r w:rsidRPr="008854EA">
        <w:rPr>
          <w:noProof/>
          <w:color w:val="000000" w:themeColor="text1"/>
          <w:lang w:val="sk-SK"/>
        </w:rPr>
        <w:t>Komisia uverejní oznámenie o plnení cieľa EÚ v oblasti klímy do roku 2040 začiatkom roka 2024, v ktorom sa stanoví postup z už odsúhlaseného priebežného cieľa do roku 2030 na nulovú bilanciu emisií do roku 2050. Takisto sa v ňom poskytnú informácie potrebné na zabezpečenie toho, aby opatrenia a investície na vykonávanie cieľov EÚ do roku 2030 boli takisto dobre zosúladené s postupmi na dosiahnutie klimatickej neutrality do roku 2050. Cieľom do roka 2040 sa zabezpečí predvídateľnosť a pokrok smerom ku klimatickej neutralite.</w:t>
      </w:r>
    </w:p>
    <w:p w14:paraId="076117FF" w14:textId="697A5631" w:rsidR="00E31BEE" w:rsidRPr="008854EA" w:rsidRDefault="00E31BEE" w:rsidP="00E31BEE">
      <w:pPr>
        <w:pStyle w:val="Body"/>
        <w:rPr>
          <w:noProof/>
          <w:color w:val="000000" w:themeColor="text1"/>
          <w:lang w:val="sk-SK"/>
        </w:rPr>
      </w:pPr>
      <w:bookmarkStart w:id="7" w:name="_Hlk147738815"/>
      <w:r w:rsidRPr="008854EA">
        <w:rPr>
          <w:noProof/>
          <w:color w:val="000000" w:themeColor="text1"/>
          <w:lang w:val="sk-SK"/>
        </w:rPr>
        <w:t>Zmena klímy už teraz ovplyvňuje prírodu a ľudí vo väčšej intenzite, častejšie a v širšej zemepisnej oblasti, ako sa doteraz predpokladalo.</w:t>
      </w:r>
      <w:r w:rsidRPr="008854EA">
        <w:rPr>
          <w:noProof/>
          <w:color w:val="000000" w:themeColor="text1"/>
          <w:vertAlign w:val="superscript"/>
          <w:lang w:val="sk-SK"/>
        </w:rPr>
        <w:footnoteReference w:id="35"/>
      </w:r>
      <w:r w:rsidRPr="008854EA">
        <w:rPr>
          <w:noProof/>
          <w:color w:val="000000" w:themeColor="text1"/>
          <w:lang w:val="sk-SK"/>
        </w:rPr>
        <w:t xml:space="preserve"> Pri posudzovaní klimatických rizík sa dosahuje pokrok. Na jar 2024 sa Komisia v oznámení o riadení klimatických rizík v EÚ vyjadrí k dôkazom poskytnutým vo vedeckej správe európskeho posúdenia klimatických rizík o vývoji klimatických rizík a potrebe ďalších opatrení. Zároveň prebiehajú opatrenia širšieho rozsahu na vykonávanie ďalších aspektov adaptačnej stratégie EÚ z roku 2021 (pozri kapitolu 5). </w:t>
      </w:r>
    </w:p>
    <w:bookmarkEnd w:id="7"/>
    <w:p w14:paraId="32E24C15" w14:textId="1EEA4ACF" w:rsidR="00E31BEE" w:rsidRPr="008854EA" w:rsidRDefault="00E31BEE" w:rsidP="00E31BEE">
      <w:pPr>
        <w:pStyle w:val="Heading2"/>
        <w:ind w:left="576"/>
        <w:rPr>
          <w:rFonts w:ascii="Times New Roman" w:hAnsi="Times New Roman" w:cs="Times New Roman"/>
          <w:noProof/>
          <w:lang w:val="sk-SK"/>
        </w:rPr>
      </w:pPr>
      <w:r w:rsidRPr="008854EA">
        <w:rPr>
          <w:rFonts w:ascii="Times New Roman" w:hAnsi="Times New Roman"/>
          <w:noProof/>
          <w:lang w:val="sk-SK"/>
        </w:rPr>
        <w:t>Pokrok v rámci opatrení v oblasti klímy v členských štátoch EÚ</w:t>
      </w:r>
    </w:p>
    <w:p w14:paraId="2E8D8F2E" w14:textId="5E24EEDD" w:rsidR="00E31BEE" w:rsidRPr="008854EA" w:rsidRDefault="00E31BEE" w:rsidP="00E31BEE">
      <w:pPr>
        <w:pStyle w:val="Body"/>
        <w:rPr>
          <w:noProof/>
          <w:lang w:val="sk-SK"/>
        </w:rPr>
      </w:pPr>
      <w:r w:rsidRPr="008854EA">
        <w:rPr>
          <w:noProof/>
          <w:lang w:val="sk-SK"/>
        </w:rPr>
        <w:t>V ďalšej kapitole správy sa posúdi pokrok dosiahnutý členskými štátmi v osobitných oblastiach politiky. Tento oddiel zahŕňa stručný prehľad vývoja v oblasti emisií skleníkových plynov smerom k cieľom zmiernenia zmeny klímy vrátane cieľa EÚ dosiahnuť do roku 2050 klimatickú neutralitu, pričom vychádza z podrobnej analýzy uvedenej v kapitole 5 pracovného dokumentu útvarov Komisie </w:t>
      </w:r>
      <w:r w:rsidRPr="008854EA">
        <w:rPr>
          <w:noProof/>
          <w:color w:val="000000" w:themeColor="text1"/>
          <w:lang w:val="sk-SK"/>
        </w:rPr>
        <w:t>–</w:t>
      </w:r>
      <w:r w:rsidRPr="008854EA">
        <w:rPr>
          <w:noProof/>
          <w:lang w:val="sk-SK"/>
        </w:rPr>
        <w:t> Technické informácie.</w:t>
      </w:r>
    </w:p>
    <w:p w14:paraId="07BAB17B" w14:textId="1201087E" w:rsidR="00E31BEE" w:rsidRPr="008854EA" w:rsidRDefault="00BB2ECA" w:rsidP="00E31BEE">
      <w:pPr>
        <w:pStyle w:val="Body"/>
        <w:rPr>
          <w:noProof/>
          <w:lang w:val="sk-SK"/>
        </w:rPr>
      </w:pPr>
      <w:r w:rsidRPr="008854EA">
        <w:rPr>
          <w:noProof/>
          <w:lang w:val="sk-SK"/>
        </w:rPr>
        <w:t>Za posledné tri desaťročia EÚ výrazne znížila svoje emisie skleníkových plynov, pričom prekonala svoj záväzok do roku 2020 v rámci UNFCCC</w:t>
      </w:r>
      <w:r w:rsidRPr="008854EA">
        <w:rPr>
          <w:rStyle w:val="FootnoteReference"/>
          <w:noProof/>
          <w:lang w:val="sk-SK"/>
        </w:rPr>
        <w:footnoteReference w:id="36"/>
      </w:r>
      <w:r w:rsidRPr="008854EA">
        <w:rPr>
          <w:noProof/>
          <w:lang w:val="sk-SK"/>
        </w:rPr>
        <w:t xml:space="preserve"> a svoj cieľ v rámci druhého záväzného obdobia Kjótskeho protokolu na roky 2013 – 2020 (KP2)</w:t>
      </w:r>
      <w:r w:rsidRPr="008854EA">
        <w:rPr>
          <w:rStyle w:val="FootnoteReference"/>
          <w:noProof/>
          <w:lang w:val="sk-SK"/>
        </w:rPr>
        <w:footnoteReference w:id="37"/>
      </w:r>
      <w:r w:rsidRPr="008854EA">
        <w:rPr>
          <w:noProof/>
          <w:lang w:val="sk-SK"/>
        </w:rPr>
        <w:t>. Celkové množstvo emisií skleníkových plynov podľa UNFCCC (okrem LULUCF a vrátane medzinárodného letectva) kleslo v porovnaní s rokom 1990 v rámci EÚ27 + Spojeného kráľovstva o 34 %. Ide o zníženie emisií do roku 2020 s objemom 1,94 miliardy ton ekvivalentu CO</w:t>
      </w:r>
      <w:r w:rsidRPr="008854EA">
        <w:rPr>
          <w:noProof/>
          <w:vertAlign w:val="subscript"/>
          <w:lang w:val="sk-SK"/>
        </w:rPr>
        <w:t>2</w:t>
      </w:r>
      <w:r w:rsidRPr="008854EA">
        <w:rPr>
          <w:noProof/>
          <w:lang w:val="sk-SK"/>
        </w:rPr>
        <w:t xml:space="preserve">. (Pre viac podrobností pozri kapitolu 4 pracovného dokumentu útvarov Komisie – Technické informácie). </w:t>
      </w:r>
    </w:p>
    <w:p w14:paraId="20376007" w14:textId="4551A981" w:rsidR="00E31BEE" w:rsidRPr="008854EA" w:rsidRDefault="00E31BEE" w:rsidP="00E31BEE">
      <w:pPr>
        <w:pStyle w:val="Body"/>
        <w:rPr>
          <w:noProof/>
          <w:lang w:val="sk-SK"/>
        </w:rPr>
      </w:pPr>
      <w:r w:rsidRPr="008854EA">
        <w:rPr>
          <w:noProof/>
          <w:lang w:val="sk-SK"/>
        </w:rPr>
        <w:t xml:space="preserve">Za posledné roky je však pokrok v rámci členských štátov neistý. Medzi rokmi 2015 a 2022 čisté emisie skleníkových plynov v Lotyšsku, Fínsku a Litve, a v menšej miere na Cypre, v Poľsku, na Malte, a v Estónsku a Írsku narastali. Emisie skleníkových plynov sa znížili, hoci len pomaly v Českej republike, Taliansku, Maďarsku, Chorvátsku, vo Francúzsku a v Dánsku. Dôvody sa v každej krajine líšia. Vo Fínsku, v Lotyšsku a Estónsku súvisí narastajúci vývoj emisií najmä s ostrým poklesom kapacity sektora využívania pôdy, zmien vo využívaní pôdy a lesného hospodárstva na účely záchytu uhlíka, zatiaľ čo v Litve prispievajú k zvyšovaniu emisií aj sektor dopravy a budov. V Maďarsku, na Malte a v Poľsku sa zvýšili emisie z dopravy, zatiaľ čo v Írsku sa naďalej zvyšovali emisie v poľnohospodárstve. </w:t>
      </w:r>
    </w:p>
    <w:p w14:paraId="076BA3B2" w14:textId="6A5FAAF5" w:rsidR="00E31BEE" w:rsidRPr="008854EA" w:rsidRDefault="00E31BEE" w:rsidP="00E31BEE">
      <w:pPr>
        <w:pStyle w:val="Body"/>
        <w:rPr>
          <w:noProof/>
          <w:lang w:val="sk-SK"/>
        </w:rPr>
      </w:pPr>
      <w:r w:rsidRPr="008854EA">
        <w:rPr>
          <w:noProof/>
          <w:lang w:val="sk-SK"/>
        </w:rPr>
        <w:t xml:space="preserve">Od roku 2005 bol vo všetkých členských štátoch EÚ okrem Lotyšska jasne klesajúci vývoj emisií skleníkových plynov na obyvateľa, ako aj klesajúci vývoj intenzity skleníkových plynov v HDP (graf 5). Rýchlejší pokrok v krajinách s vyššími podielmi emisií viedol k významnému priblíženiu sa k priemeru EÚ. Zdá sa však, že medzi rokmi 2015 a 2022 sa klesajúci trend približovania sa k priemeru vo väčšine členských štátov EÚ zastavil. </w:t>
      </w:r>
    </w:p>
    <w:p w14:paraId="36AE2671" w14:textId="579F46ED" w:rsidR="00E31BEE" w:rsidRPr="008854EA" w:rsidRDefault="00E31BEE" w:rsidP="00182A88">
      <w:pPr>
        <w:pStyle w:val="Caption"/>
        <w:pBdr>
          <w:bottom w:val="single" w:sz="4" w:space="1" w:color="auto"/>
        </w:pBdr>
        <w:spacing w:after="0"/>
        <w:jc w:val="left"/>
        <w:rPr>
          <w:noProof/>
          <w:lang w:val="sk-SK"/>
        </w:rPr>
      </w:pPr>
      <w:bookmarkStart w:id="8" w:name="_Ref138280147"/>
      <w:r w:rsidRPr="008854EA">
        <w:rPr>
          <w:noProof/>
          <w:sz w:val="22"/>
          <w:lang w:val="sk-SK"/>
        </w:rPr>
        <w:t>Graf 5</w:t>
      </w:r>
      <w:bookmarkEnd w:id="8"/>
      <w:r w:rsidRPr="008854EA">
        <w:rPr>
          <w:noProof/>
          <w:lang w:val="sk-SK"/>
        </w:rPr>
        <w:t>:</w:t>
      </w:r>
      <w:r w:rsidRPr="008854EA">
        <w:rPr>
          <w:noProof/>
          <w:sz w:val="22"/>
          <w:lang w:val="sk-SK"/>
        </w:rPr>
        <w:t xml:space="preserve"> Intenzita skleníkových plynov v HDP a emisie skleníkových plynov na obyvateľa podľa členských štátov EÚ</w:t>
      </w:r>
    </w:p>
    <w:p w14:paraId="52059DA2" w14:textId="764CF173" w:rsidR="00E31BEE" w:rsidRPr="008854EA" w:rsidRDefault="002959AD" w:rsidP="00E31BEE">
      <w:pPr>
        <w:pBdr>
          <w:bottom w:val="single" w:sz="4" w:space="6" w:color="auto"/>
        </w:pBdr>
        <w:jc w:val="center"/>
        <w:rPr>
          <w:rFonts w:cstheme="minorHAnsi"/>
          <w:noProof/>
          <w:lang w:val="sk-SK"/>
        </w:rPr>
      </w:pPr>
      <w:r w:rsidRPr="008854EA">
        <w:rPr>
          <w:noProof/>
          <w:lang w:val="en-GB" w:eastAsia="en-GB"/>
        </w:rPr>
        <w:drawing>
          <wp:inline distT="0" distB="0" distL="0" distR="0" wp14:anchorId="6AD8DB38" wp14:editId="530D6A19">
            <wp:extent cx="2530548" cy="3430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9658" cy="3470128"/>
                    </a:xfrm>
                    <a:prstGeom prst="rect">
                      <a:avLst/>
                    </a:prstGeom>
                    <a:noFill/>
                    <a:ln>
                      <a:noFill/>
                    </a:ln>
                  </pic:spPr>
                </pic:pic>
              </a:graphicData>
            </a:graphic>
          </wp:inline>
        </w:drawing>
      </w:r>
      <w:r w:rsidRPr="008854EA">
        <w:rPr>
          <w:noProof/>
          <w:lang w:val="en-GB" w:eastAsia="en-GB"/>
        </w:rPr>
        <w:drawing>
          <wp:inline distT="0" distB="0" distL="0" distR="0" wp14:anchorId="1DBACA9A" wp14:editId="36EF4077">
            <wp:extent cx="2382709" cy="33908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276" cy="3417314"/>
                    </a:xfrm>
                    <a:prstGeom prst="rect">
                      <a:avLst/>
                    </a:prstGeom>
                    <a:noFill/>
                    <a:ln>
                      <a:noFill/>
                    </a:ln>
                  </pic:spPr>
                </pic:pic>
              </a:graphicData>
            </a:graphic>
          </wp:inline>
        </w:drawing>
      </w:r>
    </w:p>
    <w:p w14:paraId="6E3D41B0" w14:textId="4CAF8DCF" w:rsidR="00BC606E" w:rsidRPr="008854EA" w:rsidRDefault="00BC606E" w:rsidP="00BC606E">
      <w:pPr>
        <w:pStyle w:val="Body"/>
        <w:rPr>
          <w:noProof/>
          <w:lang w:val="sk-SK"/>
        </w:rPr>
      </w:pPr>
      <w:bookmarkStart w:id="9" w:name="_Ref140246290"/>
      <w:r w:rsidRPr="008854EA">
        <w:rPr>
          <w:noProof/>
          <w:lang w:val="sk-SK"/>
        </w:rPr>
        <w:t>Informácie predložené členskými štátmi o očakávanom vplyve súčasných a dodatočných politík na emisie skleníkových plynov možno použiť na pochopenie pokroku, ktorý dosahujú, alebo sa očakáva, že dosiahnu, smerom k cieľom EÚ v oblasti klímy. Na základe projekcií o skleníkových plynoch predložených členskými štátmi EÚ v marci 2023 sa do roku 2030 v šiestich krajinách (Poľsko, Írsko, Estónsko, Česká republika, Luxembursko a Lotyšsko) očakáva, že emisie na obyvateľa budú výrazne vyššie ako 5 ton ekvivalentu CO</w:t>
      </w:r>
      <w:r w:rsidRPr="008854EA">
        <w:rPr>
          <w:noProof/>
          <w:vertAlign w:val="subscript"/>
          <w:lang w:val="sk-SK"/>
        </w:rPr>
        <w:t>2</w:t>
      </w:r>
      <w:r w:rsidRPr="008854EA">
        <w:rPr>
          <w:noProof/>
          <w:lang w:val="sk-SK"/>
        </w:rPr>
        <w:t>, čo je priemer skleníkových plynov EÚ na obyvateľa, ktorý je vo veľkej miere v súlade s cieľom EÚ znížiť emisie o 55 %</w:t>
      </w:r>
      <w:r w:rsidRPr="008854EA">
        <w:rPr>
          <w:rStyle w:val="FootnoteReference"/>
          <w:noProof/>
          <w:lang w:val="sk-SK"/>
        </w:rPr>
        <w:footnoteReference w:id="38"/>
      </w:r>
      <w:r w:rsidRPr="008854EA">
        <w:rPr>
          <w:noProof/>
          <w:lang w:val="sk-SK"/>
        </w:rPr>
        <w:t>. Pokiaľ ide o cieľ klimatickej neutrality, všetky členské štáty okrem Fínska, Portugalska, Slovinska a Švédska aj naďalej v roku 2050 predpokladajú značné čisté emisie skleníkových plynov, a to aj pri zohľadnení súčasných a dodatočných politík (pozri tabuľku 6 v kapitole 5 pracovného dokumentu útvarov Komisie</w:t>
      </w:r>
      <w:r w:rsidRPr="008854EA">
        <w:rPr>
          <w:noProof/>
          <w:color w:val="000000" w:themeColor="text1"/>
          <w:lang w:val="sk-SK"/>
        </w:rPr>
        <w:t> – Technické informácie), a to aj napriek skutočnosti, že takmer všetky krajiny vyhlásili cieľ dosiahnuť klimatickú neutralitu do roku 2050 alebo skôr.</w:t>
      </w:r>
    </w:p>
    <w:p w14:paraId="297B940D" w14:textId="48E769DB" w:rsidR="00E31BEE" w:rsidRPr="008854EA" w:rsidRDefault="00E31BEE" w:rsidP="00E31BEE">
      <w:pPr>
        <w:pStyle w:val="Body"/>
        <w:rPr>
          <w:noProof/>
          <w:lang w:val="sk-SK"/>
        </w:rPr>
      </w:pPr>
      <w:r w:rsidRPr="008854EA">
        <w:rPr>
          <w:noProof/>
          <w:lang w:val="sk-SK"/>
        </w:rPr>
        <w:t>Trajektórie sú takisto dôležité. Na grafe 6 sa porovnávajú predpokladané emisie</w:t>
      </w:r>
      <w:r w:rsidRPr="008854EA">
        <w:rPr>
          <w:rStyle w:val="FootnoteReference"/>
          <w:noProof/>
          <w:lang w:val="sk-SK"/>
        </w:rPr>
        <w:footnoteReference w:id="39"/>
      </w:r>
      <w:r w:rsidRPr="008854EA">
        <w:rPr>
          <w:noProof/>
          <w:lang w:val="sk-SK"/>
        </w:rPr>
        <w:t xml:space="preserve"> medzi rokmi 2022 a 2050 pre každý členský štát s referenčnou trajektóriou, ktorá je vybudovaná ako medián siedmich ciest ku klimatickej neutralite, na ktorých stavia Európska vedecká poradná rada pre zmenu klímy pri poradenstve o ambíciách do roku 2040.</w:t>
      </w:r>
      <w:r w:rsidRPr="008854EA">
        <w:rPr>
          <w:noProof/>
          <w:vertAlign w:val="superscript"/>
          <w:lang w:val="sk-SK"/>
        </w:rPr>
        <w:footnoteReference w:id="40"/>
      </w:r>
      <w:r w:rsidRPr="008854EA">
        <w:rPr>
          <w:noProof/>
          <w:lang w:val="sk-SK"/>
        </w:rPr>
        <w:t xml:space="preserve"> Emisie na úrovni EÚ v rámci mediánu boli následne rozdelené medzi členské štáty podľa podielu emisií EÚ jednotlivých krajín v rámci hlavného politického scenára použitého na iniciatívy Európskej zelenej dohody.</w:t>
      </w:r>
      <w:r w:rsidRPr="008854EA">
        <w:rPr>
          <w:noProof/>
          <w:vertAlign w:val="superscript"/>
          <w:lang w:val="sk-SK"/>
        </w:rPr>
        <w:footnoteReference w:id="41"/>
      </w:r>
      <w:r w:rsidRPr="008854EA">
        <w:rPr>
          <w:noProof/>
          <w:vertAlign w:val="superscript"/>
          <w:lang w:val="sk-SK"/>
        </w:rPr>
        <w:t xml:space="preserve"> </w:t>
      </w:r>
    </w:p>
    <w:p w14:paraId="04EB804E" w14:textId="2FAD6655" w:rsidR="00E31BEE" w:rsidRPr="008854EA" w:rsidRDefault="00E31BEE" w:rsidP="00182A88">
      <w:pPr>
        <w:pStyle w:val="Caption"/>
        <w:pBdr>
          <w:bottom w:val="single" w:sz="4" w:space="1" w:color="auto"/>
        </w:pBdr>
        <w:jc w:val="left"/>
        <w:rPr>
          <w:noProof/>
          <w:lang w:val="sk-SK"/>
        </w:rPr>
      </w:pPr>
      <w:bookmarkStart w:id="10" w:name="_Ref140412874"/>
      <w:r w:rsidRPr="008854EA">
        <w:rPr>
          <w:noProof/>
          <w:sz w:val="22"/>
          <w:lang w:val="sk-SK"/>
        </w:rPr>
        <w:t>Graf 6</w:t>
      </w:r>
      <w:bookmarkEnd w:id="9"/>
      <w:bookmarkEnd w:id="10"/>
      <w:r w:rsidRPr="008854EA">
        <w:rPr>
          <w:noProof/>
          <w:lang w:val="sk-SK"/>
        </w:rPr>
        <w:t>:</w:t>
      </w:r>
      <w:r w:rsidRPr="008854EA">
        <w:rPr>
          <w:noProof/>
          <w:sz w:val="22"/>
          <w:lang w:val="sk-SK"/>
        </w:rPr>
        <w:t xml:space="preserve"> Prekročenie predpokladaných emisií skleníkových plynov oproti orientačnej ceste smerom ku klimatickej neutralite do roku 2050 (v % referenčnej hodnoty emisií, celkové emisie okrem LULUCF)</w:t>
      </w:r>
      <w:r w:rsidRPr="008854EA">
        <w:rPr>
          <w:noProof/>
          <w:lang w:val="sk-SK"/>
        </w:rPr>
        <w:t xml:space="preserve"> </w:t>
      </w:r>
    </w:p>
    <w:p w14:paraId="59A5F20C" w14:textId="7EBCEEC8" w:rsidR="00E31BEE" w:rsidRPr="008854EA" w:rsidRDefault="00775D93" w:rsidP="00E31BEE">
      <w:pPr>
        <w:jc w:val="center"/>
        <w:rPr>
          <w:noProof/>
          <w:lang w:val="sk-SK"/>
        </w:rPr>
      </w:pPr>
      <w:r w:rsidRPr="00775D93">
        <w:rPr>
          <w:noProof/>
          <w:lang w:val="en-GB" w:eastAsia="en-GB"/>
        </w:rPr>
        <w:drawing>
          <wp:inline distT="0" distB="0" distL="0" distR="0" wp14:anchorId="0760C166" wp14:editId="7AFF108F">
            <wp:extent cx="4959350" cy="25999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3142" cy="2601929"/>
                    </a:xfrm>
                    <a:prstGeom prst="rect">
                      <a:avLst/>
                    </a:prstGeom>
                    <a:noFill/>
                    <a:ln>
                      <a:noFill/>
                    </a:ln>
                  </pic:spPr>
                </pic:pic>
              </a:graphicData>
            </a:graphic>
          </wp:inline>
        </w:drawing>
      </w:r>
    </w:p>
    <w:p w14:paraId="4E439BA9" w14:textId="77777777" w:rsidR="00E31BEE" w:rsidRPr="008854EA" w:rsidRDefault="00E31BEE" w:rsidP="00E31BEE">
      <w:pPr>
        <w:pStyle w:val="Body"/>
        <w:pBdr>
          <w:top w:val="single" w:sz="4" w:space="1" w:color="auto"/>
        </w:pBdr>
        <w:rPr>
          <w:noProof/>
          <w:lang w:val="sk-SK"/>
        </w:rPr>
      </w:pPr>
    </w:p>
    <w:p w14:paraId="566C423B" w14:textId="4959A47C" w:rsidR="00BC606E" w:rsidRPr="008854EA" w:rsidRDefault="00BC606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sk-SK"/>
        </w:rPr>
      </w:pPr>
      <w:r w:rsidRPr="008854EA">
        <w:rPr>
          <w:noProof/>
          <w:lang w:val="sk-SK"/>
        </w:rPr>
        <w:t>Na grafe 6 sú znázornené výrazné rozdiely v pokroku smerom ku klimatickej neutralite v členských štátoch EÚ. Pri zohľadnení existujúcich opatrení</w:t>
      </w:r>
      <w:r w:rsidRPr="008854EA">
        <w:rPr>
          <w:rStyle w:val="FootnoteReference"/>
          <w:noProof/>
          <w:lang w:val="sk-SK"/>
        </w:rPr>
        <w:footnoteReference w:id="42"/>
      </w:r>
      <w:r w:rsidRPr="008854EA">
        <w:rPr>
          <w:noProof/>
          <w:lang w:val="sk-SK"/>
        </w:rPr>
        <w:t xml:space="preserve"> (s existujúcimi opatreniami, žlté stĺpce) sa očakáva, že Slovensko, Poľsko a Malta medzi rokmi 2022 a 2050 vyprodukujú viac ako dvojnásobok emisií oproti referenčnej hodnote smerujúcej ku klimatickej neutralite. Predpokladá sa, že kumulatívne emisie ďalších 15 členských štátov prekročia bez dodatočných politík referenčnú hodnotu klimatickej neutrality o viac ako 50 %</w:t>
      </w:r>
      <w:r w:rsidRPr="008854EA">
        <w:rPr>
          <w:rStyle w:val="FootnoteReference"/>
          <w:noProof/>
          <w:lang w:val="sk-SK"/>
        </w:rPr>
        <w:footnoteReference w:id="43"/>
      </w:r>
      <w:r w:rsidRPr="008854EA">
        <w:rPr>
          <w:noProof/>
          <w:lang w:val="sk-SK"/>
        </w:rPr>
        <w:t>. Pri zohľadnení vplyvu dodatočných politických opatrení</w:t>
      </w:r>
      <w:r w:rsidRPr="008854EA">
        <w:rPr>
          <w:rStyle w:val="FootnoteReference"/>
          <w:noProof/>
          <w:lang w:val="sk-SK"/>
        </w:rPr>
        <w:footnoteReference w:id="44"/>
      </w:r>
      <w:r w:rsidRPr="008854EA">
        <w:rPr>
          <w:noProof/>
          <w:lang w:val="sk-SK"/>
        </w:rPr>
        <w:t xml:space="preserve"> (s dodatočnými opatreniami, modré stĺpce) sa prekročenie zníži, hoci rozdiely v prípade Slovenska, Poľska, Chorvátska, Rumunska a Bulharska zostávajú aj naďalej výrazné (nad 50 %)</w:t>
      </w:r>
      <w:r w:rsidRPr="008854EA">
        <w:rPr>
          <w:rStyle w:val="FootnoteReference"/>
          <w:noProof/>
          <w:lang w:val="sk-SK"/>
        </w:rPr>
        <w:footnoteReference w:id="45"/>
      </w:r>
      <w:r w:rsidRPr="008854EA">
        <w:rPr>
          <w:noProof/>
          <w:lang w:val="sk-SK"/>
        </w:rPr>
        <w:t>.</w:t>
      </w:r>
    </w:p>
    <w:p w14:paraId="2778B531" w14:textId="084712A0" w:rsidR="00E31BEE" w:rsidRPr="008854EA" w:rsidRDefault="00893B38"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sk-SK"/>
        </w:rPr>
      </w:pPr>
      <w:r w:rsidRPr="008854EA">
        <w:rPr>
          <w:noProof/>
          <w:lang w:val="sk-SK"/>
        </w:rPr>
        <w:t>Podobné výsledky sa dosahujú, ak sa za orientačnú referenčnú hodnotu určí lineárna trajektória. V tomto prípade má najväčšie prekročenia Malta, Taliansko, Grécko, Rakúsko a Maďarsko v rámci scenára „s existujúcimi opatreniami“ a Poľsko, Rumunsko, Bulharsko a Chorvátsko v rámci scenára „s existujúcimi opatreniami“ a „s dodatočnými opatreniami“ (pozri tabuľku 6 kapitoly 5 pracovného dokumentu útvarov Komisie – Technické informácie)</w:t>
      </w:r>
      <w:r w:rsidRPr="008854EA">
        <w:rPr>
          <w:rStyle w:val="FootnoteReference"/>
          <w:noProof/>
          <w:lang w:val="sk-SK"/>
        </w:rPr>
        <w:footnoteReference w:id="46"/>
      </w:r>
      <w:r w:rsidRPr="008854EA">
        <w:rPr>
          <w:noProof/>
          <w:lang w:val="sk-SK"/>
        </w:rPr>
        <w:t>.</w:t>
      </w:r>
    </w:p>
    <w:p w14:paraId="7C78BDA5" w14:textId="3024BB18" w:rsidR="004D2AF1" w:rsidRPr="008854EA" w:rsidRDefault="00E31BE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sk-SK"/>
        </w:rPr>
      </w:pPr>
      <w:r w:rsidRPr="008854EA">
        <w:rPr>
          <w:noProof/>
          <w:lang w:val="sk-SK"/>
        </w:rPr>
        <w:t>V týchto analýzach založených na projekciách členských štátov o emisiách skleníkových plynov sa odrážajú rôzne úrovne ambícií a vykonávania, ale aj úplnosť a kvalita predložených údajov. Do konca apríla 2023, viac ako mesiac po oficiálnom termíne, predložilo projekcie cez elektronickú platformu len 20 členských štátov. Neskoré predkladanie projekcií narúša kontrolu kvality a následný proces opätovného predloženia. Okrem toho, hoci to nie je povinné, deväť členských štátov</w:t>
      </w:r>
      <w:r w:rsidRPr="008854EA">
        <w:rPr>
          <w:rStyle w:val="FootnoteReference"/>
          <w:noProof/>
          <w:lang w:val="sk-SK"/>
        </w:rPr>
        <w:footnoteReference w:id="47"/>
      </w:r>
      <w:r w:rsidRPr="008854EA">
        <w:rPr>
          <w:noProof/>
          <w:lang w:val="sk-SK"/>
        </w:rPr>
        <w:t xml:space="preserve"> nepredložilo projekcie s dodatočnými opatreniami, ktoré boli následne doplnené projekciami zo scenára s existujúcimi opatreniami, a v prípade projekcií Belgicka, ktorým chýbali informácie po roku 2030, sa použili projekcie o skleníkových plynoch z roku 2021. Komisia preto naliehavo vyzýva členské štáty, aby zlepšili svoje projekcie o emisiách a podporili analytickú kapacitu a nástroje. Projekcie sú dôležitým ukazovateľom, pokiaľ ide o dekarbonizáciu, posúdenie pokroku smerom k dosiahnutiu cieľa klimatickej neutrality a podporu riadneho navrhovania politík a rozhodovania.</w:t>
      </w:r>
    </w:p>
    <w:p w14:paraId="2F44622D" w14:textId="4454AE41" w:rsidR="00593459" w:rsidRPr="008854EA" w:rsidRDefault="00593459" w:rsidP="00593459">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sk-SK"/>
        </w:rPr>
      </w:pPr>
      <w:r w:rsidRPr="008854EA">
        <w:rPr>
          <w:noProof/>
          <w:lang w:val="sk-SK"/>
        </w:rPr>
        <w:t>V roku 2023 všetky členské štáty oznámili pokrok v rámci politík a opatrení. Hoci sa počet opatrení zvýšil, aj naďalej existujú medzi členskými štátmi významné rozdiely, pokiaľ ide o počet oznámených opatrení. Belgicko, Španielsko, Luxembursko a Francúzsko oznámili najviac opatrení a Bulharsko, Rakúsko, Grécko a Malta ich oznámili najmenej (graf 7)</w:t>
      </w:r>
      <w:r w:rsidRPr="008854EA">
        <w:rPr>
          <w:rStyle w:val="FootnoteReference"/>
          <w:noProof/>
          <w:lang w:val="sk-SK"/>
        </w:rPr>
        <w:footnoteReference w:id="48"/>
      </w:r>
      <w:r w:rsidRPr="008854EA">
        <w:rPr>
          <w:noProof/>
          <w:lang w:val="sk-SK"/>
        </w:rPr>
        <w:t xml:space="preserve">. </w:t>
      </w:r>
    </w:p>
    <w:p w14:paraId="43A22A23" w14:textId="48C9B729" w:rsidR="00BC606E" w:rsidRPr="008854EA" w:rsidRDefault="00BC606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sk-SK"/>
        </w:rPr>
      </w:pPr>
      <w:r w:rsidRPr="008854EA">
        <w:rPr>
          <w:noProof/>
          <w:lang w:val="sk-SK"/>
        </w:rPr>
        <w:t>V porovnaní s predchádzajúcim oznamovaním (2021) zaznamenali najvyšší nárast oznámených opatrení Cyprus a Luxembursko a následne Španielsko, Portugalsko, Fínsko, Taliansko a Estónsko. Bulharsko, Rakúsko a Malta oznámili významný pokles. Zároveň sa zdá, že viac ako tretina opatrení oznámených Litvou, Estónskom, Chorvátskom, Írskom a Bulharskom je nová (zavedené do roku 2022 alebo neskôr). Pokiaľ ide o zasiahnuté sektory (graf 7.b), mali by sa zdôrazniť relatívne vysoké podiely politík a opatrení ovplyvňujúcich sektor poľnohospodárstva a LULUCF v Lotyšsku a Fínsku, a to vzhľadom na súčasný vývoj v týchto sektoroch, hoci oznámené očakávané úspory emisií nie sú významné</w:t>
      </w:r>
      <w:r w:rsidRPr="008854EA">
        <w:rPr>
          <w:rStyle w:val="FootnoteReference"/>
          <w:noProof/>
          <w:lang w:val="sk-SK"/>
        </w:rPr>
        <w:footnoteReference w:id="49"/>
      </w:r>
      <w:r w:rsidRPr="008854EA">
        <w:rPr>
          <w:noProof/>
          <w:lang w:val="sk-SK"/>
        </w:rPr>
        <w:t>.</w:t>
      </w:r>
    </w:p>
    <w:p w14:paraId="2C9D9E16" w14:textId="77777777" w:rsidR="005754CF" w:rsidRPr="008854EA" w:rsidRDefault="005754CF">
      <w:pPr>
        <w:spacing w:after="160" w:line="259" w:lineRule="auto"/>
        <w:rPr>
          <w:rFonts w:ascii="Times New Roman" w:eastAsiaTheme="minorEastAsia" w:hAnsi="Times New Roman"/>
          <w:b/>
          <w:noProof/>
          <w:color w:val="44546A" w:themeColor="text2"/>
          <w:lang w:val="sk-SK"/>
        </w:rPr>
      </w:pPr>
      <w:bookmarkStart w:id="11" w:name="_Ref139275461"/>
      <w:r w:rsidRPr="008854EA">
        <w:rPr>
          <w:noProof/>
          <w:lang w:val="sk-SK"/>
        </w:rPr>
        <w:br w:type="page"/>
      </w:r>
    </w:p>
    <w:p w14:paraId="24883A51" w14:textId="574C7E7E" w:rsidR="00E31BEE" w:rsidRPr="008854EA" w:rsidRDefault="00E31BEE" w:rsidP="00182A88">
      <w:pPr>
        <w:pStyle w:val="Caption"/>
        <w:pBdr>
          <w:bottom w:val="single" w:sz="4" w:space="1" w:color="auto"/>
        </w:pBdr>
        <w:spacing w:after="0" w:line="240" w:lineRule="auto"/>
        <w:ind w:left="142"/>
        <w:jc w:val="left"/>
        <w:rPr>
          <w:noProof/>
          <w:sz w:val="22"/>
          <w:lang w:val="sk-SK"/>
        </w:rPr>
      </w:pPr>
      <w:r w:rsidRPr="008854EA">
        <w:rPr>
          <w:noProof/>
          <w:sz w:val="22"/>
          <w:lang w:val="sk-SK"/>
        </w:rPr>
        <w:t>Graf 7</w:t>
      </w:r>
      <w:bookmarkEnd w:id="11"/>
      <w:r w:rsidRPr="008854EA">
        <w:rPr>
          <w:noProof/>
          <w:lang w:val="sk-SK"/>
        </w:rPr>
        <w:t>:</w:t>
      </w:r>
      <w:r w:rsidRPr="008854EA">
        <w:rPr>
          <w:noProof/>
          <w:sz w:val="22"/>
          <w:lang w:val="sk-SK"/>
        </w:rPr>
        <w:t xml:space="preserve"> Počet jednotlivých politík a opatrení oznámených členskými štátmi: Stav vykonávania a zasiahnuté sektory</w:t>
      </w:r>
      <w:r w:rsidRPr="008854EA">
        <w:rPr>
          <w:noProof/>
          <w:sz w:val="22"/>
          <w:vertAlign w:val="superscript"/>
          <w:lang w:val="sk-SK"/>
        </w:rPr>
        <w:footnoteReference w:id="50"/>
      </w:r>
      <w:r w:rsidRPr="008854EA">
        <w:rPr>
          <w:noProof/>
          <w:sz w:val="22"/>
          <w:lang w:val="sk-SK"/>
        </w:rPr>
        <w:t xml:space="preserve"> </w:t>
      </w:r>
    </w:p>
    <w:tbl>
      <w:tblPr>
        <w:tblStyle w:val="TableGrid"/>
        <w:tblW w:w="974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5083"/>
      </w:tblGrid>
      <w:tr w:rsidR="000A7894" w:rsidRPr="008854EA" w14:paraId="045C81F0" w14:textId="77777777" w:rsidTr="000A7894">
        <w:trPr>
          <w:trHeight w:val="275"/>
        </w:trPr>
        <w:tc>
          <w:tcPr>
            <w:tcW w:w="4820" w:type="dxa"/>
          </w:tcPr>
          <w:p w14:paraId="19320AB2" w14:textId="33A5D107" w:rsidR="00E31BEE" w:rsidRPr="008854EA" w:rsidRDefault="00C547B2" w:rsidP="00FC088C">
            <w:pPr>
              <w:pStyle w:val="ListParagraph"/>
              <w:ind w:left="0"/>
              <w:jc w:val="center"/>
              <w:rPr>
                <w:rFonts w:cstheme="minorHAnsi"/>
                <w:i/>
                <w:noProof/>
                <w:color w:val="44546A" w:themeColor="text2"/>
                <w:sz w:val="18"/>
                <w:lang w:val="sk-SK"/>
              </w:rPr>
            </w:pPr>
            <w:r w:rsidRPr="008854EA">
              <w:rPr>
                <w:b/>
                <w:i/>
                <w:noProof/>
                <w:color w:val="44546A" w:themeColor="text2"/>
                <w:sz w:val="18"/>
                <w:lang w:val="sk-SK"/>
              </w:rPr>
              <w:t>Graf 7.a</w:t>
            </w:r>
          </w:p>
        </w:tc>
        <w:tc>
          <w:tcPr>
            <w:tcW w:w="4921" w:type="dxa"/>
          </w:tcPr>
          <w:p w14:paraId="2FD11D44" w14:textId="6617F04A" w:rsidR="00E31BEE" w:rsidRPr="008854EA" w:rsidRDefault="00C547B2" w:rsidP="00FC088C">
            <w:pPr>
              <w:pStyle w:val="ListParagraph"/>
              <w:ind w:left="0"/>
              <w:jc w:val="center"/>
              <w:rPr>
                <w:rFonts w:cstheme="minorHAnsi"/>
                <w:i/>
                <w:noProof/>
                <w:color w:val="44546A" w:themeColor="text2"/>
                <w:sz w:val="18"/>
                <w:lang w:val="sk-SK"/>
              </w:rPr>
            </w:pPr>
            <w:r w:rsidRPr="008854EA">
              <w:rPr>
                <w:b/>
                <w:i/>
                <w:noProof/>
                <w:color w:val="44546A" w:themeColor="text2"/>
                <w:sz w:val="18"/>
                <w:lang w:val="sk-SK"/>
              </w:rPr>
              <w:t>Graf 7.b</w:t>
            </w:r>
          </w:p>
        </w:tc>
      </w:tr>
      <w:tr w:rsidR="000A7894" w:rsidRPr="008854EA" w14:paraId="57C415D0" w14:textId="77777777" w:rsidTr="000A7894">
        <w:trPr>
          <w:trHeight w:val="2476"/>
        </w:trPr>
        <w:tc>
          <w:tcPr>
            <w:tcW w:w="4820" w:type="dxa"/>
          </w:tcPr>
          <w:p w14:paraId="6BF18B8F" w14:textId="40BEA5D2" w:rsidR="00E31BEE" w:rsidRPr="008854EA" w:rsidRDefault="00827650" w:rsidP="0045408A">
            <w:pPr>
              <w:pStyle w:val="ListParagraph"/>
              <w:ind w:left="-436" w:right="513" w:hanging="142"/>
              <w:rPr>
                <w:rFonts w:cstheme="minorHAnsi"/>
                <w:noProof/>
                <w:lang w:val="sk-SK"/>
              </w:rPr>
            </w:pPr>
            <w:r w:rsidRPr="008854EA">
              <w:rPr>
                <w:noProof/>
                <w:lang w:val="en-GB" w:eastAsia="en-GB"/>
              </w:rPr>
              <w:drawing>
                <wp:anchor distT="0" distB="0" distL="114300" distR="114300" simplePos="0" relativeHeight="251658240" behindDoc="1" locked="0" layoutInCell="1" allowOverlap="1" wp14:anchorId="6CEC3437" wp14:editId="171ACE03">
                  <wp:simplePos x="0" y="0"/>
                  <wp:positionH relativeFrom="column">
                    <wp:posOffset>-368432</wp:posOffset>
                  </wp:positionH>
                  <wp:positionV relativeFrom="paragraph">
                    <wp:posOffset>3139</wp:posOffset>
                  </wp:positionV>
                  <wp:extent cx="2742328" cy="2535555"/>
                  <wp:effectExtent l="0" t="0" r="0" b="0"/>
                  <wp:wrapTight wrapText="bothSides">
                    <wp:wrapPolygon edited="0">
                      <wp:start x="0" y="0"/>
                      <wp:lineTo x="0" y="21421"/>
                      <wp:lineTo x="21460" y="21421"/>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2328" cy="2535555"/>
                          </a:xfrm>
                          <a:prstGeom prst="rect">
                            <a:avLst/>
                          </a:prstGeom>
                          <a:noFill/>
                          <a:ln>
                            <a:noFill/>
                          </a:ln>
                        </pic:spPr>
                      </pic:pic>
                    </a:graphicData>
                  </a:graphic>
                </wp:anchor>
              </w:drawing>
            </w:r>
          </w:p>
        </w:tc>
        <w:tc>
          <w:tcPr>
            <w:tcW w:w="4921" w:type="dxa"/>
          </w:tcPr>
          <w:p w14:paraId="2C83CFB5" w14:textId="67FE66E5" w:rsidR="008352BE" w:rsidRPr="008854EA" w:rsidRDefault="00AA0B2E" w:rsidP="008352BE">
            <w:pPr>
              <w:pStyle w:val="ListParagraph"/>
              <w:spacing w:after="0"/>
              <w:ind w:left="-144" w:right="710" w:hanging="24"/>
              <w:rPr>
                <w:rFonts w:cstheme="minorHAnsi"/>
                <w:noProof/>
                <w:lang w:val="sk-SK"/>
              </w:rPr>
            </w:pPr>
            <w:r w:rsidRPr="008854EA">
              <w:rPr>
                <w:rFonts w:cstheme="minorHAnsi"/>
                <w:noProof/>
                <w:lang w:val="en-GB" w:eastAsia="en-GB"/>
              </w:rPr>
              <w:drawing>
                <wp:inline distT="0" distB="0" distL="0" distR="0" wp14:anchorId="2D494269" wp14:editId="47790356">
                  <wp:extent cx="2746712" cy="25102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643" cy="2515707"/>
                          </a:xfrm>
                          <a:prstGeom prst="rect">
                            <a:avLst/>
                          </a:prstGeom>
                          <a:noFill/>
                          <a:ln>
                            <a:noFill/>
                          </a:ln>
                        </pic:spPr>
                      </pic:pic>
                    </a:graphicData>
                  </a:graphic>
                </wp:inline>
              </w:drawing>
            </w:r>
          </w:p>
        </w:tc>
      </w:tr>
    </w:tbl>
    <w:p w14:paraId="0773D238" w14:textId="77777777" w:rsidR="00967912" w:rsidRPr="008854EA" w:rsidRDefault="00967912" w:rsidP="00941FD7">
      <w:pPr>
        <w:pStyle w:val="Body"/>
        <w:pBdr>
          <w:top w:val="single" w:sz="4" w:space="1" w:color="auto"/>
        </w:pBdr>
        <w:rPr>
          <w:noProof/>
          <w:lang w:val="sk-SK"/>
        </w:rPr>
      </w:pPr>
    </w:p>
    <w:p w14:paraId="5D920974" w14:textId="761F5FC7" w:rsidR="00E31BEE" w:rsidRPr="008854EA" w:rsidRDefault="00E31BEE" w:rsidP="00E40EE3">
      <w:pPr>
        <w:pStyle w:val="Body"/>
        <w:pBdr>
          <w:top w:val="single" w:sz="4" w:space="1" w:color="auto"/>
        </w:pBdr>
        <w:rPr>
          <w:noProof/>
          <w:lang w:val="sk-SK"/>
        </w:rPr>
      </w:pPr>
      <w:r w:rsidRPr="008854EA">
        <w:rPr>
          <w:noProof/>
          <w:lang w:val="sk-SK"/>
        </w:rPr>
        <w:t>Cieľ EÚ v oblasti klímy do roku 2030 a cieľ dosiahnuť klimatickú neutralitu v EÚ do roku 2050 si vyžaduje ukončenie dotácií na fosílne palivá, vytvorenie priaznivých podmienok pre energetickú účinnosť a obnoviteľnú energiu a zameranie sa na potreby zraniteľných osôb v záujme spravodlivej energetickej transformácie. Celkové dotácie na fosílne palivá zostali niekoľko rokov stabilné alebo sa mierne znížili, pričom v roku 2021 dosiahli 56 miliárd EUR. Nedávno však vzrástli v dôsledku opatrení na zmiernenie vplyvu energetickej krízy. Komisia odhaduje, že dotácie na fosílne palivá sa v roku 2022 viac ako zdvojnásobili v porovnaní s rokom 2021 a dosiahli 122 miliárd EUR. Členské štáty musia urýchliť prijímanie opatrení na ukončenie dotácií na fosílne palivá</w:t>
      </w:r>
      <w:r w:rsidRPr="008854EA">
        <w:rPr>
          <w:rStyle w:val="FootnoteReference"/>
          <w:noProof/>
          <w:lang w:val="sk-SK"/>
        </w:rPr>
        <w:footnoteReference w:id="51"/>
      </w:r>
      <w:r w:rsidRPr="008854EA">
        <w:rPr>
          <w:noProof/>
          <w:lang w:val="sk-SK"/>
        </w:rPr>
        <w:t xml:space="preserve">. </w:t>
      </w:r>
    </w:p>
    <w:p w14:paraId="49E14C28" w14:textId="56F98E89" w:rsidR="003D559D" w:rsidRPr="008854EA" w:rsidRDefault="005511AD" w:rsidP="00E40EE3">
      <w:pPr>
        <w:pStyle w:val="Body"/>
        <w:pBdr>
          <w:top w:val="single" w:sz="4" w:space="1" w:color="auto"/>
        </w:pBdr>
        <w:rPr>
          <w:noProof/>
          <w:lang w:val="sk-SK"/>
        </w:rPr>
      </w:pPr>
      <w:r w:rsidRPr="008854EA">
        <w:rPr>
          <w:noProof/>
          <w:lang w:val="sk-SK"/>
        </w:rPr>
        <w:t>Celkovo možno konštatovať, že úroveň pokroku členských štátov v posledných rokoch výrazne zaostáva za úsilím, ktoré bude v nasledujúcich desaťročiach potrebné na splnenie strednodobých aj dlhodobých cieľov EÚ v oblasti klímy. Členské štáty by mali rapídne zrýchliť činnosť dosiahnutím hmatateľného pokroku v plánovaných politikách a prijatím dodatočných naliehavých opatrení v súlade s odporúčaniami pre jednotlivé krajiny vydanými v rámci procesu európskeho semestra pre koordináciu hospodárskych politík. Niektoré členské štáty takisto čelia sektorovým výzvam a nedostatkom, ktoré je potrebné bezodkladne napraviť.</w:t>
      </w:r>
    </w:p>
    <w:p w14:paraId="00BAA6EF" w14:textId="7AE13274" w:rsidR="005511AD" w:rsidRPr="008854EA" w:rsidRDefault="005511AD" w:rsidP="00E40EE3">
      <w:pPr>
        <w:pStyle w:val="Body"/>
        <w:pBdr>
          <w:top w:val="single" w:sz="4" w:space="1" w:color="auto"/>
        </w:pBdr>
        <w:rPr>
          <w:noProof/>
          <w:lang w:val="sk-SK"/>
        </w:rPr>
      </w:pPr>
      <w:r w:rsidRPr="008854EA">
        <w:rPr>
          <w:noProof/>
          <w:lang w:val="sk-SK"/>
        </w:rPr>
        <w:t xml:space="preserve">Najmä na základe dostupných informácií sa úroveň pokroku smerom k cieľu dosiahnuť klimatickú neutralitu v EÚ zdá nedostatočná v prípade Poľska, Írska, Lotyšska, Malty a Chorvátska, a v menšej miere Rakúska, Estónska, Českej republiky, Cypru, Talianska a Rumunska. </w:t>
      </w:r>
    </w:p>
    <w:p w14:paraId="756E1E9D" w14:textId="32C312F2" w:rsidR="00E31BEE" w:rsidRPr="008854EA" w:rsidRDefault="00D961E1" w:rsidP="00E40EE3">
      <w:pPr>
        <w:pStyle w:val="Body"/>
        <w:pBdr>
          <w:top w:val="single" w:sz="4" w:space="1" w:color="auto"/>
        </w:pBdr>
        <w:rPr>
          <w:noProof/>
          <w:lang w:val="sk-SK"/>
        </w:rPr>
      </w:pPr>
      <w:r w:rsidRPr="008854EA">
        <w:rPr>
          <w:noProof/>
          <w:lang w:val="sk-SK"/>
        </w:rPr>
        <w:t>Toto súčasné posúdenie však neodráža ambicióznejšie klimatické zámery, ktoré by mali členské štáty zahrnúť do svojich revidovaných národných energetických a klimatických plánov (NEKP). Členské štáty museli do 30. júna 2023 Komisii predložiť svoje návrhy aktualizovaných NEKP</w:t>
      </w:r>
      <w:r w:rsidRPr="008854EA">
        <w:rPr>
          <w:rStyle w:val="FootnoteReference"/>
          <w:noProof/>
          <w:lang w:val="sk-SK"/>
        </w:rPr>
        <w:footnoteReference w:id="52"/>
      </w:r>
      <w:r w:rsidRPr="008854EA">
        <w:rPr>
          <w:noProof/>
          <w:lang w:val="sk-SK"/>
        </w:rPr>
        <w:t>. Návrh NEKP by mal obsahovať politiky a opatrenia, ktoré každý členský štát plánuje na splnenie svojich klimatických a energetických cieľov. Komisia sa nachádza v procese posudzovania návrhov NEKP a členským štátom do konca roka vydá odporúčania.</w:t>
      </w:r>
      <w:r w:rsidRPr="008854EA">
        <w:rPr>
          <w:b/>
          <w:noProof/>
          <w:lang w:val="sk-SK"/>
        </w:rPr>
        <w:t xml:space="preserve"> </w:t>
      </w:r>
      <w:r w:rsidRPr="008854EA">
        <w:rPr>
          <w:noProof/>
          <w:lang w:val="sk-SK"/>
        </w:rPr>
        <w:t xml:space="preserve">Členské štáty sa vyzývajú, aby tieto odporúčania zohľadnili vo svojich konečných aktualizovaných verziách NEKP, ktoré majú byť vypracované do 30. júna 2024. Komisia nalieha na členské štáty, aby využili príležitosť aktualizovať svoje NEKP s cieľom naplánovať dodatočné opatrenia, a aby zosúladili očakávané emisie s vyššou úrovňou ambícií EÚ v rámci politiky v oblasti zmeny klímy. </w:t>
      </w:r>
    </w:p>
    <w:p w14:paraId="1C996A2B" w14:textId="742F790F" w:rsidR="00E31BEE" w:rsidRPr="008854EA" w:rsidRDefault="00E31BEE" w:rsidP="00E40EE3">
      <w:pPr>
        <w:pStyle w:val="Body"/>
        <w:pBdr>
          <w:top w:val="single" w:sz="4" w:space="1" w:color="auto"/>
        </w:pBdr>
        <w:rPr>
          <w:noProof/>
          <w:lang w:val="sk-SK"/>
        </w:rPr>
      </w:pPr>
      <w:r w:rsidRPr="008854EA">
        <w:rPr>
          <w:noProof/>
          <w:lang w:val="sk-SK"/>
        </w:rPr>
        <w:t>Rozsiahle a dlhodobé projekty treba podporovať spoľahlivými stratégiami. Členské štáty sa preto vyzývajú, aby zvážili aktualizáciu a v prípade potreby aj zvýšenie ambícií, ako aj kvality svojich národných dlhodobých stratégií. Vzhľadom na rozsah budúcich výziev Komisia zváži vydanie odporúčaní podľa článku 7 ods. 2 právneho predpisu v oblasti klímy spolu s odporúčaniami k aktualizáciám v návrhu NEKP.</w:t>
      </w:r>
    </w:p>
    <w:p w14:paraId="6B277BEC" w14:textId="2E0DD4F6" w:rsidR="00E31BEE" w:rsidRPr="008854EA" w:rsidRDefault="00E31BEE" w:rsidP="00A226FF">
      <w:pPr>
        <w:pStyle w:val="Heading2"/>
        <w:ind w:left="576"/>
        <w:rPr>
          <w:rFonts w:ascii="Times New Roman" w:hAnsi="Times New Roman" w:cs="Times New Roman"/>
          <w:noProof/>
          <w:lang w:val="sk-SK"/>
        </w:rPr>
      </w:pPr>
    </w:p>
    <w:p w14:paraId="64C9EF90" w14:textId="77777777" w:rsidR="00E31BEE" w:rsidRPr="008854EA" w:rsidRDefault="00E31BEE" w:rsidP="00E31BEE">
      <w:pPr>
        <w:rPr>
          <w:rFonts w:ascii="Times New Roman" w:hAnsi="Times New Roman" w:cs="Times New Roman"/>
          <w:b/>
          <w:noProof/>
          <w:sz w:val="24"/>
          <w:lang w:val="sk-SK"/>
        </w:rPr>
      </w:pPr>
      <w:r w:rsidRPr="008854EA">
        <w:rPr>
          <w:noProof/>
          <w:lang w:val="sk-SK"/>
        </w:rPr>
        <w:br w:type="page"/>
      </w:r>
    </w:p>
    <w:p w14:paraId="31F857A2" w14:textId="77777777" w:rsidR="00E31BEE" w:rsidRPr="008854EA" w:rsidRDefault="00E31BEE" w:rsidP="00E31BEE">
      <w:pPr>
        <w:pStyle w:val="Heading1"/>
        <w:rPr>
          <w:rFonts w:ascii="Times New Roman" w:hAnsi="Times New Roman" w:cs="Times New Roman"/>
          <w:noProof/>
          <w:sz w:val="32"/>
          <w:lang w:val="sk-SK"/>
        </w:rPr>
      </w:pPr>
      <w:r w:rsidRPr="008854EA">
        <w:rPr>
          <w:rFonts w:ascii="Times New Roman" w:hAnsi="Times New Roman"/>
          <w:noProof/>
          <w:sz w:val="32"/>
          <w:lang w:val="sk-SK"/>
        </w:rPr>
        <w:t>SYSTÉM OBCHODOVANIA S EMISNÝMI KVÓTAMI SKLENÍKOVÝCH PLYNOV V EURÓPSKEJ ÚNII</w:t>
      </w:r>
    </w:p>
    <w:p w14:paraId="1F46A00B" w14:textId="0601745B" w:rsidR="00E31BEE" w:rsidRPr="008854EA" w:rsidRDefault="00E31BEE" w:rsidP="00E31BEE">
      <w:pPr>
        <w:pStyle w:val="Body"/>
        <w:rPr>
          <w:noProof/>
          <w:lang w:val="sk-SK"/>
        </w:rPr>
      </w:pPr>
      <w:r w:rsidRPr="008854EA">
        <w:rPr>
          <w:noProof/>
          <w:lang w:val="sk-SK"/>
        </w:rPr>
        <w:t>Systém obchodovania s emisnými kvótami skleníkových plynov v Európskej únii (ďalej len „EU ETS“) je základným kameňom opatrení EÚ v oblasti zmeny klímy. Pokrýva približne 36 % celkových emisií skleníkových plynov EÚ z výroby elektriny a tepla, výrobného priemyslu a letectva v Európe</w:t>
      </w:r>
      <w:r w:rsidRPr="008854EA">
        <w:rPr>
          <w:rStyle w:val="FootnoteReference"/>
          <w:rFonts w:eastAsiaTheme="majorEastAsia"/>
          <w:noProof/>
          <w:sz w:val="22"/>
          <w:lang w:val="sk-SK"/>
        </w:rPr>
        <w:footnoteReference w:id="53"/>
      </w:r>
      <w:r w:rsidRPr="008854EA">
        <w:rPr>
          <w:noProof/>
          <w:lang w:val="sk-SK"/>
        </w:rPr>
        <w:t xml:space="preserve">. Stanovením stropu celkových emisií systém zabezpečuje, aby sa tieto emisie v priebehu času znížili. V rámci tohto stropu sa kvóty rozdeľujú primárne prostredníctvom formou aukcií, čím sa zvyšujú príjmy do rozpočtov členských štátov na podporu opatrení v oblasti klímy a energetickej transformácie. Keďže ceny kvót určuje trh, ETS stimuluje nákladovo-efektívne znižovanie emisií. </w:t>
      </w:r>
    </w:p>
    <w:p w14:paraId="737696B1" w14:textId="7685406E" w:rsidR="00E31BEE" w:rsidRPr="008854EA" w:rsidRDefault="00E31BEE" w:rsidP="00E31BEE">
      <w:pPr>
        <w:pStyle w:val="Body"/>
        <w:rPr>
          <w:noProof/>
          <w:lang w:val="sk-SK"/>
        </w:rPr>
      </w:pPr>
      <w:r w:rsidRPr="008854EA">
        <w:rPr>
          <w:noProof/>
          <w:lang w:val="sk-SK"/>
        </w:rPr>
        <w:t>Do roku 2022 systém EU ETS pomohol znížiť emisie z energetických a priemyselných zariadení o 37,3 % v porovnaní s úrovňami v roku 2005. Toto znižovanie emisií bolo do značnej miery spôsobené energetickým sektorom – prechodom z uhlia na plyn a zvýšeným zavádzaním obnoviteľných zdrojov energie. V najnovšom vývoji v oblasti emisií v rámci systému EU ETS sa však odráža aj vplyv pandémie ochorenia COVID-19 a energetickej krízy (</w:t>
      </w:r>
      <w:r w:rsidRPr="008854EA">
        <w:rPr>
          <w:i/>
          <w:noProof/>
          <w:lang w:val="sk-SK"/>
        </w:rPr>
        <w:t>pozri Vývoj v oblasti emisií</w:t>
      </w:r>
      <w:r w:rsidRPr="008854EA">
        <w:rPr>
          <w:noProof/>
          <w:lang w:val="sk-SK"/>
        </w:rPr>
        <w:t xml:space="preserve">). </w:t>
      </w:r>
    </w:p>
    <w:p w14:paraId="277FF632" w14:textId="0A9C8D02" w:rsidR="00E31BEE" w:rsidRPr="008854EA" w:rsidRDefault="00E31BEE" w:rsidP="00E31BEE">
      <w:pPr>
        <w:pStyle w:val="Body"/>
        <w:rPr>
          <w:noProof/>
          <w:lang w:val="sk-SK"/>
        </w:rPr>
      </w:pPr>
      <w:r w:rsidRPr="008854EA">
        <w:rPr>
          <w:noProof/>
          <w:lang w:val="sk-SK"/>
        </w:rPr>
        <w:t>Zároveň sa prostredníctvom systému EU ETS získalo 152 miliárd EUR z príjmov z aukcií, ktoré členské štáty vo veľkej miere využili na podporu projektov v oblasti energie z obnoviteľných zdrojov, energetickej účinnosti a nízkoemisnej dopravy. V dôsledku energetickej krízy členské štáty použili svoje príjmy z ETS aj na riešenie negatívnych vplyvov na spotrebiteľov a priemysel.</w:t>
      </w:r>
    </w:p>
    <w:p w14:paraId="7314933C" w14:textId="4F727E29" w:rsidR="00E31BEE" w:rsidRPr="008854EA" w:rsidRDefault="00E31BEE" w:rsidP="00E31BEE">
      <w:pPr>
        <w:pStyle w:val="Body"/>
        <w:rPr>
          <w:noProof/>
          <w:lang w:val="sk-SK"/>
        </w:rPr>
      </w:pPr>
      <w:r w:rsidRPr="008854EA">
        <w:rPr>
          <w:noProof/>
          <w:lang w:val="sk-SK"/>
        </w:rPr>
        <w:t>Revíziou systému EU ETS v rámci balíka Fit for 55 sa umožní znížiť emisie rýchlejšie a vo viacerých sektoroch. Európsky parlament a členské štáty v Rade súhlasili so sprísnením stropu pre emisie a zároveň s rozšírením systému na emisie z námornej dopravy (</w:t>
      </w:r>
      <w:r w:rsidRPr="008854EA">
        <w:rPr>
          <w:i/>
          <w:noProof/>
          <w:lang w:val="sk-SK"/>
        </w:rPr>
        <w:t>pozri Opatrenia v oblasti leteckej a námornej dopravy</w:t>
      </w:r>
      <w:r w:rsidRPr="008854EA">
        <w:rPr>
          <w:noProof/>
          <w:lang w:val="sk-SK"/>
        </w:rPr>
        <w:t xml:space="preserve">). Zníženie bezodplatného prideľovania emisných kvót pomôže zvýšiť mieru znižovania emisií vo výrobnom priemysle a v letectve. Zároveň sa využije viac zdrojov na podporu dekarbonizácie v odvetviach ETS. V revízii sa členské štáty zaväzujú využívať všetky príjmy ETS (alebo ich ekvivalent) na opatrenia v oblasti klímy, energetickú transformáciu a riešenie sociálnych výziev stanovovania cien uhlíka a takisto sa ňou zvyšuje objem Inovačného fondu a modernizačného fondu (pre viac podrobností pozri kapitolu 2 pracovného dokumentu útvarov Komisie – Technické informácie). </w:t>
      </w:r>
    </w:p>
    <w:p w14:paraId="7761520A" w14:textId="1317E892" w:rsidR="00E31BEE" w:rsidRPr="008854EA" w:rsidRDefault="00E31BEE" w:rsidP="00E31BEE">
      <w:pPr>
        <w:pStyle w:val="Body"/>
        <w:rPr>
          <w:noProof/>
          <w:lang w:val="sk-SK"/>
        </w:rPr>
      </w:pPr>
      <w:r w:rsidRPr="008854EA">
        <w:rPr>
          <w:noProof/>
          <w:lang w:val="sk-SK"/>
        </w:rPr>
        <w:t>Revízia systému EU ETS nadobudla účinnosť 5. júna 2023 a väčšina zmien sa bude uplatňovať od 1. januára 2024. Práca na zavádzaní právnych predpisov pokračuje. Viac informácií o fungovaní systému EU ETS v roku 2022 je dostupných v správe o trhu s uhlíkom z roku 2023.</w:t>
      </w:r>
    </w:p>
    <w:p w14:paraId="6B95438A" w14:textId="77777777" w:rsidR="00E31BEE" w:rsidRPr="008854EA" w:rsidRDefault="00E31BEE" w:rsidP="00E31BEE">
      <w:pPr>
        <w:pStyle w:val="Heading2"/>
        <w:ind w:left="576"/>
        <w:rPr>
          <w:rFonts w:ascii="Times New Roman" w:hAnsi="Times New Roman" w:cs="Times New Roman"/>
          <w:noProof/>
          <w:lang w:val="sk-SK"/>
        </w:rPr>
      </w:pPr>
      <w:r w:rsidRPr="008854EA">
        <w:rPr>
          <w:rFonts w:ascii="Times New Roman" w:hAnsi="Times New Roman"/>
          <w:noProof/>
          <w:lang w:val="sk-SK"/>
        </w:rPr>
        <w:t>Vývoj v oblasti emisií</w:t>
      </w:r>
    </w:p>
    <w:p w14:paraId="584CF35A" w14:textId="2412B4E1" w:rsidR="00E31BEE" w:rsidRPr="008854EA" w:rsidRDefault="00E31BEE" w:rsidP="00E31BEE">
      <w:pPr>
        <w:pStyle w:val="Body"/>
        <w:rPr>
          <w:noProof/>
          <w:lang w:val="sk-SK"/>
        </w:rPr>
      </w:pPr>
      <w:r w:rsidRPr="008854EA">
        <w:rPr>
          <w:noProof/>
          <w:lang w:val="sk-SK"/>
        </w:rPr>
        <w:t>V roku 2022 sa celkové množstvo emisií v rámci EU ETS znížilo v porovnaní s predchádzajúcim rokom o 0,2 %</w:t>
      </w:r>
      <w:r w:rsidRPr="008854EA">
        <w:rPr>
          <w:rStyle w:val="FootnoteReference"/>
          <w:rFonts w:eastAsiaTheme="majorEastAsia"/>
          <w:noProof/>
          <w:color w:val="404040"/>
          <w:sz w:val="22"/>
          <w:lang w:val="sk-SK"/>
        </w:rPr>
        <w:footnoteReference w:id="54"/>
      </w:r>
      <w:r w:rsidRPr="008854EA">
        <w:rPr>
          <w:noProof/>
          <w:lang w:val="sk-SK"/>
        </w:rPr>
        <w:t>. Odráža to mierny pokles emisií z energetických a priemyselných zariadení a pokračujúci nárast emisií z letectva po pandémii ochorenia COVID-19. Pri porovnaní s obdobím pred pandémiou ochorenia COVID-19 však emisie naďalej klesajú. V roku 2022 boli emisie približne o 8 % nižšie ako v roku 2019.</w:t>
      </w:r>
    </w:p>
    <w:p w14:paraId="1B20A508" w14:textId="4B076EAA" w:rsidR="00E31BEE" w:rsidRPr="008854EA" w:rsidRDefault="00E31BEE" w:rsidP="00E31BEE">
      <w:pPr>
        <w:pStyle w:val="Body"/>
        <w:rPr>
          <w:noProof/>
          <w:lang w:val="sk-SK"/>
        </w:rPr>
      </w:pPr>
      <w:r w:rsidRPr="008854EA">
        <w:rPr>
          <w:noProof/>
          <w:lang w:val="sk-SK"/>
        </w:rPr>
        <w:t>Obnova hospodárstva EÚ v roku 2022 pokračovala, pričom HDP narástol o 3,5 %. Dokonca aj emisie z energetického sektora a výroby mierne poklesli o 1,8 % v porovnaní s rokom 2021. Toto je čiastočne spôsobené energetickou krízou a jej vplyvmi. Na jednej strane sa obmedzili dodávky zemného plynu a vyššie ceny zaň spôsobili zvýšenie miery využívania uhlia na výrobu elektriny. Na druhej strane prispela energetická kríza k zvýšeniu inflácie a k zníženiu priemyselného dopytu.</w:t>
      </w:r>
    </w:p>
    <w:p w14:paraId="4E67D582" w14:textId="77777777" w:rsidR="00E31BEE" w:rsidRPr="008854EA" w:rsidRDefault="00E31BEE" w:rsidP="00E31BEE">
      <w:pPr>
        <w:pStyle w:val="NormalWeb"/>
        <w:jc w:val="both"/>
        <w:rPr>
          <w:rStyle w:val="Heading3Char"/>
          <w:rFonts w:ascii="Times New Roman" w:hAnsi="Times New Roman" w:cs="Times New Roman"/>
          <w:noProof/>
          <w:lang w:val="sk-SK"/>
        </w:rPr>
      </w:pPr>
      <w:r w:rsidRPr="008854EA">
        <w:rPr>
          <w:rStyle w:val="Heading3Char"/>
          <w:rFonts w:ascii="Times New Roman" w:hAnsi="Times New Roman"/>
          <w:noProof/>
          <w:lang w:val="sk-SK"/>
        </w:rPr>
        <w:t>Výroba elektriny a tepla – mierny nárast emisií</w:t>
      </w:r>
    </w:p>
    <w:p w14:paraId="0076BF83" w14:textId="0864E2E8" w:rsidR="00E31BEE" w:rsidRPr="008854EA" w:rsidRDefault="00E31BEE" w:rsidP="00E31BEE">
      <w:pPr>
        <w:pStyle w:val="Body"/>
        <w:rPr>
          <w:noProof/>
          <w:lang w:val="sk-SK"/>
        </w:rPr>
      </w:pPr>
      <w:r w:rsidRPr="008854EA">
        <w:rPr>
          <w:noProof/>
          <w:lang w:val="sk-SK"/>
        </w:rPr>
        <w:t>Emisie z výroby elektriny a tepla sa v roku 2022 zvýšili o 2,4 % v porovnaní s rokom 2021. Hoci sa dopyt po elektrine a teple znížil v dôsledku vyšších cien za energie a miernejšieho počasia, sektorové emisie v súvislosti s výrobou energie sa zvýšili v dôsledku prechodu z plynu na uhlie. Prechod vyvolali vysoké ceny zemného plynu a suchá v mnohých častiach EÚ, čím sa znížila produkcia jadrovej a vodnej energie.</w:t>
      </w:r>
    </w:p>
    <w:p w14:paraId="669DAB8D" w14:textId="77777777" w:rsidR="00E31BEE" w:rsidRPr="008854EA" w:rsidRDefault="00E31BEE" w:rsidP="00E31BEE">
      <w:pPr>
        <w:pStyle w:val="NormalWeb"/>
        <w:jc w:val="both"/>
        <w:rPr>
          <w:rStyle w:val="Heading3Char"/>
          <w:rFonts w:ascii="Times New Roman" w:hAnsi="Times New Roman" w:cs="Times New Roman"/>
          <w:noProof/>
          <w:lang w:val="sk-SK"/>
        </w:rPr>
      </w:pPr>
      <w:r w:rsidRPr="008854EA">
        <w:rPr>
          <w:rStyle w:val="Heading3Char"/>
          <w:rFonts w:ascii="Times New Roman" w:hAnsi="Times New Roman"/>
          <w:noProof/>
          <w:lang w:val="sk-SK"/>
        </w:rPr>
        <w:t>Priemysel – pokles čistých emisií</w:t>
      </w:r>
    </w:p>
    <w:p w14:paraId="49CB2B72" w14:textId="18BD2CB6" w:rsidR="00E31BEE" w:rsidRPr="008854EA" w:rsidRDefault="00E31BEE" w:rsidP="00E31BEE">
      <w:pPr>
        <w:pStyle w:val="Body"/>
        <w:rPr>
          <w:noProof/>
          <w:lang w:val="sk-SK"/>
        </w:rPr>
      </w:pPr>
      <w:r w:rsidRPr="008854EA">
        <w:rPr>
          <w:noProof/>
          <w:lang w:val="sk-SK"/>
        </w:rPr>
        <w:t>Výrobný priemysel zaznamenal v roku 2022 zníženie emisií o 6,5 % v porovnaní s rokom 2021. S vyššími cenami za energie, ktoré viedli k zníženej produkcii, oznámili sektory zamerané na výrobu cementu, železa, ocele a chemikálií výrazné poklesy emisií v roku 2022. Zároveň sa zvýšili emisie v sektoroch zameraných na produkciu ropy a plynu, keďže rafinérie zvýšili produkciu s cieľom dosiahnuť zisk zo zvýšených cien fosílnych palív.</w:t>
      </w:r>
    </w:p>
    <w:p w14:paraId="124E96F3" w14:textId="77777777" w:rsidR="00E31BEE" w:rsidRPr="008854EA" w:rsidRDefault="00E31BEE" w:rsidP="00E31BEE">
      <w:pPr>
        <w:pStyle w:val="NormalWeb"/>
        <w:jc w:val="both"/>
        <w:rPr>
          <w:rStyle w:val="Heading3Char"/>
          <w:rFonts w:ascii="Times New Roman" w:hAnsi="Times New Roman" w:cs="Times New Roman"/>
          <w:noProof/>
          <w:lang w:val="sk-SK"/>
        </w:rPr>
      </w:pPr>
      <w:r w:rsidRPr="008854EA">
        <w:rPr>
          <w:rStyle w:val="Heading3Char"/>
          <w:rFonts w:ascii="Times New Roman" w:hAnsi="Times New Roman"/>
          <w:noProof/>
          <w:lang w:val="sk-SK"/>
        </w:rPr>
        <w:t>Letectvo – emisie naďalej stúpajú</w:t>
      </w:r>
    </w:p>
    <w:p w14:paraId="1327CEDA" w14:textId="3340F273" w:rsidR="002660FF" w:rsidRPr="008854EA" w:rsidRDefault="00E31BEE" w:rsidP="008903CD">
      <w:pPr>
        <w:pStyle w:val="Body"/>
        <w:rPr>
          <w:noProof/>
          <w:lang w:val="sk-SK"/>
        </w:rPr>
      </w:pPr>
      <w:r w:rsidRPr="008854EA">
        <w:rPr>
          <w:noProof/>
          <w:lang w:val="sk-SK"/>
        </w:rPr>
        <w:t xml:space="preserve">V rámci EÚ sa overené emisie prevádzkovateľov lietadiel výrazne zvýšili, a to o 75 % v porovnaní s rokom 2021. Toto je odrazom pokračujúceho nárastu leteckej dopravy po pandémii ochorenia COVID-19, no stále je to takmer o 27 % menej ako v roku 2019. </w:t>
      </w:r>
      <w:r w:rsidR="002660FF" w:rsidRPr="008854EA">
        <w:rPr>
          <w:noProof/>
          <w:lang w:val="sk-SK"/>
        </w:rPr>
        <w:br/>
      </w:r>
    </w:p>
    <w:p w14:paraId="5DA206CF" w14:textId="77777777" w:rsidR="002660FF" w:rsidRPr="008854EA" w:rsidRDefault="002660FF">
      <w:pPr>
        <w:spacing w:after="160" w:line="259" w:lineRule="auto"/>
        <w:rPr>
          <w:rFonts w:ascii="Times New Roman" w:eastAsia="Arial Unicode MS" w:hAnsi="Times New Roman" w:cs="Arial Unicode MS"/>
          <w:noProof/>
          <w:sz w:val="24"/>
          <w:u w:color="000000"/>
          <w:bdr w:val="nil"/>
          <w:lang w:val="sk-SK"/>
        </w:rPr>
      </w:pPr>
      <w:r w:rsidRPr="008854EA">
        <w:rPr>
          <w:noProof/>
          <w:lang w:val="sk-SK"/>
        </w:rPr>
        <w:br w:type="page"/>
      </w:r>
    </w:p>
    <w:p w14:paraId="2F38A86E" w14:textId="2BA2436D" w:rsidR="00B85298" w:rsidRPr="008854EA" w:rsidRDefault="00E31BEE" w:rsidP="00B85298">
      <w:pPr>
        <w:pStyle w:val="Caption"/>
        <w:pBdr>
          <w:bottom w:val="single" w:sz="4" w:space="0" w:color="auto"/>
        </w:pBdr>
        <w:spacing w:after="0" w:line="240" w:lineRule="auto"/>
        <w:jc w:val="left"/>
        <w:rPr>
          <w:noProof/>
          <w:lang w:val="sk-SK"/>
        </w:rPr>
      </w:pPr>
      <w:r w:rsidRPr="008854EA">
        <w:rPr>
          <w:noProof/>
          <w:sz w:val="22"/>
          <w:lang w:val="sk-SK"/>
        </w:rPr>
        <w:t>Graf 8: Overené emisie v ETS v rokoch 2005 – 2022, projekcie členských štátov zohľadňujúce existujúce opatrenia na roky 2021 – </w:t>
      </w:r>
      <w:r w:rsidRPr="008854EA">
        <w:rPr>
          <w:noProof/>
          <w:sz w:val="22"/>
          <w:szCs w:val="22"/>
          <w:lang w:val="sk-SK"/>
        </w:rPr>
        <w:t>2030, emisný strop v rámci ETS v druhej, tretej a štvrtej fáze a akumulovaný prebytok kvót v ETS v rokoch 2008 – 2021 vrátane Spojeného kráľovstva (Severného Írska), Nórska a Islandu, poznámka: prispôsobenie stropu v štvrtej fáze</w:t>
      </w:r>
      <w:r w:rsidRPr="008854EA">
        <w:rPr>
          <w:rStyle w:val="FootnoteReference"/>
          <w:noProof/>
          <w:sz w:val="22"/>
          <w:lang w:val="sk-SK"/>
        </w:rPr>
        <w:footnoteReference w:id="55"/>
      </w:r>
      <w:r w:rsidRPr="008854EA">
        <w:rPr>
          <w:noProof/>
          <w:lang w:val="sk-SK"/>
        </w:rPr>
        <w:t>.</w:t>
      </w:r>
    </w:p>
    <w:p w14:paraId="73895628" w14:textId="2B69652B" w:rsidR="00942A94" w:rsidRPr="008854EA" w:rsidRDefault="000A3219" w:rsidP="00B85298">
      <w:pPr>
        <w:jc w:val="center"/>
        <w:rPr>
          <w:noProof/>
          <w:lang w:val="sk-SK"/>
        </w:rPr>
      </w:pPr>
      <w:r w:rsidRPr="008854EA">
        <w:rPr>
          <w:noProof/>
          <w:lang w:val="en-GB" w:eastAsia="en-GB"/>
        </w:rPr>
        <w:drawing>
          <wp:inline distT="0" distB="0" distL="0" distR="0" wp14:anchorId="6AD85964" wp14:editId="6F586025">
            <wp:extent cx="5760720" cy="1843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843405"/>
                    </a:xfrm>
                    <a:prstGeom prst="rect">
                      <a:avLst/>
                    </a:prstGeom>
                    <a:noFill/>
                    <a:ln>
                      <a:noFill/>
                    </a:ln>
                  </pic:spPr>
                </pic:pic>
              </a:graphicData>
            </a:graphic>
          </wp:inline>
        </w:drawing>
      </w:r>
    </w:p>
    <w:p w14:paraId="64314E99" w14:textId="6ACBB3DE" w:rsidR="00A8661E" w:rsidRPr="008854EA" w:rsidRDefault="00A8661E" w:rsidP="00B85298">
      <w:pPr>
        <w:pStyle w:val="Caption"/>
        <w:pBdr>
          <w:bottom w:val="single" w:sz="4" w:space="0" w:color="auto"/>
        </w:pBdr>
        <w:spacing w:after="0" w:line="240" w:lineRule="auto"/>
        <w:jc w:val="left"/>
        <w:rPr>
          <w:noProof/>
          <w:sz w:val="22"/>
          <w:lang w:val="sk-SK"/>
        </w:rPr>
      </w:pPr>
    </w:p>
    <w:p w14:paraId="6E581E37" w14:textId="7F556F4C" w:rsidR="00E31BEE" w:rsidRPr="008854EA" w:rsidRDefault="00E31BEE" w:rsidP="00E31BEE">
      <w:pPr>
        <w:pStyle w:val="Heading2"/>
        <w:ind w:left="576"/>
        <w:rPr>
          <w:rFonts w:ascii="Times New Roman" w:hAnsi="Times New Roman" w:cs="Times New Roman"/>
          <w:noProof/>
          <w:lang w:val="sk-SK"/>
        </w:rPr>
      </w:pPr>
      <w:r w:rsidRPr="008854EA">
        <w:rPr>
          <w:rFonts w:ascii="Times New Roman" w:hAnsi="Times New Roman"/>
          <w:noProof/>
          <w:lang w:val="sk-SK"/>
        </w:rPr>
        <w:t>Príjmy získané v rámci systému EU ETS</w:t>
      </w:r>
    </w:p>
    <w:p w14:paraId="1598EDC8" w14:textId="7C8E9871" w:rsidR="009D5815" w:rsidRPr="008854EA" w:rsidRDefault="009D5815" w:rsidP="00B97C29">
      <w:pPr>
        <w:pStyle w:val="Body"/>
        <w:rPr>
          <w:noProof/>
          <w:lang w:val="sk-SK"/>
        </w:rPr>
      </w:pPr>
      <w:r w:rsidRPr="008854EA">
        <w:rPr>
          <w:noProof/>
          <w:lang w:val="sk-SK"/>
        </w:rPr>
        <w:t>Systém EU ETS vytvára značné príjmy z predaja kvót, ktoré možno použiť na opatrenia v oblasti klímy (pozri kapitolu 6).</w:t>
      </w:r>
    </w:p>
    <w:p w14:paraId="057B1B45" w14:textId="5E1B4570" w:rsidR="008903CD" w:rsidRPr="008854EA" w:rsidRDefault="008903CD" w:rsidP="00B97C29">
      <w:pPr>
        <w:pStyle w:val="Body"/>
        <w:rPr>
          <w:noProof/>
          <w:lang w:val="sk-SK"/>
        </w:rPr>
      </w:pPr>
      <w:r w:rsidRPr="008854EA">
        <w:rPr>
          <w:noProof/>
          <w:lang w:val="sk-SK"/>
        </w:rPr>
        <w:t>Keďže sa ceny za uhlík počas roka 2022 zvýšili, zvýšili sa aj príjmy z aukcií ETS, ktoré predstavovali celkovo 38,8 miliardy EUR, čo je o 7,7 miliardy EUR viac ako v roku 2021 (graf 9</w:t>
      </w:r>
      <w:r w:rsidRPr="008854EA">
        <w:rPr>
          <w:rStyle w:val="FootnoteReference"/>
          <w:rFonts w:cs="Times New Roman"/>
          <w:noProof/>
          <w:lang w:val="sk-SK"/>
        </w:rPr>
        <w:footnoteReference w:id="56"/>
      </w:r>
      <w:r w:rsidRPr="008854EA">
        <w:rPr>
          <w:noProof/>
          <w:lang w:val="sk-SK"/>
        </w:rPr>
        <w:t xml:space="preserve">). Z týchto 38,8 miliardy EUR smerovalo 29,7 miliardy EUR priamo do 27 členských štátov. </w:t>
      </w:r>
      <w:r w:rsidRPr="008854EA">
        <w:rPr>
          <w:rStyle w:val="normaltextrun"/>
          <w:noProof/>
          <w:lang w:val="sk-SK"/>
        </w:rPr>
        <w:t>Uviedli, že v roku 2022 sa v priemere 76 % príjmov vynaložilo na klimatické a energetické účely</w:t>
      </w:r>
      <w:r w:rsidRPr="008854EA">
        <w:rPr>
          <w:rStyle w:val="FootnoteReference"/>
          <w:rFonts w:cs="Times New Roman"/>
          <w:noProof/>
          <w:lang w:val="sk-SK"/>
        </w:rPr>
        <w:footnoteReference w:id="57"/>
      </w:r>
      <w:r w:rsidRPr="008854EA">
        <w:rPr>
          <w:rStyle w:val="normaltextrun"/>
          <w:noProof/>
          <w:lang w:val="sk-SK"/>
        </w:rPr>
        <w:t>, rovnako ako v roku 2021 a v súlade s priemerom 75 % v období rokov 2013 – 2020. Približne 25 % príjmov členských štátov je vyčlenených na osobitné opatrenia v oblasti klímy a energetiky, 27 % smerovalo do špecifických environmentálnych fondov a 48 % smerovalo do štátnych rozpočtov. Viac informácií možno nájsť</w:t>
      </w:r>
      <w:r w:rsidRPr="008854EA">
        <w:rPr>
          <w:noProof/>
          <w:lang w:val="sk-SK"/>
        </w:rPr>
        <w:t xml:space="preserve"> v pracovnom dokumente útvarov Komisie – </w:t>
      </w:r>
      <w:r w:rsidRPr="008854EA">
        <w:rPr>
          <w:rStyle w:val="normaltextrun"/>
          <w:noProof/>
          <w:lang w:val="sk-SK"/>
        </w:rPr>
        <w:t>Technické informácie</w:t>
      </w:r>
      <w:r w:rsidRPr="008854EA">
        <w:rPr>
          <w:noProof/>
          <w:lang w:val="sk-SK"/>
        </w:rPr>
        <w:t>.</w:t>
      </w:r>
    </w:p>
    <w:p w14:paraId="1CC0D78C" w14:textId="77777777" w:rsidR="002660FF" w:rsidRPr="008854EA" w:rsidRDefault="002660FF">
      <w:pPr>
        <w:spacing w:after="160" w:line="259" w:lineRule="auto"/>
        <w:rPr>
          <w:rFonts w:ascii="Times New Roman" w:eastAsiaTheme="minorEastAsia" w:hAnsi="Times New Roman"/>
          <w:b/>
          <w:noProof/>
          <w:color w:val="44546A" w:themeColor="text2"/>
          <w:lang w:val="sk-SK"/>
        </w:rPr>
      </w:pPr>
      <w:r w:rsidRPr="008854EA">
        <w:rPr>
          <w:noProof/>
          <w:lang w:val="sk-SK"/>
        </w:rPr>
        <w:br w:type="page"/>
      </w:r>
    </w:p>
    <w:p w14:paraId="2B831A57" w14:textId="2BEC2128" w:rsidR="00E31BEE" w:rsidRPr="008854EA" w:rsidRDefault="00E31BEE" w:rsidP="00182A88">
      <w:pPr>
        <w:pStyle w:val="Caption"/>
        <w:pBdr>
          <w:bottom w:val="single" w:sz="4" w:space="1" w:color="auto"/>
        </w:pBdr>
        <w:spacing w:after="0" w:line="240" w:lineRule="auto"/>
        <w:jc w:val="left"/>
        <w:rPr>
          <w:noProof/>
          <w:sz w:val="22"/>
          <w:lang w:val="sk-SK"/>
        </w:rPr>
      </w:pPr>
      <w:r w:rsidRPr="008854EA">
        <w:rPr>
          <w:noProof/>
          <w:sz w:val="22"/>
          <w:lang w:val="sk-SK"/>
        </w:rPr>
        <w:t>Graf 9: Príjmy z aukcií, ktoré získali členské štáty EÚ, a správa o ich využívaní (2013 až 2022)</w:t>
      </w:r>
    </w:p>
    <w:p w14:paraId="28F76E18" w14:textId="39762E69" w:rsidR="009A18C3" w:rsidRPr="008854EA" w:rsidRDefault="00AA0B2E" w:rsidP="00AA0B2E">
      <w:pPr>
        <w:pStyle w:val="Caption"/>
        <w:spacing w:before="120" w:after="0" w:line="240" w:lineRule="auto"/>
        <w:jc w:val="center"/>
        <w:rPr>
          <w:noProof/>
          <w:sz w:val="22"/>
          <w:lang w:val="sk-SK"/>
        </w:rPr>
      </w:pPr>
      <w:r w:rsidRPr="008854EA">
        <w:rPr>
          <w:noProof/>
          <w:lang w:val="en-GB" w:eastAsia="en-GB"/>
        </w:rPr>
        <w:drawing>
          <wp:inline distT="0" distB="0" distL="0" distR="0" wp14:anchorId="40E7B6C3" wp14:editId="5F3B23FD">
            <wp:extent cx="4428877" cy="19225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68220" cy="1939662"/>
                    </a:xfrm>
                    <a:prstGeom prst="rect">
                      <a:avLst/>
                    </a:prstGeom>
                    <a:noFill/>
                    <a:ln>
                      <a:noFill/>
                    </a:ln>
                  </pic:spPr>
                </pic:pic>
              </a:graphicData>
            </a:graphic>
          </wp:inline>
        </w:drawing>
      </w:r>
    </w:p>
    <w:p w14:paraId="3EFE60C6" w14:textId="632FA5AA" w:rsidR="006C1556" w:rsidRPr="008854EA" w:rsidRDefault="005669D7" w:rsidP="00584D7E">
      <w:pPr>
        <w:pStyle w:val="Caption"/>
        <w:spacing w:after="0" w:line="240" w:lineRule="auto"/>
        <w:ind w:left="360"/>
        <w:jc w:val="center"/>
        <w:rPr>
          <w:noProof/>
          <w:lang w:val="sk-SK"/>
        </w:rPr>
      </w:pPr>
      <w:r w:rsidRPr="008854EA">
        <w:rPr>
          <w:noProof/>
          <w:lang w:val="sk-SK"/>
        </w:rPr>
        <w:t xml:space="preserve"> </w:t>
      </w:r>
    </w:p>
    <w:p w14:paraId="2B562E5D" w14:textId="77777777" w:rsidR="00A578B8" w:rsidRPr="008854EA" w:rsidRDefault="00A578B8" w:rsidP="00A578B8">
      <w:pPr>
        <w:pStyle w:val="Body"/>
        <w:pBdr>
          <w:top w:val="single" w:sz="4" w:space="1" w:color="auto"/>
        </w:pBdr>
        <w:rPr>
          <w:noProof/>
          <w:lang w:val="sk-SK"/>
        </w:rPr>
      </w:pPr>
    </w:p>
    <w:p w14:paraId="07C6B8BD" w14:textId="7B1D887B" w:rsidR="008E23C4" w:rsidRPr="008854EA" w:rsidRDefault="008E23C4" w:rsidP="00A578B8">
      <w:pPr>
        <w:pStyle w:val="Body"/>
        <w:pBdr>
          <w:top w:val="single" w:sz="4" w:space="1" w:color="auto"/>
        </w:pBdr>
        <w:rPr>
          <w:rFonts w:cs="Times New Roman"/>
          <w:noProof/>
          <w:lang w:val="sk-SK"/>
        </w:rPr>
      </w:pPr>
      <w:r w:rsidRPr="008854EA">
        <w:rPr>
          <w:noProof/>
          <w:lang w:val="sk-SK"/>
        </w:rPr>
        <w:t xml:space="preserve">Viaceré členské štáty od roku 2021 používajú svoje príjmy z aukcií aj na zmiernenie sociálneho vplyvu krízy cien energií. </w:t>
      </w:r>
    </w:p>
    <w:p w14:paraId="19B69316" w14:textId="27DAADF3" w:rsidR="00E31BEE" w:rsidRPr="008854EA" w:rsidRDefault="00E31BEE" w:rsidP="00E31BEE">
      <w:pPr>
        <w:pStyle w:val="Heading2"/>
        <w:ind w:left="576"/>
        <w:rPr>
          <w:rFonts w:ascii="Times New Roman" w:hAnsi="Times New Roman" w:cs="Times New Roman"/>
          <w:noProof/>
          <w:lang w:val="sk-SK"/>
        </w:rPr>
      </w:pPr>
      <w:r w:rsidRPr="008854EA">
        <w:rPr>
          <w:rFonts w:ascii="Times New Roman" w:hAnsi="Times New Roman"/>
          <w:noProof/>
          <w:lang w:val="sk-SK"/>
        </w:rPr>
        <w:t>Opatrenia v oblasti leteckej a námornej dopravy</w:t>
      </w:r>
    </w:p>
    <w:p w14:paraId="0C357B74" w14:textId="77777777" w:rsidR="00E31BEE" w:rsidRPr="008854EA" w:rsidRDefault="00E31BEE" w:rsidP="00A226FF">
      <w:pPr>
        <w:pStyle w:val="NormalWeb"/>
        <w:jc w:val="both"/>
        <w:rPr>
          <w:rStyle w:val="Heading3Char"/>
          <w:rFonts w:ascii="Times New Roman" w:hAnsi="Times New Roman" w:cs="Times New Roman"/>
          <w:noProof/>
          <w:lang w:val="sk-SK"/>
        </w:rPr>
      </w:pPr>
      <w:r w:rsidRPr="008854EA">
        <w:rPr>
          <w:rStyle w:val="Heading3Char"/>
          <w:rFonts w:ascii="Times New Roman" w:hAnsi="Times New Roman"/>
          <w:noProof/>
          <w:lang w:val="sk-SK"/>
        </w:rPr>
        <w:t>Námorná doprava</w:t>
      </w:r>
    </w:p>
    <w:p w14:paraId="7ACDB70D" w14:textId="7AFBA3B3" w:rsidR="00E31BEE" w:rsidRPr="008854EA" w:rsidRDefault="00E31BEE" w:rsidP="00E31BEE">
      <w:pPr>
        <w:pStyle w:val="Body"/>
        <w:rPr>
          <w:noProof/>
          <w:lang w:val="sk-SK"/>
        </w:rPr>
      </w:pPr>
      <w:r w:rsidRPr="008854EA">
        <w:rPr>
          <w:noProof/>
          <w:lang w:val="sk-SK"/>
        </w:rPr>
        <w:t>Námorná doprava zostáva podstatným zdrojom emisií CO</w:t>
      </w:r>
      <w:r w:rsidRPr="008854EA">
        <w:rPr>
          <w:noProof/>
          <w:vertAlign w:val="subscript"/>
          <w:lang w:val="sk-SK"/>
        </w:rPr>
        <w:t>2</w:t>
      </w:r>
      <w:r w:rsidRPr="008854EA">
        <w:rPr>
          <w:noProof/>
          <w:lang w:val="sk-SK"/>
        </w:rPr>
        <w:t>, ktorý sa podieľa na približne 3 až 4 % celkových emisií CO</w:t>
      </w:r>
      <w:r w:rsidRPr="008854EA">
        <w:rPr>
          <w:noProof/>
          <w:vertAlign w:val="subscript"/>
          <w:lang w:val="sk-SK"/>
        </w:rPr>
        <w:t>2</w:t>
      </w:r>
      <w:r w:rsidRPr="008854EA">
        <w:rPr>
          <w:noProof/>
          <w:lang w:val="sk-SK"/>
        </w:rPr>
        <w:t xml:space="preserve"> v EÚ. V roku 2022 sa emisie zhromaždené podľa nariadenia o monitorovaní, nahlasovaní a overovaní</w:t>
      </w:r>
      <w:r w:rsidRPr="008854EA">
        <w:rPr>
          <w:rStyle w:val="FootnoteReference"/>
          <w:noProof/>
          <w:lang w:val="sk-SK"/>
        </w:rPr>
        <w:footnoteReference w:id="58"/>
      </w:r>
      <w:r w:rsidRPr="008854EA">
        <w:rPr>
          <w:noProof/>
          <w:lang w:val="sk-SK"/>
        </w:rPr>
        <w:t xml:space="preserve"> zvýšili o 7 % v porovnaní s predchádzajúcim rokom, keďže sa sektor zotavil z poklesu, ktorý spôsobila pandémia ochorenia COVID-19. V máji 2023 bolo v rámci revidovanej smernice EU ETS zmenené nariadenie EÚ o monitorovaní, nahlasovaní a overovaní emisií oxidu uhličitého z námornej dopravy s cieľom rozšíriť jeho rozsah tak, aby zahŕňalo aj emisie iné ako CO</w:t>
      </w:r>
      <w:r w:rsidRPr="008854EA">
        <w:rPr>
          <w:noProof/>
          <w:vertAlign w:val="subscript"/>
          <w:lang w:val="sk-SK"/>
        </w:rPr>
        <w:t>2</w:t>
      </w:r>
      <w:r w:rsidRPr="008854EA">
        <w:rPr>
          <w:noProof/>
          <w:lang w:val="sk-SK"/>
        </w:rPr>
        <w:t xml:space="preserve"> (CH4 a N2O), ako aj nové typy a veľkosti lodí. Systém EU ETS bude preto od roku 2024 zahŕňať aj emisie CO</w:t>
      </w:r>
      <w:r w:rsidRPr="008854EA">
        <w:rPr>
          <w:noProof/>
          <w:vertAlign w:val="subscript"/>
          <w:lang w:val="sk-SK"/>
        </w:rPr>
        <w:t>2</w:t>
      </w:r>
      <w:r w:rsidRPr="008854EA">
        <w:rPr>
          <w:noProof/>
          <w:lang w:val="sk-SK"/>
        </w:rPr>
        <w:t xml:space="preserve"> z veľkých lodí, ktoré zastavia v prístavoch EÚ, a od roku 2026 aj emisie iné ako CO</w:t>
      </w:r>
      <w:r w:rsidRPr="008854EA">
        <w:rPr>
          <w:noProof/>
          <w:vertAlign w:val="subscript"/>
          <w:lang w:val="sk-SK"/>
        </w:rPr>
        <w:t>2</w:t>
      </w:r>
      <w:r w:rsidRPr="008854EA">
        <w:rPr>
          <w:noProof/>
          <w:lang w:val="sk-SK"/>
        </w:rPr>
        <w:t>. Na medzinárodnej úrovni EÚ úspešne podporila zvýšenie ambícií stratégie Medzinárodnej námornej organizácie z roku 2018 na znižovanie emisií skleníkových plynov. V revidovanej stratégii schválenej v júli 2023 sa stanovuje cieľ nulovej bilancie emisií z lodí „do roku 2050 alebo okolo roku 2050“, ako aj orientačné kontrolné body stanovené na zníženie emisií skleníkových plynov z lodí aspoň o 20 % (pričom snahou je 30 %) v roku 2030 a najmenej o 70 % (pričom snahou je 80 %) v roku 2040, oba v porovnaní s úrovňami z roku 2008.</w:t>
      </w:r>
    </w:p>
    <w:p w14:paraId="40F46A7B" w14:textId="77777777" w:rsidR="00E31BEE" w:rsidRPr="008854EA" w:rsidRDefault="00E31BEE" w:rsidP="00A226FF">
      <w:pPr>
        <w:pStyle w:val="NormalWeb"/>
        <w:jc w:val="both"/>
        <w:rPr>
          <w:rStyle w:val="Heading3Char"/>
          <w:rFonts w:ascii="Times New Roman" w:hAnsi="Times New Roman" w:cs="Times New Roman"/>
          <w:noProof/>
          <w:lang w:val="sk-SK"/>
        </w:rPr>
      </w:pPr>
      <w:r w:rsidRPr="008854EA">
        <w:rPr>
          <w:rStyle w:val="Heading3Char"/>
          <w:rFonts w:ascii="Times New Roman" w:hAnsi="Times New Roman"/>
          <w:noProof/>
          <w:lang w:val="sk-SK"/>
        </w:rPr>
        <w:t xml:space="preserve">Letecká doprava </w:t>
      </w:r>
    </w:p>
    <w:p w14:paraId="7BA5B4CA" w14:textId="21DC60D1" w:rsidR="00E31BEE" w:rsidRPr="008854EA" w:rsidRDefault="00E31BEE" w:rsidP="00E31BEE">
      <w:pPr>
        <w:pStyle w:val="Body"/>
        <w:rPr>
          <w:noProof/>
          <w:lang w:val="sk-SK"/>
        </w:rPr>
      </w:pPr>
      <w:r w:rsidRPr="008854EA">
        <w:rPr>
          <w:rStyle w:val="normaltextrun"/>
          <w:noProof/>
          <w:lang w:val="sk-SK"/>
        </w:rPr>
        <w:t>Celkový vplyv leteckej dopravy na klímu je v súčasnosti dva až štyrikrát vyšší ako vplyv samotných jej emisií CO</w:t>
      </w:r>
      <w:r w:rsidRPr="008854EA">
        <w:rPr>
          <w:rStyle w:val="normaltextrun"/>
          <w:noProof/>
          <w:vertAlign w:val="subscript"/>
          <w:lang w:val="sk-SK"/>
        </w:rPr>
        <w:t>2</w:t>
      </w:r>
      <w:r w:rsidRPr="008854EA">
        <w:rPr>
          <w:rStyle w:val="normaltextrun"/>
          <w:noProof/>
          <w:lang w:val="sk-SK"/>
        </w:rPr>
        <w:t xml:space="preserve"> v minulosti, pričom 66 % vplyvu leteckej dopravy na klímu predstavujú emisie iné ako CO</w:t>
      </w:r>
      <w:r w:rsidRPr="008854EA">
        <w:rPr>
          <w:rStyle w:val="normaltextrun"/>
          <w:noProof/>
          <w:vertAlign w:val="subscript"/>
          <w:lang w:val="sk-SK"/>
        </w:rPr>
        <w:t>2</w:t>
      </w:r>
      <w:r w:rsidRPr="008854EA">
        <w:rPr>
          <w:rStyle w:val="normaltextrun"/>
          <w:noProof/>
          <w:lang w:val="sk-SK"/>
        </w:rPr>
        <w:t>. Členské štáty zatiaľ nemonitorujú emisie z leteckej dopravy iné ako CO</w:t>
      </w:r>
      <w:r w:rsidRPr="008854EA">
        <w:rPr>
          <w:rStyle w:val="normaltextrun"/>
          <w:noProof/>
          <w:vertAlign w:val="subscript"/>
          <w:lang w:val="sk-SK"/>
        </w:rPr>
        <w:t>2</w:t>
      </w:r>
      <w:r w:rsidRPr="008854EA">
        <w:rPr>
          <w:rStyle w:val="normaltextrun"/>
          <w:noProof/>
          <w:lang w:val="sk-SK"/>
        </w:rPr>
        <w:t>. V revidovanej smernici o ETS sa od 1. januára 2025 od prevádzkovateľov lietadiel požaduje, aby každoročne monitorovali a oznamovali vplyvy emisií iných ako CO</w:t>
      </w:r>
      <w:r w:rsidRPr="008854EA">
        <w:rPr>
          <w:rStyle w:val="normaltextrun"/>
          <w:noProof/>
          <w:vertAlign w:val="subscript"/>
          <w:lang w:val="sk-SK"/>
        </w:rPr>
        <w:t>2</w:t>
      </w:r>
      <w:r w:rsidRPr="008854EA">
        <w:rPr>
          <w:rStyle w:val="normaltextrun"/>
          <w:noProof/>
          <w:lang w:val="sk-SK"/>
        </w:rPr>
        <w:t xml:space="preserve"> každého letu. Do 31. decembra 2027 Komisia na základe výsledkov uplatňovania rámca monitorovania, nahlasovania a overovania vplyvov leteckej dopravy, ktoré nesúvisia s emisiami CO</w:t>
      </w:r>
      <w:r w:rsidRPr="008854EA">
        <w:rPr>
          <w:rStyle w:val="normaltextrun"/>
          <w:noProof/>
          <w:vertAlign w:val="subscript"/>
          <w:lang w:val="sk-SK"/>
        </w:rPr>
        <w:t>2</w:t>
      </w:r>
      <w:r w:rsidRPr="008854EA">
        <w:rPr>
          <w:rStyle w:val="normaltextrun"/>
          <w:noProof/>
          <w:lang w:val="sk-SK"/>
        </w:rPr>
        <w:t xml:space="preserve"> predloží správu a prípadne legislatívny návrh s cieľom zmierniť vplyvy, ktoré nesúvisia s emisiami CO</w:t>
      </w:r>
      <w:r w:rsidRPr="008854EA">
        <w:rPr>
          <w:rStyle w:val="normaltextrun"/>
          <w:noProof/>
          <w:vertAlign w:val="subscript"/>
          <w:lang w:val="sk-SK"/>
        </w:rPr>
        <w:t>2</w:t>
      </w:r>
      <w:r w:rsidRPr="008854EA">
        <w:rPr>
          <w:rStyle w:val="normaltextrun"/>
          <w:noProof/>
          <w:lang w:val="sk-SK"/>
        </w:rPr>
        <w:t>, rozšírením rozsahu systému ETS tak, aby ich obsahoval.</w:t>
      </w:r>
      <w:r w:rsidRPr="008854EA">
        <w:rPr>
          <w:rStyle w:val="eop"/>
          <w:noProof/>
          <w:lang w:val="sk-SK"/>
        </w:rPr>
        <w:t xml:space="preserve"> </w:t>
      </w:r>
    </w:p>
    <w:p w14:paraId="1F15ADDC" w14:textId="77777777" w:rsidR="00E31BEE" w:rsidRPr="008854EA" w:rsidRDefault="00E31BEE" w:rsidP="00E31BEE">
      <w:pPr>
        <w:pStyle w:val="Heading2"/>
        <w:ind w:left="576"/>
        <w:rPr>
          <w:rFonts w:ascii="Times New Roman" w:hAnsi="Times New Roman" w:cs="Times New Roman"/>
          <w:noProof/>
          <w:lang w:val="sk-SK"/>
        </w:rPr>
      </w:pPr>
      <w:r w:rsidRPr="008854EA">
        <w:rPr>
          <w:rFonts w:ascii="Times New Roman" w:hAnsi="Times New Roman"/>
          <w:noProof/>
          <w:lang w:val="sk-SK"/>
        </w:rPr>
        <w:t>Vyvážený trh EÚ s uhlíkom</w:t>
      </w:r>
    </w:p>
    <w:p w14:paraId="2157F21C" w14:textId="3BC7AEE5" w:rsidR="00E31BEE" w:rsidRPr="008854EA" w:rsidRDefault="00E31BEE" w:rsidP="671BAF5A">
      <w:pPr>
        <w:pStyle w:val="Body"/>
        <w:rPr>
          <w:rStyle w:val="Strong"/>
          <w:b w:val="0"/>
          <w:noProof/>
          <w:lang w:val="sk-SK"/>
        </w:rPr>
      </w:pPr>
      <w:r w:rsidRPr="008854EA">
        <w:rPr>
          <w:rStyle w:val="Strong"/>
          <w:b w:val="0"/>
          <w:noProof/>
          <w:lang w:val="sk-SK"/>
        </w:rPr>
        <w:t xml:space="preserve">Od roku 2019 funguje systém EU ETS s trhovou stabilizačnou rezervou, ktorá rieši historický prebytok kvót nahromadených v systéme a zlepšuje odolnosť trhu EÚ s uhlíkom voči dopytovým šokom. Na základe celkového počtu kvót v obehu každý rok rezerva buď odoberie, alebo uvoľní kvóty, čím riadi ich dodávku do budúcich aukcií. Toto pomáha udržiavať silný cenový signál v ETS s cieľom stimulovať znižovanie emisií a zohľadniť ho pri hodnotení investícií. </w:t>
      </w:r>
    </w:p>
    <w:p w14:paraId="3EA2056A" w14:textId="0F0FE678" w:rsidR="00E31BEE" w:rsidRPr="008854EA" w:rsidRDefault="0A19B80B" w:rsidP="00E31BEE">
      <w:pPr>
        <w:pStyle w:val="Body"/>
        <w:rPr>
          <w:rStyle w:val="Strong"/>
          <w:rFonts w:asciiTheme="minorHAnsi" w:eastAsiaTheme="minorEastAsia" w:hAnsiTheme="minorHAnsi" w:cstheme="minorBidi"/>
          <w:b w:val="0"/>
          <w:noProof/>
          <w:sz w:val="22"/>
          <w:bdr w:val="none" w:sz="0" w:space="0" w:color="auto"/>
          <w:lang w:val="sk-SK"/>
        </w:rPr>
      </w:pPr>
      <w:r w:rsidRPr="008854EA">
        <w:rPr>
          <w:rStyle w:val="Strong"/>
          <w:b w:val="0"/>
          <w:noProof/>
          <w:lang w:val="sk-SK"/>
        </w:rPr>
        <w:t>V roku 2022 bol prebytok kvót v systéme EU ETS viac ako 1,1 miliardy kvót. Na základe toho rezerva aj naďalej odoberá kvóty z trhu EÚ s uhlíkom v roku 2023. Od roku 2023 kvóty držané v rezerve nad určitou hranicou stratia svoju platnosť. Znamená to, že už nemôžu byť uvoľnené na trh. Dňa 1. januára 2023 stratilo o niečo viac ako 2,5 miliardy kvót svoju platnosť. Je to viac ako všetky medzinárodné kredity doteraz použité na splnenie povinnosti v systéme EU ETS. Vďaka trhovej stabilizačnej rezerve a ambicióznemu dlhodobému výhľadu politiky v oblasti klímy v rámci Európskej zelenej dohody je cenový signál v systéme EU ETS naďalej v roku 2022 silný len s krátkym obdobím trhovej volatility v marci, ktorú vyvolala ruská agresia voči Ukrajine.</w:t>
      </w:r>
    </w:p>
    <w:p w14:paraId="68B69716" w14:textId="77777777" w:rsidR="00E31BEE" w:rsidRPr="008854EA" w:rsidRDefault="00E31BEE" w:rsidP="00E31BEE">
      <w:pPr>
        <w:rPr>
          <w:rFonts w:cstheme="minorHAnsi"/>
          <w:b/>
          <w:i/>
          <w:noProof/>
          <w:color w:val="7030A0"/>
          <w:sz w:val="18"/>
          <w:lang w:val="sk-SK"/>
        </w:rPr>
      </w:pPr>
      <w:r w:rsidRPr="008854EA">
        <w:rPr>
          <w:noProof/>
          <w:lang w:val="sk-SK"/>
        </w:rPr>
        <w:br w:type="page"/>
      </w:r>
    </w:p>
    <w:p w14:paraId="3FCF1031" w14:textId="77777777" w:rsidR="00E31BEE" w:rsidRPr="008854EA" w:rsidRDefault="00E31BEE" w:rsidP="00E31BEE">
      <w:pPr>
        <w:pStyle w:val="Heading1"/>
        <w:rPr>
          <w:rFonts w:ascii="Times New Roman" w:hAnsi="Times New Roman" w:cs="Times New Roman"/>
          <w:noProof/>
          <w:sz w:val="32"/>
          <w:lang w:val="sk-SK"/>
        </w:rPr>
      </w:pPr>
      <w:r w:rsidRPr="008854EA">
        <w:rPr>
          <w:rFonts w:ascii="Times New Roman" w:hAnsi="Times New Roman"/>
          <w:noProof/>
          <w:sz w:val="32"/>
          <w:lang w:val="sk-SK"/>
        </w:rPr>
        <w:t>EMISIE V OBLASTI SPOLOČNÉHO ÚSILIA</w:t>
      </w:r>
    </w:p>
    <w:p w14:paraId="1CAE40A6" w14:textId="77777777" w:rsidR="006D26DE" w:rsidRPr="008854EA" w:rsidRDefault="006D26DE" w:rsidP="006D26DE">
      <w:pPr>
        <w:pStyle w:val="Body"/>
        <w:rPr>
          <w:rFonts w:cstheme="minorBidi"/>
          <w:noProof/>
          <w:lang w:val="sk-SK"/>
        </w:rPr>
      </w:pPr>
      <w:r w:rsidRPr="008854EA">
        <w:rPr>
          <w:noProof/>
          <w:lang w:val="sk-SK"/>
        </w:rPr>
        <w:t>Právne predpisy o spoločnom úsilí sa vzťahujú na emisie skleníkových plynov z vnútroštátnej dopravy (okrem emisií CO</w:t>
      </w:r>
      <w:r w:rsidRPr="008854EA">
        <w:rPr>
          <w:noProof/>
          <w:vertAlign w:val="subscript"/>
          <w:lang w:val="sk-SK"/>
        </w:rPr>
        <w:t>2</w:t>
      </w:r>
      <w:r w:rsidRPr="008854EA">
        <w:rPr>
          <w:noProof/>
          <w:lang w:val="sk-SK"/>
        </w:rPr>
        <w:t xml:space="preserve"> z leteckej dopravy), budov, poľnohospodárstva, priemyselnej malovýroby a odpadu. Predstavujú približne 60 % domácich emisií v EÚ. V právnych predpisoch o spoločnom úsilí sa stanovujú záväzné národné ciele na zníženie emisií v týchto odvetviach v porovnaní s úrovňami z roku 2005, a to podľa rozhodnutia o spoločnom úsilí</w:t>
      </w:r>
      <w:r w:rsidRPr="008854EA">
        <w:rPr>
          <w:rStyle w:val="FootnoteReference"/>
          <w:noProof/>
          <w:lang w:val="sk-SK"/>
        </w:rPr>
        <w:footnoteReference w:id="59"/>
      </w:r>
      <w:r w:rsidRPr="008854EA">
        <w:rPr>
          <w:noProof/>
          <w:lang w:val="sk-SK"/>
        </w:rPr>
        <w:t xml:space="preserve"> na roky 2013 – 2020 a podľa nariadenia o spoločnom úsilí</w:t>
      </w:r>
      <w:r w:rsidRPr="008854EA">
        <w:rPr>
          <w:rStyle w:val="FootnoteReference"/>
          <w:noProof/>
          <w:lang w:val="sk-SK"/>
        </w:rPr>
        <w:footnoteReference w:id="60"/>
      </w:r>
      <w:r w:rsidRPr="008854EA">
        <w:rPr>
          <w:noProof/>
          <w:lang w:val="sk-SK"/>
        </w:rPr>
        <w:t xml:space="preserve"> na roky 2021 – 2030.</w:t>
      </w:r>
    </w:p>
    <w:p w14:paraId="594740B2" w14:textId="63F2F0B3" w:rsidR="00E31BEE" w:rsidRPr="008854EA" w:rsidRDefault="006D26DE" w:rsidP="006D26DE">
      <w:pPr>
        <w:pStyle w:val="Body"/>
        <w:rPr>
          <w:noProof/>
          <w:lang w:val="sk-SK"/>
        </w:rPr>
      </w:pPr>
      <w:r w:rsidRPr="008854EA">
        <w:rPr>
          <w:noProof/>
          <w:lang w:val="sk-SK"/>
        </w:rPr>
        <w:t>Na základe približných údajov boli emisie zo sektorov spoločného úsilia v roku 2022 o 3 % nižšie ako v roku 2021. Tento stav nasledoval po náraste emisií v roku 2021 po pandémii. K zníženiu emisií došlo najmä v odvetví budov, ktoré v porovnaní s rokom 2021 zaznamenalo pokles emisií o viac ako 9 %. Druhé najväčšie zníženie emisií zaznamenala priemyselná malovýroba, v ktorej emisie v porovnaní s rokom 2021 klesli o takmer 6 %. Odvetvie dopravy je najväčším odvetvím podliehajúcim nariadeniu o spoločnom úsilí, pričom predstavuje viac ako tretinu celkových emisií v oblasti spoločného úsilia a je jediným odvetvím, v ktorom došlo k nárastu emisií, a to o viac ako 2 % v rokoch 2021 až 2022.</w:t>
      </w:r>
    </w:p>
    <w:p w14:paraId="1D89E154" w14:textId="55A62F4C" w:rsidR="00E31BEE" w:rsidRPr="008854EA" w:rsidRDefault="00E31BEE" w:rsidP="00182A88">
      <w:pPr>
        <w:pStyle w:val="Caption"/>
        <w:pBdr>
          <w:bottom w:val="single" w:sz="4" w:space="1" w:color="auto"/>
        </w:pBdr>
        <w:spacing w:after="0" w:line="240" w:lineRule="auto"/>
        <w:ind w:left="142"/>
        <w:jc w:val="left"/>
        <w:rPr>
          <w:noProof/>
          <w:sz w:val="22"/>
          <w:lang w:val="sk-SK"/>
        </w:rPr>
      </w:pPr>
      <w:r w:rsidRPr="008854EA">
        <w:rPr>
          <w:noProof/>
          <w:sz w:val="22"/>
          <w:lang w:val="sk-SK"/>
        </w:rPr>
        <w:t>Graf 10: Emisie v odvetviach, na ktoré sa vzťahujú právne predpisy o spoločnom úsilí na roky 2005 – 2030, a ročne pridelené emisné kvóty, EÚ27</w:t>
      </w:r>
      <w:r w:rsidRPr="008854EA">
        <w:rPr>
          <w:noProof/>
          <w:sz w:val="22"/>
          <w:vertAlign w:val="superscript"/>
          <w:lang w:val="sk-SK"/>
        </w:rPr>
        <w:footnoteReference w:id="61"/>
      </w:r>
      <w:r w:rsidRPr="008854EA">
        <w:rPr>
          <w:noProof/>
          <w:sz w:val="22"/>
          <w:lang w:val="sk-SK"/>
        </w:rPr>
        <w:t xml:space="preserve"> </w:t>
      </w:r>
    </w:p>
    <w:p w14:paraId="4D96263C" w14:textId="4BD57E5B" w:rsidR="00E31BEE" w:rsidRPr="008854EA" w:rsidRDefault="00D32034" w:rsidP="00E31BEE">
      <w:pPr>
        <w:pBdr>
          <w:bottom w:val="single" w:sz="4" w:space="1" w:color="auto"/>
        </w:pBdr>
        <w:jc w:val="center"/>
        <w:rPr>
          <w:rFonts w:cstheme="minorHAnsi"/>
          <w:noProof/>
          <w:lang w:val="sk-SK"/>
        </w:rPr>
      </w:pPr>
      <w:r w:rsidRPr="008854EA">
        <w:rPr>
          <w:noProof/>
          <w:lang w:val="en-GB" w:eastAsia="en-GB"/>
        </w:rPr>
        <w:drawing>
          <wp:inline distT="0" distB="0" distL="0" distR="0" wp14:anchorId="53E5F8FA" wp14:editId="2A2CA173">
            <wp:extent cx="5760720" cy="22231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223135"/>
                    </a:xfrm>
                    <a:prstGeom prst="rect">
                      <a:avLst/>
                    </a:prstGeom>
                    <a:noFill/>
                    <a:ln>
                      <a:noFill/>
                    </a:ln>
                  </pic:spPr>
                </pic:pic>
              </a:graphicData>
            </a:graphic>
          </wp:inline>
        </w:drawing>
      </w:r>
    </w:p>
    <w:p w14:paraId="1445BA05" w14:textId="77777777" w:rsidR="00E31BEE" w:rsidRPr="008854EA" w:rsidRDefault="00E31BEE" w:rsidP="00A226FF">
      <w:pPr>
        <w:pStyle w:val="Heading2"/>
        <w:ind w:left="576"/>
        <w:rPr>
          <w:rFonts w:ascii="Times New Roman" w:hAnsi="Times New Roman" w:cs="Times New Roman"/>
          <w:noProof/>
          <w:lang w:val="sk-SK"/>
        </w:rPr>
      </w:pPr>
      <w:r w:rsidRPr="008854EA">
        <w:rPr>
          <w:rFonts w:ascii="Times New Roman" w:hAnsi="Times New Roman"/>
          <w:noProof/>
          <w:lang w:val="sk-SK"/>
        </w:rPr>
        <w:t>Výsledky rozhodnutia o spoločnom úsilí na roky 2013 – 2020</w:t>
      </w:r>
    </w:p>
    <w:p w14:paraId="51FE0CB6" w14:textId="0499B83E" w:rsidR="00E31BEE" w:rsidRPr="008854EA" w:rsidRDefault="006D26DE" w:rsidP="00E31BEE">
      <w:pPr>
        <w:pStyle w:val="Body"/>
        <w:rPr>
          <w:noProof/>
          <w:lang w:val="sk-SK"/>
        </w:rPr>
      </w:pPr>
      <w:r w:rsidRPr="008854EA">
        <w:rPr>
          <w:b/>
          <w:noProof/>
          <w:bdr w:val="none" w:sz="0" w:space="0" w:color="auto"/>
          <w:lang w:val="sk-SK"/>
        </w:rPr>
        <w:t>Všetky členské štáty si v každom roku v období 2013 až 2020 splnili povinnosti súvisiace so spoločným úsilím podľa rozhodnutia o spoločnom úsilí.</w:t>
      </w:r>
      <w:r w:rsidRPr="008854EA">
        <w:rPr>
          <w:b/>
          <w:noProof/>
          <w:lang w:val="sk-SK"/>
        </w:rPr>
        <w:t xml:space="preserve"> </w:t>
      </w:r>
      <w:r w:rsidRPr="008854EA">
        <w:rPr>
          <w:noProof/>
          <w:lang w:val="sk-SK"/>
        </w:rPr>
        <w:t xml:space="preserve">EÚ prekročila svoj cieľ zníženia emisií do roku 2020 o viac ako šesť percentuálnych bodov. Emisie v EÚ27, na ktoré sa vzťahuje rozhodnutie o spoločnom úsilí, boli v roku 2020 o 16,3 % nižšie ako v roku 2005. V porovnaní s rokom 2013 boli emisie v EÚ27 v roku 2020 nižšie o 7,2 %. Rok 2020 bol posledným rokom, na ktorý sa vzťahovalo rozhodnutie o spoločnom úsilí. Členské štáty si nemohli preniesť AEA na použitie v budúcich rokoch podľa nariadenia o spoločnom úsilí. </w:t>
      </w:r>
    </w:p>
    <w:p w14:paraId="1A3A731E" w14:textId="2BDD7670" w:rsidR="00E31BEE" w:rsidRPr="008854EA" w:rsidRDefault="006D26DE" w:rsidP="00E31BEE">
      <w:pPr>
        <w:pStyle w:val="NormalWeb"/>
        <w:jc w:val="both"/>
        <w:rPr>
          <w:rFonts w:cstheme="minorBidi"/>
          <w:noProof/>
          <w:lang w:val="sk-SK"/>
        </w:rPr>
      </w:pPr>
      <w:r w:rsidRPr="008854EA">
        <w:rPr>
          <w:noProof/>
          <w:lang w:val="sk-SK"/>
        </w:rPr>
        <w:t>V roku 2020 však štyri členské štáty emisiami prekročili svoje AEA.</w:t>
      </w:r>
      <w:r w:rsidRPr="008854EA">
        <w:rPr>
          <w:noProof/>
          <w:vertAlign w:val="superscript"/>
          <w:lang w:val="sk-SK"/>
        </w:rPr>
        <w:footnoteReference w:id="62"/>
      </w:r>
      <w:r w:rsidRPr="008854EA">
        <w:rPr>
          <w:noProof/>
          <w:lang w:val="sk-SK"/>
        </w:rPr>
        <w:t xml:space="preserve"> Cyprus využil na pokrytie svojich nadmerných emisií prebytočné AEA z predchádzajúcich rokov (prenos). Malta a Nemecko pokryli svoje nadmerné emisie nákupom AEA. Malta ich nakúpila od Bulharska a Nemecko od troch rôznych krajín (Bulharsko, Česká republika a Maďarsko). Írsko využilo na splnenie svojich povinností podľa rozhodnutia o spoločnom úsilí medzinárodné kredity z mechanizmu čistého rozvoja</w:t>
      </w:r>
      <w:r w:rsidRPr="008854EA">
        <w:rPr>
          <w:rStyle w:val="FootnoteReference"/>
          <w:noProof/>
          <w:lang w:val="sk-SK"/>
        </w:rPr>
        <w:footnoteReference w:id="63"/>
      </w:r>
      <w:r w:rsidRPr="008854EA">
        <w:rPr>
          <w:noProof/>
          <w:lang w:val="sk-SK"/>
        </w:rPr>
        <w:t xml:space="preserve"> a nakúpilo AEA od Slovenska. </w:t>
      </w:r>
    </w:p>
    <w:p w14:paraId="4F5F06F0" w14:textId="69403425" w:rsidR="00E31BEE" w:rsidRPr="008854EA" w:rsidRDefault="00E31BEE" w:rsidP="00182A88">
      <w:pPr>
        <w:pStyle w:val="Caption"/>
        <w:pBdr>
          <w:bottom w:val="single" w:sz="4" w:space="1" w:color="auto"/>
        </w:pBdr>
        <w:spacing w:after="0" w:line="240" w:lineRule="auto"/>
        <w:ind w:left="142"/>
        <w:jc w:val="left"/>
        <w:rPr>
          <w:noProof/>
          <w:sz w:val="22"/>
          <w:lang w:val="sk-SK"/>
        </w:rPr>
      </w:pPr>
      <w:r w:rsidRPr="008854EA">
        <w:rPr>
          <w:noProof/>
          <w:sz w:val="22"/>
          <w:lang w:val="sk-SK"/>
        </w:rPr>
        <w:t>Graf 11: Zmena v emisiách podľa rozhodnutia o spoločnom úsilí v rokoch 2013 až 2020 v porovnaní s ročne pridelenými emisnými kvótami na rok 2020</w:t>
      </w:r>
      <w:r w:rsidRPr="008854EA">
        <w:rPr>
          <w:rStyle w:val="FootnoteReference"/>
          <w:noProof/>
          <w:sz w:val="22"/>
          <w:lang w:val="sk-SK"/>
        </w:rPr>
        <w:footnoteReference w:id="64"/>
      </w:r>
    </w:p>
    <w:p w14:paraId="0B99F224" w14:textId="0E0BA163" w:rsidR="00E31BEE" w:rsidRPr="008854EA" w:rsidRDefault="005111F5" w:rsidP="004F0760">
      <w:pPr>
        <w:spacing w:before="120"/>
        <w:jc w:val="center"/>
        <w:rPr>
          <w:noProof/>
          <w:lang w:val="sk-SK"/>
        </w:rPr>
      </w:pPr>
      <w:r w:rsidRPr="008854EA">
        <w:rPr>
          <w:noProof/>
          <w:lang w:val="en-GB" w:eastAsia="en-GB"/>
        </w:rPr>
        <w:drawing>
          <wp:inline distT="0" distB="0" distL="0" distR="0" wp14:anchorId="508FADBF" wp14:editId="737EA176">
            <wp:extent cx="5493606" cy="2510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6462" cy="2511941"/>
                    </a:xfrm>
                    <a:prstGeom prst="rect">
                      <a:avLst/>
                    </a:prstGeom>
                    <a:noFill/>
                    <a:ln>
                      <a:noFill/>
                    </a:ln>
                  </pic:spPr>
                </pic:pic>
              </a:graphicData>
            </a:graphic>
          </wp:inline>
        </w:drawing>
      </w:r>
    </w:p>
    <w:p w14:paraId="2BEB1776" w14:textId="77777777" w:rsidR="00E31BEE" w:rsidRPr="008854EA" w:rsidRDefault="00E31BEE" w:rsidP="00D334C2">
      <w:pPr>
        <w:pBdr>
          <w:top w:val="single" w:sz="4" w:space="1" w:color="auto"/>
        </w:pBdr>
        <w:jc w:val="both"/>
        <w:rPr>
          <w:noProof/>
          <w:lang w:val="sk-SK"/>
        </w:rPr>
      </w:pPr>
    </w:p>
    <w:p w14:paraId="74EFCF2C" w14:textId="77777777" w:rsidR="00E31BEE" w:rsidRPr="008854EA" w:rsidRDefault="00E31BEE" w:rsidP="00A226FF">
      <w:pPr>
        <w:pStyle w:val="Heading2"/>
        <w:ind w:left="576"/>
        <w:rPr>
          <w:rFonts w:ascii="Times New Roman" w:hAnsi="Times New Roman" w:cs="Times New Roman"/>
          <w:noProof/>
          <w:lang w:val="sk-SK"/>
        </w:rPr>
      </w:pPr>
      <w:r w:rsidRPr="008854EA">
        <w:rPr>
          <w:rFonts w:ascii="Times New Roman" w:hAnsi="Times New Roman"/>
          <w:noProof/>
          <w:lang w:val="sk-SK"/>
        </w:rPr>
        <w:t>Pokrok z hľadiska nariadenia o spoločnom úsilí na roky 2021 – 2030</w:t>
      </w:r>
    </w:p>
    <w:p w14:paraId="3FF9270E" w14:textId="77777777" w:rsidR="00A8661E" w:rsidRPr="008854EA" w:rsidRDefault="006D26DE" w:rsidP="00E31BEE">
      <w:pPr>
        <w:pStyle w:val="Body"/>
        <w:rPr>
          <w:noProof/>
          <w:lang w:val="sk-SK"/>
        </w:rPr>
      </w:pPr>
      <w:r w:rsidRPr="008854EA">
        <w:rPr>
          <w:noProof/>
          <w:lang w:val="sk-SK"/>
        </w:rPr>
        <w:t xml:space="preserve">V apríli 2023 bolo nariadenie o spoločnom úsilí zmenené s cieľom zvýšiť ambície na rok 2030. Celoúnijný cieľ podľa nariadenia o spoločnom úsilí zameraný na zníženie emisií sa tak zvýšil z 29 % (pre EÚ27) na 40 % do roku 2030 v porovnaní s úrovňami z roku 2005. Celkový cieľ nariadenia o spoločnom úsilí sa premietol do zvýšených národných cieľov znižovania emisií skleníkových plynov do roku 2030 a ambicióznejších limitných hodnôt emisií skleníkových plynov na roky 2023 – 2030. Táto zmena sa dotkla aj niektorých flexibilít, ktoré majú členské štáty k dispozícii pri plnení svojich ročných limitných hodnôt emisií a cieľov v oblasti skleníkových plynov, a boli posilnené ďalšie ustanovenia (pozri viac informácií v kapitole 2 </w:t>
      </w:r>
      <w:r w:rsidRPr="008854EA">
        <w:rPr>
          <w:noProof/>
          <w:color w:val="000000" w:themeColor="text1"/>
          <w:lang w:val="sk-SK"/>
        </w:rPr>
        <w:t>pracovného dokumentu útvarov Komisie – </w:t>
      </w:r>
      <w:r w:rsidRPr="008854EA">
        <w:rPr>
          <w:noProof/>
          <w:lang w:val="sk-SK"/>
        </w:rPr>
        <w:t xml:space="preserve">„Technické informácie“). </w:t>
      </w:r>
    </w:p>
    <w:p w14:paraId="2EEBCBDD" w14:textId="5A4FBC56" w:rsidR="00E31BEE" w:rsidRPr="008854EA" w:rsidRDefault="006D26DE" w:rsidP="00E31BEE">
      <w:pPr>
        <w:pStyle w:val="Body"/>
        <w:rPr>
          <w:noProof/>
          <w:lang w:val="sk-SK"/>
        </w:rPr>
      </w:pPr>
      <w:r w:rsidRPr="008854EA">
        <w:rPr>
          <w:noProof/>
          <w:lang w:val="sk-SK"/>
        </w:rPr>
        <w:t>Nariadenie o spoločnom úsilí uplatňujú aj Island a Nórsko, ďalej sa však uvádza vývoj v oblasti (predpokladaných) emisií, ktorý sa týka len členských štátov EÚ</w:t>
      </w:r>
      <w:r w:rsidRPr="008854EA">
        <w:rPr>
          <w:rStyle w:val="FootnoteReference"/>
          <w:noProof/>
          <w:lang w:val="sk-SK"/>
        </w:rPr>
        <w:footnoteReference w:id="65"/>
      </w:r>
      <w:r w:rsidRPr="008854EA">
        <w:rPr>
          <w:noProof/>
          <w:lang w:val="sk-SK"/>
        </w:rPr>
        <w:t xml:space="preserve">. </w:t>
      </w:r>
    </w:p>
    <w:p w14:paraId="36F0B93A" w14:textId="58F05AC5" w:rsidR="006D26DE" w:rsidRPr="008854EA" w:rsidRDefault="006D26DE" w:rsidP="006D26DE">
      <w:pPr>
        <w:pStyle w:val="Body"/>
        <w:rPr>
          <w:noProof/>
          <w:lang w:val="sk-SK"/>
        </w:rPr>
      </w:pPr>
      <w:bookmarkStart w:id="12" w:name="_Hlk144360429"/>
      <w:r w:rsidRPr="008854EA">
        <w:rPr>
          <w:noProof/>
          <w:lang w:val="sk-SK"/>
        </w:rPr>
        <w:t>V roku 2021 zostali celoúnijné emisie v odvetviach podliehajúcich nariadeniu o spoločnom úsilí na úrovni 3,3 % pod súhrnnou limitnou hodnotou emisií, pričom päť členských štátov malo emisie vyššie ako AEA</w:t>
      </w:r>
      <w:r w:rsidRPr="008854EA">
        <w:rPr>
          <w:rStyle w:val="FootnoteReference"/>
          <w:noProof/>
          <w:lang w:val="sk-SK"/>
        </w:rPr>
        <w:footnoteReference w:id="66"/>
      </w:r>
      <w:r w:rsidRPr="008854EA">
        <w:rPr>
          <w:noProof/>
          <w:lang w:val="sk-SK"/>
        </w:rPr>
        <w:t xml:space="preserve">. Na základe približných údajov sa odhaduje, že celoúnijné emisie podľa nariadenia o spoločnom úsilí boli v roku 2022 o 2 % nižšie ako súhrnná limitná hodnota emisií. </w:t>
      </w:r>
      <w:bookmarkEnd w:id="12"/>
      <w:r w:rsidRPr="008854EA">
        <w:rPr>
          <w:noProof/>
          <w:lang w:val="sk-SK"/>
        </w:rPr>
        <w:t>Očakáva sa, že deväť členských štátov produkovalo v roku 2022 emisie prekračujúce ich AEA</w:t>
      </w:r>
      <w:r w:rsidRPr="008854EA">
        <w:rPr>
          <w:rStyle w:val="FootnoteReference"/>
          <w:noProof/>
          <w:lang w:val="sk-SK"/>
        </w:rPr>
        <w:footnoteReference w:id="67"/>
      </w:r>
      <w:r w:rsidRPr="008854EA">
        <w:rPr>
          <w:noProof/>
          <w:lang w:val="sk-SK"/>
        </w:rPr>
        <w:t xml:space="preserve">. Konečné emisie podľa nariadenia o spoločnom úsilí za roky 2021 a 2022 sa určia až po komplexnom preskúmaní v roku 2027, keď sa uskutoční cyklus hodnotenia súladu za každý z rokov 2021 až 2025. Členské štáty potom môžu na splnenie svojich ročných limitných hodnôt emisií využiť flexibility dostupné podľa nariadenia o spoločnom úsilí. Na hodnotenie pokroku pri dosahovaní cieľov nariadenia o spoločnom úsilí však v tejto fáze možno použiť projekcie emisií, ktoré členské štáty predložili v marci 2023. Zo súhrnných projekcií vyplýva, že so zahrnutím plánovaných opatrení sa v roku 2030 očakáva pokles celoúnijných emisií podľa nariadenia o spoločnom úsilí o 32 % v porovnaní s úrovňami z roku 2005 (pozri graf 12). Je to menej než celoúnijný cieľ nariadenia o spoločnom úsilí, ktorým je zníženie emisií v roku 2030 o 40 % v porovnaní s úrovňami z roku 2005. </w:t>
      </w:r>
    </w:p>
    <w:p w14:paraId="4BFEBE09" w14:textId="4B989D3E" w:rsidR="006D26DE" w:rsidRPr="008854EA" w:rsidRDefault="006D26DE" w:rsidP="006D26DE">
      <w:pPr>
        <w:pStyle w:val="Body"/>
        <w:rPr>
          <w:noProof/>
          <w:lang w:val="sk-SK"/>
        </w:rPr>
      </w:pPr>
      <w:r w:rsidRPr="008854EA">
        <w:rPr>
          <w:noProof/>
          <w:lang w:val="sk-SK"/>
        </w:rPr>
        <w:t>Na základe najnovších projekcií emisií členských štátov Komisia posúdila aj pokrok členských štátov pri plnení ich ročných limitných hodnôt emisií v rokoch 2021 – 2030 s prihliadnutím na flexibility dostupné podľa nariadenia o spoločnom úsilí</w:t>
      </w:r>
      <w:r w:rsidRPr="008854EA">
        <w:rPr>
          <w:rStyle w:val="FootnoteReference"/>
          <w:noProof/>
          <w:lang w:val="sk-SK"/>
        </w:rPr>
        <w:footnoteReference w:id="68"/>
      </w:r>
      <w:r w:rsidRPr="008854EA">
        <w:rPr>
          <w:noProof/>
          <w:lang w:val="sk-SK"/>
        </w:rPr>
        <w:t>. Aj pri zohľadnení predpokladu, že členské štáty použijú na pokrytie nadmerných emisií podľa nariadenia o spoločnom úsilí ušetrené AEA z predchádzajúcich rokov (prenos) a/alebo existujúcu flexibilitu ETS, bude mať nadmerné emisie aspoň v jednom roku v období 2021 – 2030 až 19 členských štátov</w:t>
      </w:r>
      <w:r w:rsidRPr="008854EA">
        <w:rPr>
          <w:rStyle w:val="FootnoteReference"/>
          <w:noProof/>
          <w:lang w:val="sk-SK"/>
        </w:rPr>
        <w:footnoteReference w:id="69"/>
      </w:r>
      <w:r w:rsidRPr="008854EA">
        <w:rPr>
          <w:noProof/>
          <w:lang w:val="sk-SK"/>
        </w:rPr>
        <w:t>. Osem členských štátov má nadmerné emisie už v prvom období hodnotenia súladu (2021 – 2025), čo zvyšuje náročnosť tejto výzvy, keďže je k dispozícii menej času na vypracovanie ďalších politík na znižovanie emisií</w:t>
      </w:r>
      <w:r w:rsidRPr="008854EA">
        <w:rPr>
          <w:rStyle w:val="FootnoteReference"/>
          <w:noProof/>
          <w:lang w:val="sk-SK"/>
        </w:rPr>
        <w:footnoteReference w:id="70"/>
      </w:r>
      <w:r w:rsidRPr="008854EA">
        <w:rPr>
          <w:noProof/>
          <w:lang w:val="sk-SK"/>
        </w:rPr>
        <w:t>. Nadmerné emisie budú mať v rokoch 2021 – 2023 najmä Cyprus, Taliansko a Rumunsko a v menšej miere Chorvátsko</w:t>
      </w:r>
      <w:r w:rsidRPr="008854EA">
        <w:rPr>
          <w:rStyle w:val="FootnoteReference"/>
          <w:noProof/>
          <w:sz w:val="22"/>
          <w:lang w:val="sk-SK"/>
        </w:rPr>
        <w:footnoteReference w:id="71"/>
      </w:r>
      <w:r w:rsidRPr="008854EA">
        <w:rPr>
          <w:noProof/>
          <w:lang w:val="sk-SK"/>
        </w:rPr>
        <w:t>.</w:t>
      </w:r>
    </w:p>
    <w:p w14:paraId="06CD428E" w14:textId="3B8651DE" w:rsidR="006D26DE" w:rsidRPr="008854EA" w:rsidRDefault="006D26DE" w:rsidP="006D26DE">
      <w:pPr>
        <w:pStyle w:val="Body"/>
        <w:rPr>
          <w:noProof/>
          <w:lang w:val="sk-SK"/>
        </w:rPr>
      </w:pPr>
      <w:r w:rsidRPr="008854EA">
        <w:rPr>
          <w:noProof/>
          <w:lang w:val="sk-SK"/>
        </w:rPr>
        <w:t>Podľa článku 9 ods. 2 nariadenia o spoločnom úsilí sa všetky debety (t. j. nadmerné emisie) podľa nariadenia o LULUCF v rokoch 2021 až 2025 automaticky odpočítajú od AEA členských štátov v rámci prvého obdobia hodnotenia súladu s nariadením o spoločnom úsilí. Na základe dostupných odhadovaných údajov o emisiách z LULUCF za roky 2021 – 2025 vykazujú znepokojujúci vývoj Česká republika, Estónsko, Fínsko, Francúzsko, Portugalsko a Slovinsko (pozri kapitolu 4). Ak sa tento vývoj v oblasti LULUCF potvrdí, môže byť pre tieto krajiny náročné dosiahnuť ciele v oblasti LULUCF a môže to viesť aj k ťažkostiam pri dosahovaní cieľov podľa nariadenia o spoločnom úsilí v každom roku počas prvého obdobia hodnotenia súladu</w:t>
      </w:r>
      <w:r w:rsidRPr="008854EA">
        <w:rPr>
          <w:rStyle w:val="FootnoteReference"/>
          <w:noProof/>
          <w:lang w:val="sk-SK"/>
        </w:rPr>
        <w:footnoteReference w:id="72"/>
      </w:r>
      <w:r w:rsidRPr="008854EA">
        <w:rPr>
          <w:noProof/>
          <w:lang w:val="sk-SK"/>
        </w:rPr>
        <w:t>.</w:t>
      </w:r>
    </w:p>
    <w:p w14:paraId="212D9263" w14:textId="77777777" w:rsidR="00E77D48" w:rsidRPr="008854EA" w:rsidRDefault="00E77D48" w:rsidP="00E77D48">
      <w:pPr>
        <w:pStyle w:val="Body"/>
        <w:rPr>
          <w:noProof/>
          <w:lang w:val="sk-SK"/>
        </w:rPr>
      </w:pPr>
      <w:r w:rsidRPr="008854EA">
        <w:rPr>
          <w:noProof/>
          <w:lang w:val="sk-SK"/>
        </w:rPr>
        <w:t>Niektoré členské štáty môžu na splnenie limitných hodnôt emisií podľa nariadenia o spoločnom úsilí zvýšiť svoje množstvá v rámci flexibility ETS</w:t>
      </w:r>
      <w:r w:rsidRPr="008854EA">
        <w:rPr>
          <w:rStyle w:val="FootnoteReference"/>
          <w:noProof/>
          <w:lang w:val="sk-SK"/>
        </w:rPr>
        <w:footnoteReference w:id="73"/>
      </w:r>
      <w:r w:rsidRPr="008854EA">
        <w:rPr>
          <w:noProof/>
          <w:lang w:val="sk-SK"/>
        </w:rPr>
        <w:t>. Členské štáty s dobrými výsledkami v rámci nariadenia o LULUCF môžu toto prekročenie cieľov do určitej maximálnej miery použiť na pokrytie prípadných nadmerných emisií podľa nariadenia o spoločnom úsilí. Členské štáty si takisto môžu medzi sebou prenášať AEA s cieľom zosúladiť emisie a AEA</w:t>
      </w:r>
      <w:r w:rsidRPr="008854EA">
        <w:rPr>
          <w:rStyle w:val="FootnoteReference"/>
          <w:noProof/>
          <w:lang w:val="sk-SK"/>
        </w:rPr>
        <w:footnoteReference w:id="74"/>
      </w:r>
      <w:r w:rsidRPr="008854EA">
        <w:rPr>
          <w:noProof/>
          <w:lang w:val="sk-SK"/>
        </w:rPr>
        <w:t>. Na základe súčasných projekcií však môže byť k dispozícii len obmedzené množstvo AEA na nákup.</w:t>
      </w:r>
    </w:p>
    <w:p w14:paraId="3238338A" w14:textId="18B2A7DD" w:rsidR="00A2510D" w:rsidRPr="008854EA" w:rsidRDefault="00E77D48" w:rsidP="00E77D48">
      <w:pPr>
        <w:pStyle w:val="Body"/>
        <w:rPr>
          <w:noProof/>
          <w:lang w:val="sk-SK"/>
        </w:rPr>
      </w:pPr>
      <w:r w:rsidRPr="008854EA">
        <w:rPr>
          <w:noProof/>
          <w:lang w:val="sk-SK"/>
        </w:rPr>
        <w:t>Na záver možno uviesť, že na základe informácií, ktoré sú v tejto fáze k dispozícii, a s prihliadnutím na výrazné rozdiely vyplývajúce z uvedenej analýzy sa členské štáty vyzývajú, aby zvážili dodatočné opatrenia na zníženie svojich emisií podľa nariadenia o spoločnom úsilí, najmä v rámci prebiehajúceho procesu aktualizovania národných energetických a klimatických plánov (NEKP). Niektoré členské štáty zahrnuli do svojho návrhu NEKP vyššie ambície v oblasti emisií, na ktoré sa vzťahuje nariadenie o spoločnom úsilí. Úplnejší prehľad bude preto k dispozícii v posúdení návrhov aktualizovaných NEKP, ktoré Komisia vypracuje do konca tohto roka. Keď členské štáty predložia konečné aktualizované NEKP, Komisia sa vráti k posúdeniu toho, či členské štáty dosahujú dostatočný pokrok. V prípade nedostatočného pokroku môže byť potrebné vypracovať plán nápravných opatrení podľa článku 8 nariadenia o spoločnom úsilí.</w:t>
      </w:r>
    </w:p>
    <w:p w14:paraId="18DE944B" w14:textId="77777777" w:rsidR="00A2510D" w:rsidRPr="008854EA" w:rsidRDefault="00A2510D">
      <w:pPr>
        <w:spacing w:after="160" w:line="259" w:lineRule="auto"/>
        <w:rPr>
          <w:rFonts w:ascii="Times New Roman" w:eastAsia="Arial Unicode MS" w:hAnsi="Times New Roman" w:cs="Arial Unicode MS"/>
          <w:noProof/>
          <w:sz w:val="24"/>
          <w:u w:color="000000"/>
          <w:bdr w:val="nil"/>
          <w:lang w:val="sk-SK"/>
        </w:rPr>
      </w:pPr>
      <w:r w:rsidRPr="008854EA">
        <w:rPr>
          <w:noProof/>
          <w:lang w:val="sk-SK"/>
        </w:rPr>
        <w:br w:type="page"/>
      </w:r>
    </w:p>
    <w:p w14:paraId="799BA152" w14:textId="55AA9C4A" w:rsidR="00E31BEE" w:rsidRPr="008854EA" w:rsidRDefault="00E31BEE" w:rsidP="00182A88">
      <w:pPr>
        <w:pStyle w:val="Caption"/>
        <w:pBdr>
          <w:bottom w:val="single" w:sz="4" w:space="1" w:color="auto"/>
        </w:pBdr>
        <w:spacing w:after="0" w:line="240" w:lineRule="auto"/>
        <w:ind w:left="284"/>
        <w:jc w:val="left"/>
        <w:rPr>
          <w:noProof/>
          <w:color w:val="FF0000"/>
          <w:sz w:val="22"/>
          <w:highlight w:val="yellow"/>
          <w:lang w:val="sk-SK"/>
        </w:rPr>
      </w:pPr>
      <w:r w:rsidRPr="008854EA">
        <w:rPr>
          <w:noProof/>
          <w:sz w:val="22"/>
          <w:lang w:val="sk-SK"/>
        </w:rPr>
        <w:t>Graf 12: Rozdiely medzi cieľmi nariadenia o spoločnom úsilí</w:t>
      </w:r>
      <w:r w:rsidRPr="008854EA">
        <w:rPr>
          <w:noProof/>
          <w:lang w:val="sk-SK"/>
        </w:rPr>
        <w:t xml:space="preserve"> do roku </w:t>
      </w:r>
      <w:r w:rsidRPr="008854EA">
        <w:rPr>
          <w:noProof/>
          <w:sz w:val="22"/>
          <w:lang w:val="sk-SK"/>
        </w:rPr>
        <w:t xml:space="preserve">2030 a predpokladanými emisiami skleníkových plynov </w:t>
      </w:r>
    </w:p>
    <w:p w14:paraId="6288BCA6" w14:textId="0340820C" w:rsidR="00E31BEE" w:rsidRPr="008854EA" w:rsidRDefault="00D32034" w:rsidP="002660FF">
      <w:pPr>
        <w:pBdr>
          <w:bottom w:val="single" w:sz="4" w:space="1" w:color="auto"/>
        </w:pBdr>
        <w:jc w:val="center"/>
        <w:rPr>
          <w:noProof/>
          <w:lang w:val="sk-SK"/>
        </w:rPr>
      </w:pPr>
      <w:r w:rsidRPr="008854EA">
        <w:rPr>
          <w:noProof/>
          <w:lang w:val="en-GB" w:eastAsia="en-GB"/>
        </w:rPr>
        <w:drawing>
          <wp:inline distT="0" distB="0" distL="0" distR="0" wp14:anchorId="1070AFF4" wp14:editId="508500B4">
            <wp:extent cx="4896607" cy="38932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8902" cy="3895038"/>
                    </a:xfrm>
                    <a:prstGeom prst="rect">
                      <a:avLst/>
                    </a:prstGeom>
                    <a:noFill/>
                    <a:ln>
                      <a:noFill/>
                    </a:ln>
                  </pic:spPr>
                </pic:pic>
              </a:graphicData>
            </a:graphic>
          </wp:inline>
        </w:drawing>
      </w:r>
    </w:p>
    <w:p w14:paraId="29B21B44" w14:textId="06DF8985" w:rsidR="00E31BEE" w:rsidRPr="008854EA" w:rsidRDefault="00E31BEE" w:rsidP="00A226FF">
      <w:pPr>
        <w:pStyle w:val="Heading2"/>
        <w:ind w:left="576"/>
        <w:rPr>
          <w:rFonts w:ascii="Times New Roman" w:hAnsi="Times New Roman" w:cs="Times New Roman"/>
          <w:noProof/>
          <w:lang w:val="sk-SK"/>
        </w:rPr>
      </w:pPr>
      <w:r w:rsidRPr="008854EA">
        <w:rPr>
          <w:rFonts w:ascii="Times New Roman" w:hAnsi="Times New Roman"/>
          <w:noProof/>
          <w:lang w:val="sk-SK"/>
        </w:rPr>
        <w:t>Vývoj v oblasti emisií podľa druhu plynu v rámci právnych predpisov o spoločnom úsilí</w:t>
      </w:r>
    </w:p>
    <w:p w14:paraId="39672D59" w14:textId="5B7306AC" w:rsidR="00E31BEE" w:rsidRPr="008854EA" w:rsidRDefault="00E77D48" w:rsidP="00E31BEE">
      <w:pPr>
        <w:pStyle w:val="Body"/>
        <w:rPr>
          <w:noProof/>
          <w:lang w:val="sk-SK"/>
        </w:rPr>
      </w:pPr>
      <w:r w:rsidRPr="008854EA">
        <w:rPr>
          <w:noProof/>
          <w:lang w:val="sk-SK"/>
        </w:rPr>
        <w:t>Približne dve tretiny celkových emisií zo sektorov spoločného úsilia predstavujú emisie CO</w:t>
      </w:r>
      <w:r w:rsidRPr="008854EA">
        <w:rPr>
          <w:noProof/>
          <w:vertAlign w:val="subscript"/>
          <w:lang w:val="sk-SK"/>
        </w:rPr>
        <w:t>2</w:t>
      </w:r>
      <w:r w:rsidRPr="008854EA">
        <w:rPr>
          <w:noProof/>
          <w:lang w:val="sk-SK"/>
        </w:rPr>
        <w:t xml:space="preserve"> a zvyšnú tretinu tvoria emisie iné než emisie CO</w:t>
      </w:r>
      <w:r w:rsidRPr="008854EA">
        <w:rPr>
          <w:noProof/>
          <w:vertAlign w:val="subscript"/>
          <w:lang w:val="sk-SK"/>
        </w:rPr>
        <w:t>2</w:t>
      </w:r>
      <w:r w:rsidRPr="008854EA">
        <w:rPr>
          <w:noProof/>
          <w:lang w:val="sk-SK"/>
        </w:rPr>
        <w:t>. Medzi skleníkové plyny iné než CO</w:t>
      </w:r>
      <w:r w:rsidRPr="008854EA">
        <w:rPr>
          <w:noProof/>
          <w:vertAlign w:val="subscript"/>
          <w:lang w:val="sk-SK"/>
        </w:rPr>
        <w:t>2</w:t>
      </w:r>
      <w:r w:rsidRPr="008854EA">
        <w:rPr>
          <w:noProof/>
          <w:lang w:val="sk-SK"/>
        </w:rPr>
        <w:t xml:space="preserve"> patrí metán (CH</w:t>
      </w:r>
      <w:r w:rsidRPr="008854EA">
        <w:rPr>
          <w:noProof/>
          <w:vertAlign w:val="subscript"/>
          <w:lang w:val="sk-SK"/>
        </w:rPr>
        <w:t>4</w:t>
      </w:r>
      <w:r w:rsidRPr="008854EA">
        <w:rPr>
          <w:noProof/>
          <w:lang w:val="sk-SK"/>
        </w:rPr>
        <w:t>), oxid dusný (N</w:t>
      </w:r>
      <w:r w:rsidRPr="008854EA">
        <w:rPr>
          <w:noProof/>
          <w:vertAlign w:val="subscript"/>
          <w:lang w:val="sk-SK"/>
        </w:rPr>
        <w:t>2</w:t>
      </w:r>
      <w:r w:rsidRPr="008854EA">
        <w:rPr>
          <w:noProof/>
          <w:lang w:val="sk-SK"/>
        </w:rPr>
        <w:t>O) a fluórované plyny [fluorid dusitý (NF</w:t>
      </w:r>
      <w:r w:rsidRPr="008854EA">
        <w:rPr>
          <w:noProof/>
          <w:vertAlign w:val="subscript"/>
          <w:lang w:val="sk-SK"/>
        </w:rPr>
        <w:t>3</w:t>
      </w:r>
      <w:r w:rsidRPr="008854EA">
        <w:rPr>
          <w:noProof/>
          <w:lang w:val="sk-SK"/>
        </w:rPr>
        <w:t>), neúplne fluórované uhľovodíky, úplne fluórované uhľovodíky, fluorid sírový (SF</w:t>
      </w:r>
      <w:r w:rsidRPr="008854EA">
        <w:rPr>
          <w:noProof/>
          <w:vertAlign w:val="subscript"/>
          <w:lang w:val="sk-SK"/>
        </w:rPr>
        <w:t>6</w:t>
      </w:r>
      <w:r w:rsidRPr="008854EA">
        <w:rPr>
          <w:noProof/>
          <w:lang w:val="sk-SK"/>
        </w:rPr>
        <w:t>)]. Zatiaľ čo na väčšinu emisií v odvetví energetiky sa vzťahuje EU ETS, emisie metánu v tomto odvetví patria pod nariadenie o spoločnom úsilí. Tieto plyny iné než CO</w:t>
      </w:r>
      <w:r w:rsidRPr="008854EA">
        <w:rPr>
          <w:noProof/>
          <w:vertAlign w:val="subscript"/>
          <w:lang w:val="sk-SK"/>
        </w:rPr>
        <w:t>2</w:t>
      </w:r>
      <w:r w:rsidRPr="008854EA">
        <w:rPr>
          <w:noProof/>
          <w:lang w:val="sk-SK"/>
        </w:rPr>
        <w:t xml:space="preserve"> sú emitované z rôznych odvetví a procesov a všetky majú oveľa vyšší potenciál globálneho otepľovania ako CO</w:t>
      </w:r>
      <w:r w:rsidRPr="008854EA">
        <w:rPr>
          <w:noProof/>
          <w:vertAlign w:val="subscript"/>
          <w:lang w:val="sk-SK"/>
        </w:rPr>
        <w:t>2</w:t>
      </w:r>
      <w:r w:rsidRPr="008854EA">
        <w:rPr>
          <w:noProof/>
          <w:lang w:val="sk-SK"/>
        </w:rPr>
        <w:t>, a to 10-násobne až 10 000-násobne v závislosti od druhu plynu. V dôsledku toho majú emisie plynov iných než CO</w:t>
      </w:r>
      <w:r w:rsidRPr="008854EA">
        <w:rPr>
          <w:noProof/>
          <w:vertAlign w:val="subscript"/>
          <w:lang w:val="sk-SK"/>
        </w:rPr>
        <w:t>2</w:t>
      </w:r>
      <w:r w:rsidRPr="008854EA">
        <w:rPr>
          <w:noProof/>
          <w:lang w:val="sk-SK"/>
        </w:rPr>
        <w:t xml:space="preserve"> významný vplyv na zmenu klímy a sú kľúčovým zdrojom možného znižovania emisií vo viacerých odvetviach. Zmiernenie emisií plynov iných než CO</w:t>
      </w:r>
      <w:r w:rsidRPr="008854EA">
        <w:rPr>
          <w:noProof/>
          <w:vertAlign w:val="subscript"/>
          <w:lang w:val="sk-SK"/>
        </w:rPr>
        <w:t>2</w:t>
      </w:r>
      <w:r w:rsidRPr="008854EA">
        <w:rPr>
          <w:noProof/>
          <w:lang w:val="sk-SK"/>
        </w:rPr>
        <w:t xml:space="preserve"> môže rýchlo znížiť globálny rast teploty. Znižovanie emisií plynov iných než CO</w:t>
      </w:r>
      <w:r w:rsidRPr="008854EA">
        <w:rPr>
          <w:noProof/>
          <w:vertAlign w:val="subscript"/>
          <w:lang w:val="sk-SK"/>
        </w:rPr>
        <w:t>2</w:t>
      </w:r>
      <w:r w:rsidRPr="008854EA">
        <w:rPr>
          <w:noProof/>
          <w:lang w:val="sk-SK"/>
        </w:rPr>
        <w:t xml:space="preserve"> je dôležité aj v záujme dosiahnutia našich cieľov podľa nariadenia o spoločnom úsilí. Približne polovica emisií plynov iných než CO</w:t>
      </w:r>
      <w:r w:rsidRPr="008854EA">
        <w:rPr>
          <w:noProof/>
          <w:vertAlign w:val="subscript"/>
          <w:lang w:val="sk-SK"/>
        </w:rPr>
        <w:t>2</w:t>
      </w:r>
      <w:r w:rsidRPr="008854EA">
        <w:rPr>
          <w:noProof/>
          <w:lang w:val="sk-SK"/>
        </w:rPr>
        <w:t xml:space="preserve"> pochádza z poľnohospodárstva. Od roku 2005 do roku 2021 sa znížili emisie plynov iných než CO</w:t>
      </w:r>
      <w:r w:rsidRPr="008854EA">
        <w:rPr>
          <w:noProof/>
          <w:vertAlign w:val="subscript"/>
          <w:lang w:val="sk-SK"/>
        </w:rPr>
        <w:t>2</w:t>
      </w:r>
      <w:r w:rsidRPr="008854EA">
        <w:rPr>
          <w:noProof/>
          <w:lang w:val="sk-SK"/>
        </w:rPr>
        <w:t xml:space="preserve"> vo všetkých odvetviach, ale najvýraznejšie zníženie sa dosiahlo v odvetví energetiky, na ktoré sa nevzťahuje ETS („ostatná energia“), a v odvetví odpadového hospodárstva. Za rovnaké obdobie zostali na relatívne stabilnej úrovni aj emisie plynov iných než CO</w:t>
      </w:r>
      <w:r w:rsidRPr="008854EA">
        <w:rPr>
          <w:noProof/>
          <w:vertAlign w:val="subscript"/>
          <w:lang w:val="sk-SK"/>
        </w:rPr>
        <w:t>2</w:t>
      </w:r>
      <w:r w:rsidRPr="008854EA">
        <w:rPr>
          <w:noProof/>
          <w:lang w:val="sk-SK"/>
        </w:rPr>
        <w:t xml:space="preserve"> pochádzajúce z poľnohospodárstva a odvetvia budov. Najviac sa znížili emisie oxidu dusného z priemyslu, na ktorý sa nevzťahuje ETS, a z odvetvia odpadového hospodárstva a emisie metánu v odvetví odpadového hospodárstva, zatiaľ čo úroveň emisií fluórovaných skleníkových plynov zostala relatívne stabilná. Stratégia EÚ pre metán sa zameriava na zníženie emisií metánu v energetike, ako aj v poľnohospodárstve a odvetví odpadového hospodárstva, a tým podporuje aj dosiahnutie cieľov nariadenia o spoločnom úsilí.</w:t>
      </w:r>
    </w:p>
    <w:p w14:paraId="46437C6F" w14:textId="25D55BAA" w:rsidR="00E31BEE" w:rsidRPr="008854EA" w:rsidRDefault="00E31BEE" w:rsidP="00182A88">
      <w:pPr>
        <w:pStyle w:val="Caption"/>
        <w:pBdr>
          <w:bottom w:val="single" w:sz="4" w:space="1" w:color="auto"/>
        </w:pBdr>
        <w:spacing w:after="0" w:line="240" w:lineRule="auto"/>
        <w:ind w:left="284"/>
        <w:jc w:val="left"/>
        <w:rPr>
          <w:noProof/>
          <w:color w:val="FF0000"/>
          <w:sz w:val="22"/>
          <w:highlight w:val="yellow"/>
          <w:lang w:val="sk-SK"/>
        </w:rPr>
      </w:pPr>
      <w:r w:rsidRPr="008854EA">
        <w:rPr>
          <w:noProof/>
          <w:sz w:val="22"/>
          <w:lang w:val="sk-SK"/>
        </w:rPr>
        <w:t>Graf 13: Emisie plynov iných než CO</w:t>
      </w:r>
      <w:r w:rsidRPr="008854EA">
        <w:rPr>
          <w:noProof/>
          <w:sz w:val="22"/>
          <w:vertAlign w:val="subscript"/>
          <w:lang w:val="sk-SK"/>
        </w:rPr>
        <w:t>2</w:t>
      </w:r>
      <w:r w:rsidRPr="008854EA">
        <w:rPr>
          <w:noProof/>
          <w:sz w:val="22"/>
          <w:lang w:val="sk-SK"/>
        </w:rPr>
        <w:t xml:space="preserve"> v rámci nariadenia o spoločnom úsilí v rokoch 2005 a 2021 podľa odvetví a druhov plynov.</w:t>
      </w:r>
      <w:r w:rsidRPr="008854EA">
        <w:rPr>
          <w:noProof/>
          <w:sz w:val="22"/>
          <w:highlight w:val="yellow"/>
          <w:lang w:val="sk-SK"/>
        </w:rPr>
        <w:t xml:space="preserve"> </w:t>
      </w:r>
    </w:p>
    <w:p w14:paraId="260984A5" w14:textId="2998CAB1" w:rsidR="00E31BEE" w:rsidRPr="008854EA" w:rsidRDefault="0011246A" w:rsidP="00C40BBB">
      <w:pPr>
        <w:pStyle w:val="Body"/>
        <w:jc w:val="left"/>
        <w:rPr>
          <w:noProof/>
          <w:lang w:val="sk-SK"/>
        </w:rPr>
      </w:pPr>
      <w:r w:rsidRPr="0011246A">
        <w:rPr>
          <w:noProof/>
          <w:lang w:val="en-GB" w:eastAsia="en-GB"/>
        </w:rPr>
        <w:drawing>
          <wp:inline distT="0" distB="0" distL="0" distR="0" wp14:anchorId="06341C02" wp14:editId="6B20D824">
            <wp:extent cx="2086532" cy="158765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1590" cy="1606721"/>
                    </a:xfrm>
                    <a:prstGeom prst="rect">
                      <a:avLst/>
                    </a:prstGeom>
                    <a:noFill/>
                    <a:ln>
                      <a:noFill/>
                    </a:ln>
                  </pic:spPr>
                </pic:pic>
              </a:graphicData>
            </a:graphic>
          </wp:inline>
        </w:drawing>
      </w:r>
      <w:r w:rsidR="00C40BBB" w:rsidRPr="008854EA">
        <w:rPr>
          <w:noProof/>
          <w:lang w:val="sk-SK"/>
        </w:rPr>
        <w:t xml:space="preserve"> </w:t>
      </w:r>
      <w:r w:rsidR="008854EA" w:rsidRPr="008854EA">
        <w:rPr>
          <w:noProof/>
          <w:lang w:val="en-GB" w:eastAsia="en-GB"/>
        </w:rPr>
        <w:drawing>
          <wp:inline distT="0" distB="0" distL="0" distR="0" wp14:anchorId="603B706E" wp14:editId="528B57F1">
            <wp:extent cx="1651232" cy="16834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2894" cy="1695297"/>
                    </a:xfrm>
                    <a:prstGeom prst="rect">
                      <a:avLst/>
                    </a:prstGeom>
                    <a:noFill/>
                    <a:ln>
                      <a:noFill/>
                    </a:ln>
                  </pic:spPr>
                </pic:pic>
              </a:graphicData>
            </a:graphic>
          </wp:inline>
        </w:drawing>
      </w:r>
      <w:r w:rsidR="00C40BBB" w:rsidRPr="008854EA">
        <w:rPr>
          <w:noProof/>
          <w:lang w:val="sk-SK"/>
        </w:rPr>
        <w:t xml:space="preserve"> </w:t>
      </w:r>
      <w:r w:rsidR="00C40BBB" w:rsidRPr="008854EA">
        <w:rPr>
          <w:noProof/>
          <w:lang w:val="en-GB" w:eastAsia="en-GB"/>
        </w:rPr>
        <w:drawing>
          <wp:inline distT="0" distB="0" distL="0" distR="0" wp14:anchorId="52E4EF42" wp14:editId="30C1DB5E">
            <wp:extent cx="1723292" cy="1699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3561" cy="1739197"/>
                    </a:xfrm>
                    <a:prstGeom prst="rect">
                      <a:avLst/>
                    </a:prstGeom>
                    <a:noFill/>
                    <a:ln>
                      <a:noFill/>
                    </a:ln>
                  </pic:spPr>
                </pic:pic>
              </a:graphicData>
            </a:graphic>
          </wp:inline>
        </w:drawing>
      </w:r>
    </w:p>
    <w:p w14:paraId="56326B02" w14:textId="77777777" w:rsidR="00E31BEE" w:rsidRPr="008854EA" w:rsidRDefault="00E31BEE" w:rsidP="008D4EE2">
      <w:pPr>
        <w:pBdr>
          <w:top w:val="single" w:sz="4" w:space="1" w:color="auto"/>
        </w:pBdr>
        <w:rPr>
          <w:noProof/>
          <w:highlight w:val="lightGray"/>
          <w:lang w:val="sk-SK"/>
        </w:rPr>
      </w:pPr>
    </w:p>
    <w:p w14:paraId="77EA168C" w14:textId="77777777" w:rsidR="008D4EE2" w:rsidRPr="008854EA" w:rsidRDefault="008D4EE2" w:rsidP="008D4EE2">
      <w:pPr>
        <w:pStyle w:val="Heading3"/>
        <w:rPr>
          <w:rFonts w:ascii="Times New Roman" w:hAnsi="Times New Roman" w:cs="Times New Roman"/>
          <w:noProof/>
          <w:sz w:val="24"/>
          <w:lang w:val="sk-SK"/>
        </w:rPr>
      </w:pPr>
      <w:r w:rsidRPr="008854EA">
        <w:rPr>
          <w:rFonts w:ascii="Times New Roman" w:hAnsi="Times New Roman"/>
          <w:noProof/>
          <w:sz w:val="24"/>
          <w:lang w:val="sk-SK"/>
        </w:rPr>
        <w:t>Fluórované skleníkové plyny</w:t>
      </w:r>
    </w:p>
    <w:p w14:paraId="31247280" w14:textId="3155473E" w:rsidR="008D4EE2" w:rsidRPr="008854EA" w:rsidRDefault="008D4EE2" w:rsidP="00DF70D3">
      <w:pPr>
        <w:pStyle w:val="Body"/>
        <w:rPr>
          <w:noProof/>
          <w:highlight w:val="lightGray"/>
          <w:lang w:val="sk-SK"/>
        </w:rPr>
      </w:pPr>
      <w:r w:rsidRPr="008854EA">
        <w:rPr>
          <w:noProof/>
          <w:lang w:val="sk-SK"/>
        </w:rPr>
        <w:t>Fluórované skleníkové plyny (tzv. F-plyny) majú až 25 000-krát väčší vplyv na globálne otepľovanie ako CO</w:t>
      </w:r>
      <w:r w:rsidRPr="008854EA">
        <w:rPr>
          <w:noProof/>
          <w:vertAlign w:val="subscript"/>
          <w:lang w:val="sk-SK"/>
        </w:rPr>
        <w:t>2</w:t>
      </w:r>
      <w:r w:rsidRPr="008854EA">
        <w:rPr>
          <w:noProof/>
          <w:lang w:val="sk-SK"/>
        </w:rPr>
        <w:t>. Emisie fluórovaných skleníkových plynov v EÚ predstavujú 2,5 % celkových emisií skleníkových plynov v EÚ. Najvýznamnejšími fluórovanými skleníkovými plynmi sú neúplne fluórované uhľovodíky. Na úrovni EÚ je regulácia fluórovaných skleníkových plynov pomerne účinná. Po roku 2014 došlo k obratu desaťročného trendu rastúcich emisií fluórovaných skleníkových plynov spôsobenému súčasným nariadením o fluórovaných skleníkových plynoch [nariadenie (EÚ) č. 517/2014]. Emisie EÚ27 v rokoch 2014 až 2021 klesli o čosi viac ako 20 % a dodávky neúplne fluórovaných uhľovodíkov na trh klesli v rokoch 2015 až 2019 o 47 % v ekvivalente CO</w:t>
      </w:r>
      <w:r w:rsidRPr="008854EA">
        <w:rPr>
          <w:noProof/>
          <w:vertAlign w:val="subscript"/>
          <w:lang w:val="sk-SK"/>
        </w:rPr>
        <w:t>2</w:t>
      </w:r>
      <w:r w:rsidRPr="008854EA">
        <w:rPr>
          <w:noProof/>
          <w:lang w:val="sk-SK"/>
        </w:rPr>
        <w:t>, najmä v dôsledku prechodu z chladiacich zariadení na alternatívy šetrnejšie ku klíme. Nariadenie EÚ bolo úspešné aj z hľadiska uľahčenia celosvetovej dohody dosiahnutej v roku 2016 o postupnom ukončovaní výroby a spotreby neúplne fluórovaných uhľovodíkov v rámci Montrealského protokolu („Kigalský dodatok“), čím sa podľa odhadov zabráni globálnemu otepľovaniu približne o 0,3 – 0,5 stupňa Celzia do roku 2100. Dosiahla sa politická dohoda o návrhu Komisie z apríla 2022 týkajúcom sa nového nariadenia o fluórovaných skleníkových plynoch s cieľom dosiahnuť ďalšie úspory emisií do roku 2050; oficiálne prijatie sa očakáva do konca roka 2023. Množstvo neúplne fluórovaných uhľovodíkov sa musí v roku 2030 znížiť približne o 95 % a v roku 2050 o 100 % v porovnaní s rokom 2015</w:t>
      </w:r>
      <w:r w:rsidRPr="008854EA">
        <w:rPr>
          <w:rStyle w:val="FootnoteReference"/>
          <w:noProof/>
          <w:lang w:val="sk-SK"/>
        </w:rPr>
        <w:footnoteReference w:id="75"/>
      </w:r>
      <w:r w:rsidRPr="008854EA">
        <w:rPr>
          <w:noProof/>
          <w:lang w:val="sk-SK"/>
        </w:rPr>
        <w:t>. Táto úspora emisií fluórovaných skleníkových plynov podporí snahu členských štátov o dosiahnutie ich cieľa podľa nariadenia o spoločnom úsilí.</w:t>
      </w:r>
    </w:p>
    <w:p w14:paraId="674006FD" w14:textId="77777777" w:rsidR="00E31BEE" w:rsidRPr="008854EA" w:rsidRDefault="00E31BEE" w:rsidP="00A226FF">
      <w:pPr>
        <w:pStyle w:val="Heading2"/>
        <w:ind w:left="576"/>
        <w:rPr>
          <w:rFonts w:ascii="Times New Roman" w:hAnsi="Times New Roman" w:cs="Times New Roman"/>
          <w:noProof/>
          <w:lang w:val="sk-SK"/>
        </w:rPr>
      </w:pPr>
      <w:r w:rsidRPr="008854EA">
        <w:rPr>
          <w:rFonts w:ascii="Times New Roman" w:hAnsi="Times New Roman"/>
          <w:noProof/>
          <w:lang w:val="sk-SK"/>
        </w:rPr>
        <w:t>Vnútroštátne politiky a opatrenia v odvetviach podliehajúcich nariadeniu o spoločnom úsilí</w:t>
      </w:r>
    </w:p>
    <w:p w14:paraId="2666ACC3" w14:textId="40E46A94" w:rsidR="00E77D48" w:rsidRPr="008854EA" w:rsidRDefault="00E77D48" w:rsidP="00E77D48">
      <w:pPr>
        <w:pStyle w:val="Body"/>
        <w:rPr>
          <w:noProof/>
          <w:lang w:val="sk-SK"/>
        </w:rPr>
      </w:pPr>
      <w:r w:rsidRPr="008854EA">
        <w:rPr>
          <w:noProof/>
          <w:lang w:val="sk-SK"/>
        </w:rPr>
        <w:t xml:space="preserve">Právne predpisy EÚ podporujú členské štáty pri plnení ich cieľov podľa nariadenia o spoločnom úsilí. V nasledujúcom oddiele sa opisujú niektoré politiky v kľúčových odvetviach podliehajúcich nariadeniu o spoločnom úsilí. </w:t>
      </w:r>
    </w:p>
    <w:p w14:paraId="7FF39348" w14:textId="06ECFEE8" w:rsidR="00E31BEE" w:rsidRPr="008854EA" w:rsidRDefault="00E77D48" w:rsidP="00E77D48">
      <w:pPr>
        <w:pStyle w:val="Body"/>
        <w:rPr>
          <w:noProof/>
          <w:highlight w:val="yellow"/>
          <w:lang w:val="sk-SK"/>
        </w:rPr>
      </w:pPr>
      <w:r w:rsidRPr="008854EA">
        <w:rPr>
          <w:noProof/>
          <w:lang w:val="sk-SK"/>
        </w:rPr>
        <w:t>V integrovaných národných energetických a klimatických správach o pokroku za rok 2023 členské štáty informovali o politikách a opatreniach, ktoré zaviedli alebo plánujú zaviesť s cieľom znížiť emisie skleníkových plynov a dosiahnuť aktuálne ciele na rok 2030 podľa nariadenia o spoločnom úsilí. Členské štáty nahlásili 1 900 jednotlivých opatrení súvisiacich s nariadením o spoločnom úsilí, čo je o 10 % viac ako v predchádzajúcom kole podávania správ</w:t>
      </w:r>
      <w:r w:rsidRPr="008854EA">
        <w:rPr>
          <w:rStyle w:val="FootnoteReference"/>
          <w:noProof/>
          <w:lang w:val="sk-SK"/>
        </w:rPr>
        <w:footnoteReference w:id="76"/>
      </w:r>
      <w:r w:rsidRPr="008854EA">
        <w:rPr>
          <w:noProof/>
          <w:lang w:val="sk-SK"/>
        </w:rPr>
        <w:t>.</w:t>
      </w:r>
    </w:p>
    <w:p w14:paraId="70DC8F9D" w14:textId="40DF9543" w:rsidR="00E31BEE" w:rsidRPr="008854EA" w:rsidRDefault="00E31BEE" w:rsidP="00182A88">
      <w:pPr>
        <w:pStyle w:val="Caption"/>
        <w:pBdr>
          <w:bottom w:val="single" w:sz="4" w:space="1" w:color="auto"/>
        </w:pBdr>
        <w:spacing w:after="0" w:line="240" w:lineRule="auto"/>
        <w:ind w:left="284"/>
        <w:jc w:val="left"/>
        <w:rPr>
          <w:noProof/>
          <w:sz w:val="22"/>
          <w:lang w:val="sk-SK"/>
        </w:rPr>
      </w:pPr>
      <w:bookmarkStart w:id="13" w:name="_Ref140241307"/>
      <w:r w:rsidRPr="008854EA">
        <w:rPr>
          <w:noProof/>
          <w:sz w:val="22"/>
          <w:lang w:val="sk-SK"/>
        </w:rPr>
        <w:t>Graf 14</w:t>
      </w:r>
      <w:bookmarkEnd w:id="13"/>
      <w:r w:rsidRPr="008854EA">
        <w:rPr>
          <w:noProof/>
          <w:lang w:val="sk-SK"/>
        </w:rPr>
        <w:t>:</w:t>
      </w:r>
      <w:r w:rsidRPr="008854EA">
        <w:rPr>
          <w:noProof/>
          <w:sz w:val="22"/>
          <w:lang w:val="sk-SK"/>
        </w:rPr>
        <w:t xml:space="preserve"> Počet jednotlivých politík a opatrení nahlásených členskými štátmi v súvislosti s odvetvím podliehajúcim nariadeniu o spoločnom úsilí</w:t>
      </w:r>
      <w:r w:rsidRPr="008854EA">
        <w:rPr>
          <w:noProof/>
          <w:sz w:val="22"/>
          <w:vertAlign w:val="superscript"/>
          <w:lang w:val="sk-SK"/>
        </w:rPr>
        <w:footnoteReference w:id="77"/>
      </w:r>
    </w:p>
    <w:p w14:paraId="587E6615" w14:textId="26253A56" w:rsidR="00E31BEE" w:rsidRPr="008854EA" w:rsidRDefault="000A667D" w:rsidP="000A667D">
      <w:pPr>
        <w:pStyle w:val="Body"/>
        <w:pBdr>
          <w:bottom w:val="single" w:sz="4" w:space="1" w:color="auto"/>
        </w:pBdr>
        <w:jc w:val="center"/>
        <w:rPr>
          <w:rFonts w:cstheme="minorBidi"/>
          <w:noProof/>
          <w:lang w:val="sk-SK"/>
        </w:rPr>
      </w:pPr>
      <w:r w:rsidRPr="008854EA">
        <w:rPr>
          <w:noProof/>
          <w:lang w:val="en-GB" w:eastAsia="en-GB"/>
        </w:rPr>
        <w:drawing>
          <wp:inline distT="0" distB="0" distL="0" distR="0" wp14:anchorId="4DFBB673" wp14:editId="3D36B030">
            <wp:extent cx="5222738" cy="28560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6491" cy="2858093"/>
                    </a:xfrm>
                    <a:prstGeom prst="rect">
                      <a:avLst/>
                    </a:prstGeom>
                    <a:noFill/>
                    <a:ln>
                      <a:noFill/>
                    </a:ln>
                  </pic:spPr>
                </pic:pic>
              </a:graphicData>
            </a:graphic>
          </wp:inline>
        </w:drawing>
      </w:r>
    </w:p>
    <w:p w14:paraId="35ED0AEC" w14:textId="77777777" w:rsidR="00E31BEE" w:rsidRPr="008854EA" w:rsidRDefault="00E31BEE" w:rsidP="00A226FF">
      <w:pPr>
        <w:pStyle w:val="Heading2"/>
        <w:ind w:left="576"/>
        <w:rPr>
          <w:rFonts w:ascii="Times New Roman" w:hAnsi="Times New Roman" w:cs="Times New Roman"/>
          <w:noProof/>
          <w:lang w:val="sk-SK"/>
        </w:rPr>
      </w:pPr>
      <w:r w:rsidRPr="008854EA">
        <w:rPr>
          <w:rFonts w:ascii="Times New Roman" w:hAnsi="Times New Roman"/>
          <w:noProof/>
          <w:lang w:val="sk-SK"/>
        </w:rPr>
        <w:t>Vývoj a politiky v oblasti emisií v kľúčových odvetviach</w:t>
      </w:r>
    </w:p>
    <w:p w14:paraId="61C8D407" w14:textId="77777777" w:rsidR="00E31BEE" w:rsidRPr="008854EA" w:rsidRDefault="00E31BEE" w:rsidP="00E31BEE">
      <w:pPr>
        <w:pStyle w:val="Heading3"/>
        <w:rPr>
          <w:rFonts w:ascii="Times New Roman" w:hAnsi="Times New Roman" w:cs="Times New Roman"/>
          <w:noProof/>
          <w:sz w:val="24"/>
          <w:lang w:val="sk-SK"/>
        </w:rPr>
      </w:pPr>
      <w:r w:rsidRPr="008854EA">
        <w:rPr>
          <w:rFonts w:ascii="Times New Roman" w:hAnsi="Times New Roman"/>
          <w:noProof/>
          <w:sz w:val="24"/>
          <w:lang w:val="sk-SK"/>
        </w:rPr>
        <w:t>Budovy</w:t>
      </w:r>
    </w:p>
    <w:p w14:paraId="337C45BD" w14:textId="3D2D3038" w:rsidR="00234C11" w:rsidRPr="008854EA" w:rsidRDefault="00E31BEE" w:rsidP="00E31BEE">
      <w:pPr>
        <w:pStyle w:val="Body"/>
        <w:rPr>
          <w:noProof/>
          <w:lang w:val="sk-SK"/>
        </w:rPr>
      </w:pPr>
      <w:r w:rsidRPr="008854EA">
        <w:rPr>
          <w:noProof/>
          <w:lang w:val="sk-SK"/>
        </w:rPr>
        <w:t>Budovy predstavujú 40 % spotrebovanej energie a 36 % priamych a nepriamych emisií skleníkových plynov v EÚ súvisiacich s energetikou. Vykurovanie, chladenie a teplá voda predstavujú 80 % energie, ktorú spotrebúvajú domácnosti. Na dosiahnutie cieľa zníženia emisií o 55 % by EÚ mala do roku 2030 znížiť emisie skleníkových plynov v budovách o 60 %, ich konečnú spotrebu energie o 14 % a spotrebu energie na vykurovanie a chladenie o 18 %.</w:t>
      </w:r>
      <w:r w:rsidRPr="008854EA">
        <w:rPr>
          <w:noProof/>
          <w:vertAlign w:val="superscript"/>
          <w:lang w:val="sk-SK"/>
        </w:rPr>
        <w:footnoteReference w:id="78"/>
      </w:r>
      <w:r w:rsidRPr="008854EA">
        <w:rPr>
          <w:noProof/>
          <w:lang w:val="sk-SK"/>
        </w:rPr>
        <w:t xml:space="preserve"> V rámci Mechanizmu na podporu obnovy a odolnosti</w:t>
      </w:r>
      <w:r w:rsidRPr="008854EA">
        <w:rPr>
          <w:rStyle w:val="FootnoteReference"/>
          <w:noProof/>
          <w:lang w:val="sk-SK"/>
        </w:rPr>
        <w:footnoteReference w:id="79"/>
      </w:r>
      <w:r w:rsidRPr="008854EA">
        <w:rPr>
          <w:noProof/>
          <w:lang w:val="sk-SK"/>
        </w:rPr>
        <w:t xml:space="preserve"> a politiky súdržnosti sa vyčleňuje značná časť finančných prostriedkov na zlepšenie energetickej účinnosti budov (pozri kapitolu 6).</w:t>
      </w:r>
    </w:p>
    <w:p w14:paraId="5185D884" w14:textId="77777777" w:rsidR="00C718F1" w:rsidRPr="008854EA" w:rsidRDefault="00F022E1" w:rsidP="00E31BEE">
      <w:pPr>
        <w:pStyle w:val="Body"/>
        <w:rPr>
          <w:noProof/>
          <w:lang w:val="sk-SK"/>
        </w:rPr>
      </w:pPr>
      <w:r w:rsidRPr="008854EA">
        <w:rPr>
          <w:noProof/>
          <w:lang w:val="sk-SK"/>
        </w:rPr>
        <w:t>Správa o obnove vnútroštátneho fondu obytných a nebytových budov a o budovách s takmer nulovou spotrebou energie poskytuje prvé hodnotenie vykonávania a pokroku národných dlhodobých stratégií obnovy do roku 2020 na základe integrovaných národných energetických a klimatických správ o pokroku za rok 2023. Vyplýva z nej, že úroveň ambícií dlhodobých stratégií obnovy nie vždy zodpovedá klimatickej neutralite v roku 2050, pričom v národných energetických a klimatických správach o pokroku bol zaznamenaný určitý pokrok, napr. mnohé krajiny pokročili v dosahovaní cieľov znižovania emisií skleníkových plynov, chýba však revízia ambícií. V správe sa takisto zdôrazňuje potreba zlepšiť sledovanie vývoja fondu budov v členských štátoch a zefektívniť a harmonizovať ukazovatele a vymedzenie pojmov.</w:t>
      </w:r>
    </w:p>
    <w:p w14:paraId="1BBE2D2B" w14:textId="1052A583" w:rsidR="00E31BEE" w:rsidRPr="008854EA" w:rsidRDefault="00C718F1" w:rsidP="00E31BEE">
      <w:pPr>
        <w:pStyle w:val="Body"/>
        <w:rPr>
          <w:noProof/>
          <w:lang w:val="sk-SK"/>
        </w:rPr>
      </w:pPr>
      <w:r w:rsidRPr="008854EA">
        <w:rPr>
          <w:noProof/>
          <w:lang w:val="sk-SK"/>
        </w:rPr>
        <w:t xml:space="preserve">Cieľom navrhovanej revízie </w:t>
      </w:r>
      <w:hyperlink r:id="rId40">
        <w:r w:rsidRPr="008854EA">
          <w:rPr>
            <w:noProof/>
            <w:lang w:val="sk-SK"/>
          </w:rPr>
          <w:t>smernice o energetickej hospodárnosti budov</w:t>
        </w:r>
      </w:hyperlink>
      <w:r w:rsidRPr="008854EA">
        <w:rPr>
          <w:noProof/>
          <w:lang w:val="sk-SK"/>
        </w:rPr>
        <w:t xml:space="preserve"> je posilniť dlhodobé stratégie obnovy (ktoré sa po novom nazývajú národné plány obnovy budov) s jasným plánom na dosiahnutie vysoko energeticky účinného a dekarbonizovaného fondu budov do roku 2050 (pozri kapitolu 2 </w:t>
      </w:r>
      <w:r w:rsidRPr="008854EA">
        <w:rPr>
          <w:noProof/>
          <w:color w:val="000000" w:themeColor="text1"/>
          <w:lang w:val="sk-SK"/>
        </w:rPr>
        <w:t>pracovného dokumentu útvarov Komisie – </w:t>
      </w:r>
      <w:r w:rsidRPr="008854EA">
        <w:rPr>
          <w:noProof/>
          <w:lang w:val="sk-SK"/>
        </w:rPr>
        <w:t>„Technické informácie“).</w:t>
      </w:r>
    </w:p>
    <w:p w14:paraId="69D78969" w14:textId="77777777" w:rsidR="00E31BEE" w:rsidRPr="008854EA" w:rsidRDefault="00E31BEE" w:rsidP="00E31BEE">
      <w:pPr>
        <w:pStyle w:val="Heading3"/>
        <w:rPr>
          <w:rFonts w:ascii="Times New Roman" w:hAnsi="Times New Roman" w:cs="Times New Roman"/>
          <w:noProof/>
          <w:sz w:val="24"/>
          <w:lang w:val="sk-SK"/>
        </w:rPr>
      </w:pPr>
      <w:r w:rsidRPr="008854EA">
        <w:rPr>
          <w:rFonts w:ascii="Times New Roman" w:hAnsi="Times New Roman"/>
          <w:noProof/>
          <w:sz w:val="24"/>
          <w:lang w:val="sk-SK"/>
        </w:rPr>
        <w:t>Poľnohospodárstvo</w:t>
      </w:r>
    </w:p>
    <w:p w14:paraId="7EE1B804" w14:textId="423F759C" w:rsidR="008D1DDE" w:rsidRPr="008854EA" w:rsidRDefault="00E31BEE" w:rsidP="002660FF">
      <w:pPr>
        <w:pStyle w:val="Body"/>
        <w:rPr>
          <w:noProof/>
          <w:lang w:val="sk-SK"/>
        </w:rPr>
      </w:pPr>
      <w:r w:rsidRPr="008854EA">
        <w:rPr>
          <w:noProof/>
          <w:lang w:val="sk-SK"/>
        </w:rPr>
        <w:t>Emisie z poľnohospodárstva v EÚ predstavujú približne desatinu celkových emisií skleníkových plynov, z čoho približne dve tretiny pochádzajú z chovu hospodárskych zvierat. Úroveň emisií od roku 2005 stagnuje – inventarizačné údaje ukazujú pomalý ročný pokles o 0,7 milióna ton ekvivalentu CO</w:t>
      </w:r>
      <w:r w:rsidRPr="008854EA">
        <w:rPr>
          <w:noProof/>
          <w:vertAlign w:val="subscript"/>
          <w:lang w:val="sk-SK"/>
        </w:rPr>
        <w:t>2</w:t>
      </w:r>
      <w:r w:rsidRPr="008854EA">
        <w:rPr>
          <w:noProof/>
          <w:lang w:val="sk-SK"/>
        </w:rPr>
        <w:t xml:space="preserve"> v rokoch 2005 až 2021. Najnovšie projekcie členských štátov týkajúce sa emisií skleníkových plynov naznačujú, že v rámci existujúcich opatrení sa tempo znižovania emisií do roku 2030 nezmení (</w:t>
      </w:r>
      <w:r w:rsidRPr="008854EA">
        <w:rPr>
          <w:noProof/>
          <w:lang w:val="sk-SK"/>
        </w:rPr>
        <w:noBreakHyphen/>
        <w:t>1 % v porovnaní s rokom 2021 alebo priemerné ročné zníženie o 0,6 milióna ton ekvivalentu CO</w:t>
      </w:r>
      <w:r w:rsidRPr="008854EA">
        <w:rPr>
          <w:noProof/>
          <w:vertAlign w:val="subscript"/>
          <w:lang w:val="sk-SK"/>
        </w:rPr>
        <w:t>2</w:t>
      </w:r>
      <w:r w:rsidRPr="008854EA">
        <w:rPr>
          <w:noProof/>
          <w:lang w:val="sk-SK"/>
        </w:rPr>
        <w:t>). So zahrnutím dodatočných opatrení však súhrnné projekcie emisií z poľnohospodárstva poukazujú na viditeľný pokles do roku 2030 (5 % alebo priemerné ročné zníženie o 2,2 milióna ton ekvivalentu CO</w:t>
      </w:r>
      <w:r w:rsidRPr="008854EA">
        <w:rPr>
          <w:noProof/>
          <w:vertAlign w:val="subscript"/>
          <w:lang w:val="sk-SK"/>
        </w:rPr>
        <w:t>2</w:t>
      </w:r>
      <w:r w:rsidRPr="008854EA">
        <w:rPr>
          <w:noProof/>
          <w:lang w:val="sk-SK"/>
        </w:rPr>
        <w:t xml:space="preserve">). Je zrejmé, že na vykonávanie zmierňujúcich opatrení v poľnohospodárstve treba vynaložiť väčšie úsilie (graf 15.a). </w:t>
      </w:r>
    </w:p>
    <w:p w14:paraId="254E78FF" w14:textId="69A65410" w:rsidR="00E31BEE" w:rsidRPr="008854EA" w:rsidRDefault="00E31BEE" w:rsidP="00182A88">
      <w:pPr>
        <w:pStyle w:val="Caption"/>
        <w:pBdr>
          <w:bottom w:val="single" w:sz="4" w:space="1" w:color="auto"/>
        </w:pBdr>
        <w:jc w:val="left"/>
        <w:rPr>
          <w:noProof/>
          <w:sz w:val="22"/>
          <w:lang w:val="sk-SK"/>
        </w:rPr>
      </w:pPr>
      <w:bookmarkStart w:id="14" w:name="_Ref147234841"/>
      <w:r w:rsidRPr="008854EA">
        <w:rPr>
          <w:noProof/>
          <w:sz w:val="22"/>
          <w:lang w:val="sk-SK"/>
        </w:rPr>
        <w:t>Graf 15</w:t>
      </w:r>
      <w:bookmarkEnd w:id="14"/>
      <w:r w:rsidRPr="008854EA">
        <w:rPr>
          <w:noProof/>
          <w:lang w:val="sk-SK"/>
        </w:rPr>
        <w:t>:</w:t>
      </w:r>
      <w:r w:rsidRPr="008854EA">
        <w:rPr>
          <w:noProof/>
          <w:sz w:val="22"/>
          <w:lang w:val="sk-SK"/>
        </w:rPr>
        <w:t xml:space="preserve"> Emisie skleníkových plynov v poľnohospodárstve (EÚ, 2005 – 2021) a politiky a opatrenia v poľnohospodárstve nahlásené v roku 2023 (podľa cieľov)</w:t>
      </w:r>
    </w:p>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5"/>
        <w:gridCol w:w="5082"/>
      </w:tblGrid>
      <w:tr w:rsidR="00E31BEE" w:rsidRPr="008854EA" w14:paraId="0D72B59F" w14:textId="77777777" w:rsidTr="009E1E6A">
        <w:trPr>
          <w:trHeight w:val="3895"/>
        </w:trPr>
        <w:tc>
          <w:tcPr>
            <w:tcW w:w="4305" w:type="dxa"/>
          </w:tcPr>
          <w:p w14:paraId="4E8488B5" w14:textId="1F6086F0" w:rsidR="00E31BEE" w:rsidRPr="008854EA" w:rsidRDefault="00EC66E7" w:rsidP="00FC088C">
            <w:pPr>
              <w:pStyle w:val="ListParagraph"/>
              <w:ind w:left="0"/>
              <w:jc w:val="center"/>
              <w:rPr>
                <w:b/>
                <w:i/>
                <w:noProof/>
                <w:color w:val="44546A" w:themeColor="text2"/>
                <w:sz w:val="18"/>
                <w:lang w:val="sk-SK"/>
              </w:rPr>
            </w:pPr>
            <w:r w:rsidRPr="008854EA">
              <w:rPr>
                <w:b/>
                <w:i/>
                <w:noProof/>
                <w:color w:val="44546A" w:themeColor="text2"/>
                <w:sz w:val="18"/>
                <w:lang w:val="sk-SK"/>
              </w:rPr>
              <w:t>Graf 15.a</w:t>
            </w:r>
          </w:p>
          <w:p w14:paraId="5CC58505" w14:textId="031E5113" w:rsidR="00E31BEE" w:rsidRPr="008854EA" w:rsidRDefault="005C3642" w:rsidP="000E570C">
            <w:pPr>
              <w:rPr>
                <w:noProof/>
                <w:lang w:val="sk-SK"/>
              </w:rPr>
            </w:pPr>
            <w:r w:rsidRPr="008854EA">
              <w:rPr>
                <w:noProof/>
                <w:lang w:val="en-GB" w:eastAsia="en-GB"/>
              </w:rPr>
              <w:drawing>
                <wp:inline distT="0" distB="0" distL="0" distR="0" wp14:anchorId="78876E16" wp14:editId="1E49751B">
                  <wp:extent cx="2596515" cy="23571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6515" cy="2357120"/>
                          </a:xfrm>
                          <a:prstGeom prst="rect">
                            <a:avLst/>
                          </a:prstGeom>
                          <a:noFill/>
                          <a:ln>
                            <a:noFill/>
                          </a:ln>
                        </pic:spPr>
                      </pic:pic>
                    </a:graphicData>
                  </a:graphic>
                </wp:inline>
              </w:drawing>
            </w:r>
          </w:p>
        </w:tc>
        <w:tc>
          <w:tcPr>
            <w:tcW w:w="5082" w:type="dxa"/>
          </w:tcPr>
          <w:p w14:paraId="208D0003" w14:textId="14CFE30B" w:rsidR="00E31BEE" w:rsidRPr="008854EA" w:rsidRDefault="00EC66E7" w:rsidP="00FC088C">
            <w:pPr>
              <w:pStyle w:val="ListParagraph"/>
              <w:ind w:left="0"/>
              <w:jc w:val="center"/>
              <w:rPr>
                <w:b/>
                <w:i/>
                <w:noProof/>
                <w:color w:val="44546A" w:themeColor="text2"/>
                <w:sz w:val="18"/>
                <w:lang w:val="sk-SK"/>
              </w:rPr>
            </w:pPr>
            <w:r w:rsidRPr="008854EA">
              <w:rPr>
                <w:b/>
                <w:i/>
                <w:noProof/>
                <w:color w:val="44546A" w:themeColor="text2"/>
                <w:sz w:val="18"/>
                <w:lang w:val="sk-SK"/>
              </w:rPr>
              <w:t>Graf 15.b</w:t>
            </w:r>
          </w:p>
          <w:p w14:paraId="5C463BD8" w14:textId="56907E58" w:rsidR="00E31BEE" w:rsidRPr="008854EA" w:rsidRDefault="00B40111" w:rsidP="00FC088C">
            <w:pPr>
              <w:rPr>
                <w:noProof/>
                <w:lang w:val="sk-SK"/>
              </w:rPr>
            </w:pPr>
            <w:r w:rsidRPr="008854EA">
              <w:rPr>
                <w:noProof/>
                <w:lang w:val="en-GB" w:eastAsia="en-GB"/>
              </w:rPr>
              <w:drawing>
                <wp:inline distT="0" distB="0" distL="0" distR="0" wp14:anchorId="3362B8E6" wp14:editId="6427B75E">
                  <wp:extent cx="2765733" cy="2316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5618" cy="2324423"/>
                          </a:xfrm>
                          <a:prstGeom prst="rect">
                            <a:avLst/>
                          </a:prstGeom>
                          <a:noFill/>
                          <a:ln>
                            <a:noFill/>
                          </a:ln>
                        </pic:spPr>
                      </pic:pic>
                    </a:graphicData>
                  </a:graphic>
                </wp:inline>
              </w:drawing>
            </w:r>
          </w:p>
        </w:tc>
      </w:tr>
    </w:tbl>
    <w:p w14:paraId="34E16373" w14:textId="77777777" w:rsidR="00665907" w:rsidRPr="008854EA" w:rsidRDefault="00665907" w:rsidP="009E1E6A">
      <w:pPr>
        <w:pStyle w:val="Body"/>
        <w:pBdr>
          <w:top w:val="single" w:sz="4" w:space="1" w:color="auto"/>
        </w:pBdr>
        <w:rPr>
          <w:noProof/>
          <w:lang w:val="sk-SK"/>
        </w:rPr>
      </w:pPr>
    </w:p>
    <w:p w14:paraId="04AE5AAC" w14:textId="15D98A95" w:rsidR="00E31BEE" w:rsidRPr="008854EA" w:rsidRDefault="000E570C" w:rsidP="009E1E6A">
      <w:pPr>
        <w:pStyle w:val="Body"/>
        <w:pBdr>
          <w:top w:val="single" w:sz="4" w:space="1" w:color="auto"/>
        </w:pBdr>
        <w:rPr>
          <w:noProof/>
          <w:lang w:val="sk-SK"/>
        </w:rPr>
      </w:pPr>
      <w:r w:rsidRPr="008854EA">
        <w:rPr>
          <w:noProof/>
          <w:lang w:val="sk-SK"/>
        </w:rPr>
        <w:t>V roku 2023 členské štáty nahlásili viac ako 300 opatrení zameraných na znižovanie emisií v poľnohospodárstve, čo predstavuje 13 % všetkých nahlásených opatrení s rozmerom dekarbonizácie (pozri graf </w:t>
      </w:r>
      <w:r w:rsidRPr="008854EA">
        <w:rPr>
          <w:noProof/>
          <w:sz w:val="22"/>
          <w:lang w:val="sk-SK"/>
        </w:rPr>
        <w:t>15</w:t>
      </w:r>
      <w:r w:rsidRPr="008854EA">
        <w:rPr>
          <w:noProof/>
          <w:lang w:val="sk-SK"/>
        </w:rPr>
        <w:t xml:space="preserve">.b), najmä s cieľom znížiť používanie hnojív a maštaľného hnoja na ornej pôde (22 %) a zlepšiť riadenie živočíšnej výroby (16 %). Mnohé z týchto opatrení sú podporované prostredníctvom financovania v rámci novej spoločnej poľnohospodárskej politiky (SPP), iné zas prostredníctvom vnútroštátneho financovania (štátna pomoc). </w:t>
      </w:r>
    </w:p>
    <w:p w14:paraId="2FD93E05" w14:textId="77777777" w:rsidR="00E31BEE" w:rsidRPr="008854EA" w:rsidRDefault="00E31BEE" w:rsidP="00E31BEE">
      <w:pPr>
        <w:pStyle w:val="Heading3"/>
        <w:rPr>
          <w:rFonts w:ascii="Times New Roman" w:hAnsi="Times New Roman" w:cs="Times New Roman"/>
          <w:noProof/>
          <w:sz w:val="24"/>
          <w:lang w:val="sk-SK"/>
        </w:rPr>
      </w:pPr>
      <w:r w:rsidRPr="008854EA">
        <w:rPr>
          <w:rFonts w:ascii="Times New Roman" w:hAnsi="Times New Roman"/>
          <w:noProof/>
          <w:sz w:val="24"/>
          <w:lang w:val="sk-SK"/>
        </w:rPr>
        <w:t>Doprava</w:t>
      </w:r>
    </w:p>
    <w:p w14:paraId="3C2D0EDF" w14:textId="28212159" w:rsidR="00E31BEE" w:rsidRPr="008854EA" w:rsidRDefault="00E31BEE" w:rsidP="00E31BEE">
      <w:pPr>
        <w:pStyle w:val="Body"/>
        <w:rPr>
          <w:noProof/>
          <w:lang w:val="sk-SK"/>
        </w:rPr>
      </w:pPr>
      <w:r w:rsidRPr="008854EA">
        <w:rPr>
          <w:noProof/>
          <w:lang w:val="sk-SK"/>
        </w:rPr>
        <w:t>Emisie z dopravy predstavujú viac ako jednu pätinu celkových domácich emisií skleníkových plynov v EÚ, z čoho veľkú väčšinu tvorí cestná doprava (t. j. približne 95 %, resp. 75 % pri započítaní medzinárodných zásobníkov paliva). Od roku 2005 sa emisie znížili len mierne. Z inventarizačných údajov vyplýva ročný pokles o 4 milióny ton ekvivalentu CO</w:t>
      </w:r>
      <w:r w:rsidRPr="008854EA">
        <w:rPr>
          <w:noProof/>
          <w:vertAlign w:val="subscript"/>
          <w:lang w:val="sk-SK"/>
        </w:rPr>
        <w:t>2</w:t>
      </w:r>
      <w:r w:rsidRPr="008854EA">
        <w:rPr>
          <w:noProof/>
          <w:lang w:val="sk-SK"/>
        </w:rPr>
        <w:t xml:space="preserve"> v rokoch 2005 až 2021, čo je zjavne nedostatočné tempo, ak sa má dosiahnuť cieľ EÚ do roku 2030, ako sa uvádza v analýze Komisie</w:t>
      </w:r>
      <w:r w:rsidRPr="008854EA">
        <w:rPr>
          <w:rStyle w:val="FootnoteReference"/>
          <w:noProof/>
          <w:lang w:val="sk-SK"/>
        </w:rPr>
        <w:footnoteReference w:id="80"/>
      </w:r>
      <w:r w:rsidRPr="008854EA">
        <w:rPr>
          <w:noProof/>
          <w:lang w:val="sk-SK"/>
        </w:rPr>
        <w:t>.</w:t>
      </w:r>
    </w:p>
    <w:p w14:paraId="27A05EAD" w14:textId="4DA45DAB" w:rsidR="00E31BEE" w:rsidRPr="008854EA" w:rsidRDefault="00E31BEE" w:rsidP="00E31BEE">
      <w:pPr>
        <w:pStyle w:val="Body"/>
        <w:rPr>
          <w:rFonts w:eastAsiaTheme="minorEastAsia"/>
          <w:noProof/>
          <w:lang w:val="sk-SK"/>
        </w:rPr>
      </w:pPr>
      <w:r w:rsidRPr="008854EA">
        <w:rPr>
          <w:noProof/>
          <w:lang w:val="sk-SK"/>
        </w:rPr>
        <w:t>Osobné automobily a dodávkové vozidlá produkujú viac ako 70 % všetkých emisií CO</w:t>
      </w:r>
      <w:r w:rsidRPr="008854EA">
        <w:rPr>
          <w:noProof/>
          <w:vertAlign w:val="subscript"/>
          <w:lang w:val="sk-SK"/>
        </w:rPr>
        <w:t>2</w:t>
      </w:r>
      <w:r w:rsidRPr="008854EA">
        <w:rPr>
          <w:noProof/>
          <w:lang w:val="sk-SK"/>
        </w:rPr>
        <w:t xml:space="preserve"> z cestnej dopravy v EÚ. Emisné normy CO</w:t>
      </w:r>
      <w:r w:rsidRPr="008854EA">
        <w:rPr>
          <w:noProof/>
          <w:vertAlign w:val="subscript"/>
          <w:lang w:val="sk-SK"/>
        </w:rPr>
        <w:t>2</w:t>
      </w:r>
      <w:r w:rsidRPr="008854EA">
        <w:rPr>
          <w:noProof/>
          <w:lang w:val="sk-SK"/>
        </w:rPr>
        <w:t xml:space="preserve"> pre nové osobné automobily, dodávkové vozidlá a ťažké úžitkové vozidlá sú kľúčovými faktormi na zníženie emisií skleníkových plynov z cestnej dopravy. Podľa predbežných údajov z monitorovania týkajúcich sa vozidiel evidovaných v EÚ, na Islande a v Nórsku v roku 2022</w:t>
      </w:r>
      <w:r w:rsidRPr="008854EA">
        <w:rPr>
          <w:rStyle w:val="FootnoteReference"/>
          <w:noProof/>
          <w:lang w:val="sk-SK"/>
        </w:rPr>
        <w:footnoteReference w:id="81"/>
      </w:r>
      <w:r w:rsidRPr="008854EA">
        <w:rPr>
          <w:noProof/>
          <w:lang w:val="sk-SK"/>
        </w:rPr>
        <w:t xml:space="preserve"> priemerné emisie CO</w:t>
      </w:r>
      <w:r w:rsidRPr="008854EA">
        <w:rPr>
          <w:noProof/>
          <w:vertAlign w:val="subscript"/>
          <w:lang w:val="sk-SK"/>
        </w:rPr>
        <w:t>2</w:t>
      </w:r>
      <w:r w:rsidRPr="008854EA">
        <w:rPr>
          <w:noProof/>
          <w:lang w:val="sk-SK"/>
        </w:rPr>
        <w:t xml:space="preserve"> z </w:t>
      </w:r>
      <w:r w:rsidRPr="008854EA">
        <w:rPr>
          <w:b/>
          <w:noProof/>
          <w:lang w:val="sk-SK"/>
        </w:rPr>
        <w:t>nových osobných automobilov a nových dodávkových vozidiel</w:t>
      </w:r>
      <w:r w:rsidRPr="008854EA">
        <w:rPr>
          <w:noProof/>
          <w:lang w:val="sk-SK"/>
        </w:rPr>
        <w:t xml:space="preserve"> na základe celosvetovo harmonizovaného skúšobného postupu pre ľahké vozidlá (WLTP)</w:t>
      </w:r>
      <w:r w:rsidRPr="008854EA">
        <w:rPr>
          <w:rStyle w:val="FootnoteReference"/>
          <w:noProof/>
          <w:lang w:val="sk-SK"/>
        </w:rPr>
        <w:footnoteReference w:id="82"/>
      </w:r>
      <w:r w:rsidRPr="008854EA">
        <w:rPr>
          <w:noProof/>
          <w:lang w:val="sk-SK"/>
        </w:rPr>
        <w:t xml:space="preserve"> naďalej klesali, a to zo 114,1 g CO</w:t>
      </w:r>
      <w:r w:rsidRPr="008854EA">
        <w:rPr>
          <w:noProof/>
          <w:vertAlign w:val="subscript"/>
          <w:lang w:val="sk-SK"/>
        </w:rPr>
        <w:t>2</w:t>
      </w:r>
      <w:r w:rsidRPr="008854EA">
        <w:rPr>
          <w:noProof/>
          <w:lang w:val="sk-SK"/>
        </w:rPr>
        <w:t>/km v roku 2021 na 108,2 g CO</w:t>
      </w:r>
      <w:r w:rsidRPr="008854EA">
        <w:rPr>
          <w:noProof/>
          <w:vertAlign w:val="subscript"/>
          <w:lang w:val="sk-SK"/>
        </w:rPr>
        <w:t>2</w:t>
      </w:r>
      <w:r w:rsidRPr="008854EA">
        <w:rPr>
          <w:noProof/>
          <w:lang w:val="sk-SK"/>
        </w:rPr>
        <w:t>/km v prípade osobných automobilov a zo 193,3 g CO</w:t>
      </w:r>
      <w:r w:rsidRPr="008854EA">
        <w:rPr>
          <w:noProof/>
          <w:vertAlign w:val="subscript"/>
          <w:lang w:val="sk-SK"/>
        </w:rPr>
        <w:t>2</w:t>
      </w:r>
      <w:r w:rsidRPr="008854EA">
        <w:rPr>
          <w:noProof/>
          <w:lang w:val="sk-SK"/>
        </w:rPr>
        <w:t>/km v roku 2021 na 185,3 g CO</w:t>
      </w:r>
      <w:r w:rsidRPr="008854EA">
        <w:rPr>
          <w:noProof/>
          <w:vertAlign w:val="subscript"/>
          <w:lang w:val="sk-SK"/>
        </w:rPr>
        <w:t>2</w:t>
      </w:r>
      <w:r w:rsidRPr="008854EA">
        <w:rPr>
          <w:noProof/>
          <w:lang w:val="sk-SK"/>
        </w:rPr>
        <w:t>/km v prípade dodávkových vozidiel. Pokračuje tak trend prudkého znižovania emisií CO</w:t>
      </w:r>
      <w:r w:rsidRPr="008854EA">
        <w:rPr>
          <w:noProof/>
          <w:vertAlign w:val="subscript"/>
          <w:lang w:val="sk-SK"/>
        </w:rPr>
        <w:t>2</w:t>
      </w:r>
      <w:r w:rsidRPr="008854EA">
        <w:rPr>
          <w:noProof/>
          <w:lang w:val="sk-SK"/>
        </w:rPr>
        <w:t>, ktorý vyvolali prísnejšie ciele platné od roku 2020. Do roku 2022 sa emisie z nových osobných automobilov znížili o 27 % a z dodávkových vozidiel o 9 % v porovnaní s úrovňami v roku 2019</w:t>
      </w:r>
      <w:r w:rsidRPr="008854EA">
        <w:rPr>
          <w:noProof/>
          <w:color w:val="000000" w:themeColor="text1"/>
          <w:lang w:val="sk-SK"/>
        </w:rPr>
        <w:t xml:space="preserve"> (graf 16)</w:t>
      </w:r>
      <w:r w:rsidRPr="008854EA">
        <w:rPr>
          <w:noProof/>
          <w:lang w:val="sk-SK"/>
        </w:rPr>
        <w:t>. Výrazný pokles je spôsobený nárastom podielu evidencie vozidiel s nulovými emisiami. V roku 2022 predstavovali vozidlá bez výfukových emisií 13,4 % nových osobných automobilov a 5,9 % nových dodávkových vozidiel (v roku 2019 bol ich podiel 2,2 % a 1,4 %). V rámci nedávno prijatých revidovaných noriem pre CO</w:t>
      </w:r>
      <w:r w:rsidRPr="008854EA">
        <w:rPr>
          <w:noProof/>
          <w:vertAlign w:val="subscript"/>
          <w:lang w:val="sk-SK"/>
        </w:rPr>
        <w:t>2</w:t>
      </w:r>
      <w:r w:rsidRPr="008854EA">
        <w:rPr>
          <w:noProof/>
          <w:lang w:val="sk-SK"/>
        </w:rPr>
        <w:t xml:space="preserve"> sa vyžaduje ďalšie znižovanie emisií. Od roku 2030 a v porovnaní s východiskovým rokom 2021 je potrebné emisie znížiť o 55 % v prípade nových osobných automobilov a o 50 % v prípade nových dodávkových vozidiel. Do roku 2035 by všetky nové osobné automobily a dodávkové vozidlá mali mať nulové emisie.</w:t>
      </w:r>
    </w:p>
    <w:p w14:paraId="2ED3F691" w14:textId="78D4E793" w:rsidR="002660FF" w:rsidRPr="008854EA" w:rsidRDefault="002660FF">
      <w:pPr>
        <w:spacing w:after="160" w:line="259" w:lineRule="auto"/>
        <w:rPr>
          <w:rFonts w:ascii="Times New Roman" w:eastAsiaTheme="minorEastAsia" w:hAnsi="Times New Roman"/>
          <w:b/>
          <w:noProof/>
          <w:color w:val="44546A" w:themeColor="text2"/>
          <w:lang w:val="sk-SK"/>
        </w:rPr>
      </w:pPr>
      <w:r w:rsidRPr="008854EA">
        <w:rPr>
          <w:noProof/>
          <w:lang w:val="sk-SK"/>
        </w:rPr>
        <w:br w:type="page"/>
      </w:r>
    </w:p>
    <w:p w14:paraId="4E5CC845" w14:textId="0D4BC512" w:rsidR="00E31BEE" w:rsidRPr="008854EA" w:rsidRDefault="00BE65DF" w:rsidP="00BE65DF">
      <w:pPr>
        <w:pStyle w:val="Caption"/>
        <w:keepNext/>
        <w:pBdr>
          <w:bottom w:val="single" w:sz="4" w:space="1" w:color="auto"/>
        </w:pBdr>
        <w:jc w:val="left"/>
        <w:rPr>
          <w:b w:val="0"/>
          <w:noProof/>
          <w:lang w:val="sk-SK"/>
        </w:rPr>
      </w:pPr>
      <w:r w:rsidRPr="008854EA">
        <w:rPr>
          <w:noProof/>
          <w:sz w:val="22"/>
          <w:lang w:val="sk-SK"/>
        </w:rPr>
        <w:t>Graf 16: Priemerné emisie CO</w:t>
      </w:r>
      <w:r w:rsidRPr="008854EA">
        <w:rPr>
          <w:noProof/>
          <w:sz w:val="22"/>
          <w:vertAlign w:val="subscript"/>
          <w:lang w:val="sk-SK"/>
        </w:rPr>
        <w:t>2</w:t>
      </w:r>
      <w:r w:rsidRPr="008854EA">
        <w:rPr>
          <w:noProof/>
          <w:sz w:val="22"/>
          <w:lang w:val="sk-SK"/>
        </w:rPr>
        <w:t xml:space="preserve"> (bodky) a ciele EÚ pre celý vozový park (čiary), pokiaľ ide o nové osobné automobily (vľavo) a dodávkové vozidlá (vpravo)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896"/>
      </w:tblGrid>
      <w:tr w:rsidR="005C3642" w:rsidRPr="008854EA" w14:paraId="44B14F69" w14:textId="77777777" w:rsidTr="00FC088C">
        <w:tc>
          <w:tcPr>
            <w:tcW w:w="4644" w:type="dxa"/>
          </w:tcPr>
          <w:p w14:paraId="587BEC76" w14:textId="35AA431C" w:rsidR="00E31BEE" w:rsidRPr="008854EA" w:rsidRDefault="00BE65DF" w:rsidP="00FC088C">
            <w:pPr>
              <w:pStyle w:val="ListParagraph"/>
              <w:ind w:left="0"/>
              <w:jc w:val="center"/>
              <w:rPr>
                <w:rFonts w:cstheme="minorHAnsi"/>
                <w:b/>
                <w:i/>
                <w:noProof/>
                <w:color w:val="44546A" w:themeColor="text2"/>
                <w:sz w:val="18"/>
                <w:lang w:val="sk-SK"/>
              </w:rPr>
            </w:pPr>
            <w:r w:rsidRPr="008854EA">
              <w:rPr>
                <w:b/>
                <w:i/>
                <w:noProof/>
                <w:color w:val="44546A" w:themeColor="text2"/>
                <w:sz w:val="18"/>
                <w:lang w:val="sk-SK"/>
              </w:rPr>
              <w:t>Graf 16.a Nové osobné automobily</w:t>
            </w:r>
          </w:p>
          <w:p w14:paraId="252B4C33" w14:textId="6F03E5B2" w:rsidR="00E31BEE" w:rsidRPr="008854EA" w:rsidRDefault="006E1656" w:rsidP="00FC088C">
            <w:pPr>
              <w:pStyle w:val="ListParagraph"/>
              <w:ind w:left="0"/>
              <w:jc w:val="center"/>
              <w:rPr>
                <w:rFonts w:cstheme="minorHAnsi"/>
                <w:b/>
                <w:i/>
                <w:noProof/>
                <w:color w:val="44546A" w:themeColor="text2"/>
                <w:sz w:val="18"/>
                <w:lang w:val="sk-SK"/>
              </w:rPr>
            </w:pPr>
            <w:r w:rsidRPr="008854EA">
              <w:rPr>
                <w:rFonts w:cstheme="minorHAnsi"/>
                <w:b/>
                <w:i/>
                <w:noProof/>
                <w:color w:val="44546A" w:themeColor="text2"/>
                <w:sz w:val="18"/>
                <w:lang w:val="en-GB" w:eastAsia="en-GB"/>
              </w:rPr>
              <w:drawing>
                <wp:inline distT="0" distB="0" distL="0" distR="0" wp14:anchorId="746014A2" wp14:editId="13FF24B9">
                  <wp:extent cx="2547257" cy="16294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7257" cy="1629436"/>
                          </a:xfrm>
                          <a:prstGeom prst="rect">
                            <a:avLst/>
                          </a:prstGeom>
                          <a:noFill/>
                          <a:ln>
                            <a:noFill/>
                          </a:ln>
                        </pic:spPr>
                      </pic:pic>
                    </a:graphicData>
                  </a:graphic>
                </wp:inline>
              </w:drawing>
            </w:r>
          </w:p>
        </w:tc>
        <w:tc>
          <w:tcPr>
            <w:tcW w:w="4644" w:type="dxa"/>
          </w:tcPr>
          <w:p w14:paraId="0917187F" w14:textId="5FDD68C7" w:rsidR="00E31BEE" w:rsidRPr="008854EA" w:rsidRDefault="00BE65DF" w:rsidP="00FC088C">
            <w:pPr>
              <w:pStyle w:val="ListParagraph"/>
              <w:ind w:left="0"/>
              <w:jc w:val="center"/>
              <w:rPr>
                <w:rFonts w:cstheme="minorHAnsi"/>
                <w:b/>
                <w:i/>
                <w:noProof/>
                <w:color w:val="44546A" w:themeColor="text2"/>
                <w:sz w:val="18"/>
                <w:lang w:val="sk-SK"/>
              </w:rPr>
            </w:pPr>
            <w:r w:rsidRPr="008854EA">
              <w:rPr>
                <w:b/>
                <w:i/>
                <w:noProof/>
                <w:color w:val="44546A" w:themeColor="text2"/>
                <w:sz w:val="18"/>
                <w:lang w:val="sk-SK"/>
              </w:rPr>
              <w:t>Graf 16.b Nové dodávkové vozidlá</w:t>
            </w:r>
          </w:p>
          <w:p w14:paraId="56137D0D" w14:textId="7FC8C1AD" w:rsidR="00E31BEE" w:rsidRPr="008854EA" w:rsidRDefault="006E1656" w:rsidP="00FC088C">
            <w:pPr>
              <w:pStyle w:val="ListParagraph"/>
              <w:ind w:left="0" w:right="281"/>
              <w:jc w:val="center"/>
              <w:rPr>
                <w:rFonts w:cstheme="minorHAnsi"/>
                <w:b/>
                <w:i/>
                <w:noProof/>
                <w:color w:val="44546A" w:themeColor="text2"/>
                <w:sz w:val="18"/>
                <w:lang w:val="sk-SK"/>
              </w:rPr>
            </w:pPr>
            <w:r w:rsidRPr="008854EA">
              <w:rPr>
                <w:rFonts w:cstheme="minorHAnsi"/>
                <w:b/>
                <w:i/>
                <w:noProof/>
                <w:color w:val="44546A" w:themeColor="text2"/>
                <w:sz w:val="18"/>
                <w:lang w:val="en-GB" w:eastAsia="en-GB"/>
              </w:rPr>
              <w:drawing>
                <wp:inline distT="0" distB="0" distL="0" distR="0" wp14:anchorId="6B691609" wp14:editId="20B6FDF4">
                  <wp:extent cx="2793688" cy="16163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4943" cy="1617102"/>
                          </a:xfrm>
                          <a:prstGeom prst="rect">
                            <a:avLst/>
                          </a:prstGeom>
                          <a:noFill/>
                          <a:ln>
                            <a:noFill/>
                          </a:ln>
                        </pic:spPr>
                      </pic:pic>
                    </a:graphicData>
                  </a:graphic>
                </wp:inline>
              </w:drawing>
            </w:r>
          </w:p>
        </w:tc>
      </w:tr>
    </w:tbl>
    <w:p w14:paraId="6AFE6C93" w14:textId="77777777" w:rsidR="00DB6E15" w:rsidRPr="008854EA" w:rsidRDefault="00DB6E15" w:rsidP="00257238">
      <w:pPr>
        <w:pStyle w:val="Body"/>
        <w:pBdr>
          <w:top w:val="single" w:sz="4" w:space="1" w:color="auto"/>
        </w:pBdr>
        <w:rPr>
          <w:b/>
          <w:noProof/>
          <w:lang w:val="sk-SK"/>
        </w:rPr>
      </w:pPr>
    </w:p>
    <w:p w14:paraId="7CD79F36" w14:textId="1B117382" w:rsidR="00E31BEE" w:rsidRPr="008854EA" w:rsidRDefault="00E31BEE" w:rsidP="00257238">
      <w:pPr>
        <w:pStyle w:val="Body"/>
        <w:pBdr>
          <w:top w:val="single" w:sz="4" w:space="1" w:color="auto"/>
        </w:pBdr>
        <w:rPr>
          <w:noProof/>
          <w:lang w:val="sk-SK"/>
        </w:rPr>
      </w:pPr>
      <w:r w:rsidRPr="008854EA">
        <w:rPr>
          <w:b/>
          <w:noProof/>
          <w:lang w:val="sk-SK"/>
        </w:rPr>
        <w:t>Ťažké úžitkové vozidlá</w:t>
      </w:r>
      <w:r w:rsidRPr="008854EA">
        <w:rPr>
          <w:noProof/>
          <w:lang w:val="sk-SK"/>
        </w:rPr>
        <w:t>, ako sú nákladné vozidlá, autobusy a autokary, sa podieľajú na celkových emisiách CO</w:t>
      </w:r>
      <w:r w:rsidRPr="008854EA">
        <w:rPr>
          <w:noProof/>
          <w:vertAlign w:val="subscript"/>
          <w:lang w:val="sk-SK"/>
        </w:rPr>
        <w:t>2</w:t>
      </w:r>
      <w:r w:rsidRPr="008854EA">
        <w:rPr>
          <w:noProof/>
          <w:lang w:val="sk-SK"/>
        </w:rPr>
        <w:t xml:space="preserve"> v cestnej doprave približne na úrovni 30 %. V existujúcich právnych predpisoch sa vyžaduje, aby výrobcovia znížili emisie určitých nákladných vozidiel o 15 % do roku 2025 a o 30 % do roku 2030 v porovnaní s úrovňami z roku 2019. V roku 2023 Komisia navrhla revidované normy CO</w:t>
      </w:r>
      <w:r w:rsidRPr="008854EA">
        <w:rPr>
          <w:noProof/>
          <w:vertAlign w:val="subscript"/>
          <w:lang w:val="sk-SK"/>
        </w:rPr>
        <w:t>2</w:t>
      </w:r>
      <w:r w:rsidRPr="008854EA">
        <w:rPr>
          <w:noProof/>
          <w:lang w:val="sk-SK"/>
        </w:rPr>
        <w:t xml:space="preserve"> pre ťažké úžitkové vozidlá, ktorými sa ešte viac sprísňujú existujúce normy a rozširuje sa rozsah pôsobnosti na menšie nákladné vozidlá, autobusy, autokary a prípojné vozidlá. Návrh nariadenia zahŕňa požiadavku znížiť emisie CO</w:t>
      </w:r>
      <w:r w:rsidRPr="008854EA">
        <w:rPr>
          <w:noProof/>
          <w:vertAlign w:val="subscript"/>
          <w:lang w:val="sk-SK"/>
        </w:rPr>
        <w:t>2</w:t>
      </w:r>
      <w:r w:rsidRPr="008854EA">
        <w:rPr>
          <w:noProof/>
          <w:lang w:val="sk-SK"/>
        </w:rPr>
        <w:t xml:space="preserve"> o 45 % od roku 2030, o 65 % od roku 2035 a o 90 % od roku 2040 v porovnaní s východiskovým rokom 2019. Stanovuje sa v ňom takisto cieľ 100 % nulových emisií pre nové mestské autobusy od roku 2030. </w:t>
      </w:r>
    </w:p>
    <w:p w14:paraId="7703DD5D" w14:textId="4C0991CE" w:rsidR="00E31BEE" w:rsidRPr="008854EA" w:rsidRDefault="00E31BEE" w:rsidP="00257238">
      <w:pPr>
        <w:pStyle w:val="Body"/>
        <w:pBdr>
          <w:top w:val="single" w:sz="4" w:space="1" w:color="auto"/>
        </w:pBdr>
        <w:rPr>
          <w:noProof/>
          <w:lang w:val="sk-SK"/>
        </w:rPr>
      </w:pPr>
      <w:r w:rsidRPr="008854EA">
        <w:rPr>
          <w:noProof/>
          <w:color w:val="000000" w:themeColor="text1"/>
          <w:lang w:val="sk-SK"/>
        </w:rPr>
        <w:t xml:space="preserve">K znižovaniu emisií z dopravy prispieva aj </w:t>
      </w:r>
      <w:r w:rsidRPr="008854EA">
        <w:rPr>
          <w:b/>
          <w:noProof/>
          <w:color w:val="000000" w:themeColor="text1"/>
          <w:lang w:val="sk-SK"/>
        </w:rPr>
        <w:t>smernica o kvalite palív</w:t>
      </w:r>
      <w:r w:rsidRPr="008854EA">
        <w:rPr>
          <w:noProof/>
          <w:color w:val="000000" w:themeColor="text1"/>
          <w:lang w:val="sk-SK"/>
        </w:rPr>
        <w:t>, v ktorej sa vyžaduje, aby sa do roku 2020 znížila intenzita emisií skleníkových plynov počas životného cyklu palív o 6 % v porovnaní s úrovňami z roku 2010. Priemerná intenzita emisií skleníkových plynov dodaných palív v roku 2021 bola o 5,5 % nižšia ako v roku 2010. Pokrok, ktorý dosiahli dodávatelia palív z EÚ, sa v jednotlivých členských štátoch výrazne líši (Graf 17).</w:t>
      </w:r>
    </w:p>
    <w:p w14:paraId="6A5037A3" w14:textId="43AB1DE2" w:rsidR="00E31BEE" w:rsidRDefault="00BE65DF" w:rsidP="0097539E">
      <w:pPr>
        <w:pStyle w:val="Caption"/>
        <w:keepNext/>
        <w:pBdr>
          <w:bottom w:val="single" w:sz="4" w:space="1" w:color="auto"/>
        </w:pBdr>
        <w:jc w:val="left"/>
        <w:rPr>
          <w:noProof/>
          <w:sz w:val="22"/>
          <w:lang w:val="sk-SK"/>
        </w:rPr>
      </w:pPr>
      <w:r w:rsidRPr="008854EA">
        <w:rPr>
          <w:noProof/>
          <w:sz w:val="22"/>
          <w:lang w:val="sk-SK"/>
        </w:rPr>
        <w:t>Graf 17:</w:t>
      </w:r>
      <w:r w:rsidRPr="008854EA">
        <w:rPr>
          <w:noProof/>
          <w:lang w:val="sk-SK"/>
        </w:rPr>
        <w:t xml:space="preserve"> </w:t>
      </w:r>
      <w:r w:rsidRPr="008854EA">
        <w:rPr>
          <w:noProof/>
          <w:sz w:val="22"/>
          <w:lang w:val="sk-SK"/>
        </w:rPr>
        <w:t>Zníženie intenzity emisií skleníkových plynov z palív, ktoré dosiahli dodávatelia palív v EÚ27, v obdobiach 2010 – 2020 a 2010 – 2021 (zdroj: agentúra EEA)</w:t>
      </w:r>
    </w:p>
    <w:p w14:paraId="3DB6825C" w14:textId="1A26A297" w:rsidR="00E31BEE" w:rsidRDefault="00DE6824" w:rsidP="0097539E">
      <w:pPr>
        <w:spacing w:before="120" w:after="120"/>
        <w:jc w:val="center"/>
        <w:rPr>
          <w:noProof/>
          <w:lang w:val="sk-SK"/>
        </w:rPr>
      </w:pPr>
      <w:r w:rsidRPr="008854EA">
        <w:rPr>
          <w:noProof/>
          <w:lang w:val="en-GB" w:eastAsia="en-GB"/>
        </w:rPr>
        <w:drawing>
          <wp:inline distT="0" distB="0" distL="0" distR="0" wp14:anchorId="0BBBE617" wp14:editId="59253079">
            <wp:extent cx="5387971" cy="25205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34093" cy="2542141"/>
                    </a:xfrm>
                    <a:prstGeom prst="rect">
                      <a:avLst/>
                    </a:prstGeom>
                    <a:noFill/>
                    <a:ln>
                      <a:noFill/>
                    </a:ln>
                  </pic:spPr>
                </pic:pic>
              </a:graphicData>
            </a:graphic>
          </wp:inline>
        </w:drawing>
      </w:r>
    </w:p>
    <w:p w14:paraId="57383C91" w14:textId="77777777" w:rsidR="0097539E" w:rsidRPr="008854EA" w:rsidRDefault="0097539E" w:rsidP="0097539E">
      <w:pPr>
        <w:pBdr>
          <w:top w:val="single" w:sz="4" w:space="1" w:color="auto"/>
        </w:pBdr>
        <w:spacing w:before="120" w:after="120"/>
        <w:jc w:val="center"/>
        <w:rPr>
          <w:noProof/>
          <w:lang w:val="sk-SK"/>
        </w:rPr>
      </w:pPr>
    </w:p>
    <w:p w14:paraId="51A7E573" w14:textId="0D93CC17" w:rsidR="00E31BEE" w:rsidRPr="008854EA" w:rsidRDefault="00E31BEE" w:rsidP="00E31BEE">
      <w:pPr>
        <w:pStyle w:val="Heading1"/>
        <w:rPr>
          <w:rFonts w:ascii="Times New Roman" w:hAnsi="Times New Roman" w:cs="Times New Roman"/>
          <w:noProof/>
          <w:sz w:val="32"/>
          <w:lang w:val="sk-SK"/>
        </w:rPr>
      </w:pPr>
      <w:r w:rsidRPr="008854EA">
        <w:rPr>
          <w:rFonts w:ascii="Times New Roman" w:hAnsi="Times New Roman"/>
          <w:noProof/>
          <w:sz w:val="32"/>
          <w:lang w:val="sk-SK"/>
        </w:rPr>
        <w:t xml:space="preserve">VYUŽÍVANIE PÔDY, ZMENY VO VYUŽÍVANÍ PÔDY A LESNÉ HOSPODÁRSTVO </w:t>
      </w:r>
    </w:p>
    <w:p w14:paraId="311A5BF9" w14:textId="2D36341C" w:rsidR="00E31BEE" w:rsidRPr="008854EA" w:rsidRDefault="00E31BEE" w:rsidP="00E31BEE">
      <w:pPr>
        <w:pStyle w:val="Body"/>
        <w:rPr>
          <w:noProof/>
          <w:lang w:val="sk-SK"/>
        </w:rPr>
      </w:pPr>
      <w:r w:rsidRPr="008854EA">
        <w:rPr>
          <w:noProof/>
          <w:lang w:val="sk-SK"/>
        </w:rPr>
        <w:t xml:space="preserve">Sektor </w:t>
      </w:r>
      <w:r w:rsidRPr="008854EA">
        <w:rPr>
          <w:b/>
          <w:noProof/>
          <w:lang w:val="sk-SK"/>
        </w:rPr>
        <w:t>využívania pôdy, zmien vo využívaní pôdy a lesného hospodárstva (LULUCF)</w:t>
      </w:r>
      <w:r w:rsidRPr="008854EA">
        <w:rPr>
          <w:noProof/>
          <w:lang w:val="sk-SK"/>
        </w:rPr>
        <w:t xml:space="preserve"> zohráva pri dosahovaní cieľa EÚ v oblasti klimatickej neutrality významnú úlohu. V EÚ absorbuje sektor LULUCF </w:t>
      </w:r>
      <w:r w:rsidRPr="008854EA">
        <w:rPr>
          <w:rStyle w:val="Strong"/>
          <w:b w:val="0"/>
          <w:noProof/>
          <w:lang w:val="sk-SK"/>
        </w:rPr>
        <w:t>viac skleníkových plynov, než vypúšťa,</w:t>
      </w:r>
      <w:r w:rsidRPr="008854EA">
        <w:rPr>
          <w:noProof/>
          <w:lang w:val="sk-SK"/>
        </w:rPr>
        <w:t xml:space="preserve"> odstraňuje teda z atmosféry značné množstvo uhlíka. Tento sektor zároveň poskytuje biomateriály, ktoré nahrádzajú fosílne alebo uhlíkovo náročné materiály, čo je pri prechode na klimaticky neutrálne hospodárstvo rovnako dôležité. </w:t>
      </w:r>
      <w:r w:rsidRPr="008854EA">
        <w:rPr>
          <w:b/>
          <w:noProof/>
          <w:lang w:val="sk-SK"/>
        </w:rPr>
        <w:t xml:space="preserve">Odstraňovanie uhlíka </w:t>
      </w:r>
      <w:r w:rsidRPr="008854EA">
        <w:rPr>
          <w:noProof/>
          <w:lang w:val="sk-SK"/>
        </w:rPr>
        <w:t>však v </w:t>
      </w:r>
      <w:r w:rsidRPr="008854EA">
        <w:rPr>
          <w:b/>
          <w:noProof/>
          <w:lang w:val="sk-SK"/>
        </w:rPr>
        <w:t>posledných rokoch znepokojujúcim tempom klesá</w:t>
      </w:r>
      <w:r w:rsidRPr="008854EA">
        <w:rPr>
          <w:noProof/>
          <w:lang w:val="sk-SK"/>
        </w:rPr>
        <w:t>.</w:t>
      </w:r>
    </w:p>
    <w:p w14:paraId="5B473F37" w14:textId="1394F380" w:rsidR="00E31BEE" w:rsidRPr="008854EA" w:rsidRDefault="00E31BEE" w:rsidP="00E31BEE">
      <w:pPr>
        <w:pStyle w:val="Body"/>
        <w:rPr>
          <w:noProof/>
          <w:lang w:val="sk-SK"/>
        </w:rPr>
      </w:pPr>
      <w:r w:rsidRPr="008854EA">
        <w:rPr>
          <w:noProof/>
          <w:lang w:val="sk-SK"/>
        </w:rPr>
        <w:t xml:space="preserve">Tento trend je spôsobený najmä </w:t>
      </w:r>
      <w:r w:rsidRPr="008854EA">
        <w:rPr>
          <w:b/>
          <w:noProof/>
          <w:lang w:val="sk-SK"/>
        </w:rPr>
        <w:t>poklesom odstraňovania uhlíka prostredníctvom lesov, ktorý vyvolala najmä zvýšená ťažba dreva</w:t>
      </w:r>
      <w:r w:rsidRPr="008854EA">
        <w:rPr>
          <w:noProof/>
          <w:lang w:val="sk-SK"/>
        </w:rPr>
        <w:t xml:space="preserve">. V menšej miere je to spôsobené aj zníženou sekvestráciou uhlíka v starnúcich lesoch v niektorých členských štátoch v dôsledku nižšej miery rastu. Stúpa aj vplyv samotnej zmeny klímy. Čoraz častejšie nepriaznivé javy ako víchrice, prieniky hmyzu a húb, lesné požiare a suchá a ich závažnosť oslabujú úlohu lesov pri záchyte uhlíka a v niektorých prípadoch ich dočasne menia na zdroje uhlíka. Existuje mnoho náznakov, že v dôsledku zmeny klímy nie je budúca odolnosť európskych lesných úložísk ani zďaleka zaručená. K poklesu odstraňovania uhlíka prispelo aj spomalenie rozširovania lesnej plochy, ale s menším vplyvom. Na úrovni EÚ sú zdrojmi emisií z LULUCF najmä orná pôda, trávne porasty, mokrade a sídla, pričom obzvlášť vysoké emisie produkuje obhospodarovaná organická pôda. </w:t>
      </w:r>
    </w:p>
    <w:p w14:paraId="57510010" w14:textId="480720E2" w:rsidR="00E31BEE" w:rsidRPr="008854EA" w:rsidRDefault="000808ED" w:rsidP="000E570C">
      <w:pPr>
        <w:pStyle w:val="Heading2"/>
        <w:ind w:left="576"/>
        <w:rPr>
          <w:rFonts w:ascii="Times New Roman" w:hAnsi="Times New Roman" w:cs="Times New Roman"/>
          <w:noProof/>
          <w:lang w:val="sk-SK"/>
        </w:rPr>
      </w:pPr>
      <w:r w:rsidRPr="008854EA">
        <w:rPr>
          <w:rFonts w:ascii="Times New Roman" w:hAnsi="Times New Roman"/>
          <w:noProof/>
          <w:lang w:val="sk-SK"/>
        </w:rPr>
        <w:t xml:space="preserve">Zvýšenie úlohy sektora LULUCF pri podpore opatrení v oblasti klímy </w:t>
      </w:r>
    </w:p>
    <w:p w14:paraId="597C52E8" w14:textId="2CF9040C" w:rsidR="00E31BEE" w:rsidRPr="008854EA" w:rsidRDefault="00E31BEE" w:rsidP="00E31BEE">
      <w:pPr>
        <w:pStyle w:val="Body"/>
        <w:rPr>
          <w:rFonts w:cs="Times New Roman"/>
          <w:noProof/>
          <w:lang w:val="sk-SK"/>
        </w:rPr>
      </w:pPr>
      <w:r w:rsidRPr="008854EA">
        <w:rPr>
          <w:noProof/>
          <w:lang w:val="sk-SK"/>
        </w:rPr>
        <w:t xml:space="preserve"> </w:t>
      </w:r>
      <w:r w:rsidRPr="008854EA">
        <w:rPr>
          <w:noProof/>
          <w:lang w:val="sk-SK"/>
        </w:rPr>
        <w:cr/>
      </w:r>
      <w:r w:rsidRPr="008854EA">
        <w:rPr>
          <w:noProof/>
          <w:lang w:val="sk-SK"/>
        </w:rPr>
        <w:br/>
        <w:t>V revidovanom nariadení o LULUCF</w:t>
      </w:r>
      <w:r w:rsidRPr="008854EA">
        <w:rPr>
          <w:noProof/>
          <w:vertAlign w:val="superscript"/>
          <w:lang w:val="sk-SK"/>
        </w:rPr>
        <w:footnoteReference w:id="83"/>
      </w:r>
      <w:r w:rsidRPr="008854EA">
        <w:rPr>
          <w:noProof/>
          <w:lang w:val="sk-SK"/>
        </w:rPr>
        <w:t xml:space="preserve"> sa stanovuje, ako zdroje emisií a ich odstraňovanie v sektore využívania pôdy prispievajú k cieľom EÚ v oblasti klímy, pričom zámerom je dosiahnuť do roku 2030 čisté odstránené množstvá uhlíka pomocou pozemných zdrojov na úrovni –310 miliónov ton ekvivalentu CO</w:t>
      </w:r>
      <w:r w:rsidRPr="008854EA">
        <w:rPr>
          <w:noProof/>
          <w:vertAlign w:val="subscript"/>
          <w:lang w:val="sk-SK"/>
        </w:rPr>
        <w:t>2</w:t>
      </w:r>
      <w:r w:rsidRPr="008854EA">
        <w:rPr>
          <w:noProof/>
          <w:lang w:val="sk-SK"/>
        </w:rPr>
        <w:t>.</w:t>
      </w:r>
      <w:r w:rsidRPr="008854EA">
        <w:rPr>
          <w:rFonts w:cs="Times New Roman"/>
          <w:noProof/>
          <w:vertAlign w:val="superscript"/>
          <w:lang w:val="sk-SK"/>
        </w:rPr>
        <w:footnoteReference w:id="84"/>
      </w:r>
      <w:r w:rsidRPr="008854EA">
        <w:rPr>
          <w:noProof/>
          <w:lang w:val="sk-SK"/>
        </w:rPr>
        <w:t xml:space="preserve"> Na dosiahnutie tohto zámeru sa členským štátom prideľujú ciele na základe celkovej obhospodarovanej plochy pôdy na ich území. V zmysle cieľa do roku 2030 by každý členský štát mal zvýšiť svoje ambície v oblasti klímy sledované prostredníctvom politík využívania pôdy.</w:t>
      </w:r>
    </w:p>
    <w:p w14:paraId="11857A1B" w14:textId="7E01EBCF" w:rsidR="00E31BEE" w:rsidRPr="008854EA" w:rsidRDefault="00E31BEE" w:rsidP="000E570C">
      <w:pPr>
        <w:pStyle w:val="Body"/>
        <w:rPr>
          <w:noProof/>
          <w:lang w:val="sk-SK"/>
        </w:rPr>
      </w:pPr>
      <w:r w:rsidRPr="008854EA">
        <w:rPr>
          <w:noProof/>
          <w:lang w:val="sk-SK"/>
        </w:rPr>
        <w:t>V revidovanom nariadení sa stanovujú dve obdobia hodnotenia súladu:</w:t>
      </w:r>
    </w:p>
    <w:p w14:paraId="48AA1FE5" w14:textId="1AFF01F4" w:rsidR="00E31BEE" w:rsidRPr="008854EA" w:rsidRDefault="0018528C" w:rsidP="000E570C">
      <w:pPr>
        <w:pStyle w:val="Body"/>
        <w:numPr>
          <w:ilvl w:val="0"/>
          <w:numId w:val="39"/>
        </w:numPr>
        <w:rPr>
          <w:noProof/>
          <w:lang w:val="sk-SK"/>
        </w:rPr>
      </w:pPr>
      <w:r w:rsidRPr="008854EA">
        <w:rPr>
          <w:noProof/>
          <w:lang w:val="sk-SK"/>
        </w:rPr>
        <w:t>V rokoch 2021 až 2025: hodnotenie pokroku členských štátov je založené na referenčných hodnotách týkajúcich sa činností v oblasti využívania pôdy, ako sú napríklad lesné referenčné úrovne</w:t>
      </w:r>
      <w:r w:rsidRPr="008854EA">
        <w:rPr>
          <w:rStyle w:val="FootnoteReference"/>
          <w:noProof/>
          <w:lang w:val="sk-SK"/>
        </w:rPr>
        <w:footnoteReference w:id="85"/>
      </w:r>
      <w:r w:rsidRPr="008854EA">
        <w:rPr>
          <w:noProof/>
          <w:lang w:val="sk-SK"/>
        </w:rPr>
        <w:t xml:space="preserve"> využívané v kontexte udržateľného obhospodarovania lesov. Vo všetkých kategóriách pôdy musí členský štát splniť pravidlo nulového dlhu, t. j. súčet kreditov alebo debetov vytvorených v jednotlivých kategóriách pôdy musí byť najmenej nula. Ak nie je splnené pravidlo nulového dlhu a členský štát má čistý debet, na jeho vyrovnanie bude môcť využiť viaceré flexibility (napr. prostredníctvom nákupu kreditov od iných členských štátov). Ak aj po využití všetkých flexibilít zostane z prvého obdobia hodnotenia súladu čistý debet, presunie sa do účtu členského štátu podľa nariadenia o spoločnom úsilí.</w:t>
      </w:r>
    </w:p>
    <w:p w14:paraId="7815E14A" w14:textId="4A035A1A" w:rsidR="00BC144D" w:rsidRPr="008854EA" w:rsidRDefault="00D81009" w:rsidP="000E570C">
      <w:pPr>
        <w:pStyle w:val="Body"/>
        <w:numPr>
          <w:ilvl w:val="0"/>
          <w:numId w:val="39"/>
        </w:numPr>
        <w:rPr>
          <w:noProof/>
          <w:lang w:val="sk-SK"/>
        </w:rPr>
      </w:pPr>
      <w:r w:rsidRPr="008854EA">
        <w:rPr>
          <w:noProof/>
          <w:lang w:val="sk-SK"/>
        </w:rPr>
        <w:t>V rokoch 2026 až 2030: každý členský štát musí v roku 2030 splniť záväzný národný cieľ založený na súčte nahlásených emisií a ich odstraňovania vo všetkých kategóriách pôdy. Na jednotlivé kategórie pôdy sa už neuplatňujú referenčné hodnoty. Na roky 2026 – 2029 sa vytvorí „rozpočet čistého odstraňovania“ na účely kontroly výkonnosti jednotlivých členských štátov. Prípadný debet v tomto období sa prenesie do konečného hodnotenia súladu so zameraním na cieľ na rok 2030.</w:t>
      </w:r>
    </w:p>
    <w:p w14:paraId="4438ACDF" w14:textId="77777777"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 xml:space="preserve">Hodnotenie pokroku v sektore LULUCF </w:t>
      </w:r>
    </w:p>
    <w:p w14:paraId="4D4CB191" w14:textId="28B3D0D9" w:rsidR="00E31BEE" w:rsidRPr="008854EA" w:rsidRDefault="00E31BEE" w:rsidP="00182A88">
      <w:pPr>
        <w:pStyle w:val="Body"/>
        <w:pBdr>
          <w:bottom w:val="single" w:sz="4" w:space="1" w:color="auto"/>
        </w:pBdr>
        <w:rPr>
          <w:noProof/>
          <w:lang w:val="sk-SK"/>
        </w:rPr>
      </w:pPr>
      <w:r w:rsidRPr="008854EA">
        <w:rPr>
          <w:noProof/>
          <w:lang w:val="sk-SK"/>
        </w:rPr>
        <w:t>V roku 2021 dosiahol záchyt uhlíka v EÚ čisté odstraňovanie na úrovni –230 miliónov ton ekvivalentu CO</w:t>
      </w:r>
      <w:r w:rsidRPr="008854EA">
        <w:rPr>
          <w:noProof/>
          <w:vertAlign w:val="subscript"/>
          <w:lang w:val="sk-SK"/>
        </w:rPr>
        <w:t>2</w:t>
      </w:r>
      <w:r w:rsidRPr="008854EA">
        <w:rPr>
          <w:rStyle w:val="FootnoteReference"/>
          <w:noProof/>
          <w:lang w:val="sk-SK"/>
        </w:rPr>
        <w:footnoteReference w:id="86"/>
      </w:r>
      <w:r w:rsidRPr="008854EA">
        <w:rPr>
          <w:noProof/>
          <w:lang w:val="sk-SK"/>
        </w:rPr>
        <w:t>. Pretrváva trend pozorovaný v posledných rokoch a veľkosť záchytu uhlíka sa naďalej znižuje, hoci na základe približných údajov sa odhaduje, že v roku 2022 sa záchyt zvýšil na –244 miliónov ton ekvivalentu CO</w:t>
      </w:r>
      <w:r w:rsidRPr="008854EA">
        <w:rPr>
          <w:noProof/>
          <w:vertAlign w:val="subscript"/>
          <w:lang w:val="sk-SK"/>
        </w:rPr>
        <w:t>2</w:t>
      </w:r>
      <w:r w:rsidRPr="008854EA">
        <w:rPr>
          <w:noProof/>
          <w:lang w:val="sk-SK"/>
        </w:rPr>
        <w:t>.</w:t>
      </w:r>
    </w:p>
    <w:p w14:paraId="57884B4A" w14:textId="17CAC268" w:rsidR="00E047CF" w:rsidRPr="008854EA" w:rsidRDefault="00E31BEE" w:rsidP="00182A88">
      <w:pPr>
        <w:pStyle w:val="Body"/>
        <w:pBdr>
          <w:bottom w:val="single" w:sz="4" w:space="1" w:color="auto"/>
        </w:pBdr>
        <w:rPr>
          <w:noProof/>
          <w:lang w:val="sk-SK"/>
        </w:rPr>
      </w:pPr>
      <w:r w:rsidRPr="008854EA">
        <w:rPr>
          <w:noProof/>
          <w:lang w:val="sk-SK"/>
        </w:rPr>
        <w:t>Na základe súčasných pravidiel započítavania emisií z LULUCF – s obmedzeným rozsahom pôsobnosti – platných pre obdobie 2021 až 2025 dosiahol predbežný „započítaný“ zostatok v roku 2021 s použitím predloženej inventúry skleníkových plynov za rok 2023 úroveň mierneho započítaného kreditu vo výške –14 miliónov ton ekvivalentu CO</w:t>
      </w:r>
      <w:r w:rsidRPr="008854EA">
        <w:rPr>
          <w:noProof/>
          <w:vertAlign w:val="subscript"/>
          <w:lang w:val="sk-SK"/>
        </w:rPr>
        <w:t>2</w:t>
      </w:r>
      <w:r w:rsidRPr="008854EA">
        <w:rPr>
          <w:noProof/>
          <w:lang w:val="sk-SK"/>
        </w:rPr>
        <w:t xml:space="preserve">. EÚ ako celok teda v prvom roku obdobia hodnotenia súladu 2021 – 2025 spĺňa pravidlo nulového dlhu. Podľa odhadov vychádzajúcich z približných údajov bude v roku 2022 zaznamenaný aj malý započítaný kredit. </w:t>
      </w:r>
    </w:p>
    <w:p w14:paraId="1244D741" w14:textId="7B6F5405" w:rsidR="00E31BEE" w:rsidRPr="008854EA" w:rsidRDefault="00E31BEE" w:rsidP="00182A88">
      <w:pPr>
        <w:pStyle w:val="Body"/>
        <w:pBdr>
          <w:bottom w:val="single" w:sz="4" w:space="1" w:color="auto"/>
        </w:pBdr>
        <w:rPr>
          <w:noProof/>
          <w:lang w:val="sk-SK"/>
        </w:rPr>
      </w:pPr>
      <w:r w:rsidRPr="008854EA">
        <w:rPr>
          <w:noProof/>
          <w:lang w:val="sk-SK"/>
        </w:rPr>
        <w:t>Aj napriek tomu sa ukázalo, že na základe jedného roka obdobia hodnotenia súladu a bez zohľadnenia iných flexibilít, ktoré majú členské štáty k dispozícii na konci obdobia súladu, deväť členských štátov vykazuje potenciálne započítané debety</w:t>
      </w:r>
      <w:r w:rsidRPr="008854EA">
        <w:rPr>
          <w:rStyle w:val="FootnoteReference"/>
          <w:noProof/>
          <w:lang w:val="sk-SK"/>
        </w:rPr>
        <w:footnoteReference w:id="87"/>
      </w:r>
      <w:r w:rsidRPr="008854EA">
        <w:rPr>
          <w:noProof/>
          <w:lang w:val="sk-SK"/>
        </w:rPr>
        <w:t>, pričom najväčší debet majú Francúzsko, Fínsko a Česká republika. Potenciálny započítaný kredit malo 18 členských štátov</w:t>
      </w:r>
      <w:r w:rsidRPr="008854EA">
        <w:rPr>
          <w:rStyle w:val="FootnoteReference"/>
          <w:noProof/>
          <w:lang w:val="sk-SK"/>
        </w:rPr>
        <w:footnoteReference w:id="88"/>
      </w:r>
      <w:r w:rsidRPr="008854EA">
        <w:rPr>
          <w:noProof/>
          <w:lang w:val="sk-SK"/>
        </w:rPr>
        <w:t>, spomedzi ktorých najväčší čistý kredit v EÚ mali Španielsko, Nemecko a Rumunsko.</w:t>
      </w:r>
    </w:p>
    <w:p w14:paraId="363FCBE3" w14:textId="262B5AD0" w:rsidR="009E1E6A" w:rsidRPr="008854EA" w:rsidRDefault="00A70426" w:rsidP="00182A88">
      <w:pPr>
        <w:pStyle w:val="Body"/>
        <w:pBdr>
          <w:bottom w:val="single" w:sz="4" w:space="1" w:color="auto"/>
        </w:pBdr>
        <w:rPr>
          <w:noProof/>
          <w:lang w:val="sk-SK"/>
        </w:rPr>
      </w:pPr>
      <w:r w:rsidRPr="008854EA">
        <w:rPr>
          <w:noProof/>
          <w:lang w:val="sk-SK"/>
        </w:rPr>
        <w:t>Na základe približných údajov za rok 2022</w:t>
      </w:r>
      <w:r w:rsidRPr="008854EA">
        <w:rPr>
          <w:rStyle w:val="FootnoteReference"/>
          <w:noProof/>
          <w:lang w:val="sk-SK"/>
        </w:rPr>
        <w:footnoteReference w:id="89"/>
      </w:r>
      <w:r w:rsidRPr="008854EA">
        <w:rPr>
          <w:noProof/>
          <w:lang w:val="sk-SK"/>
        </w:rPr>
        <w:t xml:space="preserve"> a s uplatnením pravidiel započítavania malo 16 členských štátov potenciálny kredit</w:t>
      </w:r>
      <w:r w:rsidRPr="008854EA">
        <w:rPr>
          <w:rStyle w:val="FootnoteReference"/>
          <w:noProof/>
          <w:lang w:val="sk-SK"/>
        </w:rPr>
        <w:footnoteReference w:id="90"/>
      </w:r>
      <w:r w:rsidRPr="008854EA">
        <w:rPr>
          <w:noProof/>
          <w:lang w:val="sk-SK"/>
        </w:rPr>
        <w:t xml:space="preserve"> a desať členských štátov vykazovalo potenciálny debet</w:t>
      </w:r>
      <w:r w:rsidRPr="008854EA">
        <w:rPr>
          <w:rStyle w:val="FootnoteReference"/>
          <w:noProof/>
          <w:lang w:val="sk-SK"/>
        </w:rPr>
        <w:footnoteReference w:id="91"/>
      </w:r>
      <w:r w:rsidRPr="008854EA">
        <w:rPr>
          <w:noProof/>
          <w:lang w:val="sk-SK"/>
        </w:rPr>
        <w:t>. Česká republika a Fínsko vykazujú pokles debetu, zatiaľ čo Lotyšsko prechádza z kreditu na debet. Taliansko a Rumunsko zaznamenali nárast kreditu. Päť členských štátov predložilo inventarizačné údaje za rok 2021 ako približné údaje za rok 2022</w:t>
      </w:r>
      <w:r w:rsidRPr="008854EA">
        <w:rPr>
          <w:rStyle w:val="FootnoteReference"/>
          <w:noProof/>
          <w:lang w:val="sk-SK"/>
        </w:rPr>
        <w:footnoteReference w:id="92"/>
      </w:r>
      <w:r w:rsidRPr="008854EA">
        <w:rPr>
          <w:noProof/>
          <w:lang w:val="sk-SK"/>
        </w:rPr>
        <w:t>. (Pozri podrobnejšie informácie v kapitole 9 pracovného dokumentu útvarov Komisie – „Technické informácie“).</w:t>
      </w:r>
    </w:p>
    <w:p w14:paraId="1B16183E" w14:textId="71008337" w:rsidR="00AA1446" w:rsidRPr="008854EA" w:rsidRDefault="00AA1446" w:rsidP="00182A88">
      <w:pPr>
        <w:pStyle w:val="Body"/>
        <w:pBdr>
          <w:bottom w:val="single" w:sz="4" w:space="1" w:color="auto"/>
        </w:pBdr>
        <w:rPr>
          <w:rFonts w:cs="Times New Roman"/>
          <w:noProof/>
          <w:lang w:val="sk-SK"/>
        </w:rPr>
      </w:pPr>
      <w:r w:rsidRPr="008854EA">
        <w:rPr>
          <w:noProof/>
          <w:lang w:val="sk-SK"/>
        </w:rPr>
        <w:t>V súlade s nahlasovacími povinnosťami členské štáty nahlásili svoje predpokladané celkové kredity alebo debety započítané v rámci LULUCF na roky 2021 až 2025</w:t>
      </w:r>
      <w:r w:rsidRPr="008854EA">
        <w:rPr>
          <w:rStyle w:val="FootnoteReference"/>
          <w:noProof/>
          <w:lang w:val="sk-SK"/>
        </w:rPr>
        <w:footnoteReference w:id="93"/>
      </w:r>
      <w:r w:rsidRPr="008854EA">
        <w:rPr>
          <w:noProof/>
          <w:lang w:val="sk-SK"/>
        </w:rPr>
        <w:t>. Z toho 16 členských štátov nahlásilo projekcie zohľadňujúce existujúce opatrenia</w:t>
      </w:r>
      <w:r w:rsidRPr="008854EA">
        <w:rPr>
          <w:rStyle w:val="FootnoteReference"/>
          <w:noProof/>
          <w:lang w:val="sk-SK"/>
        </w:rPr>
        <w:footnoteReference w:id="94"/>
      </w:r>
      <w:r w:rsidRPr="008854EA">
        <w:rPr>
          <w:noProof/>
          <w:lang w:val="sk-SK"/>
        </w:rPr>
        <w:t xml:space="preserve"> a desať členských štátov nahlásilo projekcie zohľadňujúce dodatočné opatrenia</w:t>
      </w:r>
      <w:r w:rsidRPr="008854EA">
        <w:rPr>
          <w:rStyle w:val="FootnoteReference"/>
          <w:noProof/>
          <w:lang w:val="sk-SK"/>
        </w:rPr>
        <w:footnoteReference w:id="95"/>
      </w:r>
      <w:r w:rsidRPr="008854EA">
        <w:rPr>
          <w:noProof/>
          <w:lang w:val="sk-SK"/>
        </w:rPr>
        <w:t>. Po výpočtoch</w:t>
      </w:r>
      <w:r w:rsidRPr="008854EA">
        <w:rPr>
          <w:rStyle w:val="FootnoteReference"/>
          <w:noProof/>
          <w:lang w:val="sk-SK"/>
        </w:rPr>
        <w:footnoteReference w:id="96"/>
      </w:r>
      <w:r w:rsidRPr="008854EA">
        <w:rPr>
          <w:noProof/>
          <w:lang w:val="sk-SK"/>
        </w:rPr>
        <w:t xml:space="preserve"> niektoré členské štáty vykazujú na </w:t>
      </w:r>
      <w:r w:rsidRPr="008854EA">
        <w:rPr>
          <w:rStyle w:val="cf01"/>
          <w:rFonts w:ascii="Times New Roman" w:hAnsi="Times New Roman"/>
          <w:noProof/>
          <w:sz w:val="24"/>
          <w:lang w:val="sk-SK"/>
        </w:rPr>
        <w:t>každý rok v období 2021 – 2025 debet započítaných emisií</w:t>
      </w:r>
      <w:r w:rsidRPr="008854EA">
        <w:rPr>
          <w:rStyle w:val="FootnoteReference"/>
          <w:noProof/>
          <w:lang w:val="sk-SK"/>
        </w:rPr>
        <w:footnoteReference w:id="97"/>
      </w:r>
      <w:r w:rsidRPr="008854EA">
        <w:rPr>
          <w:noProof/>
          <w:lang w:val="sk-SK"/>
        </w:rPr>
        <w:t>. Vyvoláva to obavy, pretože na vypracovanie politík a zavedenie opatrení na zvrátenie tohto vývoja zostáva málo času.</w:t>
      </w:r>
      <w:r w:rsidRPr="008854EA">
        <w:rPr>
          <w:rFonts w:ascii="Calibri" w:hAnsi="Calibri"/>
          <w:noProof/>
          <w:sz w:val="22"/>
          <w:lang w:val="sk-SK"/>
        </w:rPr>
        <w:t xml:space="preserve"> </w:t>
      </w:r>
    </w:p>
    <w:p w14:paraId="721E563C" w14:textId="77777777" w:rsidR="00942A94" w:rsidRPr="008854EA" w:rsidRDefault="001E110D" w:rsidP="00182A88">
      <w:pPr>
        <w:pStyle w:val="Body"/>
        <w:pBdr>
          <w:bottom w:val="single" w:sz="4" w:space="1" w:color="auto"/>
        </w:pBdr>
        <w:rPr>
          <w:noProof/>
          <w:lang w:val="sk-SK"/>
        </w:rPr>
      </w:pPr>
      <w:r w:rsidRPr="008854EA">
        <w:rPr>
          <w:noProof/>
          <w:lang w:val="sk-SK"/>
        </w:rPr>
        <w:t>Projekcie nahlásených emisií a odstraňovania, ktoré členské štáty predložili v marci 2023, boli posúdené z hľadiska pokroku v oblasti LULUCF pri dosahovaní cieľov na rok 2030. Projekcie zohľadňujúce existujúce opatrenia ukazujú, že celkové čisté odstraňovanie dosiahne v EÚ do roku 2030 úroveň –239 miliónov ton ekvivalentu CO</w:t>
      </w:r>
      <w:r w:rsidRPr="008854EA">
        <w:rPr>
          <w:noProof/>
          <w:vertAlign w:val="subscript"/>
          <w:lang w:val="sk-SK"/>
        </w:rPr>
        <w:t>2</w:t>
      </w:r>
      <w:r w:rsidRPr="008854EA">
        <w:rPr>
          <w:noProof/>
          <w:lang w:val="sk-SK"/>
        </w:rPr>
        <w:t>, a projekcie zohľadňujúce dodatočné opatrenia naznačujú –260 miliónov ton ekvivalentu CO</w:t>
      </w:r>
      <w:r w:rsidRPr="008854EA">
        <w:rPr>
          <w:noProof/>
          <w:vertAlign w:val="subscript"/>
          <w:lang w:val="sk-SK"/>
        </w:rPr>
        <w:t>2</w:t>
      </w:r>
      <w:r w:rsidRPr="008854EA">
        <w:rPr>
          <w:noProof/>
          <w:lang w:val="sk-SK"/>
        </w:rPr>
        <w:t>, z čoho vyplýva, že do splnenia cieľa v roku 2030 bude chýbať približne 50 – 70 miliónov ton ekvivalentu CO</w:t>
      </w:r>
      <w:r w:rsidRPr="008854EA">
        <w:rPr>
          <w:noProof/>
          <w:vertAlign w:val="subscript"/>
          <w:lang w:val="sk-SK"/>
        </w:rPr>
        <w:t>2</w:t>
      </w:r>
      <w:r w:rsidRPr="008854EA">
        <w:rPr>
          <w:noProof/>
          <w:lang w:val="sk-SK"/>
        </w:rPr>
        <w:t>. Znamená to, že EÚ nie je podľa projekcií na dobrej ceste k tomu, aby do roku 2030 dosiahla cieľ čistého odstraňovania na úrovni –310 miliónov ton ekvivalentu CO</w:t>
      </w:r>
      <w:r w:rsidRPr="008854EA">
        <w:rPr>
          <w:noProof/>
          <w:vertAlign w:val="subscript"/>
          <w:lang w:val="sk-SK"/>
        </w:rPr>
        <w:t>2</w:t>
      </w:r>
      <w:r w:rsidRPr="008854EA">
        <w:rPr>
          <w:noProof/>
          <w:lang w:val="sk-SK"/>
        </w:rPr>
        <w:t>.</w:t>
      </w:r>
      <w:r w:rsidR="00E31BEE" w:rsidRPr="008854EA">
        <w:rPr>
          <w:noProof/>
          <w:lang w:val="sk-SK"/>
        </w:rPr>
        <w:t xml:space="preserve"> </w:t>
      </w:r>
      <w:r w:rsidR="00E31BEE" w:rsidRPr="008854EA">
        <w:rPr>
          <w:noProof/>
          <w:lang w:val="sk-SK"/>
        </w:rPr>
        <w:cr/>
      </w:r>
    </w:p>
    <w:p w14:paraId="02507238" w14:textId="0C45F03F" w:rsidR="008443B0" w:rsidRPr="008854EA" w:rsidRDefault="00E31BEE" w:rsidP="00182A88">
      <w:pPr>
        <w:pStyle w:val="Body"/>
        <w:pBdr>
          <w:bottom w:val="single" w:sz="4" w:space="1" w:color="auto"/>
        </w:pBdr>
        <w:rPr>
          <w:rFonts w:ascii="Calibri" w:hAnsi="Calibri" w:cs="Calibri"/>
          <w:noProof/>
          <w:sz w:val="22"/>
          <w:lang w:val="sk-SK"/>
        </w:rPr>
      </w:pPr>
      <w:r w:rsidRPr="008854EA">
        <w:rPr>
          <w:b/>
          <w:noProof/>
          <w:color w:val="44546A" w:themeColor="text2"/>
          <w:lang w:val="sk-SK"/>
        </w:rPr>
        <w:t>Graf 18: Emisie a odstraňovanie zo sektora využívania pôdy v EÚ podľa hlavných kategórií využívania pôdy</w:t>
      </w:r>
      <w:r w:rsidRPr="008854EA">
        <w:rPr>
          <w:rStyle w:val="FootnoteReference"/>
          <w:rFonts w:eastAsiaTheme="minorEastAsia"/>
          <w:b/>
          <w:noProof/>
          <w:color w:val="44546A" w:themeColor="text2"/>
          <w:lang w:val="sk-SK"/>
        </w:rPr>
        <w:footnoteReference w:id="98"/>
      </w:r>
      <w:r w:rsidRPr="008854EA">
        <w:rPr>
          <w:noProof/>
          <w:lang w:val="sk-SK"/>
        </w:rPr>
        <w:t xml:space="preserve"> </w:t>
      </w:r>
      <w:r w:rsidRPr="008854EA">
        <w:rPr>
          <w:noProof/>
          <w:lang w:val="sk-SK"/>
        </w:rPr>
        <w:cr/>
      </w:r>
    </w:p>
    <w:p w14:paraId="3AE47480" w14:textId="0F7685FB" w:rsidR="00182A88" w:rsidRPr="008854EA" w:rsidRDefault="00412C1B" w:rsidP="0097539E">
      <w:pPr>
        <w:pStyle w:val="Body"/>
        <w:pBdr>
          <w:top w:val="none" w:sz="0" w:space="0" w:color="auto"/>
          <w:left w:val="none" w:sz="0" w:space="0" w:color="auto"/>
          <w:bottom w:val="single" w:sz="4" w:space="1" w:color="auto"/>
          <w:right w:val="none" w:sz="0" w:space="0" w:color="auto"/>
          <w:between w:val="none" w:sz="0" w:space="0" w:color="auto"/>
          <w:bar w:val="none" w:sz="0" w:color="auto"/>
        </w:pBdr>
        <w:jc w:val="center"/>
        <w:rPr>
          <w:noProof/>
          <w:lang w:val="sk-SK"/>
        </w:rPr>
      </w:pPr>
      <w:r w:rsidRPr="008854EA">
        <w:rPr>
          <w:noProof/>
          <w:lang w:val="en-GB" w:eastAsia="en-GB"/>
        </w:rPr>
        <w:drawing>
          <wp:inline distT="0" distB="0" distL="0" distR="0" wp14:anchorId="4EDE865D" wp14:editId="765E78BF">
            <wp:extent cx="4976918" cy="222293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14525" cy="2284399"/>
                    </a:xfrm>
                    <a:prstGeom prst="rect">
                      <a:avLst/>
                    </a:prstGeom>
                    <a:noFill/>
                    <a:ln>
                      <a:noFill/>
                    </a:ln>
                  </pic:spPr>
                </pic:pic>
              </a:graphicData>
            </a:graphic>
          </wp:inline>
        </w:drawing>
      </w:r>
    </w:p>
    <w:p w14:paraId="6C5ACFCE" w14:textId="7876A26B" w:rsidR="00621735" w:rsidRPr="008854EA" w:rsidRDefault="00621735" w:rsidP="002660FF">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sk-SK"/>
        </w:rPr>
      </w:pPr>
      <w:r w:rsidRPr="008854EA">
        <w:rPr>
          <w:noProof/>
          <w:lang w:val="sk-SK"/>
        </w:rPr>
        <w:t>Na záver možno zhrnúť, že na základe obmedzených údajov a informácií, ktoré sú v súčasnosti k dispozícii, sa členské štáty vyzývajú, aby v rámci prebiehajúceho procesu aktualizovania NEKP ďalej uvažovali o tom, ako zvýšiť ambície a opatrenia na svojom území. Komisia sa po predložení konečných aktualizovaných NEKP, v roku 2024 vráti k posúdeniu toho, či členské štáty dosahujú dostatočný pokrok. V prípade nedostatočného pokroku môže byť potrebné vypracovať plán nápravných opatrení podľa článku 13 písm. d) nariadenia o LULUCF.</w:t>
      </w:r>
    </w:p>
    <w:p w14:paraId="07B945EA" w14:textId="2F820505" w:rsidR="00E31BEE" w:rsidRPr="008854EA" w:rsidRDefault="00CC7CB3" w:rsidP="000E570C">
      <w:pPr>
        <w:pStyle w:val="Heading2"/>
        <w:ind w:left="576"/>
        <w:rPr>
          <w:rFonts w:ascii="Times New Roman" w:hAnsi="Times New Roman" w:cs="Times New Roman"/>
          <w:noProof/>
          <w:lang w:val="sk-SK"/>
        </w:rPr>
      </w:pPr>
      <w:r w:rsidRPr="008854EA">
        <w:rPr>
          <w:rFonts w:ascii="Times New Roman" w:hAnsi="Times New Roman"/>
          <w:noProof/>
          <w:lang w:val="sk-SK"/>
        </w:rPr>
        <w:t>Opatrenia na zintenzívnenie monitorovania pôdy</w:t>
      </w:r>
    </w:p>
    <w:p w14:paraId="69BBDE06" w14:textId="796A072F" w:rsidR="00E31BEE" w:rsidRPr="008854EA" w:rsidRDefault="00E31BEE" w:rsidP="00E31BEE">
      <w:pPr>
        <w:pStyle w:val="Body"/>
        <w:rPr>
          <w:noProof/>
          <w:lang w:val="sk-SK"/>
        </w:rPr>
      </w:pPr>
      <w:r w:rsidRPr="008854EA">
        <w:rPr>
          <w:b/>
          <w:noProof/>
          <w:lang w:val="sk-SK"/>
        </w:rPr>
        <w:t>Návrh smernice o monitorovaní a odolnosti pôdy</w:t>
      </w:r>
      <w:r w:rsidRPr="008854EA">
        <w:rPr>
          <w:rStyle w:val="FootnoteReference"/>
          <w:rFonts w:cs="Times New Roman"/>
          <w:noProof/>
          <w:lang w:val="sk-SK"/>
        </w:rPr>
        <w:footnoteReference w:id="99"/>
      </w:r>
      <w:r w:rsidRPr="008854EA">
        <w:rPr>
          <w:noProof/>
          <w:lang w:val="sk-SK"/>
        </w:rPr>
        <w:t xml:space="preserve"> a revidované nariadenie o LULUCF</w:t>
      </w:r>
      <w:r w:rsidRPr="008854EA">
        <w:rPr>
          <w:rStyle w:val="FootnoteReference"/>
          <w:rFonts w:cs="Times New Roman"/>
          <w:noProof/>
          <w:lang w:val="sk-SK"/>
        </w:rPr>
        <w:footnoteReference w:id="100"/>
      </w:r>
      <w:r w:rsidRPr="008854EA">
        <w:rPr>
          <w:noProof/>
          <w:lang w:val="sk-SK"/>
        </w:rPr>
        <w:t xml:space="preserve"> sa budú navzájom posilňovať: zdravá pôda viaže viac uhlíka a ciele v oblasti LULUCF podporujú udržateľné hospodárenie s pôdou. V nariadení o LULUCF sa vyžaduje, aby všetky členské štáty vytvorili systémy na monitorovanie (okrem iného) zásob uhlíka v pôde</w:t>
      </w:r>
      <w:r w:rsidRPr="008854EA">
        <w:rPr>
          <w:rStyle w:val="FootnoteReference"/>
          <w:rFonts w:cs="Times New Roman"/>
          <w:noProof/>
          <w:lang w:val="sk-SK"/>
        </w:rPr>
        <w:footnoteReference w:id="101"/>
      </w:r>
      <w:r w:rsidRPr="008854EA">
        <w:rPr>
          <w:noProof/>
          <w:lang w:val="sk-SK"/>
        </w:rPr>
        <w:t xml:space="preserve">. </w:t>
      </w:r>
    </w:p>
    <w:p w14:paraId="62D0FE23" w14:textId="5D9A58D5" w:rsidR="00E31BEE" w:rsidRPr="008854EA" w:rsidRDefault="00CF467D" w:rsidP="00E31BEE">
      <w:pPr>
        <w:pStyle w:val="Body"/>
        <w:rPr>
          <w:rFonts w:cs="Times New Roman"/>
          <w:noProof/>
          <w:lang w:val="sk-SK"/>
        </w:rPr>
      </w:pPr>
      <w:r w:rsidRPr="008854EA">
        <w:rPr>
          <w:noProof/>
          <w:lang w:val="sk-SK"/>
        </w:rPr>
        <w:t>Lepšie monitorovanie krajiny a pôdy pomôže zamerať sa na opatrenia, ktoré prinášajú najväčší úžitok z pohľadu klímy. Inventúry skleníkových plynov členských štátov sú základom opatrení v oblasti klímy a taktiež neustále sa vyvíjajú. V reakcii na nové požiadavky na kvalitnú štatistiku zavedené v revidovanom nariadení o LULUCF sa očakávajú prepočty založené na lepších údajoch a metódach. V záujme uľahčenia opatrení budú rozhodujúce zlepšené inventúry skleníkových plynov založené na harmonizovaných a spresnených údajoch o činnosti a koeficientoch odstraňovania/emisií. Lepšie, včasnejšie a lepšie zmapované údaje pomôžu sledovať pokrok jednotlivých štátov a spoločný pokrok EÚ pri dosahovaní cieľov v oblasti klímy a usmerňovať informované a presné kroky a ďalšie opatrenia. Členské štáty za uplynulé roky vo vykazovaní inventúr pokročili. Napríklad pokiaľ ide o pokrytie úložísk uhlíka a kvalitu predkladaných údajov a informácií o metodike. Vďaka pokročilým technológiám, napríklad technológiám dostupným v rámci programov EÚ, možno získať digitálne mapy aktualizované na základe vysoko relevantného satelitného a pozemného pozorovania. Podnikajú sa nové kroky na integráciu údajov z družicových služieb programu Copernicus a súborov údajov, ako sú údaje využívané v rámci spoločnej poľnohospodárskej politiky (SPP).</w:t>
      </w:r>
    </w:p>
    <w:p w14:paraId="06B26500" w14:textId="77777777"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 xml:space="preserve">Súvisiace iniciatívy v poľnohospodárstve a lesnom hospodárstve </w:t>
      </w:r>
    </w:p>
    <w:p w14:paraId="4C1113F0" w14:textId="19459B07" w:rsidR="00B16370" w:rsidRPr="008854EA" w:rsidRDefault="00E31BEE" w:rsidP="00E31BEE">
      <w:pPr>
        <w:pStyle w:val="Body"/>
        <w:rPr>
          <w:noProof/>
          <w:lang w:val="sk-SK"/>
        </w:rPr>
      </w:pPr>
      <w:r w:rsidRPr="008854EA">
        <w:rPr>
          <w:noProof/>
          <w:lang w:val="sk-SK"/>
        </w:rPr>
        <w:t>Členské štáty musia pri aktualizovaní svojich národných energetických a klimatických plánov</w:t>
      </w:r>
      <w:r w:rsidRPr="008854EA">
        <w:rPr>
          <w:b/>
          <w:noProof/>
          <w:lang w:val="sk-SK"/>
        </w:rPr>
        <w:t xml:space="preserve"> </w:t>
      </w:r>
      <w:r w:rsidRPr="008854EA">
        <w:rPr>
          <w:noProof/>
          <w:lang w:val="sk-SK"/>
        </w:rPr>
        <w:t xml:space="preserve">(NEKP) na roky 2021 – 2030 zvážiť úlohu sektora využívania pôdy. Toto aktualizovanie je kľúčové, aby mohli členské štáty sledovať pokrok v plnení cieľov a aby mohla EÚ zabezpečiť zvýšenie ambícií. Členské štáty musia takisto do 16. novembra 2023 posúdiť, či sú ich </w:t>
      </w:r>
      <w:hyperlink r:id="rId47" w:history="1">
        <w:r w:rsidRPr="008854EA">
          <w:rPr>
            <w:noProof/>
            <w:lang w:val="sk-SK"/>
          </w:rPr>
          <w:t>strategické plány SPP</w:t>
        </w:r>
      </w:hyperlink>
      <w:r w:rsidRPr="008854EA">
        <w:rPr>
          <w:noProof/>
          <w:lang w:val="sk-SK"/>
        </w:rPr>
        <w:t xml:space="preserve"> v súlade s novými cieľmi podľa revidovaného nariadenia o LULUCF a nariadenia o spoločnom úsilí, a podľa potreby ich zmeniť. </w:t>
      </w:r>
    </w:p>
    <w:p w14:paraId="3379B106" w14:textId="69DF8C08" w:rsidR="00F10F2C" w:rsidRPr="008854EA" w:rsidRDefault="00E31BEE" w:rsidP="00E31BEE">
      <w:pPr>
        <w:pStyle w:val="Body"/>
        <w:rPr>
          <w:b/>
          <w:noProof/>
          <w:lang w:val="sk-SK"/>
        </w:rPr>
      </w:pPr>
      <w:r w:rsidRPr="008854EA">
        <w:rPr>
          <w:b/>
          <w:noProof/>
          <w:lang w:val="sk-SK"/>
        </w:rPr>
        <w:t>Prístup k financovaniu a stimulom</w:t>
      </w:r>
    </w:p>
    <w:p w14:paraId="04D97424" w14:textId="5A121F71" w:rsidR="00E31BEE" w:rsidRPr="008854EA" w:rsidRDefault="00E31BEE" w:rsidP="00E31BEE">
      <w:pPr>
        <w:pStyle w:val="Body"/>
        <w:rPr>
          <w:noProof/>
          <w:lang w:val="sk-SK"/>
        </w:rPr>
      </w:pPr>
      <w:r w:rsidRPr="008854EA">
        <w:rPr>
          <w:noProof/>
          <w:lang w:val="sk-SK"/>
        </w:rPr>
        <w:t>Na podporu odstraňovania uhlíka sú k dispozícii alebo sa pripravujú mnohé mechanizmy financovania a stimuly z verejných alebo zo súkromných zdrojov. EÚ poskytuje financovanie v rámci SPP, ďalších programov EÚ, ako sú LIFE, Horizont Európa (najmä misia v oblasti pôdy) a fondy politiky súdržnosti. V roku 2023 Komisia prijala usmernenia o príležitostiach na financovanie EÚ v záujme zdravej pôdy</w:t>
      </w:r>
      <w:r w:rsidRPr="008854EA">
        <w:rPr>
          <w:rStyle w:val="FootnoteReference"/>
          <w:noProof/>
          <w:lang w:val="sk-SK"/>
        </w:rPr>
        <w:footnoteReference w:id="102"/>
      </w:r>
      <w:r w:rsidRPr="008854EA">
        <w:rPr>
          <w:noProof/>
          <w:lang w:val="sk-SK"/>
        </w:rPr>
        <w:t>. Členské štáty môžu takisto podporovať zavádzanie postupov udržateľného obhospodarovania v súlade s pravidlami štátnej pomoci, ktoré boli revidované a umožňujú poskytovanie služieb lesného ekosystému, ako je regulácia klímy a obnova biodiverzity. Ďalšie informácie pre aktérov poskytuje usmernenie Komisie k režimom platieb za lesné ekosystémové služby</w:t>
      </w:r>
      <w:r w:rsidRPr="008854EA">
        <w:rPr>
          <w:rStyle w:val="FootnoteReference"/>
          <w:noProof/>
          <w:lang w:val="sk-SK"/>
        </w:rPr>
        <w:footnoteReference w:id="103"/>
      </w:r>
      <w:r w:rsidRPr="008854EA">
        <w:rPr>
          <w:noProof/>
          <w:lang w:val="sk-SK"/>
        </w:rPr>
        <w:t xml:space="preserve">. SPP a štátna pomoc pokrývajú financovanie investícií a opatrení ako odborná príprava, poradenstvo alebo spolupráca, ktoré pomáhajú maximalizovať účinky. Zavádzanie uhlíkového poľnohospodárstva vo veľkom možno doplniť a ďalej podporovať prostredníctvom súkromných iniciatív spojených s dobrovoľnými trhmi s uhlíkom alebo kombinovaním rôznych možností financovania. </w:t>
      </w:r>
    </w:p>
    <w:p w14:paraId="254932F7" w14:textId="16F54851" w:rsidR="00E31BEE" w:rsidRPr="008854EA" w:rsidRDefault="00E31BEE" w:rsidP="00E31BEE">
      <w:pPr>
        <w:spacing w:after="0" w:line="240" w:lineRule="auto"/>
        <w:jc w:val="both"/>
        <w:textAlignment w:val="center"/>
        <w:rPr>
          <w:rFonts w:ascii="Times New Roman" w:hAnsi="Times New Roman" w:cs="Times New Roman"/>
          <w:noProof/>
          <w:sz w:val="24"/>
          <w:lang w:val="sk-SK"/>
        </w:rPr>
      </w:pPr>
      <w:r w:rsidRPr="008854EA">
        <w:rPr>
          <w:rFonts w:ascii="Times New Roman" w:hAnsi="Times New Roman"/>
          <w:noProof/>
          <w:sz w:val="24"/>
          <w:lang w:val="sk-SK"/>
        </w:rPr>
        <w:t xml:space="preserve">S cieľom zaistiť vysokokvalitné odstraňovanie uhlíka na základe certifikácie EÚ Komisia navrhla regulačný </w:t>
      </w:r>
      <w:r w:rsidRPr="008854EA">
        <w:rPr>
          <w:rFonts w:ascii="Times New Roman" w:hAnsi="Times New Roman"/>
          <w:b/>
          <w:noProof/>
          <w:sz w:val="24"/>
          <w:lang w:val="sk-SK"/>
        </w:rPr>
        <w:t>rámec EÚ pre certifikáciu odstraňovania uhlíka</w:t>
      </w:r>
      <w:r w:rsidRPr="008854EA">
        <w:rPr>
          <w:rStyle w:val="FootnoteReference"/>
          <w:rFonts w:ascii="Times New Roman" w:hAnsi="Times New Roman" w:cs="Times New Roman"/>
          <w:b/>
          <w:noProof/>
          <w:sz w:val="24"/>
          <w:lang w:val="sk-SK"/>
        </w:rPr>
        <w:footnoteReference w:id="104"/>
      </w:r>
      <w:r w:rsidRPr="008854EA">
        <w:rPr>
          <w:rFonts w:ascii="Times New Roman" w:hAnsi="Times New Roman"/>
          <w:noProof/>
          <w:sz w:val="24"/>
          <w:lang w:val="sk-SK"/>
        </w:rPr>
        <w:t>, ktorý členským štátom poskytuje súbor nástrojov na zvyšovanie odstraňovania uhlíka. Rámec certifikácie pomôže zabezpečiť, aby sa pomocou štandardizovaných metodík mohli transparentne identifikovať riešenia pre uhlíkové poľnohospodárstvo a priemysel na odstraňovanie CO</w:t>
      </w:r>
      <w:r w:rsidRPr="008854EA">
        <w:rPr>
          <w:rFonts w:ascii="Times New Roman" w:hAnsi="Times New Roman"/>
          <w:noProof/>
          <w:sz w:val="24"/>
          <w:vertAlign w:val="subscript"/>
          <w:lang w:val="sk-SK"/>
        </w:rPr>
        <w:t>2</w:t>
      </w:r>
      <w:r w:rsidRPr="008854EA">
        <w:rPr>
          <w:rFonts w:ascii="Times New Roman" w:hAnsi="Times New Roman"/>
          <w:noProof/>
          <w:sz w:val="24"/>
          <w:lang w:val="sk-SK"/>
        </w:rPr>
        <w:t xml:space="preserve"> z atmosféry a jeho dlhodobé ukladanie. Certifikáty odstraňovania uhlíka môžu takisto pomôcť organizáciám podložiť dôveryhodné tvrdenia o odstraňovaní uhlíka a splniť očakávania zainteresovaných strán, že odstraňovanie uhlíka by sa nemalo zneužívať v environmentálne klamlivých vyhláseniach, v súlade so smernicou o vykazovaní informácií o udržateľnosti podnikov</w:t>
      </w:r>
      <w:r w:rsidRPr="008854EA">
        <w:rPr>
          <w:rStyle w:val="FootnoteReference"/>
          <w:rFonts w:ascii="Times New Roman" w:hAnsi="Times New Roman" w:cs="Times New Roman"/>
          <w:noProof/>
          <w:sz w:val="24"/>
          <w:lang w:val="sk-SK"/>
        </w:rPr>
        <w:footnoteReference w:id="105"/>
      </w:r>
      <w:r w:rsidRPr="008854EA">
        <w:rPr>
          <w:rFonts w:ascii="Times New Roman" w:hAnsi="Times New Roman"/>
          <w:noProof/>
          <w:sz w:val="24"/>
          <w:lang w:val="sk-SK"/>
        </w:rPr>
        <w:t xml:space="preserve"> a s návrhom smernice o tvrdeniach týkajúcich sa životného prostredia</w:t>
      </w:r>
      <w:r w:rsidRPr="008854EA">
        <w:rPr>
          <w:rStyle w:val="FootnoteReference"/>
          <w:rFonts w:ascii="Times New Roman" w:hAnsi="Times New Roman" w:cs="Times New Roman"/>
          <w:noProof/>
          <w:sz w:val="24"/>
          <w:lang w:val="sk-SK"/>
        </w:rPr>
        <w:footnoteReference w:id="106"/>
      </w:r>
      <w:r w:rsidRPr="008854EA">
        <w:rPr>
          <w:noProof/>
          <w:lang w:val="sk-SK"/>
        </w:rPr>
        <w:t>.</w:t>
      </w:r>
      <w:r w:rsidRPr="008854EA">
        <w:rPr>
          <w:rFonts w:ascii="Times New Roman" w:hAnsi="Times New Roman"/>
          <w:noProof/>
          <w:sz w:val="24"/>
          <w:lang w:val="sk-SK"/>
        </w:rPr>
        <w:t xml:space="preserve"> S cieľom uľahčiť budúcu prácu v rámci tejto iniciatívy zriadila Komisia expertnú skupinu pre odstraňovanie uhlíka</w:t>
      </w:r>
      <w:r w:rsidRPr="008854EA">
        <w:rPr>
          <w:rStyle w:val="FootnoteReference"/>
          <w:rFonts w:ascii="Times New Roman" w:hAnsi="Times New Roman" w:cs="Times New Roman"/>
          <w:noProof/>
          <w:sz w:val="24"/>
          <w:lang w:val="sk-SK"/>
        </w:rPr>
        <w:footnoteReference w:id="107"/>
      </w:r>
      <w:r w:rsidRPr="008854EA">
        <w:rPr>
          <w:noProof/>
          <w:lang w:val="sk-SK"/>
        </w:rPr>
        <w:t>.</w:t>
      </w:r>
    </w:p>
    <w:p w14:paraId="32CC406C" w14:textId="79F9E617" w:rsidR="00E31BEE" w:rsidRPr="008854EA" w:rsidRDefault="00E31BEE" w:rsidP="00C61607">
      <w:pPr>
        <w:pStyle w:val="NormalWeb"/>
        <w:spacing w:before="0" w:beforeAutospacing="0" w:after="0" w:afterAutospacing="0"/>
        <w:ind w:left="540"/>
        <w:jc w:val="both"/>
        <w:rPr>
          <w:rFonts w:ascii="Calibri" w:hAnsi="Calibri" w:cs="Calibri"/>
          <w:noProof/>
          <w:sz w:val="20"/>
          <w:lang w:val="sk-SK"/>
        </w:rPr>
      </w:pPr>
      <w:r w:rsidRPr="008854EA">
        <w:rPr>
          <w:noProof/>
          <w:lang w:val="sk-SK"/>
        </w:rPr>
        <w:t xml:space="preserve"> </w:t>
      </w:r>
      <w:r w:rsidRPr="008854EA">
        <w:rPr>
          <w:noProof/>
          <w:lang w:val="sk-SK"/>
        </w:rPr>
        <w:cr/>
      </w:r>
      <w:r w:rsidRPr="008854EA">
        <w:rPr>
          <w:noProof/>
          <w:lang w:val="sk-SK"/>
        </w:rPr>
        <w:br/>
        <w:t xml:space="preserve"> </w:t>
      </w:r>
      <w:r w:rsidRPr="008854EA">
        <w:rPr>
          <w:noProof/>
          <w:lang w:val="sk-SK"/>
        </w:rPr>
        <w:cr/>
      </w:r>
      <w:r w:rsidRPr="008854EA">
        <w:rPr>
          <w:noProof/>
          <w:lang w:val="sk-SK"/>
        </w:rPr>
        <w:br/>
        <w:t xml:space="preserve"> </w:t>
      </w:r>
      <w:r w:rsidRPr="008854EA">
        <w:rPr>
          <w:noProof/>
          <w:lang w:val="sk-SK"/>
        </w:rPr>
        <w:cr/>
      </w:r>
      <w:r w:rsidRPr="008854EA">
        <w:rPr>
          <w:noProof/>
          <w:lang w:val="sk-SK"/>
        </w:rPr>
        <w:br/>
        <w:t xml:space="preserve"> </w:t>
      </w:r>
      <w:r w:rsidRPr="008854EA">
        <w:rPr>
          <w:noProof/>
          <w:lang w:val="sk-SK"/>
        </w:rPr>
        <w:br w:type="page"/>
      </w:r>
    </w:p>
    <w:p w14:paraId="60D03165" w14:textId="77777777" w:rsidR="00E31BEE" w:rsidRPr="008854EA" w:rsidRDefault="00E31BEE" w:rsidP="00E31BEE">
      <w:pPr>
        <w:pStyle w:val="Heading1"/>
        <w:rPr>
          <w:rFonts w:ascii="Times New Roman" w:hAnsi="Times New Roman" w:cs="Times New Roman"/>
          <w:noProof/>
          <w:sz w:val="32"/>
          <w:lang w:val="sk-SK"/>
        </w:rPr>
      </w:pPr>
      <w:bookmarkStart w:id="16" w:name="_Hlk98753731"/>
      <w:r w:rsidRPr="008854EA">
        <w:rPr>
          <w:rFonts w:ascii="Times New Roman" w:hAnsi="Times New Roman"/>
          <w:noProof/>
          <w:sz w:val="32"/>
          <w:lang w:val="sk-SK"/>
        </w:rPr>
        <w:t xml:space="preserve">ODOLNOSŤ PROTI ZMENE KLÍMY </w:t>
      </w:r>
    </w:p>
    <w:bookmarkEnd w:id="16"/>
    <w:p w14:paraId="2E03D871" w14:textId="25B483CE" w:rsidR="00E31BEE" w:rsidRPr="008854EA" w:rsidRDefault="00E31BEE" w:rsidP="00E31BEE">
      <w:pPr>
        <w:pStyle w:val="Body"/>
        <w:rPr>
          <w:noProof/>
          <w:lang w:val="sk-SK"/>
        </w:rPr>
      </w:pPr>
      <w:r w:rsidRPr="008854EA">
        <w:rPr>
          <w:noProof/>
          <w:lang w:val="sk-SK"/>
        </w:rPr>
        <w:t>Katastrofy súvisiace s počasím a klímou spôsobujú značné straty. Odhaduje sa, že vlny horúčav v lete 2022 spôsobili v Európe viac ako 61 000 zbytočných úmrtí.</w:t>
      </w:r>
      <w:r w:rsidRPr="008854EA">
        <w:rPr>
          <w:noProof/>
          <w:vertAlign w:val="superscript"/>
          <w:lang w:val="sk-SK"/>
        </w:rPr>
        <w:footnoteReference w:id="108"/>
      </w:r>
      <w:r w:rsidRPr="008854EA">
        <w:rPr>
          <w:noProof/>
          <w:lang w:val="sk-SK"/>
        </w:rPr>
        <w:t xml:space="preserve"> Extrémne prívalové povodne v lete 2021 spôsobili hospodárske škody vo výške 46 miliárd EUR.</w:t>
      </w:r>
      <w:r w:rsidRPr="008854EA">
        <w:rPr>
          <w:noProof/>
          <w:vertAlign w:val="superscript"/>
          <w:lang w:val="sk-SK"/>
        </w:rPr>
        <w:footnoteReference w:id="109"/>
      </w:r>
      <w:r w:rsidRPr="008854EA">
        <w:rPr>
          <w:noProof/>
          <w:lang w:val="sk-SK"/>
        </w:rPr>
        <w:t xml:space="preserve"> Klimatické riziká sa budú naďalej stupňovať, pričom podľa IPCC je príležitosť na odvrátenie najhorších dôsledkov otvorená „krátky čas a rýchlo sa vytráca“.</w:t>
      </w:r>
      <w:r w:rsidRPr="008854EA">
        <w:rPr>
          <w:noProof/>
          <w:vertAlign w:val="superscript"/>
          <w:lang w:val="sk-SK"/>
        </w:rPr>
        <w:footnoteReference w:id="110"/>
      </w:r>
      <w:r w:rsidRPr="008854EA">
        <w:rPr>
          <w:noProof/>
          <w:lang w:val="sk-SK"/>
        </w:rPr>
        <w:t xml:space="preserve"> </w:t>
      </w:r>
    </w:p>
    <w:p w14:paraId="64933E57" w14:textId="1D468E93" w:rsidR="00E31BEE" w:rsidRPr="008854EA" w:rsidRDefault="00E31BEE" w:rsidP="00E31BEE">
      <w:pPr>
        <w:pStyle w:val="Body"/>
        <w:rPr>
          <w:noProof/>
          <w:lang w:val="sk-SK"/>
        </w:rPr>
      </w:pPr>
      <w:r w:rsidRPr="008854EA">
        <w:rPr>
          <w:noProof/>
          <w:lang w:val="sk-SK"/>
        </w:rPr>
        <w:t>EÚ je podľa európskeho právneho predpisu v oblasti klímy povinná zaistiť neustály pokrok v budovaní svojej kapacity na adaptáciu na účinky zmeny klímy, zvyšovať svoju odolnosť a znižovať zraniteľnosť voči zmene klímy. V nasledujúcom oddiele sa uvádza hodnotenie tohto pokroku na vysokej úrovni z pohľadu politiky EÚ. Následne sa hodnotí spoločný pokrok všetkých členských štátov. Ďalšie informácie sa nachádzajú v kapitolách 7 a 10 pracovného dokumentu útvarov Komisie – „Správa o vykonávaní stratégie EÚ v oblasti adaptácie na zmenu klímy“, ktorý je pripojený k tejto správe. K dispozícii je aj samostatná správa o vykonávaní stratégie EÚ pre adaptáciu.</w:t>
      </w:r>
    </w:p>
    <w:p w14:paraId="7FCB80E5" w14:textId="663FF26F"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Vykonávanie stratégie EÚ pre adaptáciu</w:t>
      </w:r>
    </w:p>
    <w:p w14:paraId="3D1CC39B" w14:textId="0EF9A325" w:rsidR="00E31BEE" w:rsidRPr="008854EA" w:rsidRDefault="00E31BEE" w:rsidP="00E31BEE">
      <w:pPr>
        <w:pStyle w:val="Body"/>
        <w:rPr>
          <w:noProof/>
          <w:lang w:val="sk-SK"/>
        </w:rPr>
      </w:pPr>
      <w:r w:rsidRPr="008854EA">
        <w:rPr>
          <w:noProof/>
          <w:lang w:val="sk-SK"/>
        </w:rPr>
        <w:t xml:space="preserve">EÚ v roku 2021 aktualizovala svoju stratégiu pre adaptáciu. Stratégia obsahuje 49 opatrení, ku ktorým sa Komisia zaviazala a ktoré sú rozdelené do štyroch cieľov: </w:t>
      </w:r>
      <w:r w:rsidRPr="008854EA">
        <w:rPr>
          <w:b/>
          <w:noProof/>
          <w:lang w:val="sk-SK"/>
        </w:rPr>
        <w:t>inteligentnejšia, systémovejšia, rýchlejšia a medzinárodná</w:t>
      </w:r>
      <w:r w:rsidRPr="008854EA">
        <w:rPr>
          <w:noProof/>
          <w:lang w:val="sk-SK"/>
        </w:rPr>
        <w:t xml:space="preserve"> adaptácia na zmenu klímy. Opatrenia boli navrhnuté tak, aby pokrývali široký záber z hľadiska politík, a často je potrebné dôsledne plánovať ich postupný sled. </w:t>
      </w:r>
    </w:p>
    <w:p w14:paraId="1388F93D" w14:textId="5911E255" w:rsidR="00E31BEE" w:rsidRPr="008854EA" w:rsidRDefault="00E31BEE" w:rsidP="00E31BEE">
      <w:pPr>
        <w:pStyle w:val="Body"/>
        <w:rPr>
          <w:noProof/>
          <w:lang w:val="sk-SK"/>
        </w:rPr>
      </w:pPr>
      <w:r w:rsidRPr="008854EA">
        <w:rPr>
          <w:noProof/>
          <w:lang w:val="sk-SK"/>
        </w:rPr>
        <w:t xml:space="preserve">Komisia spolu s agentúrou EEA v záujme lepších poznatkov a zvládania neistoty rozšírila obsah a partnerov </w:t>
      </w:r>
      <w:r w:rsidRPr="008854EA">
        <w:rPr>
          <w:b/>
          <w:noProof/>
          <w:lang w:val="sk-SK"/>
        </w:rPr>
        <w:t>Európskeho strediska pre monitorovanie klímy a zdravia</w:t>
      </w:r>
      <w:r w:rsidRPr="008854EA">
        <w:rPr>
          <w:noProof/>
          <w:vertAlign w:val="superscript"/>
          <w:lang w:val="sk-SK"/>
        </w:rPr>
        <w:footnoteReference w:id="111"/>
      </w:r>
      <w:r w:rsidRPr="008854EA">
        <w:rPr>
          <w:noProof/>
          <w:lang w:val="sk-SK"/>
        </w:rPr>
        <w:t xml:space="preserve"> s cieľom pomôcť budovať odolnosť voči vplyvom zmeny klímy na ľudské zdravie. V rámci programu Horizont Európa zverejnila nové výzvy na predkladanie projektov s cieľom odstrániť medzery v poznatkoch o vplyvoch klímy a odolnosti a rozvíja </w:t>
      </w:r>
      <w:r w:rsidRPr="008854EA">
        <w:rPr>
          <w:b/>
          <w:noProof/>
          <w:lang w:val="sk-SK"/>
        </w:rPr>
        <w:t>centrum pre údaje o rizikách</w:t>
      </w:r>
      <w:r w:rsidRPr="008854EA">
        <w:rPr>
          <w:noProof/>
          <w:lang w:val="sk-SK"/>
        </w:rPr>
        <w:t>.</w:t>
      </w:r>
      <w:r w:rsidRPr="008854EA">
        <w:rPr>
          <w:noProof/>
          <w:vertAlign w:val="superscript"/>
          <w:lang w:val="sk-SK"/>
        </w:rPr>
        <w:footnoteReference w:id="112"/>
      </w:r>
      <w:r w:rsidRPr="008854EA">
        <w:rPr>
          <w:noProof/>
          <w:lang w:val="sk-SK"/>
        </w:rPr>
        <w:t xml:space="preserve"> Komisia pracuje na rozšírení obsahu a vplyvu platformy Climate-ADAPT na výmenu poznatkov.</w:t>
      </w:r>
    </w:p>
    <w:p w14:paraId="1AB7E01A" w14:textId="000BB4C4" w:rsidR="00D503B5" w:rsidRPr="008854EA" w:rsidRDefault="00E31BEE" w:rsidP="00E31BEE">
      <w:pPr>
        <w:pStyle w:val="Body"/>
        <w:rPr>
          <w:noProof/>
          <w:lang w:val="sk-SK"/>
        </w:rPr>
      </w:pPr>
      <w:r w:rsidRPr="008854EA">
        <w:rPr>
          <w:noProof/>
          <w:lang w:val="sk-SK"/>
        </w:rPr>
        <w:t xml:space="preserve">Prvé </w:t>
      </w:r>
      <w:r w:rsidRPr="008854EA">
        <w:rPr>
          <w:b/>
          <w:noProof/>
          <w:lang w:val="sk-SK"/>
        </w:rPr>
        <w:t>európske hodnotenie klimatických rizík</w:t>
      </w:r>
      <w:r w:rsidRPr="008854EA">
        <w:rPr>
          <w:noProof/>
          <w:lang w:val="sk-SK"/>
        </w:rPr>
        <w:t xml:space="preserve"> má byť zverejnené na jar 2024. Prostredníctvom iniciatívy rozhovorov o odolnosti voči zmene klímy</w:t>
      </w:r>
      <w:r w:rsidRPr="008854EA">
        <w:rPr>
          <w:noProof/>
          <w:vertAlign w:val="superscript"/>
          <w:lang w:val="sk-SK"/>
        </w:rPr>
        <w:footnoteReference w:id="113"/>
      </w:r>
      <w:r w:rsidRPr="008854EA">
        <w:rPr>
          <w:noProof/>
          <w:lang w:val="sk-SK"/>
        </w:rPr>
        <w:t xml:space="preserve"> sa spojili tvorcovia politík, poisťovatelia, manažéri rizík, spotrebitelia, mestské združenia a ďalšie zainteresované strany s cieľom identifikovať možné opatrenia v oblasti poistenia a investícií do adaptácie s cieľom pomôcť preklenúť rozdiely v ochrane klímy a diskutovať o nich. </w:t>
      </w:r>
    </w:p>
    <w:p w14:paraId="08CE4A2B" w14:textId="54E0FA2F" w:rsidR="00E31BEE" w:rsidRPr="008854EA" w:rsidRDefault="00E31BEE" w:rsidP="00E31BEE">
      <w:pPr>
        <w:pStyle w:val="Body"/>
        <w:rPr>
          <w:noProof/>
          <w:lang w:val="sk-SK"/>
        </w:rPr>
      </w:pPr>
      <w:r w:rsidRPr="008854EA">
        <w:rPr>
          <w:b/>
          <w:noProof/>
          <w:lang w:val="sk-SK"/>
        </w:rPr>
        <w:t>Európske stredisko pre monitorovanie sucha</w:t>
      </w:r>
      <w:r w:rsidRPr="008854EA">
        <w:rPr>
          <w:noProof/>
          <w:lang w:val="sk-SK"/>
        </w:rPr>
        <w:t xml:space="preserve"> podporuje udržateľné využívanie sladkej vody poskytovaním poznatkov. Problém s nedostatkom vody by sa mohol riešiť tak, že sa bude opätovne využívať šesťkrát viac vody ako v súčasnosti, pričom v tomto smere pomáha </w:t>
      </w:r>
      <w:r w:rsidRPr="008854EA">
        <w:rPr>
          <w:b/>
          <w:noProof/>
          <w:lang w:val="sk-SK"/>
        </w:rPr>
        <w:t>nariadenie o opätovnom využívaní vody</w:t>
      </w:r>
      <w:r w:rsidRPr="008854EA">
        <w:rPr>
          <w:noProof/>
          <w:lang w:val="sk-SK"/>
        </w:rPr>
        <w:t>, ktoré nadobudlo účinnosť v roku 2023.</w:t>
      </w:r>
      <w:r w:rsidRPr="008854EA">
        <w:rPr>
          <w:noProof/>
          <w:vertAlign w:val="superscript"/>
          <w:lang w:val="sk-SK"/>
        </w:rPr>
        <w:footnoteReference w:id="114"/>
      </w:r>
    </w:p>
    <w:p w14:paraId="6CFFFF27" w14:textId="5F13A8D5" w:rsidR="00E31BEE" w:rsidRPr="008854EA" w:rsidRDefault="00E31BEE" w:rsidP="00E31BEE">
      <w:pPr>
        <w:pStyle w:val="Body"/>
        <w:rPr>
          <w:noProof/>
          <w:lang w:val="sk-SK"/>
        </w:rPr>
      </w:pPr>
      <w:r w:rsidRPr="008854EA">
        <w:rPr>
          <w:noProof/>
          <w:lang w:val="sk-SK"/>
        </w:rPr>
        <w:t xml:space="preserve">Komisia zintenzívnila systematické začleňovanie adaptačných opatrení do odvetvových stratégií a plánov prostredníctvom aktualizovaných usmernení k adaptačným stratégiám a plánom členských štátov a doplnkovej podpory z nástroja technickej podpory Komisie, a to aj v rámci jej hlavného projektu v roku 2023 zameraného na adaptáciu. V roku 2021 Komisia uverejnila </w:t>
      </w:r>
      <w:r w:rsidRPr="008854EA">
        <w:rPr>
          <w:b/>
          <w:noProof/>
          <w:lang w:val="sk-SK"/>
        </w:rPr>
        <w:t>technické usmernenia k zabezpečeniu odolnosti projektov infraštruktúry proti zmene klímy</w:t>
      </w:r>
      <w:r w:rsidRPr="008854EA">
        <w:rPr>
          <w:noProof/>
          <w:lang w:val="sk-SK"/>
        </w:rPr>
        <w:t xml:space="preserve"> a v roku 2023 o </w:t>
      </w:r>
      <w:r w:rsidRPr="008854EA">
        <w:rPr>
          <w:b/>
          <w:noProof/>
          <w:lang w:val="sk-SK"/>
        </w:rPr>
        <w:t>zvyšovaní odolnosti budov proti zmene klímy</w:t>
      </w:r>
      <w:r w:rsidRPr="008854EA">
        <w:rPr>
          <w:noProof/>
          <w:lang w:val="sk-SK"/>
        </w:rPr>
        <w:t xml:space="preserve">. Zabezpečenie odolnosti proti zmene klímy sa vzťahuje na infraštruktúru a budovy financované z rozpočtu EÚ. </w:t>
      </w:r>
      <w:r w:rsidRPr="008854EA">
        <w:rPr>
          <w:b/>
          <w:noProof/>
          <w:lang w:val="sk-SK"/>
        </w:rPr>
        <w:t>Európsky klimatický pakt</w:t>
      </w:r>
      <w:r w:rsidRPr="008854EA">
        <w:rPr>
          <w:noProof/>
          <w:vertAlign w:val="superscript"/>
          <w:lang w:val="sk-SK"/>
        </w:rPr>
        <w:footnoteReference w:id="115"/>
      </w:r>
      <w:r w:rsidRPr="008854EA">
        <w:rPr>
          <w:noProof/>
          <w:lang w:val="sk-SK"/>
        </w:rPr>
        <w:t xml:space="preserve">, platforma zainteresovaných strán, ktorú Komisia vytvorila s cieľom umožniť občanom konať a zasadzovať sa za záležitosti v oblasti klímy, pokračuje v činnostiach zameraných na adaptáciu na zmenu klímy a zmierňovanie zmeny klímy. Vďaka </w:t>
      </w:r>
      <w:r w:rsidRPr="008854EA">
        <w:rPr>
          <w:b/>
          <w:noProof/>
          <w:lang w:val="sk-SK"/>
        </w:rPr>
        <w:t>nástroju politickej podpory</w:t>
      </w:r>
      <w:r w:rsidRPr="008854EA">
        <w:rPr>
          <w:noProof/>
          <w:lang w:val="sk-SK"/>
        </w:rPr>
        <w:t xml:space="preserve"> v rámci </w:t>
      </w:r>
      <w:r w:rsidRPr="008854EA">
        <w:rPr>
          <w:b/>
          <w:noProof/>
          <w:lang w:val="sk-SK"/>
        </w:rPr>
        <w:t>Dohovoru primátorov a starostov EÚ</w:t>
      </w:r>
      <w:r w:rsidRPr="008854EA">
        <w:rPr>
          <w:noProof/>
          <w:lang w:val="sk-SK"/>
        </w:rPr>
        <w:t xml:space="preserve"> sa za posledný rok a pol mohlo viac než tisíc ľudí vrátane 350 obcí zúčastniť na vnútroštátnych workshopoch, osem miest sa zapojilo do partnerskej výmeny skúseností s opatreniami v oblasti klímy a vykonalo sa 37 adaptačných opatrení. </w:t>
      </w:r>
    </w:p>
    <w:p w14:paraId="33EC6977" w14:textId="262ADC36" w:rsidR="00E31BEE" w:rsidRPr="008854EA" w:rsidRDefault="00E31BEE" w:rsidP="00E31BEE">
      <w:pPr>
        <w:pStyle w:val="Body"/>
        <w:rPr>
          <w:noProof/>
          <w:lang w:val="sk-SK"/>
        </w:rPr>
      </w:pPr>
      <w:r w:rsidRPr="008854EA">
        <w:rPr>
          <w:noProof/>
          <w:lang w:val="sk-SK"/>
        </w:rPr>
        <w:t xml:space="preserve">Veľký pokrok sa dosiahol pri realizácii </w:t>
      </w:r>
      <w:r w:rsidRPr="008854EA">
        <w:rPr>
          <w:b/>
          <w:noProof/>
          <w:lang w:val="sk-SK"/>
        </w:rPr>
        <w:t>misie EÚ týkajúcej sa adaptácie na zmenu klímy</w:t>
      </w:r>
      <w:r w:rsidRPr="008854EA">
        <w:rPr>
          <w:noProof/>
          <w:vertAlign w:val="superscript"/>
          <w:lang w:val="sk-SK"/>
        </w:rPr>
        <w:footnoteReference w:id="116"/>
      </w:r>
      <w:r w:rsidRPr="008854EA">
        <w:rPr>
          <w:noProof/>
          <w:lang w:val="sk-SK"/>
        </w:rPr>
        <w:t>, ktorej cieľom je zrýchliť</w:t>
      </w:r>
      <w:r w:rsidRPr="008854EA">
        <w:rPr>
          <w:b/>
          <w:noProof/>
          <w:lang w:val="sk-SK"/>
        </w:rPr>
        <w:t xml:space="preserve"> </w:t>
      </w:r>
      <w:r w:rsidRPr="008854EA">
        <w:rPr>
          <w:noProof/>
          <w:lang w:val="sk-SK"/>
        </w:rPr>
        <w:t xml:space="preserve">inovatívne adaptačné opatrenia na miestnej a regionálnej úrovni. Viac ako 300 regiónov a komunít, ktoré pokrývajú približne 40 % EÚ, podpísalo chartu misie a zaviazalo sa spolupracovať na urýchlení svojej transformácie s cieľom dosiahnuť odolnosť proti zmene klímy; v činnosti je spoločenstvo praxe v oblasti adaptácie a funguje aj nástroj technickej podpory misie. </w:t>
      </w:r>
    </w:p>
    <w:p w14:paraId="453A3723" w14:textId="661090E7" w:rsidR="00385297" w:rsidRPr="008854EA" w:rsidRDefault="00E769F5" w:rsidP="00E31BEE">
      <w:pPr>
        <w:pStyle w:val="Body"/>
        <w:rPr>
          <w:noProof/>
          <w:lang w:val="sk-SK"/>
        </w:rPr>
      </w:pPr>
      <w:r w:rsidRPr="008854EA">
        <w:rPr>
          <w:noProof/>
          <w:lang w:val="sk-SK"/>
        </w:rPr>
        <w:t xml:space="preserve">Odolnosť proti zmene klímy je v súčasnosti v politikách EÚ oveľa viditeľnejšia ako pred niekoľkými rokmi. Vynakladá sa snaha, aby sa ciele v oblasti adaptácie podporovali aj v legislatívnych návrhoch, ktoré nie sú primárne zamerané na odolnosť proti zmene klímy (alebo riziká súvisiace s klimatickými vplyvmi). Napríklad návrh na zmenu smernice o rozpočtovom rámci v kontexte revízie správy hospodárskych záležitostí zahŕňa požiadavky na podávanie správ členskými štátmi o makrofiškálnych rizikách vyplývajúcich zo zmeny klímy a o podmienených záväzkoch súvisiacich s katastrofami a klímou. </w:t>
      </w:r>
    </w:p>
    <w:p w14:paraId="0F96BC19" w14:textId="099BD9BB" w:rsidR="00E31BEE" w:rsidRPr="008854EA" w:rsidRDefault="00E31BEE" w:rsidP="00E31BEE">
      <w:pPr>
        <w:pStyle w:val="Body"/>
        <w:rPr>
          <w:noProof/>
          <w:lang w:val="sk-SK"/>
        </w:rPr>
      </w:pPr>
      <w:r w:rsidRPr="008854EA">
        <w:rPr>
          <w:noProof/>
          <w:lang w:val="sk-SK"/>
        </w:rPr>
        <w:t>Podobne navrhovaná revízia smernice o čistení komunálnych odpadových vôd zahŕňala opatrenia na riešenie pretekania systémov odpadovej vody spôsobeného prívalovými povodňami, ktoré budú v dôsledku meniacej sa klímy v Európe pravdepodobne intenzívnejšie a častejšie. Je potrebné pokračovať v implementácii, stavajúc na opatreniach začatých v rámci stratégie pre adaptáciu. Komisia teraz vyžaduje aj kontrolu súladu s cieľmi v oblasti adaptácie vo svojich vlastných posúdeniach vplyvu (pozri posúdenie kontroly súladu v kapitole 1)</w:t>
      </w:r>
      <w:r w:rsidRPr="008854EA">
        <w:rPr>
          <w:rStyle w:val="normaltextrun"/>
          <w:noProof/>
          <w:shd w:val="clear" w:color="auto" w:fill="FFFFFF"/>
          <w:lang w:val="sk-SK"/>
        </w:rPr>
        <w:t>, ktorá by sa mala vykonávať systematicky a mala by zahŕňať ciele znižovania emisií aj ciele v oblasti adaptácie.</w:t>
      </w:r>
    </w:p>
    <w:p w14:paraId="24BAB199" w14:textId="77777777"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Hodnotenie spoločného pokroku členských štátov v oblasti adaptácie</w:t>
      </w:r>
    </w:p>
    <w:p w14:paraId="293BFBFF" w14:textId="5528E4BD" w:rsidR="00E31BEE" w:rsidRPr="008854EA" w:rsidRDefault="00E31BEE" w:rsidP="00E31BEE">
      <w:pPr>
        <w:pStyle w:val="Body"/>
        <w:rPr>
          <w:noProof/>
          <w:lang w:val="sk-SK"/>
        </w:rPr>
      </w:pPr>
      <w:r w:rsidRPr="008854EA">
        <w:rPr>
          <w:noProof/>
          <w:lang w:val="sk-SK"/>
        </w:rPr>
        <w:t>V článku 6 ods. 1b európskeho právneho predpisu v oblasti klímy sa od Komisie vyžaduje, aby posúdila spoločný pokrok, ktorý dosiahli všetky členské štáty v oblasti adaptácie na zmenu klímy. V tomto oddiele sa po prvýkrát hodnotí pokrok, ktorý nahlásili a dosiahli pri zvyšovaní adaptívnej kapacity, posilňovaní odolnosti a znižovaní zraniteľnosti voči zmene klímy.</w:t>
      </w:r>
    </w:p>
    <w:p w14:paraId="7D3F2F10" w14:textId="1AA0651A" w:rsidR="00E31BEE" w:rsidRPr="008854EA" w:rsidRDefault="00E31BEE" w:rsidP="00E31BEE">
      <w:pPr>
        <w:pStyle w:val="Body"/>
        <w:rPr>
          <w:noProof/>
          <w:lang w:val="sk-SK"/>
        </w:rPr>
      </w:pPr>
      <w:r w:rsidRPr="008854EA">
        <w:rPr>
          <w:noProof/>
          <w:lang w:val="sk-SK"/>
        </w:rPr>
        <w:t xml:space="preserve">Členské štáty uvádzajú, že v súčasnosti sú v Európe najčastejšie pozorovanými akútnymi </w:t>
      </w:r>
      <w:r w:rsidRPr="008854EA">
        <w:rPr>
          <w:b/>
          <w:noProof/>
          <w:lang w:val="sk-SK"/>
        </w:rPr>
        <w:t xml:space="preserve">klimatickými nebezpečenstvami </w:t>
      </w:r>
      <w:r w:rsidRPr="008854EA">
        <w:rPr>
          <w:noProof/>
          <w:lang w:val="sk-SK"/>
        </w:rPr>
        <w:t>vlny horúčav, suchá, povodne, prívalové dažde a lesné požiare. Ako najčastejšie chronické klimatické nebezpečenstvá uvádzajú zmenu teploty, zmenu zrážok, zvyšovanie hladiny morí a hydrologickú variabilitu. Predpokladajú, že budúce nebezpečenstvá budú rovnaké ako tie, ktoré sa pozorujú v súčasnosti, s výnimkou nedostatku vody, ktorý sedem krajín považuje za ďalšie budúce kľúčové nebezpečenstvo.</w:t>
      </w:r>
    </w:p>
    <w:p w14:paraId="7BFD7950" w14:textId="6C8705E1" w:rsidR="00E31BEE" w:rsidRPr="008854EA" w:rsidRDefault="00E31BEE" w:rsidP="00E31BEE">
      <w:pPr>
        <w:pStyle w:val="Body"/>
        <w:rPr>
          <w:noProof/>
          <w:lang w:val="sk-SK"/>
        </w:rPr>
      </w:pPr>
      <w:r w:rsidRPr="008854EA">
        <w:rPr>
          <w:noProof/>
          <w:lang w:val="sk-SK"/>
        </w:rPr>
        <w:t>Ako oblasti, ktoré sú v Európe najviac ovplyvnené klimatickými hrozbami, uvádzajú zdravie, poľnohospodárstvo, lesné hospodárstvo, biodiverzitu, energetiku a hospodárenie s vodami. </w:t>
      </w:r>
    </w:p>
    <w:p w14:paraId="4623DFAF" w14:textId="54C5FAE7" w:rsidR="00E31BEE" w:rsidRPr="008854EA" w:rsidRDefault="00E31BEE" w:rsidP="00E31BEE">
      <w:pPr>
        <w:pStyle w:val="Body"/>
        <w:rPr>
          <w:noProof/>
          <w:lang w:val="sk-SK"/>
        </w:rPr>
      </w:pPr>
      <w:r w:rsidRPr="008854EA">
        <w:rPr>
          <w:noProof/>
          <w:lang w:val="sk-SK"/>
        </w:rPr>
        <w:t xml:space="preserve">Takmer všetky členské štáty vykonali </w:t>
      </w:r>
      <w:r w:rsidRPr="008854EA">
        <w:rPr>
          <w:b/>
          <w:noProof/>
          <w:lang w:val="sk-SK"/>
        </w:rPr>
        <w:t>posúdenie klimatických rizík</w:t>
      </w:r>
      <w:r w:rsidRPr="008854EA">
        <w:rPr>
          <w:noProof/>
          <w:lang w:val="sk-SK"/>
        </w:rPr>
        <w:t>, 14 z týchto posúdení bolo nedávno aktualizovaných a v prípade zvyšných posúdení sa aktualizácia plánuje v blízkej budúcnosti.</w:t>
      </w:r>
    </w:p>
    <w:p w14:paraId="69490C85" w14:textId="280FC18A" w:rsidR="00E31BEE" w:rsidRPr="008854EA" w:rsidRDefault="00E31BEE" w:rsidP="00E31BEE">
      <w:pPr>
        <w:pStyle w:val="Body"/>
        <w:rPr>
          <w:noProof/>
          <w:lang w:val="sk-SK"/>
        </w:rPr>
      </w:pPr>
      <w:r w:rsidRPr="008854EA">
        <w:rPr>
          <w:noProof/>
          <w:lang w:val="sk-SK"/>
        </w:rPr>
        <w:t xml:space="preserve">Všetky členské štáty majú zavedenú </w:t>
      </w:r>
      <w:r w:rsidRPr="008854EA">
        <w:rPr>
          <w:b/>
          <w:noProof/>
          <w:lang w:val="sk-SK"/>
        </w:rPr>
        <w:t>národnú adaptačnú stratégiu</w:t>
      </w:r>
      <w:r w:rsidRPr="008854EA">
        <w:rPr>
          <w:noProof/>
          <w:lang w:val="sk-SK"/>
        </w:rPr>
        <w:t xml:space="preserve"> a/alebo </w:t>
      </w:r>
      <w:r w:rsidRPr="008854EA">
        <w:rPr>
          <w:b/>
          <w:noProof/>
          <w:lang w:val="sk-SK"/>
        </w:rPr>
        <w:t>národný adaptačný plán</w:t>
      </w:r>
      <w:r w:rsidRPr="008854EA">
        <w:rPr>
          <w:noProof/>
          <w:lang w:val="sk-SK"/>
        </w:rPr>
        <w:t>. Značná časť týchto stratégií a plánov bola nedávno predĺžená alebo sa reviduje a bude predĺžená v nasledujúcich rokoch. Bolo prijatých viac národných odvetvových adaptačných plánov. Politické prostredie je rôznorodé. Na jednej strane existuje kontinuita dlhodobých priorít, rastúce zosúlaďovanie s európskymi rámcami, vyvíjajúce sa legislatívne nástroje a postupné zmeny v zameraní politiky. Na druhej strane existujú výzvy, nedostatky a prekážky v riadení adaptačných opatrení.</w:t>
      </w:r>
    </w:p>
    <w:p w14:paraId="32724340" w14:textId="04904EB9" w:rsidR="00E31BEE" w:rsidRPr="008854EA" w:rsidRDefault="00E31BEE" w:rsidP="00E31BEE">
      <w:pPr>
        <w:pStyle w:val="Body"/>
        <w:rPr>
          <w:noProof/>
          <w:lang w:val="sk-SK"/>
        </w:rPr>
      </w:pPr>
      <w:r w:rsidRPr="008854EA">
        <w:rPr>
          <w:noProof/>
          <w:lang w:val="sk-SK"/>
        </w:rPr>
        <w:t xml:space="preserve">Boli vytvorené a v súčasnosti sú zväčša zavedené štruktúry a mechanizmy </w:t>
      </w:r>
      <w:r w:rsidRPr="008854EA">
        <w:rPr>
          <w:b/>
          <w:noProof/>
          <w:lang w:val="sk-SK"/>
        </w:rPr>
        <w:t xml:space="preserve">riadenia </w:t>
      </w:r>
      <w:r w:rsidRPr="008854EA">
        <w:rPr>
          <w:noProof/>
          <w:lang w:val="sk-SK"/>
        </w:rPr>
        <w:t xml:space="preserve">na celoštátnej a nižšej úrovni na horizontálnu integráciu politík a viacúrovňovú (vertikálnu) koordináciu. Mandáty a funkčné vlastnosti týchto štruktúr sa značne líšia. Osem členských štátov uvádza, že prvky systémov adaptačnej politiky zakotvili do záväzných právnych rámcov. Väčšina členských štátov však využíva mäkké formy vertikálneho a horizontálneho riadenia založené na spolupráci. </w:t>
      </w:r>
    </w:p>
    <w:p w14:paraId="648ACE88" w14:textId="5FE77BCA" w:rsidR="00E31BEE" w:rsidRPr="008854EA" w:rsidRDefault="001E0E90" w:rsidP="00E31BEE">
      <w:pPr>
        <w:pStyle w:val="Body"/>
        <w:rPr>
          <w:noProof/>
          <w:lang w:val="sk-SK"/>
        </w:rPr>
      </w:pPr>
      <w:r w:rsidRPr="008854EA">
        <w:rPr>
          <w:noProof/>
          <w:lang w:val="sk-SK"/>
        </w:rPr>
        <w:t>Dve tretiny členských štátov dosiahli pokrok v </w:t>
      </w:r>
      <w:r w:rsidRPr="008854EA">
        <w:rPr>
          <w:b/>
          <w:noProof/>
          <w:lang w:val="sk-SK"/>
        </w:rPr>
        <w:t>medzinárodnej a nadnárodnej spolupráci</w:t>
      </w:r>
      <w:r w:rsidRPr="008854EA">
        <w:rPr>
          <w:noProof/>
          <w:lang w:val="sk-SK"/>
        </w:rPr>
        <w:t xml:space="preserve"> v oblasti adaptácie. Zohľadnenie sociálnej spravodlivosti a rovnosti v adaptačných opatreniach je v mnohých krajinách ešte len v počiatočnom štádiu, čo poukazuje na kľúčovú oblasť, na ktorú sa treba v budúcnosti zamerať, aby sa riešili neprimerané dôsledky zmeny klímy na zraniteľné skupiny. Dve tretiny členských štátov dosiahli pokrok v zapojení zainteresovaných strán do politiky v oblasti adaptácie.</w:t>
      </w:r>
    </w:p>
    <w:p w14:paraId="3C2220E8" w14:textId="5ED0B9FC" w:rsidR="00E31BEE" w:rsidRPr="008854EA" w:rsidRDefault="00E31BEE" w:rsidP="00E31BEE">
      <w:pPr>
        <w:pStyle w:val="Body"/>
        <w:rPr>
          <w:noProof/>
          <w:lang w:val="sk-SK"/>
        </w:rPr>
      </w:pPr>
      <w:r w:rsidRPr="008854EA">
        <w:rPr>
          <w:noProof/>
          <w:lang w:val="sk-SK"/>
        </w:rPr>
        <w:t xml:space="preserve">Členské štáty takisto napredujú pri vykonávaní adaptačných </w:t>
      </w:r>
      <w:r w:rsidRPr="008854EA">
        <w:rPr>
          <w:b/>
          <w:noProof/>
          <w:lang w:val="sk-SK"/>
        </w:rPr>
        <w:t xml:space="preserve">opatrení </w:t>
      </w:r>
      <w:r w:rsidRPr="008854EA">
        <w:rPr>
          <w:noProof/>
          <w:lang w:val="sk-SK"/>
        </w:rPr>
        <w:t xml:space="preserve">vrátane začlenenia adaptácie do odvetvových politík a plánov. Dosiahli významný pokrok pri začleňovaní vplyvov zmeny klímy do národných rámcov riadenia rizík katastrof a odvetvového plánovania. Pre mnohé členské štáty zostáva výzvou posudzovanie </w:t>
      </w:r>
      <w:r w:rsidRPr="008854EA">
        <w:rPr>
          <w:b/>
          <w:noProof/>
          <w:lang w:val="sk-SK"/>
        </w:rPr>
        <w:t>nákladov</w:t>
      </w:r>
      <w:r w:rsidRPr="008854EA">
        <w:rPr>
          <w:noProof/>
          <w:lang w:val="sk-SK"/>
        </w:rPr>
        <w:t xml:space="preserve"> na adaptáciu, ktoré sa často vykonáva len čiastočne. Národné adaptačné plány a stratégie často nemajú vyhradený rozpočet alebo finančné toky na ich realizáciu a väčšina krajín nemá k dispozícii rozpočet potrebný na financovanie adaptačných opatrení.</w:t>
      </w:r>
    </w:p>
    <w:p w14:paraId="04553489" w14:textId="29495117" w:rsidR="00E31BEE" w:rsidRPr="008854EA" w:rsidRDefault="00E31BEE" w:rsidP="00E31BEE">
      <w:pPr>
        <w:pStyle w:val="Body"/>
        <w:rPr>
          <w:noProof/>
          <w:lang w:val="sk-SK"/>
        </w:rPr>
      </w:pPr>
      <w:r w:rsidRPr="008854EA">
        <w:rPr>
          <w:noProof/>
          <w:lang w:val="sk-SK"/>
        </w:rPr>
        <w:t xml:space="preserve">Polovica členských štátov uviedla, že od roku 2021 sa zvýšil počet činností v oblasti </w:t>
      </w:r>
      <w:r w:rsidRPr="008854EA">
        <w:rPr>
          <w:b/>
          <w:noProof/>
          <w:lang w:val="sk-SK"/>
        </w:rPr>
        <w:t>monitorovania, podávania správ a hodnotenia</w:t>
      </w:r>
      <w:r w:rsidRPr="008854EA">
        <w:rPr>
          <w:noProof/>
          <w:lang w:val="sk-SK"/>
        </w:rPr>
        <w:t xml:space="preserve"> na národnej, regionálnej a miestnej úrovni. </w:t>
      </w:r>
    </w:p>
    <w:p w14:paraId="53CD0D7D" w14:textId="77777777" w:rsidR="00E31BEE" w:rsidRPr="008854EA" w:rsidRDefault="00E31BEE" w:rsidP="00E31BEE">
      <w:pPr>
        <w:rPr>
          <w:noProof/>
          <w:lang w:val="sk-SK"/>
        </w:rPr>
      </w:pPr>
    </w:p>
    <w:p w14:paraId="7C8B4435" w14:textId="77777777" w:rsidR="00E31BEE" w:rsidRPr="008854EA" w:rsidRDefault="00E31BEE" w:rsidP="00E31BEE">
      <w:pPr>
        <w:rPr>
          <w:noProof/>
          <w:lang w:val="sk-SK"/>
        </w:rPr>
      </w:pPr>
      <w:r w:rsidRPr="008854EA">
        <w:rPr>
          <w:noProof/>
          <w:lang w:val="sk-SK"/>
        </w:rPr>
        <w:br w:type="page"/>
      </w:r>
    </w:p>
    <w:p w14:paraId="05C49041" w14:textId="77777777" w:rsidR="00E31BEE" w:rsidRPr="008854EA" w:rsidRDefault="00E31BEE" w:rsidP="00E31BEE">
      <w:pPr>
        <w:pStyle w:val="Heading1"/>
        <w:rPr>
          <w:rFonts w:ascii="Times New Roman" w:hAnsi="Times New Roman" w:cs="Times New Roman"/>
          <w:noProof/>
          <w:sz w:val="32"/>
          <w:lang w:val="sk-SK"/>
        </w:rPr>
      </w:pPr>
      <w:r w:rsidRPr="008854EA">
        <w:rPr>
          <w:rFonts w:ascii="Times New Roman" w:hAnsi="Times New Roman"/>
          <w:noProof/>
          <w:sz w:val="32"/>
          <w:lang w:val="sk-SK"/>
        </w:rPr>
        <w:t xml:space="preserve">ZOSÚLADENIE INVESTÍCIÍ S KLIMATICKOU NEUTRALITOU </w:t>
      </w:r>
    </w:p>
    <w:p w14:paraId="60DECFC6" w14:textId="77777777"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Investičné potreby a trendy v EÚ</w:t>
      </w:r>
    </w:p>
    <w:p w14:paraId="5ED5C7AE" w14:textId="72394468" w:rsidR="00E31BEE" w:rsidRPr="008854EA" w:rsidRDefault="00E31BEE" w:rsidP="00E31BEE">
      <w:pPr>
        <w:pStyle w:val="Body"/>
        <w:rPr>
          <w:noProof/>
          <w:lang w:val="sk-SK"/>
        </w:rPr>
      </w:pPr>
      <w:r w:rsidRPr="008854EA">
        <w:rPr>
          <w:noProof/>
          <w:lang w:val="sk-SK"/>
        </w:rPr>
        <w:t>Preklenutie investičnej medzery na prechod ku klimatickej neutralite do roku 2050 si bude vyžadovať značné množstvo finančných prostriedkov. V analýzach Komisie</w:t>
      </w:r>
      <w:r w:rsidRPr="008854EA">
        <w:rPr>
          <w:rStyle w:val="FootnoteReference"/>
          <w:noProof/>
          <w:lang w:val="sk-SK"/>
        </w:rPr>
        <w:footnoteReference w:id="117"/>
      </w:r>
      <w:r w:rsidRPr="008854EA">
        <w:rPr>
          <w:noProof/>
          <w:lang w:val="sk-SK"/>
        </w:rPr>
        <w:t xml:space="preserve"> sa odhaduje, že </w:t>
      </w:r>
      <w:r w:rsidRPr="008854EA">
        <w:rPr>
          <w:i/>
          <w:noProof/>
          <w:lang w:val="sk-SK"/>
        </w:rPr>
        <w:t>dodatočné</w:t>
      </w:r>
      <w:r w:rsidRPr="008854EA">
        <w:rPr>
          <w:noProof/>
          <w:lang w:val="sk-SK"/>
        </w:rPr>
        <w:t xml:space="preserve"> súkromné a verejné investície potrebné na zelenú transformáciu v rokoch 2021 až 2030 dosiahnu 477 miliárd EUR ročne</w:t>
      </w:r>
      <w:r w:rsidRPr="008854EA">
        <w:rPr>
          <w:rStyle w:val="FootnoteReference"/>
          <w:noProof/>
          <w:lang w:val="sk-SK"/>
        </w:rPr>
        <w:footnoteReference w:id="118"/>
      </w:r>
      <w:r w:rsidRPr="008854EA">
        <w:rPr>
          <w:noProof/>
          <w:lang w:val="sk-SK"/>
        </w:rPr>
        <w:t xml:space="preserve"> a na dosiahnutie cieľov programu REPowerEU sú v rokoch 2022 až 2027 potrebné dodatočné investície v odhadovanej výške 35 miliárd EUR ročne</w:t>
      </w:r>
      <w:r w:rsidRPr="008854EA">
        <w:rPr>
          <w:rStyle w:val="FootnoteReference"/>
          <w:noProof/>
          <w:lang w:val="sk-SK"/>
        </w:rPr>
        <w:footnoteReference w:id="119"/>
      </w:r>
      <w:r w:rsidRPr="008854EA">
        <w:rPr>
          <w:noProof/>
          <w:lang w:val="sk-SK"/>
        </w:rPr>
        <w:t>. Zvýšenie výrobnej kapacity emisne neutrálnych technológií v EÚ, ako sa uvádza v akte o emisne neutrálnom priemysle, si bude vyžadovať investície vo výške približne 92 miliárd EUR kumulované v období 2023 – 2030 v porovnaní s 52 miliardami EUR v prípade zachovania súčasného stavu. Na odstránenie investičných medzier v spojitosti s ostatnými environmentálnymi cieľmi (obehové hospodárstvo, znečistenie, voda, biodiverzita) v rámci zelenej transformácie bude potrebných odhadom 110 miliárd EUR ročne v rokoch 2021 – 2030</w:t>
      </w:r>
      <w:r w:rsidRPr="008854EA">
        <w:rPr>
          <w:noProof/>
          <w:vertAlign w:val="superscript"/>
          <w:lang w:val="sk-SK"/>
        </w:rPr>
        <w:t>106</w:t>
      </w:r>
      <w:r w:rsidRPr="008854EA">
        <w:rPr>
          <w:noProof/>
          <w:lang w:val="sk-SK"/>
        </w:rPr>
        <w:t xml:space="preserve"> vrátane zohľadnenia vedľajších prínosov opatrení v oblasti klímy (napr. odstraňovanie a ukladanie uhlíka). Tieto údaje by sa síce nemali sčítavať vzhľadom na ich odlišnosť z hľadiska rozsahu pôsobnosti, časového rámca a metódy odhadu, ale poukazuje to na rozsah tejto výzvy.</w:t>
      </w:r>
    </w:p>
    <w:p w14:paraId="4A5A3581" w14:textId="113DF99D" w:rsidR="00E31BEE" w:rsidRPr="008854EA" w:rsidRDefault="00C33761" w:rsidP="00E31BEE">
      <w:pPr>
        <w:pStyle w:val="Body"/>
        <w:rPr>
          <w:noProof/>
          <w:lang w:val="sk-SK"/>
        </w:rPr>
      </w:pPr>
      <w:r w:rsidRPr="008854EA">
        <w:rPr>
          <w:noProof/>
          <w:lang w:val="sk-SK"/>
        </w:rPr>
        <w:t>Z údajov vyplýva, že v posledných rokoch začali transformáciu umožňovať aj finančné trhy, čo je vzhľadom na obmedzenia verejných financií dôležitý vývoj. Dôvodom je rastúce povedomie o finančných vplyvoch fyzických rizík a rizík spojených s transformáciou vyplývajúcich zo zmeny klímy</w:t>
      </w:r>
      <w:r w:rsidRPr="008854EA">
        <w:rPr>
          <w:rStyle w:val="FootnoteReference"/>
          <w:noProof/>
          <w:lang w:val="sk-SK"/>
        </w:rPr>
        <w:footnoteReference w:id="120"/>
      </w:r>
      <w:r w:rsidRPr="008854EA">
        <w:rPr>
          <w:noProof/>
          <w:lang w:val="sk-SK"/>
        </w:rPr>
        <w:t xml:space="preserve"> a rýchlo sa vyvíjajúci rámec politiky pre udržateľné financovanie s rastúcim dopytom investorov po skutočne udržateľných investíciách.</w:t>
      </w:r>
    </w:p>
    <w:p w14:paraId="01C360CC" w14:textId="77777777"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Monitorovanie zosúlaďovania financovania s prechodom ku klimatickej neutralite</w:t>
      </w:r>
    </w:p>
    <w:p w14:paraId="3F6517CC" w14:textId="1C8A00A1" w:rsidR="00E31BEE" w:rsidRPr="008854EA" w:rsidRDefault="00E31BEE" w:rsidP="00E31BEE">
      <w:pPr>
        <w:pStyle w:val="Body"/>
        <w:rPr>
          <w:noProof/>
          <w:lang w:val="sk-SK"/>
        </w:rPr>
      </w:pPr>
      <w:r w:rsidRPr="008854EA">
        <w:rPr>
          <w:noProof/>
          <w:lang w:val="sk-SK"/>
        </w:rPr>
        <w:t>Monitorovanie investičných trendov týkajúcich sa financovania opatrení v oblasti zmeny klímy a ostatného zeleného financovania je naďalej náročné, najmä pre chýbajúce údaje a obmedzenú štandardizáciu kategórií údajov. Očakáva sa, že po zavedení regulačného rámca EÚ pre udržateľné financovanie sa vďaka povinnému poskytovaniu informácií monitorovanie uľahčí. Na meranie finančného stavu a tokov prispievajúcich k dosiahnutiu cieľov EÚ v oblasti klímy sa už teraz môže využívať rad ukazovateľov.</w:t>
      </w:r>
    </w:p>
    <w:p w14:paraId="244ED4F7" w14:textId="36B755E0" w:rsidR="00E31BEE" w:rsidRPr="008854EA" w:rsidRDefault="00E31BEE" w:rsidP="00E31BEE">
      <w:pPr>
        <w:pStyle w:val="Body"/>
        <w:rPr>
          <w:noProof/>
          <w:lang w:val="sk-SK"/>
        </w:rPr>
      </w:pPr>
      <w:r w:rsidRPr="008854EA">
        <w:rPr>
          <w:noProof/>
          <w:lang w:val="sk-SK"/>
        </w:rPr>
        <w:t>K dispozícii sú dostatočne spoľahlivé údaje o </w:t>
      </w:r>
      <w:r w:rsidRPr="008854EA">
        <w:rPr>
          <w:b/>
          <w:noProof/>
          <w:lang w:val="sk-SK"/>
        </w:rPr>
        <w:t>trhoch so zelenými dlhopismi</w:t>
      </w:r>
      <w:r w:rsidRPr="008854EA">
        <w:rPr>
          <w:noProof/>
          <w:lang w:val="sk-SK"/>
        </w:rPr>
        <w:t>, ktoré v posledných rokoch zaznamenali prudký nárast. Kumulatívne emisie dlhopisov zosúladené so Zásadami zelených dlhopisov Medzinárodného združenia kapitálových trhov (ICMA)</w:t>
      </w:r>
      <w:r w:rsidRPr="008854EA">
        <w:rPr>
          <w:rStyle w:val="FootnoteReference"/>
          <w:noProof/>
          <w:lang w:val="sk-SK"/>
        </w:rPr>
        <w:footnoteReference w:id="121"/>
      </w:r>
      <w:r w:rsidRPr="008854EA">
        <w:rPr>
          <w:noProof/>
          <w:lang w:val="sk-SK"/>
        </w:rPr>
        <w:t xml:space="preserve"> v roku 2023 s veľkou pravdepodobnosťou prekročia hranicu 1 bilión EUR (pozri graf 19). </w:t>
      </w:r>
    </w:p>
    <w:p w14:paraId="777FCF56" w14:textId="19BA6954" w:rsidR="00E31BEE" w:rsidRPr="008854EA" w:rsidRDefault="00E31BEE" w:rsidP="00E31BEE">
      <w:pPr>
        <w:pStyle w:val="Caption"/>
        <w:pBdr>
          <w:bottom w:val="single" w:sz="4" w:space="1" w:color="auto"/>
        </w:pBdr>
        <w:jc w:val="left"/>
        <w:rPr>
          <w:b w:val="0"/>
          <w:noProof/>
          <w:sz w:val="22"/>
          <w:lang w:val="sk-SK"/>
        </w:rPr>
      </w:pPr>
      <w:bookmarkStart w:id="17" w:name="_Ref144065182"/>
      <w:r w:rsidRPr="008854EA">
        <w:rPr>
          <w:noProof/>
          <w:lang w:val="sk-SK"/>
        </w:rPr>
        <w:t>Graf </w:t>
      </w:r>
      <w:r w:rsidRPr="008854EA">
        <w:rPr>
          <w:noProof/>
          <w:sz w:val="22"/>
          <w:lang w:val="sk-SK"/>
        </w:rPr>
        <w:t>19</w:t>
      </w:r>
      <w:bookmarkEnd w:id="17"/>
      <w:r w:rsidRPr="008854EA">
        <w:rPr>
          <w:b w:val="0"/>
          <w:noProof/>
          <w:sz w:val="22"/>
          <w:lang w:val="sk-SK"/>
        </w:rPr>
        <w:t xml:space="preserve">: </w:t>
      </w:r>
      <w:r w:rsidRPr="008854EA">
        <w:rPr>
          <w:noProof/>
          <w:sz w:val="22"/>
          <w:lang w:val="sk-SK"/>
        </w:rPr>
        <w:t>Emisia zelených dlhopisov v EÚ zosúladená so Zásadami zelených dlhopisov ICMA (objemy)</w:t>
      </w:r>
      <w:r w:rsidRPr="008854EA">
        <w:rPr>
          <w:rStyle w:val="FootnoteReference"/>
          <w:b w:val="0"/>
          <w:noProof/>
          <w:sz w:val="22"/>
          <w:lang w:val="sk-SK"/>
        </w:rPr>
        <w:footnoteReference w:id="122"/>
      </w:r>
    </w:p>
    <w:p w14:paraId="7D4213BE" w14:textId="77E6338C" w:rsidR="00E31BEE" w:rsidRPr="008854EA" w:rsidRDefault="00E31BEE" w:rsidP="00E31BEE">
      <w:pPr>
        <w:spacing w:after="160" w:line="257" w:lineRule="auto"/>
        <w:jc w:val="center"/>
        <w:rPr>
          <w:noProof/>
          <w:lang w:val="sk-SK"/>
        </w:rPr>
      </w:pPr>
      <w:r w:rsidRPr="008854EA">
        <w:rPr>
          <w:smallCaps/>
          <w:noProof/>
          <w:lang w:val="sk-SK"/>
        </w:rPr>
        <w:t xml:space="preserve"> </w:t>
      </w:r>
      <w:r w:rsidR="00402D44" w:rsidRPr="008854EA">
        <w:rPr>
          <w:noProof/>
          <w:lang w:val="en-GB" w:eastAsia="en-GB"/>
        </w:rPr>
        <w:drawing>
          <wp:inline distT="0" distB="0" distL="0" distR="0" wp14:anchorId="35B0F915" wp14:editId="4A8748A8">
            <wp:extent cx="3647552" cy="2746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3989" cy="2751367"/>
                    </a:xfrm>
                    <a:prstGeom prst="rect">
                      <a:avLst/>
                    </a:prstGeom>
                    <a:noFill/>
                    <a:ln>
                      <a:noFill/>
                    </a:ln>
                  </pic:spPr>
                </pic:pic>
              </a:graphicData>
            </a:graphic>
          </wp:inline>
        </w:drawing>
      </w:r>
    </w:p>
    <w:p w14:paraId="6AFC69D0" w14:textId="77777777" w:rsidR="00E31BEE" w:rsidRPr="008854EA" w:rsidRDefault="00E31BEE" w:rsidP="00E31BEE">
      <w:pPr>
        <w:pBdr>
          <w:top w:val="single" w:sz="4" w:space="1" w:color="auto"/>
        </w:pBdr>
        <w:spacing w:after="160" w:line="257" w:lineRule="auto"/>
        <w:contextualSpacing/>
        <w:jc w:val="both"/>
        <w:rPr>
          <w:rFonts w:ascii="Times New Roman" w:eastAsia="Times New Roman" w:hAnsi="Times New Roman" w:cs="Times New Roman"/>
          <w:noProof/>
          <w:sz w:val="24"/>
          <w:lang w:val="sk-SK"/>
        </w:rPr>
      </w:pPr>
    </w:p>
    <w:p w14:paraId="3984BE5D" w14:textId="49C5AC66" w:rsidR="00E31BEE" w:rsidRPr="008854EA" w:rsidRDefault="00E31BEE" w:rsidP="00E31BEE">
      <w:pPr>
        <w:spacing w:after="160" w:line="257" w:lineRule="auto"/>
        <w:contextualSpacing/>
        <w:jc w:val="both"/>
        <w:rPr>
          <w:rFonts w:ascii="Times New Roman" w:eastAsia="Times New Roman" w:hAnsi="Times New Roman" w:cs="Times New Roman"/>
          <w:noProof/>
          <w:sz w:val="24"/>
          <w:lang w:val="sk-SK"/>
        </w:rPr>
      </w:pPr>
      <w:r w:rsidRPr="008854EA">
        <w:rPr>
          <w:rFonts w:ascii="Times New Roman" w:hAnsi="Times New Roman"/>
          <w:noProof/>
          <w:sz w:val="24"/>
          <w:lang w:val="sk-SK"/>
        </w:rPr>
        <w:t>Tento nárast absolútneho počtu emisií zelených dlhopisov sa odráža v </w:t>
      </w:r>
      <w:r w:rsidRPr="008854EA">
        <w:rPr>
          <w:rFonts w:ascii="Times New Roman" w:hAnsi="Times New Roman"/>
          <w:b/>
          <w:noProof/>
          <w:sz w:val="24"/>
          <w:lang w:val="sk-SK"/>
        </w:rPr>
        <w:t>podiele zelených dlhopisov na príslušnom trhu s dlhopismi</w:t>
      </w:r>
      <w:r w:rsidRPr="008854EA">
        <w:rPr>
          <w:rFonts w:ascii="Times New Roman" w:hAnsi="Times New Roman"/>
          <w:noProof/>
          <w:sz w:val="24"/>
          <w:lang w:val="sk-SK"/>
        </w:rPr>
        <w:t xml:space="preserve"> (pozri graf 20). Pokiaľ ide o emitentov z EÚ a krajín mimo EÚ, podiel v EÚ27 bol do roku 2013 nižší ako 1 %, ale odvtedy sa podstatne zvýšil a od roku 2016 stúpol ešte výraznejšie vďaka silnému rastu zeleného segmentu. V roku 2022 tvorili zelené dlhopisy 16 % všetkých novo emitovaných dlhopisov v EÚ27, ale len 2 % celkovej emisie na trhoch mimo EÚ, čo potvrdzuje vedúcu úlohu Európy na trhu s udržateľným dlhovým kapitálom.</w:t>
      </w:r>
    </w:p>
    <w:p w14:paraId="3487D086" w14:textId="019B9C3E" w:rsidR="00E31BEE" w:rsidRPr="008854EA" w:rsidRDefault="00E31BEE" w:rsidP="00E31BEE">
      <w:pPr>
        <w:pStyle w:val="BodyText"/>
        <w:pBdr>
          <w:bottom w:val="single" w:sz="4" w:space="1" w:color="auto"/>
        </w:pBdr>
        <w:rPr>
          <w:rFonts w:ascii="Times New Roman" w:eastAsiaTheme="minorEastAsia" w:hAnsi="Times New Roman"/>
          <w:b/>
          <w:noProof/>
          <w:color w:val="44546A" w:themeColor="text2"/>
          <w:lang w:val="sk-SK"/>
        </w:rPr>
      </w:pPr>
      <w:bookmarkStart w:id="18" w:name="_Ref144065328"/>
      <w:r w:rsidRPr="008854EA">
        <w:rPr>
          <w:rFonts w:ascii="Times New Roman" w:hAnsi="Times New Roman"/>
          <w:b/>
          <w:noProof/>
          <w:color w:val="44546A" w:themeColor="text2"/>
          <w:lang w:val="sk-SK"/>
        </w:rPr>
        <w:t>Graf 20</w:t>
      </w:r>
      <w:bookmarkEnd w:id="18"/>
      <w:r w:rsidRPr="008854EA">
        <w:rPr>
          <w:noProof/>
          <w:lang w:val="sk-SK"/>
        </w:rPr>
        <w:t>:</w:t>
      </w:r>
      <w:r w:rsidRPr="008854EA">
        <w:rPr>
          <w:rFonts w:ascii="Times New Roman" w:hAnsi="Times New Roman"/>
          <w:b/>
          <w:noProof/>
          <w:color w:val="44546A" w:themeColor="text2"/>
          <w:lang w:val="sk-SK"/>
        </w:rPr>
        <w:t xml:space="preserve"> Podiel zelených dlhopisov na celkových nových emisiách v EÚ a krajinách mimo EÚ (do 30. júna 2023)</w:t>
      </w:r>
      <w:r w:rsidRPr="008854EA">
        <w:rPr>
          <w:rStyle w:val="FootnoteReference"/>
          <w:rFonts w:ascii="Times New Roman" w:eastAsiaTheme="minorEastAsia" w:hAnsi="Times New Roman"/>
          <w:b/>
          <w:noProof/>
          <w:color w:val="44546A" w:themeColor="text2"/>
          <w:lang w:val="sk-SK"/>
        </w:rPr>
        <w:footnoteReference w:id="123"/>
      </w:r>
    </w:p>
    <w:p w14:paraId="59577D3E" w14:textId="5DB816E4" w:rsidR="00E31BEE" w:rsidRPr="008854EA" w:rsidRDefault="00402D44" w:rsidP="00E31BEE">
      <w:pPr>
        <w:spacing w:after="240"/>
        <w:contextualSpacing/>
        <w:jc w:val="center"/>
        <w:rPr>
          <w:noProof/>
          <w:lang w:val="sk-SK"/>
        </w:rPr>
      </w:pPr>
      <w:r w:rsidRPr="008854EA">
        <w:rPr>
          <w:noProof/>
          <w:lang w:val="en-GB" w:eastAsia="en-GB"/>
        </w:rPr>
        <w:drawing>
          <wp:inline distT="0" distB="0" distL="0" distR="0" wp14:anchorId="4FAD5E56" wp14:editId="114E5392">
            <wp:extent cx="3717262" cy="25580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2443" cy="2582286"/>
                    </a:xfrm>
                    <a:prstGeom prst="rect">
                      <a:avLst/>
                    </a:prstGeom>
                    <a:noFill/>
                    <a:ln>
                      <a:noFill/>
                    </a:ln>
                  </pic:spPr>
                </pic:pic>
              </a:graphicData>
            </a:graphic>
          </wp:inline>
        </w:drawing>
      </w:r>
    </w:p>
    <w:p w14:paraId="0C6CA831" w14:textId="77777777" w:rsidR="00E31BEE" w:rsidRPr="008854EA" w:rsidRDefault="00E31BEE" w:rsidP="00E31BEE">
      <w:pPr>
        <w:pBdr>
          <w:top w:val="single" w:sz="4" w:space="1" w:color="auto"/>
        </w:pBdr>
        <w:spacing w:after="240"/>
        <w:contextualSpacing/>
        <w:jc w:val="center"/>
        <w:rPr>
          <w:noProof/>
          <w:lang w:val="sk-SK"/>
        </w:rPr>
      </w:pPr>
    </w:p>
    <w:p w14:paraId="3F7D0C29" w14:textId="272D1898" w:rsidR="00E31BEE" w:rsidRPr="008854EA" w:rsidRDefault="00E31BEE" w:rsidP="00E31BEE">
      <w:pPr>
        <w:pStyle w:val="Body"/>
        <w:rPr>
          <w:rFonts w:ascii="Calibri" w:hAnsi="Calibri" w:cs="Calibri"/>
          <w:noProof/>
          <w:lang w:val="sk-SK"/>
        </w:rPr>
      </w:pPr>
      <w:r w:rsidRPr="008854EA">
        <w:rPr>
          <w:noProof/>
          <w:lang w:val="sk-SK"/>
        </w:rPr>
        <w:t xml:space="preserve">V roku 2019 sa objavili </w:t>
      </w:r>
      <w:r w:rsidRPr="008854EA">
        <w:rPr>
          <w:b/>
          <w:noProof/>
          <w:lang w:val="sk-SK"/>
        </w:rPr>
        <w:t>dlhopisy viazané na udržateľnosť</w:t>
      </w:r>
      <w:r w:rsidRPr="008854EA">
        <w:rPr>
          <w:noProof/>
          <w:lang w:val="sk-SK"/>
        </w:rPr>
        <w:t xml:space="preserve"> ako nový finančný nástroj, ktorý stimuluje transformáciu pomocou zmluvných cieľov v oblasti udržateľnosti. Vzhľadom na nedávnejší vývoj tohto nového typu aktív je ich využívanie v porovnaní so zelenými dlhopismi naďalej obmedzené, pričom v roku 2021 dosiahli vrchol na úrovni 51,8 miliardy EUR. </w:t>
      </w:r>
    </w:p>
    <w:p w14:paraId="3B4848C0" w14:textId="04540EB2" w:rsidR="00E31BEE" w:rsidRPr="008854EA" w:rsidRDefault="00EC10A0" w:rsidP="00E31BEE">
      <w:pPr>
        <w:pStyle w:val="Body"/>
        <w:rPr>
          <w:rFonts w:ascii="Calibri" w:hAnsi="Calibri" w:cs="Calibri"/>
          <w:noProof/>
          <w:lang w:val="sk-SK"/>
        </w:rPr>
      </w:pPr>
      <w:r w:rsidRPr="008854EA">
        <w:rPr>
          <w:noProof/>
          <w:lang w:val="sk-SK"/>
        </w:rPr>
        <w:t xml:space="preserve">Naďalej však vznikajú obavy v súvislosti s „ekologickosťou“ zelených dlhopisov a dlhopisov viazaných na udržateľnosť pre riziko environmentálne klamlivých vyhlásení, a to aj napriek zavádzaniu noriem a zásad, podľa ktorých sa vyžaduje certifikácia treťou stranou a primerané vykazovanie. Začiatkom roka 2023 bola dosiahnutá politická dohoda o dobrovoľnej </w:t>
      </w:r>
      <w:r w:rsidRPr="008854EA">
        <w:rPr>
          <w:b/>
          <w:noProof/>
          <w:lang w:val="sk-SK"/>
        </w:rPr>
        <w:t>norme pre európske zelené dlhopisy</w:t>
      </w:r>
      <w:r w:rsidRPr="008854EA">
        <w:rPr>
          <w:noProof/>
          <w:lang w:val="sk-SK"/>
        </w:rPr>
        <w:t>, ktorá sa bude opierať o taxonómiu EÚ a nezávislých kontrolórov s cieľom poskytnúť záruky s vysokou mierou dôvery, že získané finančné prostriedky spĺňajúce túto normu sú skutočne „zelené“</w:t>
      </w:r>
      <w:r w:rsidRPr="008854EA">
        <w:rPr>
          <w:rStyle w:val="FootnoteReference"/>
          <w:noProof/>
          <w:lang w:val="sk-SK"/>
        </w:rPr>
        <w:footnoteReference w:id="124"/>
      </w:r>
      <w:r w:rsidRPr="008854EA">
        <w:rPr>
          <w:noProof/>
          <w:lang w:val="sk-SK"/>
        </w:rPr>
        <w:t xml:space="preserve">. </w:t>
      </w:r>
    </w:p>
    <w:p w14:paraId="5F1BCF01" w14:textId="4F564ED7" w:rsidR="00E31BEE" w:rsidRPr="008854EA" w:rsidRDefault="00E31BEE" w:rsidP="00E31BEE">
      <w:pPr>
        <w:pStyle w:val="Body"/>
        <w:rPr>
          <w:noProof/>
          <w:lang w:val="sk-SK"/>
        </w:rPr>
      </w:pPr>
      <w:r w:rsidRPr="008854EA">
        <w:rPr>
          <w:noProof/>
          <w:lang w:val="sk-SK"/>
        </w:rPr>
        <w:t>Zatiaľ čo s dlhopismi sa obchoduje verejne, na úverovom trhu sa poskytovanie úverov zvyčajne uskutočňuje na základe súkromných informácií. Na úverovom trhu sa len nedávno zaviedli kodifikované zásady na uľahčenie a podporu environmentálne udržateľnej hospodárskej činnosti. Ako zelené sa označujú všetky úvery, ktoré sa riadia zásadami zelených úverov ICMA.</w:t>
      </w:r>
      <w:r w:rsidRPr="008854EA">
        <w:rPr>
          <w:noProof/>
          <w:vertAlign w:val="superscript"/>
          <w:lang w:val="sk-SK"/>
        </w:rPr>
        <w:footnoteReference w:id="125"/>
      </w:r>
      <w:r w:rsidRPr="008854EA">
        <w:rPr>
          <w:noProof/>
          <w:vertAlign w:val="superscript"/>
          <w:lang w:val="sk-SK"/>
        </w:rPr>
        <w:t xml:space="preserve"> </w:t>
      </w:r>
      <w:r w:rsidRPr="008854EA">
        <w:rPr>
          <w:noProof/>
          <w:lang w:val="sk-SK"/>
        </w:rPr>
        <w:t xml:space="preserve">Objem zelených úverov v EÚ od roku 2016 neustále rastie a v roku 2022 dosiahol takmer 60 miliárd EUR (pozri graf 21 ďalej). </w:t>
      </w:r>
    </w:p>
    <w:p w14:paraId="48E150B9" w14:textId="77777777" w:rsidR="00E31BEE" w:rsidRPr="008854EA" w:rsidRDefault="00E31BEE" w:rsidP="00E31BEE">
      <w:pPr>
        <w:pStyle w:val="Body"/>
        <w:rPr>
          <w:noProof/>
          <w:lang w:val="sk-SK"/>
        </w:rPr>
      </w:pPr>
    </w:p>
    <w:p w14:paraId="06E2B09D" w14:textId="5E4A4DC7" w:rsidR="00E31BEE" w:rsidRPr="008854EA" w:rsidRDefault="00E31BEE" w:rsidP="00E31BEE">
      <w:pPr>
        <w:pStyle w:val="BodyText"/>
        <w:pBdr>
          <w:bottom w:val="single" w:sz="4" w:space="1" w:color="auto"/>
        </w:pBdr>
        <w:rPr>
          <w:noProof/>
          <w:lang w:val="sk-SK"/>
        </w:rPr>
      </w:pPr>
      <w:bookmarkStart w:id="19" w:name="_Ref144066001"/>
      <w:r w:rsidRPr="008854EA">
        <w:rPr>
          <w:rFonts w:ascii="Times New Roman" w:hAnsi="Times New Roman"/>
          <w:b/>
          <w:noProof/>
          <w:color w:val="44546A" w:themeColor="text2"/>
          <w:lang w:val="sk-SK"/>
        </w:rPr>
        <w:t>Graf 21</w:t>
      </w:r>
      <w:bookmarkEnd w:id="19"/>
      <w:r w:rsidRPr="008854EA">
        <w:rPr>
          <w:noProof/>
          <w:lang w:val="sk-SK"/>
        </w:rPr>
        <w:t>:</w:t>
      </w:r>
      <w:r w:rsidRPr="008854EA">
        <w:rPr>
          <w:rFonts w:ascii="Times New Roman" w:hAnsi="Times New Roman"/>
          <w:b/>
          <w:noProof/>
          <w:color w:val="44546A" w:themeColor="text2"/>
          <w:lang w:val="sk-SK"/>
        </w:rPr>
        <w:t xml:space="preserve"> Ročná emisia zelených úverov v EÚ (do 30. júna 2023)</w:t>
      </w:r>
      <w:r w:rsidRPr="008854EA">
        <w:rPr>
          <w:rStyle w:val="FootnoteReference"/>
          <w:rFonts w:ascii="Times New Roman" w:eastAsiaTheme="minorEastAsia" w:hAnsi="Times New Roman"/>
          <w:b/>
          <w:noProof/>
          <w:color w:val="44546A" w:themeColor="text2"/>
          <w:lang w:val="sk-SK"/>
        </w:rPr>
        <w:footnoteReference w:id="126"/>
      </w:r>
    </w:p>
    <w:p w14:paraId="419E1DA0" w14:textId="320FDF0E" w:rsidR="00E31BEE" w:rsidRPr="008854EA" w:rsidRDefault="00C9792D" w:rsidP="00EC10A0">
      <w:pPr>
        <w:keepNext/>
        <w:spacing w:after="120"/>
        <w:jc w:val="center"/>
        <w:rPr>
          <w:noProof/>
          <w:lang w:val="sk-SK"/>
        </w:rPr>
      </w:pPr>
      <w:r w:rsidRPr="008854EA">
        <w:rPr>
          <w:noProof/>
          <w:lang w:val="en-GB" w:eastAsia="en-GB"/>
        </w:rPr>
        <w:drawing>
          <wp:inline distT="0" distB="0" distL="0" distR="0" wp14:anchorId="1B9BF57E" wp14:editId="56958CBA">
            <wp:extent cx="2873993" cy="197724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4510" cy="1998237"/>
                    </a:xfrm>
                    <a:prstGeom prst="rect">
                      <a:avLst/>
                    </a:prstGeom>
                    <a:noFill/>
                    <a:ln>
                      <a:noFill/>
                    </a:ln>
                  </pic:spPr>
                </pic:pic>
              </a:graphicData>
            </a:graphic>
          </wp:inline>
        </w:drawing>
      </w:r>
    </w:p>
    <w:p w14:paraId="69E34B81" w14:textId="77777777" w:rsidR="00E31BEE" w:rsidRPr="008854EA" w:rsidRDefault="00E31BEE" w:rsidP="00E31BEE">
      <w:pPr>
        <w:pBdr>
          <w:top w:val="single" w:sz="4" w:space="1" w:color="auto"/>
        </w:pBdr>
        <w:spacing w:after="0"/>
        <w:jc w:val="both"/>
        <w:rPr>
          <w:rFonts w:ascii="Times New Roman" w:hAnsi="Times New Roman" w:cs="Times New Roman"/>
          <w:noProof/>
          <w:sz w:val="24"/>
          <w:lang w:val="sk-SK"/>
        </w:rPr>
      </w:pPr>
    </w:p>
    <w:p w14:paraId="4FD47F89" w14:textId="51FA93F4" w:rsidR="00E31BEE" w:rsidRPr="008854EA" w:rsidRDefault="00E442FA" w:rsidP="00E31BEE">
      <w:pPr>
        <w:pStyle w:val="Body"/>
        <w:rPr>
          <w:noProof/>
          <w:lang w:val="sk-SK"/>
        </w:rPr>
      </w:pPr>
      <w:r w:rsidRPr="008854EA">
        <w:rPr>
          <w:noProof/>
          <w:lang w:val="sk-SK"/>
        </w:rPr>
        <w:t>Pokiaľ ide o </w:t>
      </w:r>
      <w:r w:rsidRPr="008854EA">
        <w:rPr>
          <w:b/>
          <w:noProof/>
          <w:lang w:val="sk-SK"/>
        </w:rPr>
        <w:t>investičné fondy</w:t>
      </w:r>
      <w:r w:rsidRPr="008854EA">
        <w:rPr>
          <w:noProof/>
          <w:lang w:val="sk-SK"/>
        </w:rPr>
        <w:t>, nadobudnutie účinnosti nariadenia o zverejňovaní informácií o udržateľnosti v sektore financií prispelo k objasneniu tvrdení finančných subjektov o udržateľnosti. Od roku 2022 sú účastníci finančného trhu povinní zverejňovať informácie o svojich finančných produktoch vrátane údajných environmentálnych, sociálnych prínosov a prínosov v oblasti správy a riadenia (ESG). Ako vidno v grafe 22 ďalej, celkové spravované aktíva v rámci produktov s </w:t>
      </w:r>
      <w:r w:rsidRPr="008854EA">
        <w:rPr>
          <w:i/>
          <w:noProof/>
          <w:lang w:val="sk-SK"/>
        </w:rPr>
        <w:t>charakteristikami ESG</w:t>
      </w:r>
      <w:r w:rsidRPr="008854EA">
        <w:rPr>
          <w:noProof/>
          <w:lang w:val="sk-SK"/>
        </w:rPr>
        <w:t xml:space="preserve"> a produktov s </w:t>
      </w:r>
      <w:r w:rsidRPr="008854EA">
        <w:rPr>
          <w:i/>
          <w:noProof/>
          <w:lang w:val="sk-SK"/>
        </w:rPr>
        <w:t>cieľom udržateľnosti</w:t>
      </w:r>
      <w:r w:rsidRPr="008854EA">
        <w:rPr>
          <w:noProof/>
          <w:lang w:val="sk-SK"/>
        </w:rPr>
        <w:t xml:space="preserve"> predstavovali istý čas viac než polovicu trhu, až sa napokon ustálili na približne 50 % všetkých spravovaných aktív. </w:t>
      </w:r>
    </w:p>
    <w:p w14:paraId="3B5F052E" w14:textId="529B4D1F" w:rsidR="00E31BEE" w:rsidRPr="008854EA" w:rsidRDefault="00E31BEE" w:rsidP="00E31BEE">
      <w:pPr>
        <w:pStyle w:val="BodyText"/>
        <w:pBdr>
          <w:bottom w:val="single" w:sz="4" w:space="1" w:color="auto"/>
        </w:pBdr>
        <w:rPr>
          <w:noProof/>
          <w:lang w:val="sk-SK"/>
        </w:rPr>
      </w:pPr>
      <w:bookmarkStart w:id="20" w:name="_Ref144065876"/>
      <w:r w:rsidRPr="008854EA">
        <w:rPr>
          <w:rFonts w:ascii="Times New Roman" w:hAnsi="Times New Roman"/>
          <w:b/>
          <w:noProof/>
          <w:color w:val="44546A" w:themeColor="text2"/>
          <w:lang w:val="sk-SK"/>
        </w:rPr>
        <w:t>Graf 22</w:t>
      </w:r>
      <w:bookmarkEnd w:id="20"/>
      <w:r w:rsidRPr="008854EA">
        <w:rPr>
          <w:noProof/>
          <w:lang w:val="sk-SK"/>
        </w:rPr>
        <w:t>:</w:t>
      </w:r>
      <w:r w:rsidRPr="008854EA">
        <w:rPr>
          <w:rFonts w:ascii="Times New Roman" w:hAnsi="Times New Roman"/>
          <w:b/>
          <w:noProof/>
          <w:color w:val="44546A" w:themeColor="text2"/>
          <w:lang w:val="sk-SK"/>
        </w:rPr>
        <w:t xml:space="preserve"> Spravované aktíva podľa klasifikácie nariadenia o zverejňovaní informácií o udržateľnosti v sektore financií</w:t>
      </w:r>
      <w:r w:rsidRPr="008854EA">
        <w:rPr>
          <w:rStyle w:val="FootnoteReference"/>
          <w:rFonts w:ascii="Times New Roman" w:eastAsiaTheme="minorEastAsia" w:hAnsi="Times New Roman"/>
          <w:b/>
          <w:noProof/>
          <w:color w:val="44546A" w:themeColor="text2"/>
          <w:lang w:val="sk-SK"/>
        </w:rPr>
        <w:footnoteReference w:id="127"/>
      </w:r>
    </w:p>
    <w:p w14:paraId="5EED8478" w14:textId="45573397" w:rsidR="00E31BEE" w:rsidRPr="008854EA" w:rsidRDefault="004B3674" w:rsidP="00E31BEE">
      <w:pPr>
        <w:pStyle w:val="Body"/>
        <w:jc w:val="center"/>
        <w:rPr>
          <w:noProof/>
          <w:lang w:val="sk-SK"/>
        </w:rPr>
      </w:pPr>
      <w:r w:rsidRPr="008854EA">
        <w:rPr>
          <w:noProof/>
          <w:lang w:val="en-GB" w:eastAsia="en-GB"/>
        </w:rPr>
        <w:drawing>
          <wp:inline distT="0" distB="0" distL="0" distR="0" wp14:anchorId="40E21A5B" wp14:editId="5E58F357">
            <wp:extent cx="3646074" cy="22687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5855" cy="2281057"/>
                    </a:xfrm>
                    <a:prstGeom prst="rect">
                      <a:avLst/>
                    </a:prstGeom>
                    <a:noFill/>
                    <a:ln>
                      <a:noFill/>
                    </a:ln>
                  </pic:spPr>
                </pic:pic>
              </a:graphicData>
            </a:graphic>
          </wp:inline>
        </w:drawing>
      </w:r>
    </w:p>
    <w:p w14:paraId="58FFE861" w14:textId="77777777" w:rsidR="00E31BEE" w:rsidRPr="008854EA" w:rsidRDefault="00E31BEE" w:rsidP="00E31BEE">
      <w:pPr>
        <w:pBdr>
          <w:top w:val="single" w:sz="4" w:space="1" w:color="auto"/>
        </w:pBdr>
        <w:spacing w:after="160" w:line="257" w:lineRule="auto"/>
        <w:rPr>
          <w:rFonts w:ascii="Times New Roman" w:eastAsia="Times New Roman" w:hAnsi="Times New Roman" w:cs="Times New Roman"/>
          <w:noProof/>
          <w:lang w:val="sk-SK"/>
        </w:rPr>
      </w:pPr>
    </w:p>
    <w:p w14:paraId="6C82A395" w14:textId="3F85F56D" w:rsidR="00770EA4" w:rsidRPr="008854EA" w:rsidRDefault="00E31BEE" w:rsidP="00E31BEE">
      <w:pPr>
        <w:pStyle w:val="Body"/>
        <w:rPr>
          <w:noProof/>
          <w:lang w:val="sk-SK"/>
        </w:rPr>
      </w:pPr>
      <w:r w:rsidRPr="008854EA">
        <w:rPr>
          <w:noProof/>
          <w:lang w:val="sk-SK"/>
        </w:rPr>
        <w:t xml:space="preserve">Klasifikácie založené na nariadení o zverejňovaní informácií o udržateľnosti v sektore financií však neboli vždy spoľahlivým meradlom udržateľnosti fondov, keďže v nariadení sa účastníkom trhu poskytuje značná voľnosť pri definovaní udržateľnosti. Za udržateľné možno napríklad považovať fondy sledujúce </w:t>
      </w:r>
      <w:r w:rsidRPr="008854EA">
        <w:rPr>
          <w:b/>
          <w:noProof/>
          <w:lang w:val="sk-SK"/>
        </w:rPr>
        <w:t>referenčnú hodnotu EÚ pre investície v súlade s Parížskou dohodou</w:t>
      </w:r>
      <w:r w:rsidRPr="008854EA">
        <w:rPr>
          <w:noProof/>
          <w:lang w:val="sk-SK"/>
        </w:rPr>
        <w:t xml:space="preserve"> </w:t>
      </w:r>
      <w:r w:rsidRPr="008854EA">
        <w:rPr>
          <w:b/>
          <w:noProof/>
          <w:lang w:val="sk-SK"/>
        </w:rPr>
        <w:t>alebo referenčnú hodnotu EÚ pre investície do transformácie hospodárstva v súvislosti so zmenou klímy</w:t>
      </w:r>
      <w:r w:rsidRPr="008854EA">
        <w:rPr>
          <w:rStyle w:val="FootnoteReference"/>
          <w:b/>
          <w:noProof/>
          <w:lang w:val="sk-SK"/>
        </w:rPr>
        <w:footnoteReference w:id="128"/>
      </w:r>
      <w:r w:rsidRPr="008854EA">
        <w:rPr>
          <w:noProof/>
          <w:lang w:val="sk-SK"/>
        </w:rPr>
        <w:t>, ale ostatné produkty sú naďalej v značnej miere vystavené rizikám odvetvia fosílnych palív</w:t>
      </w:r>
      <w:r w:rsidRPr="008854EA">
        <w:rPr>
          <w:rStyle w:val="FootnoteReference"/>
          <w:rFonts w:ascii="Calibri" w:hAnsi="Calibri" w:cs="Calibri"/>
          <w:noProof/>
          <w:lang w:val="sk-SK"/>
        </w:rPr>
        <w:footnoteReference w:id="129"/>
      </w:r>
      <w:r w:rsidRPr="008854EA">
        <w:rPr>
          <w:noProof/>
          <w:lang w:val="sk-SK"/>
        </w:rPr>
        <w:t>.</w:t>
      </w:r>
    </w:p>
    <w:p w14:paraId="11251E9B" w14:textId="0BE4D0AA" w:rsidR="002660FF" w:rsidRPr="008854EA" w:rsidRDefault="002660FF">
      <w:pPr>
        <w:spacing w:after="160" w:line="259" w:lineRule="auto"/>
        <w:rPr>
          <w:rFonts w:ascii="Times New Roman" w:eastAsia="Arial Unicode MS" w:hAnsi="Times New Roman" w:cs="Arial Unicode MS"/>
          <w:noProof/>
          <w:sz w:val="24"/>
          <w:u w:color="000000"/>
          <w:bdr w:val="nil"/>
          <w:lang w:val="sk-SK"/>
        </w:rPr>
      </w:pPr>
      <w:r w:rsidRPr="008854EA">
        <w:rPr>
          <w:rFonts w:ascii="Times New Roman" w:eastAsia="Arial Unicode MS" w:hAnsi="Times New Roman" w:cs="Arial Unicode MS"/>
          <w:noProof/>
          <w:sz w:val="24"/>
          <w:u w:color="000000"/>
          <w:bdr w:val="nil"/>
          <w:lang w:val="sk-SK"/>
        </w:rPr>
        <w:br w:type="page"/>
      </w:r>
    </w:p>
    <w:p w14:paraId="6D4EE619" w14:textId="0383A74A" w:rsidR="00E31BEE" w:rsidRPr="008854EA" w:rsidRDefault="00E31BEE" w:rsidP="00E31BEE">
      <w:pPr>
        <w:pStyle w:val="BodyText"/>
        <w:pBdr>
          <w:bottom w:val="single" w:sz="4" w:space="1" w:color="auto"/>
        </w:pBdr>
        <w:rPr>
          <w:noProof/>
          <w:lang w:val="sk-SK"/>
        </w:rPr>
      </w:pPr>
      <w:bookmarkStart w:id="21" w:name="_Ref144066306"/>
      <w:r w:rsidRPr="008854EA">
        <w:rPr>
          <w:rFonts w:ascii="Times New Roman" w:hAnsi="Times New Roman"/>
          <w:b/>
          <w:noProof/>
          <w:color w:val="44546A" w:themeColor="text2"/>
          <w:lang w:val="sk-SK"/>
        </w:rPr>
        <w:t>Graf 23</w:t>
      </w:r>
      <w:bookmarkEnd w:id="21"/>
      <w:r w:rsidRPr="008854EA">
        <w:rPr>
          <w:noProof/>
          <w:lang w:val="sk-SK"/>
        </w:rPr>
        <w:t>:</w:t>
      </w:r>
      <w:r w:rsidRPr="008854EA">
        <w:rPr>
          <w:rFonts w:ascii="Times New Roman" w:hAnsi="Times New Roman"/>
          <w:b/>
          <w:noProof/>
          <w:color w:val="44546A" w:themeColor="text2"/>
          <w:lang w:val="sk-SK"/>
        </w:rPr>
        <w:t xml:space="preserve"> Trhová kapitalizácia v EÚ podľa ekologickosti, 2021</w:t>
      </w:r>
      <w:r w:rsidRPr="008854EA">
        <w:rPr>
          <w:rStyle w:val="FootnoteReference"/>
          <w:rFonts w:ascii="Times New Roman" w:eastAsiaTheme="minorEastAsia" w:hAnsi="Times New Roman"/>
          <w:b/>
          <w:noProof/>
          <w:color w:val="44546A" w:themeColor="text2"/>
          <w:lang w:val="sk-SK"/>
        </w:rPr>
        <w:footnoteReference w:id="130"/>
      </w:r>
    </w:p>
    <w:p w14:paraId="1511CBB1" w14:textId="71C723A7" w:rsidR="00E31BEE" w:rsidRPr="008854EA" w:rsidRDefault="004B3674" w:rsidP="00EC10A0">
      <w:pPr>
        <w:keepNext/>
        <w:spacing w:after="120"/>
        <w:jc w:val="center"/>
        <w:rPr>
          <w:noProof/>
          <w:lang w:val="sk-SK"/>
        </w:rPr>
      </w:pPr>
      <w:r w:rsidRPr="008854EA">
        <w:rPr>
          <w:noProof/>
          <w:lang w:val="en-GB" w:eastAsia="en-GB"/>
        </w:rPr>
        <w:drawing>
          <wp:inline distT="0" distB="0" distL="0" distR="0" wp14:anchorId="097E6DF4" wp14:editId="29FD1214">
            <wp:extent cx="3416378" cy="22109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6378" cy="2210931"/>
                    </a:xfrm>
                    <a:prstGeom prst="rect">
                      <a:avLst/>
                    </a:prstGeom>
                    <a:noFill/>
                    <a:ln>
                      <a:noFill/>
                    </a:ln>
                  </pic:spPr>
                </pic:pic>
              </a:graphicData>
            </a:graphic>
          </wp:inline>
        </w:drawing>
      </w:r>
    </w:p>
    <w:p w14:paraId="66C00331" w14:textId="77777777" w:rsidR="00E31BEE" w:rsidRPr="008854EA" w:rsidRDefault="00E31BEE" w:rsidP="00E31BEE">
      <w:pPr>
        <w:pStyle w:val="Body"/>
        <w:pBdr>
          <w:top w:val="single" w:sz="4" w:space="1" w:color="auto"/>
        </w:pBdr>
        <w:rPr>
          <w:noProof/>
          <w:lang w:val="sk-SK"/>
        </w:rPr>
      </w:pPr>
    </w:p>
    <w:p w14:paraId="75F16E18" w14:textId="4C1BAC57" w:rsidR="009E1E6A" w:rsidRPr="008854EA" w:rsidRDefault="009E1E6A" w:rsidP="009E1E6A">
      <w:pPr>
        <w:pStyle w:val="Body"/>
        <w:rPr>
          <w:noProof/>
          <w:lang w:val="sk-SK"/>
        </w:rPr>
      </w:pPr>
      <w:r w:rsidRPr="008854EA">
        <w:rPr>
          <w:noProof/>
          <w:lang w:val="sk-SK"/>
        </w:rPr>
        <w:t xml:space="preserve">Zelené financovanie možno merať aj prostredníctvom </w:t>
      </w:r>
      <w:r w:rsidRPr="008854EA">
        <w:rPr>
          <w:b/>
          <w:noProof/>
          <w:lang w:val="sk-SK"/>
        </w:rPr>
        <w:t>zelenej trhovej kapitalizácie</w:t>
      </w:r>
      <w:r w:rsidRPr="008854EA">
        <w:rPr>
          <w:noProof/>
          <w:lang w:val="sk-SK"/>
        </w:rPr>
        <w:t xml:space="preserve"> (kapitálové investície) spoločností so sídlom v EÚ, pričom zelené podniky sa vymedzujú ako podniky, ktoré sa umiestnili v najnižšom 10. percentile z hľadiska celkových emisií skleníkových plynov (rozsah 1 a rozsah 2) aj ich intenzity. Zelené spoločnosti predstavujú na celkovej trhovej kapitalizácii veľmi malý podiel (pozri graf 23 za rok 2021).</w:t>
      </w:r>
    </w:p>
    <w:p w14:paraId="6F4749FC" w14:textId="07033E6F" w:rsidR="00E31BEE" w:rsidRPr="008854EA" w:rsidRDefault="00E31BEE" w:rsidP="00E31BEE">
      <w:pPr>
        <w:spacing w:after="160" w:line="257" w:lineRule="auto"/>
        <w:jc w:val="both"/>
        <w:rPr>
          <w:rFonts w:eastAsia="Times New Roman" w:cs="Times New Roman"/>
          <w:noProof/>
          <w:lang w:val="sk-SK"/>
        </w:rPr>
      </w:pPr>
      <w:r w:rsidRPr="008854EA">
        <w:rPr>
          <w:rFonts w:ascii="Times New Roman" w:hAnsi="Times New Roman"/>
          <w:noProof/>
          <w:color w:val="000000" w:themeColor="text1"/>
          <w:sz w:val="24"/>
          <w:lang w:val="sk-SK"/>
        </w:rPr>
        <w:t>Zlatým štandardom na</w:t>
      </w:r>
      <w:r w:rsidRPr="008854EA">
        <w:rPr>
          <w:rFonts w:ascii="Times New Roman" w:hAnsi="Times New Roman"/>
          <w:noProof/>
          <w:sz w:val="24"/>
          <w:lang w:val="sk-SK"/>
        </w:rPr>
        <w:t xml:space="preserve"> určovanie zelených hospodárskych činností je </w:t>
      </w:r>
      <w:r w:rsidRPr="008854EA">
        <w:rPr>
          <w:rFonts w:ascii="Times New Roman" w:hAnsi="Times New Roman"/>
          <w:b/>
          <w:noProof/>
          <w:sz w:val="24"/>
          <w:lang w:val="sk-SK"/>
        </w:rPr>
        <w:t>taxonómia EÚ</w:t>
      </w:r>
      <w:r w:rsidRPr="008854EA">
        <w:rPr>
          <w:rFonts w:ascii="Times New Roman" w:hAnsi="Times New Roman"/>
          <w:noProof/>
          <w:sz w:val="24"/>
          <w:lang w:val="sk-SK"/>
        </w:rPr>
        <w:t>, ktorá je základom rámca EÚ pre udržateľné financovanie. Povinnosť zverejňovať informácie o kapitálových výdavkoch, prevádzkových nákladoch a príjmoch v súlade s taxonómiou, uložená spoločnostiam v rámci rozsahu pôsobnosti smernice o vykazovaní informácií o udržateľnosti podnikov, umožní spoľahlivú kvantifikáciu financovania zosúladeného s trajektóriou nulovej bilancie do roku 2050 (a ďalšími environmentálnymi cieľmi). Keďže prvé správy o zosúladenosti s taxonómiou sa majú predložiť v roku 2023, s agregovaním týchto údajov sa bude dať začať od roku 2024.</w:t>
      </w:r>
    </w:p>
    <w:p w14:paraId="1CEE4AED" w14:textId="4C764A00"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 xml:space="preserve">Začleňovanie klímy do politiky finančného trhu </w:t>
      </w:r>
    </w:p>
    <w:p w14:paraId="7CBD1BAB" w14:textId="105D8E8E" w:rsidR="00E31BEE" w:rsidRPr="008854EA" w:rsidRDefault="00C83BF2" w:rsidP="00E31BEE">
      <w:pPr>
        <w:pStyle w:val="Body"/>
        <w:rPr>
          <w:noProof/>
          <w:lang w:val="sk-SK"/>
        </w:rPr>
      </w:pPr>
      <w:r w:rsidRPr="008854EA">
        <w:rPr>
          <w:noProof/>
          <w:lang w:val="sk-SK"/>
        </w:rPr>
        <w:t>Zelené financovanie je na vzostupe a regulačný rámec pre udržateľné financovanie, ktorý EÚ zaviedla od roku 2018, zohral dôležitú úlohu pri presmerovaní tokov súkromného kapitálu, ale zelené financovanie ešte zďaleka nedosahuje úroveň potrebnú na financovanie prechodu na klimaticky neutrálne a klimaticky odolné hospodárstvo. Politika musí svoje zameranie presmerovať na financovanie prechodu z odvetví závislých od fosílnych palív na „zelené“ odvetvia, pričom zároveň treba zabrániť vzniku odkázanosti na určitého dodávateľa, ktorá ohrozuje dlhodobé ciele. V odporúčaní Komisie z roku 2023 o financovaní prechodu sa uvádza, ako možno už teraz využiť existujúci súbor nástrojov EÚ</w:t>
      </w:r>
      <w:r w:rsidRPr="008854EA">
        <w:rPr>
          <w:rStyle w:val="FootnoteReference"/>
          <w:noProof/>
          <w:lang w:val="sk-SK"/>
        </w:rPr>
        <w:footnoteReference w:id="131"/>
      </w:r>
      <w:r w:rsidRPr="008854EA">
        <w:rPr>
          <w:noProof/>
          <w:lang w:val="sk-SK"/>
        </w:rPr>
        <w:t>, a poskytuje sa východiskový bod pre nadchádzajúce revízie existujúcich politík finančného trhu vrátane identifikácie nových politík na zabezpečenie komplexného rámca, ktorý EÚ umožní dosiahnuť jej ciele v oblasti klímy. Príležitosťou na posúdenie potrieb, ktorými sa treba zaoberať v budúcnosti, bude správa o vykonávaní stratégie financovania prechodu na udržateľné hospodárstvo z roku 2021, ktorú sa Komisia zaviazala predložiť do konca roka 2023.</w:t>
      </w:r>
    </w:p>
    <w:p w14:paraId="658FBD61" w14:textId="77777777"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Financovanie zo systému EÚ na obchodovanie s emisiami</w:t>
      </w:r>
    </w:p>
    <w:p w14:paraId="566118F7" w14:textId="69A46576" w:rsidR="00E31BEE" w:rsidRPr="008854EA" w:rsidRDefault="00E31BEE" w:rsidP="00E31BEE">
      <w:pPr>
        <w:pStyle w:val="Body"/>
        <w:rPr>
          <w:noProof/>
          <w:lang w:val="sk-SK"/>
        </w:rPr>
      </w:pPr>
      <w:r w:rsidRPr="008854EA">
        <w:rPr>
          <w:b/>
          <w:noProof/>
          <w:lang w:val="sk-SK"/>
        </w:rPr>
        <w:t>Inovačný fond</w:t>
      </w:r>
      <w:r w:rsidRPr="008854EA">
        <w:rPr>
          <w:noProof/>
          <w:lang w:val="sk-SK"/>
        </w:rPr>
        <w:t xml:space="preserve"> je jedným z kľúčových nástrojov na úrovni EÚ, ktorý má na trh priniesť riešenia na dekarbonizáciu európskeho hospodárstva, podporiť jeho prechod ku klimatickej neutralite a zároveň posilniť jeho konkurencieschopnosť. Je to kľúčový nástroj Európy na posilnenie zelenej priemyselnej stratégie EÚ pri súčasnom zachovaní cieľov súdržnosti. Po revízii smernice o ETS čakajú Inovačný fond tieto zmeny</w:t>
      </w:r>
      <w:r w:rsidRPr="008854EA">
        <w:rPr>
          <w:rStyle w:val="FootnoteReference"/>
          <w:noProof/>
          <w:lang w:val="sk-SK"/>
        </w:rPr>
        <w:footnoteReference w:id="132"/>
      </w:r>
      <w:r w:rsidRPr="008854EA">
        <w:rPr>
          <w:noProof/>
          <w:lang w:val="sk-SK"/>
        </w:rPr>
        <w:t xml:space="preserve">: </w:t>
      </w:r>
    </w:p>
    <w:p w14:paraId="660796B1" w14:textId="377F9CC4" w:rsidR="00E31BEE" w:rsidRPr="008854EA" w:rsidRDefault="00DE3AFB" w:rsidP="00E31BEE">
      <w:pPr>
        <w:pStyle w:val="Body"/>
        <w:numPr>
          <w:ilvl w:val="0"/>
          <w:numId w:val="28"/>
        </w:numPr>
        <w:rPr>
          <w:noProof/>
          <w:lang w:val="sk-SK"/>
        </w:rPr>
      </w:pPr>
      <w:r w:rsidRPr="008854EA">
        <w:rPr>
          <w:noProof/>
          <w:lang w:val="sk-SK"/>
        </w:rPr>
        <w:t>narastie zo 450 miliónov na približne 530 miliónov kvót ETS;</w:t>
      </w:r>
    </w:p>
    <w:p w14:paraId="4C2CF1C5" w14:textId="6FE40898" w:rsidR="00E31BEE" w:rsidRPr="008854EA" w:rsidRDefault="00E31BEE" w:rsidP="00E31BEE">
      <w:pPr>
        <w:pStyle w:val="Body"/>
        <w:numPr>
          <w:ilvl w:val="0"/>
          <w:numId w:val="28"/>
        </w:numPr>
        <w:rPr>
          <w:noProof/>
          <w:lang w:val="sk-SK"/>
        </w:rPr>
      </w:pPr>
      <w:r w:rsidRPr="008854EA">
        <w:rPr>
          <w:noProof/>
          <w:lang w:val="sk-SK"/>
        </w:rPr>
        <w:t xml:space="preserve">bude mať väčší rozsah pôsobnosti z hľadiska odvetví (námorná doprava, letecká doprava, budovy, cestná doprava), veľkosti grantov (zavedenie kategórie stredne veľkých projektov s celkovými investičnými nákladmi od 20 do 100 miliónov EUR) a z hľadiska úrovne inovácií, čo umožní podporu zvyšovania úrovne inovačných technológií; </w:t>
      </w:r>
    </w:p>
    <w:p w14:paraId="7343FADD" w14:textId="4E594F1A" w:rsidR="00E31BEE" w:rsidRPr="008854EA" w:rsidRDefault="00EB6BAB" w:rsidP="00E31BEE">
      <w:pPr>
        <w:pStyle w:val="Body"/>
        <w:numPr>
          <w:ilvl w:val="0"/>
          <w:numId w:val="28"/>
        </w:numPr>
        <w:rPr>
          <w:noProof/>
          <w:lang w:val="sk-SK"/>
        </w:rPr>
      </w:pPr>
      <w:r w:rsidRPr="008854EA">
        <w:rPr>
          <w:noProof/>
          <w:lang w:val="sk-SK"/>
        </w:rPr>
        <w:t>bude schopný zavádzať nové mechanizmy financovania, pričom projekty sa budú vyberať prostredníctvom aukcií (súťažných ponukových konaní) a ich podpora bude mať formu zmluvy s pevnou prémiou, rozdielovej zmluvy alebo rozdielovej zmluvy v oblasti uhlíka.</w:t>
      </w:r>
    </w:p>
    <w:p w14:paraId="085FC782" w14:textId="5275C3F0" w:rsidR="00E31BEE" w:rsidRPr="008854EA" w:rsidRDefault="00E31BEE" w:rsidP="00E31BEE">
      <w:pPr>
        <w:pStyle w:val="Body"/>
        <w:rPr>
          <w:noProof/>
          <w:lang w:val="sk-SK"/>
        </w:rPr>
      </w:pPr>
      <w:bookmarkStart w:id="22" w:name="_Hlk147740869"/>
      <w:r w:rsidRPr="008854EA">
        <w:rPr>
          <w:noProof/>
          <w:lang w:val="sk-SK"/>
        </w:rPr>
        <w:t xml:space="preserve">Portfólio Inovačného fondu sa naďalej zväčšuje. Celkovo sa realizuje 23 veľkých projektov (celkové investičné náklady nad 7,5 milióna EUR) a 46 malých projektov (celkové investičné náklady do 7,5 milióna EUR), pričom celkový príspevok EÚ dosahuje 3,1 miliardy EUR. Investície zmobilizované prostredníctvom týchto grantových príspevkov predstavujú viac ako 13 miliárd EUR (odhadované agregované kapitálové náklady na 69 projektov). Po zverejnení výsledkov tretej výzvy na predkladanie veľkých projektov sa v súčasnosti pripravujú dohody o grante s agentúrou CINEA na ďalších 41 projektov s grantmi v celkovej výške 3,6 miliardy EUR. Zároveň do polovice roka 2023 získalo dovedna 43 projektov pomoc na projektový rozvoj. V septembri 2023 bola uzavretá tretia výzva na predkladanie malých projektov; bolo prijatých 72 žiadostí, v ktorých sa žiadalo o 289 miliónov EUR, čo je 2,9-krát viac než rozpočet výzvy vo výške 100 miliónov EUR. Do konca roka 2023 sa plánuje vyhlásenie novej výzvy na predkladanie návrhov s celkovým rozpočtom 4 miliardy EUR, ktorá sa bude vzťahovať na malé, stredné a veľké projekty. </w:t>
      </w:r>
    </w:p>
    <w:bookmarkEnd w:id="22"/>
    <w:p w14:paraId="5D7570A2" w14:textId="56B35065" w:rsidR="00E31BEE" w:rsidRPr="008854EA" w:rsidRDefault="001022BA" w:rsidP="00E31BEE">
      <w:pPr>
        <w:pStyle w:val="Body"/>
        <w:rPr>
          <w:noProof/>
          <w:lang w:val="sk-SK"/>
        </w:rPr>
      </w:pPr>
      <w:r w:rsidRPr="008854EA">
        <w:rPr>
          <w:noProof/>
          <w:lang w:val="sk-SK"/>
        </w:rPr>
        <w:t>Okrem toho sa v nadväznosti na zavedenie mechanizmu súťažných ponukových konaní v revidovanej smernici o ETS plánuje do konca roka začať prvú aukciu organizovanú na úrovni EÚ v rámci Inovačného fondu, a to v oblasti obnoviteľného vodíka a s rozpočtom 800 miliónov EUR, s cieľom reagovať na priority uvedené v oznámení o </w:t>
      </w:r>
      <w:hyperlink r:id="rId53" w:history="1">
        <w:r w:rsidRPr="008854EA">
          <w:rPr>
            <w:rStyle w:val="Hyperlink"/>
            <w:noProof/>
            <w:u w:val="none"/>
            <w:lang w:val="sk-SK"/>
          </w:rPr>
          <w:t>vodíkovej banke</w:t>
        </w:r>
      </w:hyperlink>
      <w:r w:rsidRPr="008854EA">
        <w:rPr>
          <w:rStyle w:val="FootnoteReference"/>
          <w:noProof/>
          <w:lang w:val="sk-SK"/>
        </w:rPr>
        <w:footnoteReference w:id="133"/>
      </w:r>
      <w:r w:rsidRPr="008854EA">
        <w:rPr>
          <w:noProof/>
          <w:lang w:val="sk-SK"/>
        </w:rPr>
        <w:t xml:space="preserve">, </w:t>
      </w:r>
      <w:hyperlink r:id="rId54" w:history="1">
        <w:r w:rsidRPr="008854EA">
          <w:rPr>
            <w:rStyle w:val="Hyperlink"/>
            <w:noProof/>
            <w:u w:val="none"/>
            <w:lang w:val="sk-SK"/>
          </w:rPr>
          <w:t>Priemyselnom pláne v kontexte Zelenej dohody</w:t>
        </w:r>
      </w:hyperlink>
      <w:r w:rsidRPr="008854EA">
        <w:rPr>
          <w:rStyle w:val="FootnoteReference"/>
          <w:noProof/>
          <w:lang w:val="sk-SK"/>
        </w:rPr>
        <w:footnoteReference w:id="134"/>
      </w:r>
      <w:r w:rsidRPr="008854EA">
        <w:rPr>
          <w:noProof/>
          <w:lang w:val="sk-SK"/>
        </w:rPr>
        <w:t xml:space="preserve"> a </w:t>
      </w:r>
      <w:hyperlink r:id="rId55" w:history="1">
        <w:r w:rsidRPr="008854EA">
          <w:rPr>
            <w:rStyle w:val="Hyperlink"/>
            <w:noProof/>
            <w:u w:val="none"/>
            <w:lang w:val="sk-SK"/>
          </w:rPr>
          <w:t>akte o emisne neutrálnom priemysle</w:t>
        </w:r>
      </w:hyperlink>
      <w:r w:rsidRPr="008854EA">
        <w:rPr>
          <w:rStyle w:val="FootnoteReference"/>
          <w:noProof/>
          <w:lang w:val="sk-SK"/>
        </w:rPr>
        <w:footnoteReference w:id="135"/>
      </w:r>
      <w:r w:rsidRPr="008854EA">
        <w:rPr>
          <w:noProof/>
          <w:lang w:val="sk-SK"/>
        </w:rPr>
        <w:t xml:space="preserve">. </w:t>
      </w:r>
    </w:p>
    <w:p w14:paraId="7D6EEFB5" w14:textId="59E593B6" w:rsidR="00E31BEE" w:rsidRPr="008854EA" w:rsidRDefault="00E31BEE" w:rsidP="00E31BEE">
      <w:pPr>
        <w:pStyle w:val="Body"/>
        <w:rPr>
          <w:noProof/>
          <w:lang w:val="sk-SK"/>
        </w:rPr>
      </w:pPr>
      <w:r w:rsidRPr="008854EA">
        <w:rPr>
          <w:b/>
          <w:noProof/>
          <w:lang w:val="sk-SK"/>
        </w:rPr>
        <w:t>Modernizačný fond</w:t>
      </w:r>
      <w:r w:rsidRPr="008854EA">
        <w:rPr>
          <w:noProof/>
          <w:lang w:val="sk-SK"/>
        </w:rPr>
        <w:t xml:space="preserve"> podporuje členské štáty s nižšími príjmami finančnou pomocou získanou prostredníctvom ETS na modernizáciu ich energetických systémov a zlepšenie energetickej účinnosti. Do roku 2030 sa na podporu týchto členských štátov bude dražiť viac ako 750 miliónov kvót, čo je vďaka revízii smernice o ETS nárast o 110 miliónov kvót (približne 60 miliárd EUR). V poslednom cykle vyplácania EÚ pridelila 2,4 miliardy EUR na 31 projektov v siedmich prijímajúcich krajinách. Ďalšie investície sa uskutočnili v Rumunsku (1,1 miliardy EUR), Českej republike (1 miliarda EUR), Bulharsku (197 miliónov EUR), Poľsku (47 miliónov EUR), Chorvátsku (88 miliónov EUR), Lotyšsku (5 miliónov EUR) a Litve (1 milión EUR). Od januára 2021 sa z Modernizačného fondu rozdelilo spolu približne 7,5 miliardy EUR, ktoré využilo desať oprávnených členských štátov. V rámci revidovaného EU ETS sa príjemcami pomoci z Modernizačného fondu stanú aj Grécko, Portugalsko a Slovinsko.</w:t>
      </w:r>
    </w:p>
    <w:p w14:paraId="23EEF26F" w14:textId="77777777" w:rsidR="00E31BEE" w:rsidRPr="008854EA" w:rsidRDefault="00E31BEE" w:rsidP="000E570C">
      <w:pPr>
        <w:pStyle w:val="Heading2"/>
        <w:ind w:left="576"/>
        <w:rPr>
          <w:rFonts w:ascii="Times New Roman" w:hAnsi="Times New Roman" w:cs="Times New Roman"/>
          <w:noProof/>
          <w:lang w:val="sk-SK"/>
        </w:rPr>
      </w:pPr>
      <w:r w:rsidRPr="008854EA">
        <w:rPr>
          <w:rFonts w:ascii="Times New Roman" w:hAnsi="Times New Roman"/>
          <w:noProof/>
          <w:lang w:val="sk-SK"/>
        </w:rPr>
        <w:t>Začleňovanie politík v oblasti klímy do rozpočtu EÚ</w:t>
      </w:r>
    </w:p>
    <w:p w14:paraId="20D75395" w14:textId="6C870225" w:rsidR="00E31BEE" w:rsidRPr="008854EA" w:rsidRDefault="008D2050" w:rsidP="00E31BEE">
      <w:pPr>
        <w:pStyle w:val="Body"/>
        <w:rPr>
          <w:noProof/>
          <w:lang w:val="sk-SK"/>
        </w:rPr>
      </w:pPr>
      <w:r w:rsidRPr="008854EA">
        <w:rPr>
          <w:noProof/>
          <w:lang w:val="sk-SK"/>
        </w:rPr>
        <w:t xml:space="preserve">Rozpočet EÚ na roky 2021 – 2027 – „viacročný finančný rámec“ aj </w:t>
      </w:r>
      <w:r w:rsidRPr="008854EA">
        <w:rPr>
          <w:noProof/>
          <w:color w:val="333333"/>
          <w:lang w:val="sk-SK"/>
        </w:rPr>
        <w:t xml:space="preserve">nástroj </w:t>
      </w:r>
      <w:r w:rsidRPr="008854EA">
        <w:rPr>
          <w:i/>
          <w:noProof/>
          <w:color w:val="333333"/>
          <w:lang w:val="sk-SK"/>
        </w:rPr>
        <w:t>NextGenerationEU</w:t>
      </w:r>
      <w:r w:rsidRPr="008854EA">
        <w:rPr>
          <w:noProof/>
          <w:lang w:val="sk-SK"/>
        </w:rPr>
        <w:t> – je dôležitým faktorom umožňujúcim zelenú transformáciu. V súčasnosti sa predpokladá, že v období do roku 2027 prispeje na opatrenia v oblasti klímy sumou 578 miliárd EUR. Predstavuje to 32,6 % celkového rozpočtu EÚ</w:t>
      </w:r>
      <w:r w:rsidRPr="008854EA">
        <w:rPr>
          <w:rStyle w:val="FootnoteReference"/>
          <w:noProof/>
          <w:lang w:val="sk-SK"/>
        </w:rPr>
        <w:footnoteReference w:id="136"/>
      </w:r>
      <w:r w:rsidRPr="008854EA">
        <w:rPr>
          <w:noProof/>
          <w:lang w:val="sk-SK"/>
        </w:rPr>
        <w:t xml:space="preserve">, čo prekračuje jej cieľ vynakladať 30 % výdavkov na ochranu klímy. </w:t>
      </w:r>
      <w:r w:rsidRPr="008854EA">
        <w:rPr>
          <w:noProof/>
          <w:color w:val="333333"/>
          <w:lang w:val="sk-SK"/>
        </w:rPr>
        <w:t>Tento cieľ sa opiera o ciele v oblasti výdavkov pre jednotlivé programy, napríklad v rámci Európskeho fondu regionálneho rozvoja (30 %), Nástroj susedstva a rozvojovej a medzinárodnej spolupráce – Globálna Európa (30 %), programu Horizont Európa (35 %), Kohézneho fondu (37 %), spoločnej poľnohospodárskej politiky (40 %), Nástroja na prepájanie Európy (60 %) a programu LIFE (61 %).</w:t>
      </w:r>
    </w:p>
    <w:p w14:paraId="7FAE4B00" w14:textId="0D58923C" w:rsidR="00E31BEE" w:rsidRPr="008854EA" w:rsidRDefault="00E31BEE" w:rsidP="00E31BEE">
      <w:pPr>
        <w:pStyle w:val="Body"/>
        <w:rPr>
          <w:rFonts w:eastAsia="Times New Roman" w:cs="Times New Roman"/>
          <w:noProof/>
          <w:color w:val="333333"/>
          <w:lang w:val="sk-SK"/>
        </w:rPr>
      </w:pPr>
      <w:r w:rsidRPr="008854EA">
        <w:rPr>
          <w:b/>
          <w:noProof/>
          <w:lang w:val="sk-SK"/>
        </w:rPr>
        <w:t>Mechanizmus EÚ na podporu obnovy a odolnosti</w:t>
      </w:r>
      <w:r w:rsidRPr="008854EA">
        <w:rPr>
          <w:noProof/>
          <w:lang w:val="sk-SK"/>
        </w:rPr>
        <w:t xml:space="preserve"> – ústredný prvok nástroja obnovy EÚ </w:t>
      </w:r>
      <w:r w:rsidRPr="008854EA">
        <w:rPr>
          <w:i/>
          <w:noProof/>
          <w:color w:val="333333"/>
          <w:lang w:val="sk-SK"/>
        </w:rPr>
        <w:t>NextGenerationEU</w:t>
      </w:r>
      <w:r w:rsidRPr="008854EA">
        <w:rPr>
          <w:noProof/>
          <w:lang w:val="sk-SK"/>
        </w:rPr>
        <w:t xml:space="preserve"> – má </w:t>
      </w:r>
      <w:r w:rsidRPr="008854EA">
        <w:rPr>
          <w:noProof/>
          <w:color w:val="333333"/>
          <w:lang w:val="sk-SK"/>
        </w:rPr>
        <w:t>hodnotu až 723,8 miliardy EUR a umožňuje členským štátom výrazne zvýšiť investície v oblasti klímy. Členské štáty sa môžu uchádzať o granty (338 miliárd EUR) a úvery (385,8 miliardy EUR) z tohto mechanizmu, len ak vypracovali plán obnovy a odolnosti, v ktorom stanovili investície a politické reformy prispievajúce k dosiahnutiu šiestich cieľov politík v rámci tohto mechanizmu vrátane cieľa zelenej transformácie. V každom národnom pláne sa musí minimálne 37 % celkových pridelených prostriedkov vynaložiť na opatrenia prispievajúce k cieľom v oblasti klímy (napríklad iniciatívy na podporu energetickej účinnosti, udržateľnej mobility a obnoviteľných zdrojov energie). Každé opatrenie musí byť zároveň v súlade so zásadou „nespôsobovať významnú škodu“. Plány všetkých 27 členských štátov prekračujú referenčnú hodnotu 37 %, pričom niektoré členské štáty vynakladajú na financovanie politiky v oblasti klímy viac než polovicu pridelených prostriedkov. Členské štáty spoločne vyčlenili na ciele v oblasti klímy 40 % svojich pridelených prostriedkov (203 miliárd EUR)</w:t>
      </w:r>
      <w:r w:rsidRPr="008854EA">
        <w:rPr>
          <w:rFonts w:eastAsia="Times New Roman" w:cs="Times New Roman"/>
          <w:noProof/>
          <w:color w:val="333333"/>
          <w:vertAlign w:val="superscript"/>
          <w:lang w:val="sk-SK"/>
        </w:rPr>
        <w:footnoteReference w:id="137"/>
      </w:r>
      <w:r w:rsidRPr="008854EA">
        <w:rPr>
          <w:noProof/>
          <w:color w:val="333333"/>
          <w:lang w:val="sk-SK"/>
        </w:rPr>
        <w:t>.</w:t>
      </w:r>
    </w:p>
    <w:p w14:paraId="5C8030F7" w14:textId="748535C4" w:rsidR="00E31BEE" w:rsidRPr="008854EA" w:rsidRDefault="00DC110D" w:rsidP="00E31BEE">
      <w:pPr>
        <w:pStyle w:val="Body"/>
        <w:rPr>
          <w:noProof/>
          <w:lang w:val="sk-SK"/>
        </w:rPr>
      </w:pPr>
      <w:r w:rsidRPr="008854EA">
        <w:rPr>
          <w:noProof/>
          <w:lang w:val="sk-SK"/>
        </w:rPr>
        <w:t xml:space="preserve">Okrem toho v priebehu roka 2023 členské štáty dopĺňali (alebo ešte dopĺňajú) svoje plány obnovy a odolnosti o novú kapitolu </w:t>
      </w:r>
      <w:r w:rsidRPr="008854EA">
        <w:rPr>
          <w:i/>
          <w:noProof/>
          <w:lang w:val="sk-SK"/>
        </w:rPr>
        <w:t>REPowerEU</w:t>
      </w:r>
      <w:r w:rsidRPr="008854EA">
        <w:rPr>
          <w:noProof/>
          <w:lang w:val="sk-SK"/>
        </w:rPr>
        <w:t xml:space="preserve">, ktorá je spoločnou reakciou na energetickú krízu </w:t>
      </w:r>
      <w:r w:rsidRPr="008854EA">
        <w:rPr>
          <w:noProof/>
          <w:color w:val="333333"/>
          <w:lang w:val="sk-SK"/>
        </w:rPr>
        <w:t>spôsobenú inváziou Ruska na Ukrajinu</w:t>
      </w:r>
      <w:r w:rsidRPr="008854EA">
        <w:rPr>
          <w:noProof/>
          <w:lang w:val="sk-SK"/>
        </w:rPr>
        <w:t xml:space="preserve">. Nové alebo rozšírené reformy a investície v členských štátoch, ktoré pomôžu postupne odstrániť závislosť EÚ od ruských fosílnych palív a urýchliť prechod na čistú energiu, budú podporené dodatočnou finančnou kapacitou (20 miliárd EUR v rámci nových grantov, prevodov z iných fondov a využitia zostávajúcich úverov NextGenerationEU). </w:t>
      </w:r>
    </w:p>
    <w:p w14:paraId="2E4B11B1" w14:textId="12180369" w:rsidR="00880B36" w:rsidRPr="008854EA" w:rsidRDefault="00FF7C5B" w:rsidP="00880B36">
      <w:pPr>
        <w:spacing w:after="0" w:line="240" w:lineRule="auto"/>
        <w:jc w:val="both"/>
        <w:textAlignment w:val="baseline"/>
        <w:rPr>
          <w:rFonts w:ascii="Times New Roman" w:eastAsia="Times New Roman" w:hAnsi="Times New Roman" w:cs="Times New Roman"/>
          <w:noProof/>
          <w:color w:val="000000" w:themeColor="text1"/>
          <w:sz w:val="24"/>
          <w:lang w:val="sk-SK"/>
        </w:rPr>
      </w:pPr>
      <w:r w:rsidRPr="008854EA">
        <w:rPr>
          <w:rFonts w:ascii="Times New Roman" w:hAnsi="Times New Roman"/>
          <w:noProof/>
          <w:color w:val="000000" w:themeColor="text1"/>
          <w:sz w:val="24"/>
          <w:lang w:val="sk-SK"/>
        </w:rPr>
        <w:t xml:space="preserve">Zároveň sa zvyšuje zameranie rozpočtu EÚ na </w:t>
      </w:r>
      <w:r w:rsidRPr="008854EA">
        <w:rPr>
          <w:rFonts w:ascii="Times New Roman" w:hAnsi="Times New Roman"/>
          <w:i/>
          <w:noProof/>
          <w:color w:val="000000" w:themeColor="text1"/>
          <w:sz w:val="24"/>
          <w:lang w:val="sk-SK"/>
        </w:rPr>
        <w:t xml:space="preserve">výsledky </w:t>
      </w:r>
      <w:r w:rsidRPr="008854EA">
        <w:rPr>
          <w:rFonts w:ascii="Times New Roman" w:hAnsi="Times New Roman"/>
          <w:noProof/>
          <w:color w:val="000000" w:themeColor="text1"/>
          <w:sz w:val="24"/>
          <w:lang w:val="sk-SK"/>
        </w:rPr>
        <w:t>opatrení, ktoré sú z neho financované. Napríklad do roku 2022: </w:t>
      </w:r>
    </w:p>
    <w:p w14:paraId="10F26C2D" w14:textId="6A1C9ECC" w:rsidR="00880B36" w:rsidRPr="008854EA" w:rsidRDefault="00880B36"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lang w:val="sk-SK"/>
        </w:rPr>
      </w:pPr>
      <w:r w:rsidRPr="008854EA">
        <w:rPr>
          <w:rFonts w:ascii="Times New Roman" w:hAnsi="Times New Roman"/>
          <w:noProof/>
          <w:color w:val="000000" w:themeColor="text1"/>
          <w:sz w:val="24"/>
          <w:lang w:val="sk-SK"/>
        </w:rPr>
        <w:t>459 362 domácností zlepšilo prostredníctvom regionálnych fondov svoju energetickú klasifikáciu,  </w:t>
      </w:r>
    </w:p>
    <w:p w14:paraId="3F2CA8A7" w14:textId="5398A748" w:rsidR="00880B36" w:rsidRPr="008854EA" w:rsidRDefault="00FD4DD4"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lang w:val="sk-SK"/>
        </w:rPr>
      </w:pPr>
      <w:r w:rsidRPr="008854EA">
        <w:rPr>
          <w:rFonts w:ascii="Times New Roman" w:hAnsi="Times New Roman"/>
          <w:noProof/>
          <w:color w:val="000000" w:themeColor="text1"/>
          <w:sz w:val="24"/>
          <w:lang w:val="sk-SK"/>
        </w:rPr>
        <w:t>ročná spotreba energie sa vďaka Mechanizmu na podporu obnovy a odolnosti znížila o takmer 14,2 terawattov,  </w:t>
      </w:r>
    </w:p>
    <w:p w14:paraId="2F4EF240" w14:textId="5C1AC666" w:rsidR="00880B36" w:rsidRPr="008854EA" w:rsidRDefault="00880B36"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lang w:val="sk-SK"/>
        </w:rPr>
      </w:pPr>
      <w:r w:rsidRPr="008854EA">
        <w:rPr>
          <w:rFonts w:ascii="Times New Roman" w:hAnsi="Times New Roman"/>
          <w:noProof/>
          <w:color w:val="000000" w:themeColor="text1"/>
          <w:sz w:val="24"/>
          <w:lang w:val="sk-SK"/>
        </w:rPr>
        <w:t xml:space="preserve">z regionálnych fondov bolo financovaných 3 640 gigawattov dodatočnej energie z obnoviteľných zdrojov. </w:t>
      </w:r>
    </w:p>
    <w:p w14:paraId="3CE35836" w14:textId="77777777" w:rsidR="00E31BEE" w:rsidRPr="008854EA" w:rsidRDefault="00E31BEE" w:rsidP="00E31BEE">
      <w:pPr>
        <w:pStyle w:val="Heading3"/>
        <w:rPr>
          <w:rFonts w:ascii="Times New Roman" w:hAnsi="Times New Roman" w:cs="Times New Roman"/>
          <w:noProof/>
          <w:sz w:val="24"/>
          <w:lang w:val="sk-SK"/>
        </w:rPr>
      </w:pPr>
      <w:r w:rsidRPr="008854EA">
        <w:rPr>
          <w:rFonts w:ascii="Times New Roman" w:hAnsi="Times New Roman"/>
          <w:noProof/>
          <w:sz w:val="24"/>
          <w:lang w:val="sk-SK"/>
        </w:rPr>
        <w:t>Program InvestEU</w:t>
      </w:r>
    </w:p>
    <w:p w14:paraId="78BBD958" w14:textId="2B53618D" w:rsidR="00E31BEE" w:rsidRPr="008854EA" w:rsidRDefault="00E31BEE" w:rsidP="00E31BEE">
      <w:pPr>
        <w:pStyle w:val="Body"/>
        <w:rPr>
          <w:noProof/>
          <w:lang w:val="sk-SK"/>
        </w:rPr>
      </w:pPr>
      <w:r w:rsidRPr="008854EA">
        <w:rPr>
          <w:noProof/>
          <w:lang w:val="sk-SK"/>
        </w:rPr>
        <w:t xml:space="preserve">K dosiahnutiu cieľov EÚ v oblasti klímy by sa malo prispieť aspoň 30 % z cieľovej sumy programu InvestEU vo výške 372 miliárd EUR na mobilizáciu dodatočných investícií v rokoch 2021 – 2027. V rámci segmentu udržateľnej infraštruktúry sa 60 % finančných prostriedkov musí vynaložiť na klímu a životné prostredie. Investície presahujúce 10 miliónov EUR podliehajú overovaniu udržateľnosti (identifikovanie, posudzovanie a zmierňovanie klimatických, environmentálnych alebo sociálnych rizík). Všetky investície podporené z programu InvestEU sa budú sledovať z hľadiska klímy a životného prostredia na základe metodiky vydanej Komisiou. Okrem EIB bolo vybraných 18 inštitúcií, s ktorými sa začali rokovania o dohodách o záruke, aby sa stali implementujúcimi partnermi, pričom v roku 2022 boli podpísané dohody o záruke s Európskou bankou pre obnovu a rozvoj (EBOR), Rozvojovou bankou Rady Európy (CEB), so Severskou investičnou bankou (NIB), s CDP Equity (CDPE) a Caisse des Dépôts (CDC). Plánované finančné produkty pomôžu riešiť zlyhania trhu pri poskytovaní prístupu k financovaniu projektov v širokej škále priorít politík v oblasti dopravy, inteligentnej mobility, čistej energie, digitálnej pripojiteľnosti, ako aj energetickej účinnosti, dekarbonizácie priemyslu, obnoviteľných zdrojov energie, obehového hospodárstva a ďalších oblastiach. </w:t>
      </w:r>
    </w:p>
    <w:p w14:paraId="598DFAFB" w14:textId="77777777" w:rsidR="00E31BEE" w:rsidRPr="008854EA" w:rsidRDefault="00E31BEE" w:rsidP="00E31BEE">
      <w:pPr>
        <w:pStyle w:val="Heading3"/>
        <w:rPr>
          <w:rFonts w:ascii="Times New Roman" w:hAnsi="Times New Roman" w:cs="Times New Roman"/>
          <w:noProof/>
          <w:sz w:val="24"/>
          <w:lang w:val="sk-SK"/>
        </w:rPr>
      </w:pPr>
      <w:r w:rsidRPr="008854EA">
        <w:rPr>
          <w:rFonts w:ascii="Times New Roman" w:hAnsi="Times New Roman"/>
          <w:noProof/>
          <w:sz w:val="24"/>
          <w:lang w:val="sk-SK"/>
        </w:rPr>
        <w:t xml:space="preserve">Európsky fond regionálneho rozvoja a Kohézny fond </w:t>
      </w:r>
    </w:p>
    <w:p w14:paraId="72E0BB23" w14:textId="2D413A29" w:rsidR="00333CFA" w:rsidRPr="008854EA" w:rsidRDefault="00E31BEE" w:rsidP="00E31BEE">
      <w:pPr>
        <w:pStyle w:val="Body"/>
        <w:rPr>
          <w:noProof/>
          <w:lang w:val="sk-SK"/>
        </w:rPr>
      </w:pPr>
      <w:r w:rsidRPr="008854EA">
        <w:rPr>
          <w:noProof/>
          <w:lang w:val="sk-SK"/>
        </w:rPr>
        <w:t xml:space="preserve">Plánované prostriedky pridelené členským štátom v rámci programov politiky súdržnosti na roky 2021 – 2027 presahujú cieľové hodnoty výdavkov na klímu v rámci Európskeho fondu regionálneho rozvoja (EFRR) (30,0 %) aj Kohézneho fondu (KF) (37,0 %). Očakáva sa, že na financovanie opatrení na zmiernenie zmeny klímy a adaptáciu na ňu bude určených 92 miliárd EUR (36,3 %) z 253,3 miliardy EUR z EFRR a KF financovaných EÚ v rámci súčasného viacročného finančného rámca. Okrem toho sa očakáva, že na financovanie opatrení v oblasti klímy bude určených približne 24,9 % z 10,2 miliardy EUR z fondov Interreg financovaných EÚ. Graf 24 znázorňuje finančné prostriedky pridelené na oblasti politiky týkajúce sa klímy ako podiel na celkových výdavkoch na klímu v rámci EFRR, KF a programu Interreg. </w:t>
      </w:r>
    </w:p>
    <w:p w14:paraId="3A610246" w14:textId="77777777" w:rsidR="00333CFA" w:rsidRPr="008854EA" w:rsidRDefault="00333CFA">
      <w:pPr>
        <w:spacing w:after="160" w:line="259" w:lineRule="auto"/>
        <w:rPr>
          <w:rFonts w:ascii="Times New Roman" w:eastAsia="Arial Unicode MS" w:hAnsi="Times New Roman" w:cs="Arial Unicode MS"/>
          <w:noProof/>
          <w:sz w:val="24"/>
          <w:u w:color="000000"/>
          <w:bdr w:val="nil"/>
          <w:lang w:val="sk-SK"/>
        </w:rPr>
      </w:pPr>
      <w:r w:rsidRPr="008854EA">
        <w:rPr>
          <w:noProof/>
          <w:lang w:val="sk-SK"/>
        </w:rPr>
        <w:br w:type="page"/>
      </w:r>
    </w:p>
    <w:p w14:paraId="2296B72A" w14:textId="30EECD59" w:rsidR="00E31BEE" w:rsidRPr="008854EA" w:rsidRDefault="00E31BEE" w:rsidP="00EC10A0">
      <w:pPr>
        <w:pStyle w:val="BodyText"/>
        <w:pBdr>
          <w:bottom w:val="single" w:sz="4" w:space="1" w:color="auto"/>
        </w:pBdr>
        <w:rPr>
          <w:rFonts w:ascii="Times New Roman" w:eastAsiaTheme="minorEastAsia" w:hAnsi="Times New Roman"/>
          <w:b/>
          <w:noProof/>
          <w:color w:val="44546A" w:themeColor="text2"/>
          <w:lang w:val="sk-SK"/>
        </w:rPr>
      </w:pPr>
      <w:bookmarkStart w:id="23" w:name="_Ref146787640"/>
      <w:r w:rsidRPr="008854EA">
        <w:rPr>
          <w:rFonts w:ascii="Times New Roman" w:hAnsi="Times New Roman"/>
          <w:b/>
          <w:noProof/>
          <w:color w:val="44546A" w:themeColor="text2"/>
          <w:lang w:val="sk-SK"/>
        </w:rPr>
        <w:t>Graf 24</w:t>
      </w:r>
      <w:bookmarkEnd w:id="23"/>
      <w:r w:rsidRPr="008854EA">
        <w:rPr>
          <w:noProof/>
          <w:lang w:val="sk-SK"/>
        </w:rPr>
        <w:t>:</w:t>
      </w:r>
      <w:r w:rsidRPr="008854EA">
        <w:rPr>
          <w:rFonts w:ascii="Times New Roman" w:hAnsi="Times New Roman"/>
          <w:b/>
          <w:noProof/>
          <w:color w:val="44546A" w:themeColor="text2"/>
          <w:lang w:val="sk-SK"/>
        </w:rPr>
        <w:t xml:space="preserve"> Sumy na ciele EÚ v oblasti klímy z EFRR, KF a programu Interreg podľa oblastí politiky</w:t>
      </w:r>
      <w:r w:rsidRPr="008854EA">
        <w:rPr>
          <w:rFonts w:ascii="Times New Roman" w:eastAsiaTheme="minorEastAsia" w:hAnsi="Times New Roman"/>
          <w:b/>
          <w:noProof/>
          <w:color w:val="44546A" w:themeColor="text2"/>
          <w:vertAlign w:val="superscript"/>
          <w:lang w:val="sk-SK"/>
        </w:rPr>
        <w:footnoteReference w:id="138"/>
      </w:r>
    </w:p>
    <w:p w14:paraId="0AFD83C7" w14:textId="2F68E1C1" w:rsidR="00E31BEE" w:rsidRPr="008854EA" w:rsidRDefault="003E3422" w:rsidP="00EC10A0">
      <w:pPr>
        <w:spacing w:after="120"/>
        <w:jc w:val="center"/>
        <w:rPr>
          <w:noProof/>
          <w:lang w:val="sk-SK"/>
        </w:rPr>
      </w:pPr>
      <w:r w:rsidRPr="008854EA">
        <w:rPr>
          <w:noProof/>
          <w:lang w:val="en-GB" w:eastAsia="en-GB"/>
        </w:rPr>
        <w:drawing>
          <wp:inline distT="0" distB="0" distL="0" distR="0" wp14:anchorId="77987B64" wp14:editId="4FB67F06">
            <wp:extent cx="5465533" cy="37093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214" cy="3727466"/>
                    </a:xfrm>
                    <a:prstGeom prst="rect">
                      <a:avLst/>
                    </a:prstGeom>
                    <a:noFill/>
                    <a:ln>
                      <a:noFill/>
                    </a:ln>
                  </pic:spPr>
                </pic:pic>
              </a:graphicData>
            </a:graphic>
          </wp:inline>
        </w:drawing>
      </w:r>
    </w:p>
    <w:p w14:paraId="3AB521A4" w14:textId="77777777" w:rsidR="00E31BEE" w:rsidRPr="008854EA" w:rsidRDefault="00E31BEE" w:rsidP="007D3371">
      <w:pPr>
        <w:pBdr>
          <w:top w:val="single" w:sz="4" w:space="1" w:color="auto"/>
        </w:pBdr>
        <w:jc w:val="both"/>
        <w:rPr>
          <w:rFonts w:cstheme="minorHAnsi"/>
          <w:noProof/>
          <w:lang w:val="sk-SK"/>
        </w:rPr>
      </w:pPr>
    </w:p>
    <w:p w14:paraId="5380610B" w14:textId="59B9D9BD" w:rsidR="6DFE63FC" w:rsidRPr="008854EA" w:rsidRDefault="6DFE63FC" w:rsidP="00C76BFF">
      <w:pPr>
        <w:pStyle w:val="Heading3"/>
        <w:rPr>
          <w:rFonts w:ascii="Times New Roman" w:eastAsia="Times New Roman" w:hAnsi="Times New Roman" w:cs="Times New Roman"/>
          <w:noProof/>
          <w:sz w:val="24"/>
          <w:lang w:val="sk-SK"/>
        </w:rPr>
      </w:pPr>
      <w:r w:rsidRPr="008854EA">
        <w:rPr>
          <w:rFonts w:ascii="Times New Roman" w:hAnsi="Times New Roman"/>
          <w:noProof/>
          <w:sz w:val="24"/>
          <w:lang w:val="sk-SK"/>
        </w:rPr>
        <w:t>Rámcové programy pre výskum a inovácie (Horizont Európa a Horizont 2020)</w:t>
      </w:r>
    </w:p>
    <w:p w14:paraId="7671A8A1" w14:textId="59C7A9CD" w:rsidR="6DFE63FC" w:rsidRPr="008854EA" w:rsidRDefault="00410826" w:rsidP="00C76BFF">
      <w:pPr>
        <w:jc w:val="both"/>
        <w:rPr>
          <w:rFonts w:ascii="Times New Roman" w:eastAsia="Times New Roman" w:hAnsi="Times New Roman" w:cs="Times New Roman"/>
          <w:noProof/>
          <w:sz w:val="24"/>
          <w:lang w:val="sk-SK"/>
        </w:rPr>
      </w:pPr>
      <w:r w:rsidRPr="008854EA">
        <w:rPr>
          <w:rFonts w:ascii="Times New Roman" w:hAnsi="Times New Roman"/>
          <w:noProof/>
          <w:sz w:val="24"/>
          <w:lang w:val="sk-SK"/>
        </w:rPr>
        <w:t>Investície do výskumu a inovácií sú nevyhnutné na vytváranie poznatkov a riešení v záujme prechodu na klimaticky neutrálne a odolné hospodárstvo. Celkovo prispeje program Horizont Európa na ciele v oblasti klímy najmenej 35 % zo svojho rozpočtu vo výške 95,5 miliardy EUR. Do konca roka 2022 bolo na výskum a inovácie podporujúce opatrenia v oblasti klímy vyčlenených viac ako 8,5 miliardy EUR</w:t>
      </w:r>
      <w:r w:rsidRPr="008854EA">
        <w:rPr>
          <w:rStyle w:val="FootnoteReference"/>
          <w:rFonts w:ascii="Times New Roman" w:hAnsi="Times New Roman" w:cs="Times New Roman"/>
          <w:noProof/>
          <w:sz w:val="24"/>
          <w:lang w:val="sk-SK"/>
        </w:rPr>
        <w:footnoteReference w:id="139"/>
      </w:r>
      <w:r w:rsidRPr="008854EA">
        <w:rPr>
          <w:rFonts w:ascii="Times New Roman" w:hAnsi="Times New Roman"/>
          <w:noProof/>
          <w:sz w:val="24"/>
          <w:lang w:val="sk-SK"/>
        </w:rPr>
        <w:t xml:space="preserve">. Široké portfólio ambicióznych európskych súkromno-verejných partnerstiev mobilizuje zdroje a vyvíja riešenia potrebné na plnenie klimatického programu EÚ naprieč kľúčovými hospodárskymi odvetviami, ako je oceliarstvo, spracovateľský priemysel, vodík, batérie, biohospodárstvo, letecká, cestná a vodná doprava, budovy, vodohospodárstvo a ďalšie. </w:t>
      </w:r>
    </w:p>
    <w:p w14:paraId="51D85AD5" w14:textId="27EB6E6C" w:rsidR="00E31BEE" w:rsidRPr="008854EA" w:rsidRDefault="00E31BEE" w:rsidP="00E31BEE">
      <w:pPr>
        <w:pStyle w:val="Heading3"/>
        <w:rPr>
          <w:rFonts w:ascii="Times New Roman" w:hAnsi="Times New Roman" w:cs="Times New Roman"/>
          <w:noProof/>
          <w:sz w:val="24"/>
          <w:lang w:val="sk-SK"/>
        </w:rPr>
      </w:pPr>
      <w:r w:rsidRPr="008854EA">
        <w:rPr>
          <w:rFonts w:ascii="Times New Roman" w:hAnsi="Times New Roman"/>
          <w:noProof/>
          <w:sz w:val="24"/>
          <w:lang w:val="sk-SK"/>
        </w:rPr>
        <w:t xml:space="preserve">Fond na spravodlivú transformáciu </w:t>
      </w:r>
    </w:p>
    <w:p w14:paraId="51CCA0E1" w14:textId="77777777" w:rsidR="009215E5" w:rsidRPr="008854EA" w:rsidRDefault="00E31BEE" w:rsidP="009215E5">
      <w:pPr>
        <w:pStyle w:val="Body"/>
        <w:spacing w:after="0"/>
        <w:rPr>
          <w:rFonts w:eastAsiaTheme="minorEastAsia"/>
          <w:noProof/>
          <w:lang w:val="sk-SK"/>
        </w:rPr>
      </w:pPr>
      <w:r w:rsidRPr="008854EA">
        <w:rPr>
          <w:noProof/>
          <w:lang w:val="sk-SK"/>
        </w:rPr>
        <w:t>V rámci prijatých programov politiky súdržnosti súvisiacich s Fondom na spravodlivú transformáciu (FST) je k dispozícii 18,5 miliardy EUR z investícií EÚ na pomoc ľuďom a miestam, na ktoré prechod ku klimatickej neutralite dolieha najviac. Popri FST sa v rámci ďalších dvoch pilierov Mechanizmu spravodlivej transformácie zmobilizuje 28 miliárd EUR z verejných a zo súkromných investícií na riešenie sociálnych a hospodárskych dôsledkov transformácie. Komisia schválila 67 plánov spravodlivej transformácie územia, ktoré sa vzťahujú na celkovo 93 území vrátane uhoľných regiónov a regiónov náročných na uhlík. Takmer polovica investícií z FST bude podporovať diverzifikáciu miestnych hospodárstiev, aby neboli závislé od jedného znečisťujúceho odvetvia, a pomáhať ľuďom získať nové zručnosti. Výber prvých projektov FST sa už realizuje v Estónsku a Holandsku.</w:t>
      </w:r>
    </w:p>
    <w:p w14:paraId="42F010A1" w14:textId="6BF35120" w:rsidR="00E31BEE" w:rsidRPr="008854EA" w:rsidRDefault="00E31BEE" w:rsidP="009215E5">
      <w:pPr>
        <w:pStyle w:val="Body"/>
        <w:rPr>
          <w:b/>
          <w:noProof/>
          <w:lang w:val="sk-SK"/>
        </w:rPr>
      </w:pPr>
      <w:r w:rsidRPr="008854EA">
        <w:rPr>
          <w:b/>
          <w:noProof/>
          <w:lang w:val="sk-SK"/>
        </w:rPr>
        <w:t xml:space="preserve">Európsky sociálny fond (ESF+) </w:t>
      </w:r>
    </w:p>
    <w:p w14:paraId="0EBABD98" w14:textId="35880B3C" w:rsidR="00E31BEE" w:rsidRPr="008854EA" w:rsidRDefault="00E31BEE" w:rsidP="00E31BEE">
      <w:pPr>
        <w:pStyle w:val="Body"/>
        <w:rPr>
          <w:noProof/>
          <w:lang w:val="sk-SK"/>
        </w:rPr>
      </w:pPr>
      <w:r w:rsidRPr="008854EA">
        <w:rPr>
          <w:noProof/>
          <w:lang w:val="sk-SK"/>
        </w:rPr>
        <w:t>Na obdobie 2021 – 2027 členské štáty naprogramovali takmer 6 miliárd EUR alebo 6 % celkových pridelených prostriedkov ESF+</w:t>
      </w:r>
      <w:r w:rsidRPr="008854EA">
        <w:rPr>
          <w:rStyle w:val="FootnoteReference"/>
          <w:rFonts w:ascii="Calibri" w:eastAsia="Calibri" w:hAnsi="Calibri" w:cs="Calibri"/>
          <w:noProof/>
          <w:sz w:val="22"/>
          <w:lang w:val="sk-SK"/>
        </w:rPr>
        <w:footnoteReference w:id="140"/>
      </w:r>
      <w:r w:rsidRPr="008854EA">
        <w:rPr>
          <w:noProof/>
          <w:lang w:val="sk-SK"/>
        </w:rPr>
        <w:t xml:space="preserve"> na zelené zručnosti a zelené pracovné miesta, čo je podstatne viac než v predchádzajúcom programovom období. Najvyššie podiely na zelené pracovné miesta a zručnosti vyčlenili Fínsko, Taliansko, Belgicko, Luxembursko a Dánsko (od 12 % do 31 %), zatiaľ čo v niekoľkých jednotlivých programoch z Belgicka, Dánska, Talianska, Francúzska, Nemecka, Portugalska a zo Španielska je tento podiel 20 % a viac. Pokiaľ ide o skutočné investície, tri jednotlivé programy z Talianska, Portugalska a Grécka spoločne tvoria príspevok na úrovni približne 30 % celkových výdavkov EÚ v oblasti klímy na podporu zelených pracovných miest a zručností. Celkovo bola tretina výdavkov na klímu vyčlenená na prístup k zamestnaniu a aktivačné opatrenia. </w:t>
      </w:r>
    </w:p>
    <w:p w14:paraId="32933EB9" w14:textId="74FB6A30" w:rsidR="00E31BEE" w:rsidRPr="008854EA" w:rsidRDefault="00E31BEE" w:rsidP="4B7151A9">
      <w:pPr>
        <w:pStyle w:val="Body"/>
        <w:rPr>
          <w:b/>
          <w:noProof/>
          <w:lang w:val="sk-SK"/>
        </w:rPr>
      </w:pPr>
      <w:r w:rsidRPr="008854EA">
        <w:rPr>
          <w:b/>
          <w:noProof/>
          <w:lang w:val="sk-SK"/>
        </w:rPr>
        <w:t xml:space="preserve">Nástroj technickej podpory </w:t>
      </w:r>
    </w:p>
    <w:p w14:paraId="2D08202D" w14:textId="6B913C8D" w:rsidR="00E31BEE" w:rsidRPr="008854EA" w:rsidRDefault="00E31BEE" w:rsidP="00E31BEE">
      <w:pPr>
        <w:pStyle w:val="Body"/>
        <w:rPr>
          <w:noProof/>
          <w:lang w:val="sk-SK"/>
        </w:rPr>
      </w:pPr>
      <w:r w:rsidRPr="008854EA">
        <w:rPr>
          <w:noProof/>
          <w:lang w:val="sk-SK"/>
        </w:rPr>
        <w:t xml:space="preserve">Tento rok sa z nástroja technickej podpory financuje viacero projektov zameraných na adaptáciu, zásadu „nespôsobovať významnú škodu“, rýchlejšie udeľovanie povolení, priemyselné ekosystémy a zručnosti, obnovu budov, ale aj budovanie kapacít. Na pomoc členským štátom pri implementácii balíka „Fit for 55“ bola vypracovaná hlavná iniciatíva zameraná na prípravu sociálneho klimatického fondu a nového ETS. </w:t>
      </w:r>
    </w:p>
    <w:p w14:paraId="2BC71B6A" w14:textId="77777777" w:rsidR="00E31BEE" w:rsidRPr="008854EA" w:rsidRDefault="00E31BEE" w:rsidP="00E31BEE">
      <w:pPr>
        <w:pStyle w:val="Heading3"/>
        <w:rPr>
          <w:rFonts w:ascii="Times New Roman" w:hAnsi="Times New Roman" w:cs="Times New Roman"/>
          <w:noProof/>
          <w:sz w:val="24"/>
          <w:lang w:val="sk-SK"/>
        </w:rPr>
      </w:pPr>
      <w:r w:rsidRPr="008854EA">
        <w:rPr>
          <w:rFonts w:ascii="Times New Roman" w:hAnsi="Times New Roman"/>
          <w:noProof/>
          <w:sz w:val="24"/>
          <w:lang w:val="sk-SK"/>
        </w:rPr>
        <w:t xml:space="preserve">Program pre životné prostredie a ochranu klímy (LIFE) </w:t>
      </w:r>
    </w:p>
    <w:p w14:paraId="10738CC6" w14:textId="63778B18" w:rsidR="00E31BEE" w:rsidRPr="008854EA" w:rsidRDefault="00E31BEE" w:rsidP="00E31BEE">
      <w:pPr>
        <w:pStyle w:val="Body"/>
        <w:rPr>
          <w:noProof/>
          <w:lang w:val="sk-SK"/>
        </w:rPr>
      </w:pPr>
      <w:r w:rsidRPr="008854EA">
        <w:rPr>
          <w:noProof/>
          <w:lang w:val="sk-SK"/>
        </w:rPr>
        <w:t xml:space="preserve">Program LIFE je finančný nástroj EÚ pre životné prostredie a klímu. V roku 2022 sa rozdelilo viac než 600 miliónov EUR medzi 200 projektov na podporu Zelenej dohody vrátane projektov na vývoj inovatívnych riešení a výmenu najlepších postupov s cieľom znižovať emisie skleníkových plynov, zvyšovať odolnosť proti zmene klímy a prispievať k prechodu na čistú energiu. V roku 2023 bude viac než 600 miliónov EUR vyčlenených na projekty na podporu životného prostredia, opatrení v oblasti klímy a prechodu na čistú energiu vrátane príspevku k cieľom plánu REPowerEU a Priemyselnému plánu Zelenej dohody. V minulom roku sa k Islandu a Ukrajine v zozname tretích krajín zúčastnených na programe LIFE pridali Moldavsko a Severné Macedónsko. </w:t>
      </w:r>
    </w:p>
    <w:p w14:paraId="3BEC448C" w14:textId="77777777" w:rsidR="00E31BEE" w:rsidRPr="008854EA" w:rsidRDefault="00E31BEE" w:rsidP="00E31BEE">
      <w:pPr>
        <w:rPr>
          <w:noProof/>
          <w:lang w:val="sk-SK"/>
        </w:rPr>
      </w:pPr>
    </w:p>
    <w:p w14:paraId="720E86AC" w14:textId="77777777" w:rsidR="00E31BEE" w:rsidRPr="008854EA" w:rsidRDefault="00E31BEE" w:rsidP="00E31BEE">
      <w:pPr>
        <w:jc w:val="both"/>
        <w:rPr>
          <w:noProof/>
          <w:lang w:val="sk-SK"/>
        </w:rPr>
      </w:pPr>
    </w:p>
    <w:p w14:paraId="32517031" w14:textId="77777777" w:rsidR="00E31BEE" w:rsidRPr="008854EA" w:rsidRDefault="00E31BEE" w:rsidP="00E31BEE">
      <w:pPr>
        <w:ind w:firstLine="284"/>
        <w:jc w:val="both"/>
        <w:rPr>
          <w:noProof/>
          <w:highlight w:val="yellow"/>
          <w:lang w:val="sk-SK"/>
        </w:rPr>
      </w:pPr>
    </w:p>
    <w:p w14:paraId="7949DD71" w14:textId="77777777" w:rsidR="00E31BEE" w:rsidRPr="008854EA" w:rsidRDefault="00E31BEE" w:rsidP="00E31BEE">
      <w:pPr>
        <w:rPr>
          <w:noProof/>
          <w:lang w:val="sk-SK"/>
        </w:rPr>
      </w:pPr>
      <w:r w:rsidRPr="008854EA">
        <w:rPr>
          <w:noProof/>
          <w:lang w:val="sk-SK"/>
        </w:rPr>
        <w:br w:type="page"/>
      </w:r>
    </w:p>
    <w:p w14:paraId="38312BEA" w14:textId="10B3FD5F" w:rsidR="00E31BEE" w:rsidRPr="008854EA" w:rsidRDefault="00E31BEE" w:rsidP="00E31BEE">
      <w:pPr>
        <w:pStyle w:val="Heading1"/>
        <w:rPr>
          <w:rFonts w:ascii="Times New Roman" w:eastAsia="Times New Roman" w:hAnsi="Times New Roman" w:cs="Times New Roman"/>
          <w:noProof/>
          <w:sz w:val="31"/>
          <w:lang w:val="sk-SK"/>
        </w:rPr>
      </w:pPr>
      <w:r w:rsidRPr="008854EA">
        <w:rPr>
          <w:rFonts w:ascii="Times New Roman" w:hAnsi="Times New Roman"/>
          <w:noProof/>
          <w:sz w:val="31"/>
          <w:lang w:val="sk-SK"/>
        </w:rPr>
        <w:t>MEDZINÁRODNÉ OPATRENIA V OBLASTI KLÍMY</w:t>
      </w:r>
      <w:r w:rsidRPr="008854EA">
        <w:rPr>
          <w:rFonts w:ascii="Times New Roman" w:hAnsi="Times New Roman"/>
          <w:strike/>
          <w:noProof/>
          <w:color w:val="D13438"/>
          <w:sz w:val="31"/>
          <w:lang w:val="sk-SK"/>
        </w:rPr>
        <w:t xml:space="preserve"> </w:t>
      </w:r>
    </w:p>
    <w:p w14:paraId="0F652260" w14:textId="50DF17AB" w:rsidR="00E31BEE" w:rsidRPr="008854EA" w:rsidRDefault="24716129" w:rsidP="00B55645">
      <w:pPr>
        <w:pStyle w:val="Heading2"/>
        <w:ind w:left="576"/>
        <w:rPr>
          <w:rFonts w:ascii="Times New Roman" w:eastAsia="Times New Roman" w:hAnsi="Times New Roman" w:cs="Times New Roman"/>
          <w:noProof/>
          <w:lang w:val="sk-SK"/>
        </w:rPr>
      </w:pPr>
      <w:r w:rsidRPr="008854EA">
        <w:rPr>
          <w:rFonts w:ascii="Times New Roman" w:hAnsi="Times New Roman"/>
          <w:noProof/>
          <w:lang w:val="sk-SK"/>
        </w:rPr>
        <w:t xml:space="preserve">Prehľad a vývoj </w:t>
      </w:r>
    </w:p>
    <w:p w14:paraId="3B4EEE04" w14:textId="1872F66F" w:rsidR="00E31BEE" w:rsidRPr="008854EA" w:rsidRDefault="00E31BEE" w:rsidP="00E31BEE">
      <w:pPr>
        <w:pStyle w:val="Body"/>
        <w:rPr>
          <w:rFonts w:eastAsia="Times New Roman" w:cs="Times New Roman"/>
          <w:noProof/>
          <w:color w:val="000000" w:themeColor="text1"/>
          <w:lang w:val="sk-SK"/>
        </w:rPr>
      </w:pPr>
      <w:r w:rsidRPr="008854EA">
        <w:rPr>
          <w:noProof/>
          <w:color w:val="000000" w:themeColor="text1"/>
          <w:lang w:val="sk-SK"/>
        </w:rPr>
        <w:t>V uplynulom roku sa uskutočnili produktívne medzinárodné výmeny vrátane zasadnutia na úrovni ministrov zameraného na opatrenia v oblasti klímy, Fóra hlavných ekonomík, dialógu o otázkach klímy v Petersbergu, Afrického klimatického samitu, kartagenského dialógu a 27. Konferencie zmluvných strán Dohovoru o biologickej diverzite v egyptskom Šarm aš-Šajchu.</w:t>
      </w:r>
    </w:p>
    <w:p w14:paraId="489BD839" w14:textId="32F29BA1" w:rsidR="24716129" w:rsidRPr="008854EA" w:rsidRDefault="24716129" w:rsidP="3034C183">
      <w:pPr>
        <w:pStyle w:val="Body"/>
        <w:rPr>
          <w:rFonts w:eastAsia="Times New Roman" w:cs="Times New Roman"/>
          <w:noProof/>
          <w:color w:val="000000" w:themeColor="text1"/>
          <w:lang w:val="sk-SK"/>
        </w:rPr>
      </w:pPr>
      <w:r w:rsidRPr="008854EA">
        <w:rPr>
          <w:noProof/>
          <w:color w:val="000000" w:themeColor="text1"/>
          <w:lang w:val="sk-SK"/>
        </w:rPr>
        <w:t>EÚ presadzuje ambiciózny pracovný program na zmiernenie zmeny klímy a zameriava sa na poskytovanie konkrétnych riešení na odstránenie rozdielov v ambíciách a implementácii a vytváranie stimulov na stanovenie vysokej úrovne ambícií.</w:t>
      </w:r>
    </w:p>
    <w:p w14:paraId="2DD261A5" w14:textId="38436F41" w:rsidR="24716129" w:rsidRPr="008854EA" w:rsidRDefault="24716129" w:rsidP="3034C183">
      <w:pPr>
        <w:pStyle w:val="Body"/>
        <w:rPr>
          <w:rFonts w:eastAsia="Times New Roman" w:cs="Times New Roman"/>
          <w:noProof/>
          <w:color w:val="000000" w:themeColor="text1"/>
          <w:lang w:val="sk-SK"/>
        </w:rPr>
      </w:pPr>
      <w:r w:rsidRPr="008854EA">
        <w:rPr>
          <w:noProof/>
          <w:color w:val="000000" w:themeColor="text1"/>
          <w:lang w:val="sk-SK"/>
        </w:rPr>
        <w:t>EÚ sa usiluje dosiahnuť ambiciózny výsledok</w:t>
      </w:r>
      <w:r w:rsidRPr="008854EA">
        <w:rPr>
          <w:b/>
          <w:noProof/>
          <w:color w:val="000000" w:themeColor="text1"/>
          <w:lang w:val="sk-SK"/>
        </w:rPr>
        <w:t xml:space="preserve"> prvého globálneho hodnotenia</w:t>
      </w:r>
      <w:r w:rsidRPr="008854EA">
        <w:rPr>
          <w:noProof/>
          <w:color w:val="000000" w:themeColor="text1"/>
          <w:lang w:val="sk-SK"/>
        </w:rPr>
        <w:t>, ktorý by určil smerovanie k naplneniu cieľov Parížskej dohody a k obmedzeniu otepľovania na 1,5 stupňa Celzia, a plniť konkrétne odporúčania na posilnené, okamžité a ambiciózne opatrenia na zmiernenie zmeny klímy do roku 2030 a po ňom. Zámerom EÚ je aj presadiť opatrenia v oblasti adaptácie na zmenu klímy a prostriedky na ich vykonávanie a podporu vrátane zosúladenia globálnych finančných tokov s týmito cieľmi.</w:t>
      </w:r>
    </w:p>
    <w:p w14:paraId="201541B7" w14:textId="214A3F03" w:rsidR="24716129" w:rsidRPr="008854EA" w:rsidRDefault="24716129" w:rsidP="3034C183">
      <w:pPr>
        <w:pStyle w:val="Body"/>
        <w:rPr>
          <w:rFonts w:eastAsia="Times New Roman" w:cs="Times New Roman"/>
          <w:noProof/>
          <w:color w:val="000000" w:themeColor="text1"/>
          <w:lang w:val="sk-SK"/>
        </w:rPr>
      </w:pPr>
      <w:r w:rsidRPr="008854EA">
        <w:rPr>
          <w:noProof/>
          <w:color w:val="000000" w:themeColor="text1"/>
          <w:lang w:val="sk-SK"/>
        </w:rPr>
        <w:t>Pokiaľ ide o </w:t>
      </w:r>
      <w:r w:rsidRPr="008854EA">
        <w:rPr>
          <w:b/>
          <w:noProof/>
          <w:color w:val="000000" w:themeColor="text1"/>
          <w:lang w:val="sk-SK"/>
        </w:rPr>
        <w:t>straty a škody</w:t>
      </w:r>
      <w:r w:rsidRPr="008854EA">
        <w:rPr>
          <w:noProof/>
          <w:color w:val="000000" w:themeColor="text1"/>
          <w:lang w:val="sk-SK"/>
        </w:rPr>
        <w:t>, o ktorých sa rokovalo na 27. Konferencii zmluvných strán Dohovoru o biologickej diverzite v egyptskom Šarm aš-Šajchu, zriadi sa fond na pomoc rozvojovým krajinám, ktoré sú obzvlášť zraniteľné voči nepriaznivým účinkom zmeny klímy, a EÚ sa zapája do práce dočasného výboru s cieľom vypracovať odporúčania na zavedenie nových mechanizmov financovania do praxe.</w:t>
      </w:r>
    </w:p>
    <w:p w14:paraId="29A6821C" w14:textId="0A30B7E2" w:rsidR="24716129" w:rsidRPr="008854EA" w:rsidRDefault="003565EC" w:rsidP="3034C183">
      <w:pPr>
        <w:pStyle w:val="Body"/>
        <w:rPr>
          <w:rFonts w:eastAsia="Times New Roman" w:cs="Times New Roman"/>
          <w:noProof/>
          <w:color w:val="000000" w:themeColor="text1"/>
          <w:lang w:val="sk-SK"/>
        </w:rPr>
      </w:pPr>
      <w:r w:rsidRPr="008854EA">
        <w:rPr>
          <w:noProof/>
          <w:color w:val="000000" w:themeColor="text1"/>
          <w:lang w:val="sk-SK"/>
        </w:rPr>
        <w:t xml:space="preserve">EÚ sa aktívne podieľa na zvyšovaní medzinárodného financovania v oblasti </w:t>
      </w:r>
      <w:r w:rsidRPr="008854EA">
        <w:rPr>
          <w:b/>
          <w:noProof/>
          <w:color w:val="000000" w:themeColor="text1"/>
          <w:lang w:val="sk-SK"/>
        </w:rPr>
        <w:t>adaptácie</w:t>
      </w:r>
      <w:r w:rsidRPr="008854EA">
        <w:rPr>
          <w:noProof/>
          <w:color w:val="000000" w:themeColor="text1"/>
          <w:lang w:val="sk-SK"/>
        </w:rPr>
        <w:t>. EÚ a jej členské štáty sú najväčšími darcami finančných prostriedkov na adaptáciu na zmenu klímy, pričom ročne prispievajú viac ako 12 miliardami EUR na adaptáciu na zmenu klímy alebo na opatrenia kombinujúce adaptáciu na zmenu klímy so zmierňovaním jej</w:t>
      </w:r>
      <w:r w:rsidRPr="008854EA">
        <w:rPr>
          <w:noProof/>
          <w:lang w:val="sk-SK"/>
        </w:rPr>
        <w:t xml:space="preserve"> dôsledkov</w:t>
      </w:r>
      <w:r w:rsidRPr="008854EA">
        <w:rPr>
          <w:noProof/>
          <w:color w:val="000000" w:themeColor="text1"/>
          <w:lang w:val="sk-SK"/>
        </w:rPr>
        <w:t xml:space="preserve">. Na 27. Konferencii zmluvných strán Dohovoru o biologickej diverzite a na nadväzujúcej medzikonferencii 58 v Bonne sa zmluvné strany dohodli na možných štrukturálnych aspektoch globálneho cieľa týkajúceho sa rámca adaptácie na zmenu klímy, ktorý sa má zvážiť a prijať na 28. konferencii. </w:t>
      </w:r>
    </w:p>
    <w:p w14:paraId="1692DEEF" w14:textId="0CA0EBD1" w:rsidR="24716129" w:rsidRPr="008854EA" w:rsidRDefault="24716129" w:rsidP="3034C183">
      <w:pPr>
        <w:pStyle w:val="Body"/>
        <w:rPr>
          <w:rFonts w:eastAsia="Times New Roman" w:cs="Times New Roman"/>
          <w:noProof/>
          <w:color w:val="000000" w:themeColor="text1"/>
          <w:lang w:val="sk-SK"/>
        </w:rPr>
      </w:pPr>
      <w:r w:rsidRPr="008854EA">
        <w:rPr>
          <w:noProof/>
          <w:color w:val="000000" w:themeColor="text1"/>
          <w:lang w:val="sk-SK"/>
        </w:rPr>
        <w:t xml:space="preserve">EÚ sa takisto pripojila k iniciatívam ako Adaptácia na zmenu klímy bez hraníc, Africká iniciatíva pre adaptáciu na zmenu klímy a inováciu, Medzinárodná iniciatíva pre koralové útesy a Transatlantická aliancia pre oceánsky výskum a inováciu a/alebo ich ďalej rozvíjala. </w:t>
      </w:r>
    </w:p>
    <w:p w14:paraId="66A03475" w14:textId="08EB7668" w:rsidR="24716129" w:rsidRPr="008854EA" w:rsidRDefault="24716129" w:rsidP="3034C183">
      <w:pPr>
        <w:pStyle w:val="Body"/>
        <w:rPr>
          <w:rFonts w:eastAsia="Times New Roman" w:cs="Times New Roman"/>
          <w:noProof/>
          <w:color w:val="000000" w:themeColor="text1"/>
          <w:lang w:val="sk-SK"/>
        </w:rPr>
      </w:pPr>
      <w:r w:rsidRPr="008854EA">
        <w:rPr>
          <w:noProof/>
          <w:color w:val="000000" w:themeColor="text1"/>
          <w:lang w:val="sk-SK"/>
        </w:rPr>
        <w:t xml:space="preserve">EÚ pomáha presadzovať </w:t>
      </w:r>
      <w:r w:rsidRPr="008854EA">
        <w:rPr>
          <w:b/>
          <w:noProof/>
          <w:color w:val="000000" w:themeColor="text1"/>
          <w:lang w:val="sk-SK"/>
        </w:rPr>
        <w:t>mnohostranné iniciatívy</w:t>
      </w:r>
      <w:r w:rsidRPr="008854EA">
        <w:rPr>
          <w:noProof/>
          <w:color w:val="000000" w:themeColor="text1"/>
          <w:lang w:val="sk-SK"/>
        </w:rPr>
        <w:t xml:space="preserve"> vrátane oznámenia globálneho záväzku do roku 2030 zdvojnásobiť energetickú účinnosť a strojnásobiť výrobu energie z obnoviteľných zdrojov. Globálny záväzok o metáne z roku 2021</w:t>
      </w:r>
      <w:r w:rsidRPr="008854EA">
        <w:rPr>
          <w:noProof/>
          <w:lang w:val="sk-SK"/>
        </w:rPr>
        <w:t>, ktorý EÚ vedie spoločne s USA, má v </w:t>
      </w:r>
      <w:r w:rsidRPr="008854EA">
        <w:rPr>
          <w:noProof/>
          <w:color w:val="000000" w:themeColor="text1"/>
          <w:lang w:val="sk-SK"/>
        </w:rPr>
        <w:t>súčasnosti viac než 150 účastníkov a špecializovaný sekretariát. EÚ poskytla na podporu tejto práce 10 miliónov EUR a pripravuje rozvojové financovanie implementačných projektov. Na podporu prebiehajúcej práce v tejto oblasti EÚ zároveň spúšťa iniciatívu MARS (systém varovania a reakcie v oblasti metánu).</w:t>
      </w:r>
    </w:p>
    <w:p w14:paraId="5D6BFD06" w14:textId="088E6185" w:rsidR="24716129" w:rsidRPr="008854EA" w:rsidRDefault="6ECAAEAD" w:rsidP="3034C183">
      <w:pPr>
        <w:pStyle w:val="Heading2"/>
        <w:ind w:left="576"/>
        <w:rPr>
          <w:rFonts w:ascii="Times New Roman" w:eastAsia="Times New Roman" w:hAnsi="Times New Roman" w:cs="Times New Roman"/>
          <w:noProof/>
          <w:lang w:val="sk-SK"/>
        </w:rPr>
      </w:pPr>
      <w:r w:rsidRPr="008854EA">
        <w:rPr>
          <w:rFonts w:ascii="Times New Roman" w:hAnsi="Times New Roman"/>
          <w:noProof/>
          <w:lang w:val="sk-SK"/>
        </w:rPr>
        <w:t>Mnohostranná a dvojstranná spolupráca</w:t>
      </w:r>
    </w:p>
    <w:p w14:paraId="53F29341" w14:textId="77777777" w:rsidR="00E31BEE" w:rsidRPr="008854EA" w:rsidRDefault="00E31BEE" w:rsidP="00724B82">
      <w:pPr>
        <w:spacing w:before="120" w:after="120" w:line="240" w:lineRule="auto"/>
        <w:jc w:val="both"/>
        <w:rPr>
          <w:rStyle w:val="normaltextrun"/>
          <w:rFonts w:ascii="Times New Roman" w:eastAsia="Times New Roman" w:hAnsi="Times New Roman" w:cs="Times New Roman"/>
          <w:noProof/>
          <w:color w:val="000000" w:themeColor="text1"/>
          <w:sz w:val="24"/>
          <w:lang w:val="sk-SK"/>
        </w:rPr>
      </w:pPr>
      <w:r w:rsidRPr="008854EA">
        <w:rPr>
          <w:rFonts w:ascii="Times New Roman" w:hAnsi="Times New Roman"/>
          <w:noProof/>
          <w:color w:val="000000" w:themeColor="text1"/>
          <w:sz w:val="24"/>
          <w:lang w:val="sk-SK"/>
        </w:rPr>
        <w:t>Dosiahol sa významný pokrok v rámci mnohostrannej a dvojstrannej spolupráce s partnermi zameranej na snahu presvedčiť a podporiť ďalšie krajiny, najmä veľkých producentov emisií, aby zvýšili svoje ambície v oblasti ochrany klímy. EÚ posilnila svoje úsilie v oblasti zelenej diplomacie zvýšením angažovanosti v tretích krajinách a regiónoch.</w:t>
      </w:r>
      <w:r w:rsidRPr="008854EA">
        <w:rPr>
          <w:rStyle w:val="normaltextrun"/>
          <w:rFonts w:ascii="Times New Roman" w:hAnsi="Times New Roman"/>
          <w:noProof/>
          <w:color w:val="000000" w:themeColor="text1"/>
          <w:sz w:val="24"/>
          <w:lang w:val="sk-SK"/>
        </w:rPr>
        <w:t xml:space="preserve"> </w:t>
      </w:r>
    </w:p>
    <w:p w14:paraId="40ABB7B4" w14:textId="22C88978" w:rsidR="000001ED" w:rsidRPr="008854EA" w:rsidRDefault="000001ED" w:rsidP="00724B82">
      <w:pPr>
        <w:spacing w:before="120" w:after="120" w:line="240" w:lineRule="auto"/>
        <w:jc w:val="both"/>
        <w:rPr>
          <w:rFonts w:ascii="Times New Roman" w:eastAsia="Times New Roman" w:hAnsi="Times New Roman" w:cs="Times New Roman"/>
          <w:noProof/>
          <w:color w:val="000000" w:themeColor="text1"/>
          <w:sz w:val="24"/>
          <w:lang w:val="sk-SK"/>
        </w:rPr>
      </w:pPr>
      <w:r w:rsidRPr="008854EA">
        <w:rPr>
          <w:rStyle w:val="normaltextrun"/>
          <w:rFonts w:ascii="Times New Roman" w:hAnsi="Times New Roman"/>
          <w:noProof/>
          <w:color w:val="000000" w:themeColor="text1"/>
          <w:sz w:val="24"/>
          <w:lang w:val="sk-SK"/>
        </w:rPr>
        <w:t xml:space="preserve">Po prijatí </w:t>
      </w:r>
      <w:r w:rsidRPr="008854EA">
        <w:rPr>
          <w:rStyle w:val="normaltextrun"/>
          <w:rFonts w:ascii="Times New Roman" w:hAnsi="Times New Roman"/>
          <w:b/>
          <w:noProof/>
          <w:color w:val="000000" w:themeColor="text1"/>
          <w:sz w:val="24"/>
          <w:lang w:val="sk-SK"/>
        </w:rPr>
        <w:t>zelenej aliancie</w:t>
      </w:r>
      <w:r w:rsidRPr="008854EA">
        <w:rPr>
          <w:rStyle w:val="normaltextrun"/>
          <w:rFonts w:ascii="Times New Roman" w:hAnsi="Times New Roman"/>
          <w:noProof/>
          <w:color w:val="000000" w:themeColor="text1"/>
          <w:sz w:val="24"/>
          <w:lang w:val="sk-SK"/>
        </w:rPr>
        <w:t xml:space="preserve"> s </w:t>
      </w:r>
      <w:r w:rsidRPr="008854EA">
        <w:rPr>
          <w:rStyle w:val="normaltextrun"/>
          <w:rFonts w:ascii="Times New Roman" w:hAnsi="Times New Roman"/>
          <w:b/>
          <w:noProof/>
          <w:color w:val="000000" w:themeColor="text1"/>
          <w:sz w:val="24"/>
          <w:lang w:val="sk-SK"/>
        </w:rPr>
        <w:t>Japonskom</w:t>
      </w:r>
      <w:r w:rsidRPr="008854EA">
        <w:rPr>
          <w:rStyle w:val="normaltextrun"/>
          <w:rFonts w:ascii="Times New Roman" w:hAnsi="Times New Roman"/>
          <w:noProof/>
          <w:color w:val="000000" w:themeColor="text1"/>
          <w:sz w:val="24"/>
          <w:lang w:val="sk-SK"/>
        </w:rPr>
        <w:t xml:space="preserve"> v roku 2021 EÚ začala ďalšie zelené aliancie a partnerstvá s </w:t>
      </w:r>
      <w:r w:rsidRPr="008854EA">
        <w:rPr>
          <w:rStyle w:val="normaltextrun"/>
          <w:rFonts w:ascii="Times New Roman" w:hAnsi="Times New Roman"/>
          <w:b/>
          <w:noProof/>
          <w:color w:val="000000" w:themeColor="text1"/>
          <w:sz w:val="24"/>
          <w:lang w:val="sk-SK"/>
        </w:rPr>
        <w:t>Marokom</w:t>
      </w:r>
      <w:r w:rsidRPr="008854EA">
        <w:rPr>
          <w:rStyle w:val="normaltextrun"/>
          <w:rFonts w:ascii="Times New Roman" w:hAnsi="Times New Roman"/>
          <w:noProof/>
          <w:color w:val="000000" w:themeColor="text1"/>
          <w:sz w:val="24"/>
          <w:lang w:val="sk-SK"/>
        </w:rPr>
        <w:t xml:space="preserve"> (október 2022), </w:t>
      </w:r>
      <w:r w:rsidRPr="008854EA">
        <w:rPr>
          <w:rStyle w:val="normaltextrun"/>
          <w:rFonts w:ascii="Times New Roman" w:hAnsi="Times New Roman"/>
          <w:b/>
          <w:noProof/>
          <w:color w:val="000000" w:themeColor="text1"/>
          <w:sz w:val="24"/>
          <w:lang w:val="sk-SK"/>
        </w:rPr>
        <w:t>Nórskom</w:t>
      </w:r>
      <w:r w:rsidRPr="008854EA">
        <w:rPr>
          <w:rStyle w:val="normaltextrun"/>
          <w:rFonts w:ascii="Times New Roman" w:hAnsi="Times New Roman"/>
          <w:noProof/>
          <w:color w:val="000000" w:themeColor="text1"/>
          <w:sz w:val="24"/>
          <w:lang w:val="sk-SK"/>
        </w:rPr>
        <w:t xml:space="preserve"> (apríl 2023) a </w:t>
      </w:r>
      <w:r w:rsidRPr="008854EA">
        <w:rPr>
          <w:rStyle w:val="normaltextrun"/>
          <w:rFonts w:ascii="Times New Roman" w:hAnsi="Times New Roman"/>
          <w:b/>
          <w:noProof/>
          <w:color w:val="000000" w:themeColor="text1"/>
          <w:sz w:val="24"/>
          <w:lang w:val="sk-SK"/>
        </w:rPr>
        <w:t>Kórejskou republikou</w:t>
      </w:r>
      <w:r w:rsidRPr="008854EA">
        <w:rPr>
          <w:rStyle w:val="normaltextrun"/>
          <w:rFonts w:ascii="Times New Roman" w:hAnsi="Times New Roman"/>
          <w:noProof/>
          <w:color w:val="000000" w:themeColor="text1"/>
          <w:sz w:val="24"/>
          <w:lang w:val="sk-SK"/>
        </w:rPr>
        <w:t xml:space="preserve"> (máj 2023), dvojstranné rámce pre užší dialóg a spoluprácu zamerané na opatrenia v oblasti klímy, ochranu životného prostredia a prechod na čistú energiu. </w:t>
      </w:r>
    </w:p>
    <w:p w14:paraId="686659E6" w14:textId="46ACB8B9" w:rsidR="00724B82" w:rsidRPr="008854EA" w:rsidRDefault="000001ED" w:rsidP="004E0B98">
      <w:pPr>
        <w:pStyle w:val="Body"/>
        <w:rPr>
          <w:rFonts w:eastAsia="Times New Roman" w:cs="Times New Roman"/>
          <w:noProof/>
          <w:color w:val="000000" w:themeColor="text1"/>
          <w:lang w:val="sk-SK"/>
        </w:rPr>
      </w:pPr>
      <w:r w:rsidRPr="008854EA">
        <w:rPr>
          <w:rStyle w:val="None"/>
          <w:noProof/>
          <w:lang w:val="sk-SK"/>
        </w:rPr>
        <w:t xml:space="preserve">Uskutočňovala sa pravidelná výmena so </w:t>
      </w:r>
      <w:r w:rsidRPr="008854EA">
        <w:rPr>
          <w:rStyle w:val="None"/>
          <w:b/>
          <w:noProof/>
          <w:lang w:val="sk-SK"/>
        </w:rPr>
        <w:t>Spojenými štátmi</w:t>
      </w:r>
      <w:r w:rsidRPr="008854EA">
        <w:rPr>
          <w:rStyle w:val="None"/>
          <w:noProof/>
          <w:lang w:val="sk-SK"/>
        </w:rPr>
        <w:t xml:space="preserve">, a to aj v rámci akčnej skupiny na vysokej úrovni pre opatrenia v oblasti klímy, ktorá bola zriadená na samite EÚ – USA v roku 2021. </w:t>
      </w:r>
      <w:r w:rsidRPr="008854EA">
        <w:rPr>
          <w:rStyle w:val="normaltextrun"/>
          <w:noProof/>
          <w:color w:val="000000" w:themeColor="text1"/>
          <w:lang w:val="sk-SK"/>
        </w:rPr>
        <w:t xml:space="preserve">EÚ sa takisto zapojila do </w:t>
      </w:r>
      <w:r w:rsidRPr="008854EA">
        <w:rPr>
          <w:rStyle w:val="normaltextrun"/>
          <w:b/>
          <w:noProof/>
          <w:color w:val="000000" w:themeColor="text1"/>
          <w:lang w:val="sk-SK"/>
        </w:rPr>
        <w:t>dialógov na vysokej úrovni</w:t>
      </w:r>
      <w:r w:rsidRPr="008854EA">
        <w:rPr>
          <w:rStyle w:val="normaltextrun"/>
          <w:noProof/>
          <w:color w:val="000000" w:themeColor="text1"/>
          <w:lang w:val="sk-SK"/>
        </w:rPr>
        <w:t xml:space="preserve"> s </w:t>
      </w:r>
      <w:r w:rsidRPr="008854EA">
        <w:rPr>
          <w:rStyle w:val="normaltextrun"/>
          <w:b/>
          <w:noProof/>
          <w:color w:val="000000" w:themeColor="text1"/>
          <w:lang w:val="sk-SK"/>
        </w:rPr>
        <w:t>Čínou</w:t>
      </w:r>
      <w:r w:rsidRPr="008854EA">
        <w:rPr>
          <w:rStyle w:val="normaltextrun"/>
          <w:noProof/>
          <w:color w:val="000000" w:themeColor="text1"/>
          <w:lang w:val="sk-SK"/>
        </w:rPr>
        <w:t xml:space="preserve"> a </w:t>
      </w:r>
      <w:r w:rsidRPr="008854EA">
        <w:rPr>
          <w:rStyle w:val="normaltextrun"/>
          <w:b/>
          <w:noProof/>
          <w:color w:val="000000" w:themeColor="text1"/>
          <w:lang w:val="sk-SK"/>
        </w:rPr>
        <w:t>Kanadou</w:t>
      </w:r>
      <w:r w:rsidRPr="008854EA">
        <w:rPr>
          <w:rStyle w:val="normaltextrun"/>
          <w:noProof/>
          <w:color w:val="000000" w:themeColor="text1"/>
          <w:lang w:val="sk-SK"/>
        </w:rPr>
        <w:t>, zdôrazňujúc, že pre veľkých producentov emisií je spolupráca v oblasti klímy kľúčová na dosiahnutie celosvetového konsenzu o zvýšení ambícií v oblasti klímy v súlade s limitom 1,5 °C a na zabezpečenie plnenia existujúcich záväzkov.</w:t>
      </w:r>
    </w:p>
    <w:p w14:paraId="1411B2B2" w14:textId="6F8BE0B2" w:rsidR="24716129" w:rsidRPr="008854EA" w:rsidRDefault="004E0B98" w:rsidP="3034C183">
      <w:pPr>
        <w:pStyle w:val="Body"/>
        <w:rPr>
          <w:rFonts w:eastAsia="Times New Roman" w:cs="Times New Roman"/>
          <w:noProof/>
          <w:color w:val="000000" w:themeColor="text1"/>
          <w:lang w:val="sk-SK"/>
        </w:rPr>
      </w:pPr>
      <w:r w:rsidRPr="008854EA">
        <w:rPr>
          <w:noProof/>
          <w:color w:val="000000" w:themeColor="text1"/>
          <w:lang w:val="sk-SK"/>
        </w:rPr>
        <w:t xml:space="preserve">V roku 2021 vytvorila EÚ spolu s ďalšími členmi skupiny medzinárodných partnerov </w:t>
      </w:r>
      <w:r w:rsidRPr="008854EA">
        <w:rPr>
          <w:b/>
          <w:noProof/>
          <w:color w:val="000000" w:themeColor="text1"/>
          <w:lang w:val="sk-SK"/>
        </w:rPr>
        <w:t>investičné partnerstvo pre spravodlivú energetickú transformáciu</w:t>
      </w:r>
      <w:r w:rsidRPr="008854EA">
        <w:rPr>
          <w:noProof/>
          <w:color w:val="000000" w:themeColor="text1"/>
          <w:lang w:val="sk-SK"/>
        </w:rPr>
        <w:t xml:space="preserve"> s Južnou Afrikou v hodnote viac než 8,5 miliardy USD a podpísala ďalšie tri partnerstvá, v rámci ktorých poskytla nové verejné a súkromné financovanie, a to s Indonéziou (2022, 20 miliárd USD), Vietnamom (2022, 15,5 miliardy USD) a so Senegalom (2023, 2,5 miliardy EUR). Partnerstvá sú modelom toho, ako môže medzinárodné spoločenstvo spolupracovať s partnerskými krajinami na prijatí záväzku k udržateľnému rozvoju a spoločnom uskutočňovaní prechodu na čistú energiu a spravodlivej energetickej transformácie. </w:t>
      </w:r>
    </w:p>
    <w:p w14:paraId="2A790603" w14:textId="454AE97A" w:rsidR="24716129" w:rsidRPr="008854EA" w:rsidRDefault="24716129" w:rsidP="3034C183">
      <w:pPr>
        <w:spacing w:before="120" w:after="120" w:line="240" w:lineRule="auto"/>
        <w:jc w:val="both"/>
        <w:rPr>
          <w:rFonts w:ascii="Times New Roman" w:eastAsia="Times New Roman" w:hAnsi="Times New Roman" w:cs="Times New Roman"/>
          <w:noProof/>
          <w:color w:val="000000" w:themeColor="text1"/>
          <w:sz w:val="24"/>
          <w:lang w:val="sk-SK"/>
        </w:rPr>
      </w:pPr>
      <w:r w:rsidRPr="008854EA">
        <w:rPr>
          <w:rStyle w:val="normaltextrun"/>
          <w:rFonts w:ascii="Times New Roman" w:hAnsi="Times New Roman"/>
          <w:noProof/>
          <w:color w:val="000000" w:themeColor="text1"/>
          <w:sz w:val="24"/>
          <w:lang w:val="sk-SK"/>
        </w:rPr>
        <w:t>Politické vyhlásenie podpísané s </w:t>
      </w:r>
      <w:r w:rsidRPr="008854EA">
        <w:rPr>
          <w:rStyle w:val="normaltextrun"/>
          <w:rFonts w:ascii="Times New Roman" w:hAnsi="Times New Roman"/>
          <w:b/>
          <w:noProof/>
          <w:color w:val="000000" w:themeColor="text1"/>
          <w:sz w:val="24"/>
          <w:lang w:val="sk-SK"/>
        </w:rPr>
        <w:t>Indonéziou</w:t>
      </w:r>
      <w:r w:rsidRPr="008854EA">
        <w:rPr>
          <w:rStyle w:val="normaltextrun"/>
          <w:rFonts w:ascii="Times New Roman" w:hAnsi="Times New Roman"/>
          <w:noProof/>
          <w:color w:val="000000" w:themeColor="text1"/>
          <w:sz w:val="24"/>
          <w:lang w:val="sk-SK"/>
        </w:rPr>
        <w:t xml:space="preserve"> zahŕňa zrýchlený postup zníženia emisií v odvetví energetiky na nulovú bilanciu emisií do roku 2050 a stratégiu založenú na rozširovaní obnoviteľných zdrojov energie tak, aby do roku 2030 tvorili aspoň 34 % všetkej výroby energie, postupné ukončenie výroby elektriny spaľovaním uhlia v rámci systémov napojených aj nenapojených na sieť a ďalšie záväzky v oblasti regulačných reforiem a energetickej účinnosti.</w:t>
      </w:r>
    </w:p>
    <w:p w14:paraId="0B6F4428" w14:textId="456EC696" w:rsidR="24716129" w:rsidRPr="008854EA" w:rsidRDefault="24716129" w:rsidP="3034C183">
      <w:pPr>
        <w:spacing w:before="120" w:after="120" w:line="240" w:lineRule="auto"/>
        <w:jc w:val="both"/>
        <w:rPr>
          <w:rFonts w:ascii="Times New Roman" w:eastAsia="Times New Roman" w:hAnsi="Times New Roman" w:cs="Times New Roman"/>
          <w:noProof/>
          <w:color w:val="000000" w:themeColor="text1"/>
          <w:sz w:val="24"/>
          <w:lang w:val="sk-SK"/>
        </w:rPr>
      </w:pPr>
      <w:r w:rsidRPr="008854EA">
        <w:rPr>
          <w:rStyle w:val="normaltextrun"/>
          <w:rFonts w:ascii="Times New Roman" w:hAnsi="Times New Roman"/>
          <w:noProof/>
          <w:color w:val="000000" w:themeColor="text1"/>
          <w:sz w:val="24"/>
          <w:lang w:val="sk-SK"/>
        </w:rPr>
        <w:t>V partnerstve s </w:t>
      </w:r>
      <w:r w:rsidRPr="008854EA">
        <w:rPr>
          <w:rStyle w:val="normaltextrun"/>
          <w:rFonts w:ascii="Times New Roman" w:hAnsi="Times New Roman"/>
          <w:b/>
          <w:noProof/>
          <w:color w:val="000000" w:themeColor="text1"/>
          <w:sz w:val="24"/>
          <w:lang w:val="sk-SK"/>
        </w:rPr>
        <w:t>Vietnamom</w:t>
      </w:r>
      <w:r w:rsidRPr="008854EA">
        <w:rPr>
          <w:rStyle w:val="normaltextrun"/>
          <w:rFonts w:ascii="Times New Roman" w:hAnsi="Times New Roman"/>
          <w:noProof/>
          <w:color w:val="000000" w:themeColor="text1"/>
          <w:sz w:val="24"/>
          <w:lang w:val="sk-SK"/>
        </w:rPr>
        <w:t>, ktoré vedú EÚ a Spojené kráľovstvo ako spoluvedúci skupiny medzinárodných partnerov, sa stanovujú aj nové ambiciózne ciele, ako napríklad posunutie predpokladaného času dosiahnutia vrcholných hodnôt všetkých emisií skleníkových plynov z roku 2035 na rok 2030, obmedzenie maximálnej uhoľnej kapacity vo Vietname na 30,2 GWT (zo súčasných 37 GWT) a urýchlenie zavádzania obnoviteľných zdrojov energie s cieľom dosiahnuť do roku 2030 úroveň aspoň 47 % výroby elektrickej energie.</w:t>
      </w:r>
    </w:p>
    <w:p w14:paraId="3AE3F566" w14:textId="5FB8A607" w:rsidR="24716129" w:rsidRPr="008854EA" w:rsidRDefault="24716129" w:rsidP="3034C183">
      <w:pPr>
        <w:spacing w:before="120" w:after="120" w:line="240" w:lineRule="auto"/>
        <w:jc w:val="both"/>
        <w:rPr>
          <w:rStyle w:val="normaltextrun"/>
          <w:rFonts w:ascii="Times New Roman" w:eastAsia="Times New Roman" w:hAnsi="Times New Roman" w:cs="Times New Roman"/>
          <w:noProof/>
          <w:color w:val="000000" w:themeColor="text1"/>
          <w:sz w:val="24"/>
          <w:lang w:val="sk-SK"/>
        </w:rPr>
      </w:pPr>
      <w:r w:rsidRPr="008854EA">
        <w:rPr>
          <w:rStyle w:val="normaltextrun"/>
          <w:rFonts w:ascii="Times New Roman" w:hAnsi="Times New Roman"/>
          <w:noProof/>
          <w:color w:val="000000" w:themeColor="text1"/>
          <w:sz w:val="24"/>
          <w:lang w:val="sk-SK"/>
        </w:rPr>
        <w:t xml:space="preserve">Zámerom partnerstva so </w:t>
      </w:r>
      <w:r w:rsidRPr="008854EA">
        <w:rPr>
          <w:rStyle w:val="normaltextrun"/>
          <w:rFonts w:ascii="Times New Roman" w:hAnsi="Times New Roman"/>
          <w:b/>
          <w:noProof/>
          <w:color w:val="000000" w:themeColor="text1"/>
          <w:sz w:val="24"/>
          <w:lang w:val="sk-SK"/>
        </w:rPr>
        <w:t>Senegalom</w:t>
      </w:r>
      <w:r w:rsidRPr="008854EA">
        <w:rPr>
          <w:rStyle w:val="normaltextrun"/>
          <w:rFonts w:ascii="Times New Roman" w:hAnsi="Times New Roman"/>
          <w:noProof/>
          <w:color w:val="000000" w:themeColor="text1"/>
          <w:sz w:val="24"/>
          <w:lang w:val="sk-SK"/>
        </w:rPr>
        <w:t xml:space="preserve"> je posilniť rozvoj obnoviteľných zdrojov energie a infraštruktúry a technológií s cieľom urýchliť ich zavádzanie a využívanie. Senegal chce do roku 2030 dosiahnuť 40 % podiel energie z obnoviteľných zdrojov v rámci svojho inštalovaného výkonu.</w:t>
      </w:r>
    </w:p>
    <w:p w14:paraId="05649596" w14:textId="5BEDBCB6" w:rsidR="4F66EB58" w:rsidRPr="008854EA" w:rsidRDefault="1F6F78A8" w:rsidP="4F66EB58">
      <w:pPr>
        <w:spacing w:before="120" w:after="120" w:line="240" w:lineRule="auto"/>
        <w:jc w:val="both"/>
        <w:rPr>
          <w:rStyle w:val="normaltextrun"/>
          <w:rFonts w:ascii="Times New Roman" w:eastAsia="Times New Roman" w:hAnsi="Times New Roman" w:cs="Times New Roman"/>
          <w:noProof/>
          <w:color w:val="000000" w:themeColor="text1"/>
          <w:sz w:val="24"/>
          <w:lang w:val="sk-SK"/>
        </w:rPr>
      </w:pPr>
      <w:r w:rsidRPr="008854EA">
        <w:rPr>
          <w:rStyle w:val="normaltextrun"/>
          <w:rFonts w:ascii="Times New Roman" w:hAnsi="Times New Roman"/>
          <w:noProof/>
          <w:color w:val="000000" w:themeColor="text1"/>
          <w:sz w:val="24"/>
          <w:lang w:val="sk-SK"/>
        </w:rPr>
        <w:t xml:space="preserve">Európska komisia a vysoký predstaviteľ EÚ si prostredníctvom </w:t>
      </w:r>
      <w:r w:rsidRPr="008854EA">
        <w:rPr>
          <w:rStyle w:val="normaltextrun"/>
          <w:rFonts w:ascii="Times New Roman" w:hAnsi="Times New Roman"/>
          <w:b/>
          <w:noProof/>
          <w:color w:val="000000" w:themeColor="text1"/>
          <w:sz w:val="24"/>
          <w:lang w:val="sk-SK"/>
        </w:rPr>
        <w:t>stratégie Global Gateway</w:t>
      </w:r>
      <w:r w:rsidRPr="008854EA">
        <w:rPr>
          <w:rStyle w:val="normaltextrun"/>
          <w:rFonts w:ascii="Times New Roman" w:hAnsi="Times New Roman"/>
          <w:noProof/>
          <w:color w:val="000000" w:themeColor="text1"/>
          <w:sz w:val="24"/>
          <w:lang w:val="sk-SK"/>
        </w:rPr>
        <w:t xml:space="preserve"> stanovili za cieľ podporovať inteligentné, čisté a bezpečné prepojenia v digitálnej oblasti, energetike a doprave a posilniť systémy zdravotníctva, vzdelávania a výskumu na celom svete. V rokoch 2021 až 2027 inštitúcie EÚ a členské štáty EÚ spoločne zmobilizujú až 300 miliárd EUR investícií do udržateľných a vysokokvalitných projektov, v ktorých sa zohľadnia potreby partnerských krajín a ktoré zaistia trvalý prínos pre miestne komunity. </w:t>
      </w:r>
    </w:p>
    <w:p w14:paraId="4EB78674" w14:textId="3271CB93" w:rsidR="24716129" w:rsidRPr="008854EA" w:rsidRDefault="24716129" w:rsidP="3034C183">
      <w:pPr>
        <w:pStyle w:val="Body"/>
        <w:rPr>
          <w:rFonts w:eastAsia="Times New Roman" w:cs="Times New Roman"/>
          <w:noProof/>
          <w:color w:val="000000" w:themeColor="text1"/>
          <w:lang w:val="sk-SK"/>
        </w:rPr>
      </w:pPr>
      <w:r w:rsidRPr="008854EA">
        <w:rPr>
          <w:noProof/>
          <w:color w:val="000000" w:themeColor="text1"/>
          <w:lang w:val="sk-SK"/>
        </w:rPr>
        <w:t xml:space="preserve">EÚ takisto spolupracovala so </w:t>
      </w:r>
      <w:r w:rsidRPr="008854EA">
        <w:rPr>
          <w:b/>
          <w:noProof/>
          <w:color w:val="000000" w:themeColor="text1"/>
          <w:lang w:val="sk-SK"/>
        </w:rPr>
        <w:t>zmluvnými stranami Energetického spoločenstva</w:t>
      </w:r>
      <w:r w:rsidRPr="008854EA">
        <w:rPr>
          <w:noProof/>
          <w:color w:val="000000" w:themeColor="text1"/>
          <w:vertAlign w:val="superscript"/>
          <w:lang w:val="sk-SK"/>
        </w:rPr>
        <w:t>123</w:t>
      </w:r>
      <w:r w:rsidRPr="008854EA">
        <w:rPr>
          <w:noProof/>
          <w:color w:val="000000" w:themeColor="text1"/>
          <w:lang w:val="sk-SK"/>
        </w:rPr>
        <w:t xml:space="preserve"> na prijatí cieľov v oblasti energetiky a klímy do roku 2030 zameraných na zníženie primárnej a konečnej energetickej spotreby, zrýchlenie využívania obnoviteľných zdrojov energie a zníženie emisií skleníkových plynov v záujme dosiahnutia klimatickej neutrality do roku 2050. Takisto sa dohodli na prijatí postupov monitorovania emisií skleníkových plynov a podávania správ o nich a na prijatí súvisiacich právnych aktov.</w:t>
      </w:r>
    </w:p>
    <w:p w14:paraId="072AA93D" w14:textId="6681778E" w:rsidR="24716129" w:rsidRPr="008854EA" w:rsidRDefault="24716129" w:rsidP="3034C183">
      <w:pPr>
        <w:pStyle w:val="Heading2"/>
        <w:ind w:left="576"/>
        <w:rPr>
          <w:rFonts w:ascii="Times New Roman" w:eastAsia="Times New Roman" w:hAnsi="Times New Roman" w:cs="Times New Roman"/>
          <w:noProof/>
          <w:lang w:val="sk-SK"/>
        </w:rPr>
      </w:pPr>
      <w:r w:rsidRPr="008854EA">
        <w:rPr>
          <w:rFonts w:ascii="Times New Roman" w:hAnsi="Times New Roman"/>
          <w:noProof/>
          <w:lang w:val="sk-SK"/>
        </w:rPr>
        <w:t>Financovanie opatrení v oblasti zmeny klímy a medzinárodná spolupráca</w:t>
      </w:r>
    </w:p>
    <w:p w14:paraId="3C3987D3" w14:textId="73813BEC" w:rsidR="24716129" w:rsidRPr="008854EA" w:rsidRDefault="24716129" w:rsidP="3034C183">
      <w:pPr>
        <w:pStyle w:val="Body"/>
        <w:rPr>
          <w:noProof/>
          <w:lang w:val="sk-SK"/>
        </w:rPr>
      </w:pPr>
      <w:r w:rsidRPr="008854EA">
        <w:rPr>
          <w:noProof/>
          <w:color w:val="000000" w:themeColor="text1"/>
          <w:lang w:val="sk-SK"/>
        </w:rPr>
        <w:t>Medzinárodné verejné financovanie opatrení v oblasti zmeny klímy zohráva spolu s financovaním opatrení v oblasti zmeny klímy zo súkromných zdrojov dôležitú úlohu pri pomoci rozvojovým krajinám s vykonávaním Parížskej dohody.</w:t>
      </w:r>
    </w:p>
    <w:p w14:paraId="74A3D077" w14:textId="4ACD1393" w:rsidR="00825248" w:rsidRPr="008854EA" w:rsidRDefault="00111B00" w:rsidP="00E31BEE">
      <w:pPr>
        <w:pStyle w:val="Body"/>
        <w:rPr>
          <w:noProof/>
          <w:lang w:val="sk-SK"/>
        </w:rPr>
      </w:pPr>
      <w:r w:rsidRPr="008854EA">
        <w:rPr>
          <w:noProof/>
          <w:lang w:val="sk-SK"/>
        </w:rPr>
        <w:t xml:space="preserve">Komisia naďalej podporuje partnerské krajiny prostredníctvom svojich finančných nástrojov. V rámci Nástroja susedstva a rozvojovej a medzinárodnej spolupráce (NDICI) – Globálna Európa má byť najmenej 30 % prostriedkov určených na opatrenia v oblasti klímy. </w:t>
      </w:r>
    </w:p>
    <w:p w14:paraId="53912127" w14:textId="77777777" w:rsidR="00825248" w:rsidRPr="008854EA" w:rsidRDefault="00825248" w:rsidP="00E31BEE">
      <w:pPr>
        <w:pStyle w:val="Body"/>
        <w:rPr>
          <w:noProof/>
          <w:lang w:val="sk-SK"/>
        </w:rPr>
      </w:pPr>
    </w:p>
    <w:p w14:paraId="6EE353E9" w14:textId="3305731F" w:rsidR="24716129" w:rsidRPr="008854EA" w:rsidRDefault="24716129" w:rsidP="3034C183">
      <w:pPr>
        <w:pStyle w:val="Body"/>
        <w:rPr>
          <w:rFonts w:eastAsia="Times New Roman" w:cs="Times New Roman"/>
          <w:noProof/>
          <w:color w:val="000000" w:themeColor="text1"/>
          <w:lang w:val="sk-SK"/>
        </w:rPr>
      </w:pPr>
      <w:r w:rsidRPr="008854EA">
        <w:rPr>
          <w:noProof/>
          <w:color w:val="000000" w:themeColor="text1"/>
          <w:lang w:val="sk-SK"/>
        </w:rPr>
        <w:t>Aj v nástroji predvstupovej pomoci (IPA III) je stanovený cieľ výdavkov na opatrenia v oblasti zmeny klímy na úrovni 18 %, pričom do roku 2027 sa má táto úroveň zvýšiť na 20 %. V oboch nariadeniach je zakotvená zásada „nespôsobovať škodu“. Komisia sa zaviazala, že do roku 2027 vyčlení na financovanie opatrení v oblasti zmeny klímy ďalšie 4 miliardy EUR nad rámec uvedených cieľov výdavkov, čo predstavuje cieľ financovania opatrení v oblasti zmeny klímy v podiele 35 %. Ide o bezprecedentnú investíciu EÚ do znižovania emisií a pomoci rozvojovým krajinám pri budovaní odolnosti proti účinkom zmeny klímy.</w:t>
      </w:r>
    </w:p>
    <w:p w14:paraId="1B665C02" w14:textId="3628CA2A" w:rsidR="24716129" w:rsidRPr="008854EA" w:rsidRDefault="24716129" w:rsidP="3034C183">
      <w:pPr>
        <w:pStyle w:val="Body"/>
        <w:rPr>
          <w:rFonts w:eastAsia="Times New Roman" w:cs="Times New Roman"/>
          <w:noProof/>
          <w:color w:val="000000" w:themeColor="text1"/>
          <w:lang w:val="sk-SK"/>
        </w:rPr>
      </w:pPr>
      <w:r w:rsidRPr="008854EA">
        <w:rPr>
          <w:noProof/>
          <w:lang w:val="sk-SK"/>
        </w:rPr>
        <w:t>EÚ, jej členské štáty a finančné inštitúcie, spoločne známe ako Tím Európa, sú najväčším poskytovateľom rozvojovej pomoci a najväčším svetovým prispievateľom na financovanie opatrení v oblasti zmeny klímy. Z ich fondov pochádza približne tretina svetového verejného financovania opatrení v oblasti zmeny klímy.</w:t>
      </w:r>
      <w:r w:rsidRPr="008854EA">
        <w:rPr>
          <w:noProof/>
          <w:color w:val="000000" w:themeColor="text1"/>
          <w:lang w:val="sk-SK"/>
        </w:rPr>
        <w:t xml:space="preserve"> V roku 2021 sa Európska únia a jej 27 členských štátov zaviazali poskytnúť viac ako 23 miliárd EUR na financovanie opatrení v oblasti zmeny klímy z verejných zdrojov na podporu rozvojových krajín pri znižovaní ich emisií skleníkových plynov a pri adaptácii na dôsledky zmeny klímy.</w:t>
      </w:r>
    </w:p>
    <w:p w14:paraId="71D6AFA5" w14:textId="7625C5C4" w:rsidR="00303CF0" w:rsidRPr="008854EA" w:rsidRDefault="00E31BEE" w:rsidP="670EA4B2">
      <w:pPr>
        <w:pStyle w:val="Body"/>
        <w:rPr>
          <w:rFonts w:eastAsia="Times New Roman" w:cs="Times New Roman"/>
          <w:noProof/>
          <w:color w:val="000000" w:themeColor="text1"/>
          <w:lang w:val="sk-SK"/>
        </w:rPr>
      </w:pPr>
      <w:r w:rsidRPr="008854EA">
        <w:rPr>
          <w:noProof/>
          <w:color w:val="000000" w:themeColor="text1"/>
          <w:lang w:val="sk-SK"/>
        </w:rPr>
        <w:t xml:space="preserve">Viac ako 54 % </w:t>
      </w:r>
      <w:r w:rsidRPr="008854EA">
        <w:rPr>
          <w:noProof/>
          <w:lang w:val="sk-SK"/>
        </w:rPr>
        <w:t xml:space="preserve">celkových finančných prostriedkov Tímu Európa </w:t>
      </w:r>
      <w:r w:rsidRPr="008854EA">
        <w:rPr>
          <w:noProof/>
          <w:color w:val="000000" w:themeColor="text1"/>
          <w:lang w:val="sk-SK"/>
        </w:rPr>
        <w:t>bolo pridelených buď na adaptáciu na zmenu klímy, alebo na opatrenia zahŕňajúce zmiernenie zmeny klímy aj adaptáciu na ňu. Takmer polovica celkových finančných prostriedkov bola pridelená vo forme grantov.</w:t>
      </w:r>
    </w:p>
    <w:p w14:paraId="5DE10B98" w14:textId="4F1388CC" w:rsidR="00D607AC" w:rsidRPr="008854EA" w:rsidRDefault="00D607AC" w:rsidP="00D607AC">
      <w:pPr>
        <w:pStyle w:val="Body"/>
        <w:rPr>
          <w:noProof/>
          <w:lang w:val="sk-SK"/>
        </w:rPr>
      </w:pPr>
      <w:r w:rsidRPr="008854EA">
        <w:rPr>
          <w:noProof/>
          <w:lang w:val="sk-SK"/>
        </w:rPr>
        <w:t xml:space="preserve">V súčasnosti sa vyvíja úsilie na </w:t>
      </w:r>
      <w:r w:rsidRPr="008854EA">
        <w:rPr>
          <w:b/>
          <w:noProof/>
          <w:lang w:val="sk-SK"/>
        </w:rPr>
        <w:t xml:space="preserve">podporu zapojenia súkromného sektora </w:t>
      </w:r>
      <w:r w:rsidRPr="008854EA">
        <w:rPr>
          <w:noProof/>
          <w:lang w:val="sk-SK"/>
        </w:rPr>
        <w:t>do opatrení v oblasti klímy prostredníctvom záruk Európskeho fondu pre udržateľný rozvoj plus (EFSD+) a kombinovaného financovania. </w:t>
      </w:r>
    </w:p>
    <w:p w14:paraId="593EEB98" w14:textId="4E75154E" w:rsidR="00303CF0" w:rsidRPr="008854EA" w:rsidRDefault="00303CF0" w:rsidP="670EA4B2">
      <w:pPr>
        <w:pStyle w:val="Body"/>
        <w:rPr>
          <w:rFonts w:eastAsia="Times New Roman" w:cs="Times New Roman"/>
          <w:noProof/>
          <w:color w:val="000000" w:themeColor="text1"/>
          <w:lang w:val="sk-SK"/>
        </w:rPr>
      </w:pPr>
    </w:p>
    <w:sectPr w:rsidR="00303CF0" w:rsidRPr="008854EA" w:rsidSect="009C37EE">
      <w:headerReference w:type="even" r:id="rId57"/>
      <w:headerReference w:type="default" r:id="rId58"/>
      <w:footerReference w:type="even" r:id="rId59"/>
      <w:footerReference w:type="default" r:id="rId60"/>
      <w:headerReference w:type="first" r:id="rId61"/>
      <w:footerReference w:type="first" r:id="rId6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68EE4" w14:textId="77777777" w:rsidR="00C86E74" w:rsidRDefault="00C86E74" w:rsidP="00E31BEE">
      <w:pPr>
        <w:spacing w:after="0" w:line="240" w:lineRule="auto"/>
      </w:pPr>
      <w:r>
        <w:separator/>
      </w:r>
    </w:p>
  </w:endnote>
  <w:endnote w:type="continuationSeparator" w:id="0">
    <w:p w14:paraId="13159ED3" w14:textId="77777777" w:rsidR="00C86E74" w:rsidRDefault="00C86E74" w:rsidP="00E31BEE">
      <w:pPr>
        <w:spacing w:after="0" w:line="240" w:lineRule="auto"/>
      </w:pPr>
      <w:r>
        <w:continuationSeparator/>
      </w:r>
    </w:p>
  </w:endnote>
  <w:endnote w:type="continuationNotice" w:id="1">
    <w:p w14:paraId="647D5E8F" w14:textId="77777777" w:rsidR="00C86E74" w:rsidRDefault="00C86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venir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1FC9" w14:textId="07B873AE" w:rsidR="00CE469B" w:rsidRPr="00EE79E1" w:rsidRDefault="00CE469B" w:rsidP="00EE7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CCF0" w14:textId="703D202A" w:rsidR="00CE469B" w:rsidRPr="00EE79E1" w:rsidRDefault="00EE79E1" w:rsidP="00EE79E1">
    <w:pPr>
      <w:pStyle w:val="FooterCoverPage"/>
      <w:rPr>
        <w:rFonts w:ascii="Arial" w:hAnsi="Arial" w:cs="Arial"/>
        <w:b/>
        <w:sz w:val="48"/>
      </w:rPr>
    </w:pPr>
    <w:r w:rsidRPr="00EE79E1">
      <w:rPr>
        <w:rFonts w:ascii="Arial" w:hAnsi="Arial" w:cs="Arial"/>
        <w:b/>
        <w:sz w:val="48"/>
      </w:rPr>
      <w:t>SK</w:t>
    </w:r>
    <w:r w:rsidRPr="00EE79E1">
      <w:rPr>
        <w:rFonts w:ascii="Arial" w:hAnsi="Arial" w:cs="Arial"/>
        <w:b/>
        <w:sz w:val="48"/>
      </w:rPr>
      <w:tab/>
    </w:r>
    <w:r w:rsidRPr="00EE79E1">
      <w:rPr>
        <w:rFonts w:ascii="Arial" w:hAnsi="Arial" w:cs="Arial"/>
        <w:b/>
        <w:sz w:val="48"/>
      </w:rPr>
      <w:tab/>
    </w:r>
    <w:r w:rsidRPr="00EE79E1">
      <w:tab/>
    </w:r>
    <w:r w:rsidRPr="00EE79E1">
      <w:rPr>
        <w:rFonts w:ascii="Arial" w:hAnsi="Arial" w:cs="Arial"/>
        <w:b/>
        <w:sz w:val="48"/>
      </w:rPr>
      <w:t>SK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39D35" w14:textId="77777777" w:rsidR="00EE79E1" w:rsidRPr="00EE79E1" w:rsidRDefault="00EE79E1" w:rsidP="00EE79E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0C1D5" w14:textId="77777777" w:rsidR="009C37EE" w:rsidRDefault="009C37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684968"/>
      <w:docPartObj>
        <w:docPartGallery w:val="Page Numbers (Bottom of Page)"/>
        <w:docPartUnique/>
      </w:docPartObj>
    </w:sdtPr>
    <w:sdtEndPr>
      <w:rPr>
        <w:rFonts w:ascii="Times New Roman" w:hAnsi="Times New Roman" w:cs="Times New Roman"/>
      </w:rPr>
    </w:sdtEndPr>
    <w:sdtContent>
      <w:p w14:paraId="06BE7FED" w14:textId="3FFBA677" w:rsidR="009C37EE" w:rsidRPr="00B87EB3" w:rsidRDefault="009C37EE">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EE79E1">
          <w:rPr>
            <w:rFonts w:ascii="Times New Roman" w:hAnsi="Times New Roman" w:cs="Times New Roman"/>
            <w:noProof/>
          </w:rPr>
          <w:t>1</w:t>
        </w:r>
        <w:r>
          <w:rPr>
            <w:rFonts w:ascii="Times New Roman" w:hAnsi="Times New Roman" w:cs="Times New Roman"/>
          </w:rPr>
          <w:fldChar w:fldCharType="end"/>
        </w:r>
      </w:p>
    </w:sdtContent>
  </w:sdt>
  <w:p w14:paraId="553E69DC" w14:textId="77777777" w:rsidR="009C37EE" w:rsidRDefault="009C37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9E370" w14:textId="77777777" w:rsidR="009C37EE" w:rsidRDefault="009C3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291C4" w14:textId="77777777" w:rsidR="00C86E74" w:rsidRDefault="00C86E74" w:rsidP="00E31BEE">
      <w:pPr>
        <w:spacing w:after="0" w:line="240" w:lineRule="auto"/>
      </w:pPr>
      <w:r>
        <w:separator/>
      </w:r>
    </w:p>
  </w:footnote>
  <w:footnote w:type="continuationSeparator" w:id="0">
    <w:p w14:paraId="6C6AB1A3" w14:textId="77777777" w:rsidR="00C86E74" w:rsidRDefault="00C86E74" w:rsidP="00E31BEE">
      <w:pPr>
        <w:spacing w:after="0" w:line="240" w:lineRule="auto"/>
      </w:pPr>
      <w:r>
        <w:continuationSeparator/>
      </w:r>
    </w:p>
  </w:footnote>
  <w:footnote w:type="continuationNotice" w:id="1">
    <w:p w14:paraId="7686CCF2" w14:textId="77777777" w:rsidR="00C86E74" w:rsidRDefault="00C86E74">
      <w:pPr>
        <w:spacing w:after="0" w:line="240" w:lineRule="auto"/>
      </w:pPr>
    </w:p>
  </w:footnote>
  <w:footnote w:id="2">
    <w:p w14:paraId="20D9D08D" w14:textId="6EE69662" w:rsidR="00541698" w:rsidRPr="008854EA" w:rsidRDefault="00541698" w:rsidP="001F2564">
      <w:pPr>
        <w:pStyle w:val="FootnoteText1"/>
        <w:spacing w:line="240" w:lineRule="auto"/>
        <w:ind w:left="720" w:hanging="720"/>
        <w:rPr>
          <w:rStyle w:val="Hyperlink"/>
          <w:lang w:val="sk-SK"/>
        </w:rPr>
      </w:pPr>
      <w:r w:rsidRPr="008854EA">
        <w:rPr>
          <w:rStyle w:val="Hyperlink"/>
          <w:color w:val="auto"/>
          <w:u w:val="none"/>
          <w:vertAlign w:val="superscript"/>
          <w:lang w:val="sk-SK"/>
        </w:rPr>
        <w:footnoteRef/>
      </w:r>
      <w:r w:rsidR="001F2564" w:rsidRPr="008854EA">
        <w:rPr>
          <w:rStyle w:val="Hyperlink"/>
          <w:u w:val="none"/>
          <w:lang w:val="sk-SK"/>
        </w:rPr>
        <w:tab/>
      </w:r>
      <w:r w:rsidRPr="008854EA">
        <w:rPr>
          <w:rStyle w:val="Hyperlink"/>
          <w:lang w:val="sk-SK"/>
        </w:rPr>
        <w:t xml:space="preserve">IPCC, 2023. </w:t>
      </w:r>
      <w:r w:rsidRPr="008854EA">
        <w:rPr>
          <w:rStyle w:val="Hyperlink"/>
          <w:i/>
          <w:iCs/>
          <w:lang w:val="sk-SK"/>
        </w:rPr>
        <w:t>Climate Change 2023:</w:t>
      </w:r>
      <w:r w:rsidRPr="008854EA">
        <w:rPr>
          <w:rStyle w:val="Hyperlink"/>
          <w:lang w:val="sk-SK"/>
        </w:rPr>
        <w:t xml:space="preserve"> </w:t>
      </w:r>
      <w:r w:rsidRPr="008854EA">
        <w:rPr>
          <w:rStyle w:val="Hyperlink"/>
          <w:i/>
          <w:iCs/>
          <w:lang w:val="sk-SK"/>
        </w:rPr>
        <w:t>Synthesis report.</w:t>
      </w:r>
      <w:r w:rsidRPr="008854EA">
        <w:rPr>
          <w:rStyle w:val="Hyperlink"/>
          <w:lang w:val="sk-SK"/>
        </w:rPr>
        <w:t xml:space="preserve"> </w:t>
      </w:r>
      <w:r w:rsidRPr="008854EA">
        <w:rPr>
          <w:rStyle w:val="Hyperlink"/>
          <w:i/>
          <w:iCs/>
          <w:lang w:val="sk-SK"/>
        </w:rPr>
        <w:t>A Report of the Intergovernmental Panel on Climate Change</w:t>
      </w:r>
      <w:r w:rsidRPr="008854EA">
        <w:rPr>
          <w:rStyle w:val="Hyperlink"/>
          <w:lang w:val="sk-SK"/>
        </w:rPr>
        <w:t xml:space="preserve"> (Zmena klímy 2023: Súhrnná správa. Správa Medzivládneho panelu o zmene klímy). Príspevok pracovnej skupiny I, II a III k šiestej hodnotiacej správe Medzivládneho panelu o zmene klímy [hlavný tím autorov, H. Lee a J. Romero (red)]. IPCC, Ženeva, Švajčiarsko, 36 strán. (v tlači).</w:t>
      </w:r>
    </w:p>
  </w:footnote>
  <w:footnote w:id="3">
    <w:p w14:paraId="4573D39B" w14:textId="4FAB04DE" w:rsidR="53050DC4" w:rsidRPr="008854EA" w:rsidRDefault="53050DC4" w:rsidP="001F2564">
      <w:pPr>
        <w:pStyle w:val="FootnoteText1"/>
        <w:spacing w:line="240" w:lineRule="auto"/>
        <w:ind w:left="720" w:hanging="720"/>
        <w:rPr>
          <w:lang w:val="sk-SK"/>
        </w:rPr>
      </w:pPr>
      <w:r w:rsidRPr="008854EA">
        <w:rPr>
          <w:rStyle w:val="Hyperlink"/>
          <w:color w:val="auto"/>
          <w:u w:val="none"/>
          <w:vertAlign w:val="superscript"/>
          <w:lang w:val="sk-SK"/>
        </w:rPr>
        <w:footnoteRef/>
      </w:r>
      <w:r w:rsidR="003330A9" w:rsidRPr="008854EA">
        <w:rPr>
          <w:rStyle w:val="Hyperlink"/>
          <w:color w:val="auto"/>
          <w:u w:val="none"/>
          <w:vertAlign w:val="superscript"/>
          <w:lang w:val="sk-SK"/>
        </w:rPr>
        <w:tab/>
      </w:r>
      <w:r w:rsidRPr="008854EA">
        <w:rPr>
          <w:rStyle w:val="Hyperlink"/>
          <w:lang w:val="sk-SK"/>
        </w:rPr>
        <w:t>WMO, Správa o stave klímy v Európe za rok 2022. WMO-č. 1320.</w:t>
      </w:r>
    </w:p>
  </w:footnote>
  <w:footnote w:id="4">
    <w:p w14:paraId="060D2F60" w14:textId="76E1CE0F" w:rsidR="00541698" w:rsidRPr="008854EA" w:rsidRDefault="00541698"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hyperlink r:id="rId1">
        <w:r w:rsidRPr="008854EA">
          <w:rPr>
            <w:rStyle w:val="Hyperlink"/>
            <w:i/>
            <w:iCs/>
            <w:u w:val="none"/>
            <w:lang w:val="sk-SK"/>
          </w:rPr>
          <w:t>Heat-related mortality in Europe during the summer of 2022</w:t>
        </w:r>
        <w:r w:rsidRPr="008854EA">
          <w:rPr>
            <w:rStyle w:val="Hyperlink"/>
            <w:u w:val="none"/>
            <w:lang w:val="sk-SK"/>
          </w:rPr>
          <w:t xml:space="preserve"> (Úmrtnosť v Európe v lete 2022 súvisiaca s teplom) |</w:t>
        </w:r>
      </w:hyperlink>
      <w:hyperlink r:id="rId2">
        <w:r w:rsidRPr="008854EA">
          <w:rPr>
            <w:rStyle w:val="Hyperlink"/>
            <w:u w:val="none"/>
            <w:lang w:val="sk-SK"/>
          </w:rPr>
          <w:t xml:space="preserve"> Nature Medicine</w:t>
        </w:r>
      </w:hyperlink>
      <w:r w:rsidRPr="008854EA">
        <w:rPr>
          <w:lang w:val="sk-SK"/>
        </w:rPr>
        <w:t xml:space="preserve">. </w:t>
      </w:r>
    </w:p>
  </w:footnote>
  <w:footnote w:id="5">
    <w:p w14:paraId="42DF1EA3" w14:textId="0EE4B433" w:rsidR="00541698" w:rsidRPr="008854EA" w:rsidRDefault="0054169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i/>
          <w:iCs/>
          <w:lang w:val="sk-SK"/>
        </w:rPr>
        <w:t>European State of the Climate 2022 by Copernicus</w:t>
      </w:r>
      <w:r w:rsidRPr="008854EA">
        <w:rPr>
          <w:lang w:val="sk-SK"/>
        </w:rPr>
        <w:t xml:space="preserve"> (Európsky stav klímy v roku 2022 podľa systému Copernicus): </w:t>
      </w:r>
      <w:hyperlink r:id="rId3">
        <w:r w:rsidRPr="008854EA">
          <w:rPr>
            <w:rStyle w:val="Hyperlink"/>
            <w:lang w:val="sk-SK"/>
          </w:rPr>
          <w:t>ESOTCsummary2022_final.pdf (copernicus.eu)</w:t>
        </w:r>
      </w:hyperlink>
      <w:r w:rsidRPr="008854EA">
        <w:rPr>
          <w:lang w:val="sk-SK"/>
        </w:rPr>
        <w:t xml:space="preserve">. </w:t>
      </w:r>
    </w:p>
  </w:footnote>
  <w:footnote w:id="6">
    <w:p w14:paraId="04A725DD" w14:textId="3366EED2" w:rsidR="00541698" w:rsidRPr="008854EA" w:rsidRDefault="0054169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Pre kľúčové fakty o extrémnych výkyvoch počasia pozri EEA </w:t>
      </w:r>
      <w:hyperlink r:id="rId4" w:history="1">
        <w:r w:rsidRPr="008854EA">
          <w:rPr>
            <w:rStyle w:val="Hyperlink"/>
            <w:i/>
            <w:iCs/>
            <w:lang w:val="sk-SK"/>
          </w:rPr>
          <w:t>Extreme weather:</w:t>
        </w:r>
      </w:hyperlink>
      <w:hyperlink r:id="rId5" w:history="1">
        <w:r w:rsidRPr="008854EA">
          <w:rPr>
            <w:rStyle w:val="Hyperlink"/>
            <w:lang w:val="sk-SK"/>
          </w:rPr>
          <w:t xml:space="preserve"> </w:t>
        </w:r>
        <w:r w:rsidRPr="008854EA">
          <w:rPr>
            <w:rStyle w:val="Hyperlink"/>
            <w:i/>
            <w:iCs/>
            <w:lang w:val="sk-SK"/>
          </w:rPr>
          <w:t>floods, droughts and heatwaves (europa.eu)</w:t>
        </w:r>
      </w:hyperlink>
      <w:r w:rsidRPr="008854EA">
        <w:rPr>
          <w:lang w:val="sk-SK"/>
        </w:rPr>
        <w:t>. (Extrémne výkyvy počasia: záplavy, suchá a vlny horúčav).</w:t>
      </w:r>
    </w:p>
  </w:footnote>
  <w:footnote w:id="7">
    <w:p w14:paraId="1B64502D" w14:textId="533500A7" w:rsidR="00541698" w:rsidRPr="008854EA" w:rsidRDefault="0054169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hyperlink r:id="rId6" w:history="1">
        <w:r w:rsidRPr="008854EA">
          <w:rPr>
            <w:rStyle w:val="Hyperlink"/>
            <w:i/>
            <w:iCs/>
            <w:lang w:val="sk-SK"/>
          </w:rPr>
          <w:t>OBSERVER:</w:t>
        </w:r>
      </w:hyperlink>
      <w:hyperlink r:id="rId7" w:history="1">
        <w:r w:rsidRPr="008854EA">
          <w:rPr>
            <w:rStyle w:val="Hyperlink"/>
            <w:i/>
            <w:iCs/>
            <w:lang w:val="sk-SK"/>
          </w:rPr>
          <w:t xml:space="preserve"> Global Wildfire Watch:</w:t>
        </w:r>
      </w:hyperlink>
      <w:hyperlink r:id="rId8" w:history="1">
        <w:r w:rsidRPr="008854EA">
          <w:rPr>
            <w:rStyle w:val="Hyperlink"/>
            <w:i/>
            <w:iCs/>
            <w:lang w:val="sk-SK"/>
          </w:rPr>
          <w:t xml:space="preserve"> Copernicus EMS and CAMS Monitor Wildfires in 2023</w:t>
        </w:r>
        <w:r w:rsidRPr="008854EA">
          <w:rPr>
            <w:rStyle w:val="Hyperlink"/>
            <w:lang w:val="sk-SK"/>
          </w:rPr>
          <w:t xml:space="preserve"> |</w:t>
        </w:r>
      </w:hyperlink>
      <w:hyperlink r:id="rId9" w:history="1">
        <w:r w:rsidRPr="008854EA">
          <w:rPr>
            <w:rStyle w:val="Hyperlink"/>
            <w:i/>
            <w:iCs/>
            <w:lang w:val="sk-SK"/>
          </w:rPr>
          <w:t xml:space="preserve"> Copernicus</w:t>
        </w:r>
      </w:hyperlink>
      <w:r w:rsidRPr="008854EA">
        <w:rPr>
          <w:lang w:val="sk-SK"/>
        </w:rPr>
        <w:t xml:space="preserve"> (Pozorovateľ: Globálne sledovanie prírodných požiarov: CEMS a CAMS monitorujú prírodné požiare v roku 2023, Copernicus).</w:t>
      </w:r>
    </w:p>
  </w:footnote>
  <w:footnote w:id="8">
    <w:p w14:paraId="72648D5C" w14:textId="29E50D1E" w:rsidR="00541698" w:rsidRPr="008854EA" w:rsidRDefault="0054169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hyperlink r:id="rId10" w:history="1">
        <w:r w:rsidRPr="008854EA">
          <w:rPr>
            <w:rStyle w:val="Hyperlink"/>
            <w:lang w:val="sk-SK"/>
          </w:rPr>
          <w:t>Služba riadenia mimoriadnych situácií programu Copernicus</w:t>
        </w:r>
      </w:hyperlink>
      <w:r w:rsidRPr="008854EA">
        <w:rPr>
          <w:lang w:val="sk-SK"/>
        </w:rPr>
        <w:t>.</w:t>
      </w:r>
    </w:p>
  </w:footnote>
  <w:footnote w:id="9">
    <w:p w14:paraId="64A267F6" w14:textId="45945C7C" w:rsidR="00541698" w:rsidRPr="008854EA" w:rsidRDefault="0054169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EDGAR (databáza emisií pre celosvetový atmosférický výskum), databáza skleníkových plynov Spoločenstva zahŕňajúca IEA-EDGAR CO</w:t>
      </w:r>
      <w:r w:rsidRPr="008854EA">
        <w:rPr>
          <w:vertAlign w:val="subscript"/>
          <w:lang w:val="sk-SK"/>
        </w:rPr>
        <w:t>2</w:t>
      </w:r>
      <w:r w:rsidRPr="008854EA">
        <w:rPr>
          <w:lang w:val="sk-SK"/>
        </w:rPr>
        <w:t xml:space="preserve">, EDGAR CH4, EDGAR N2O, EDGAR F-GASES, verzia 8.0, </w:t>
      </w:r>
      <w:hyperlink r:id="rId11" w:history="1">
        <w:r w:rsidRPr="008854EA">
          <w:rPr>
            <w:rStyle w:val="Hyperlink"/>
            <w:lang w:val="sk-SK"/>
          </w:rPr>
          <w:t>https://edgar.jrc.ec.europa.eu/report_2023</w:t>
        </w:r>
      </w:hyperlink>
      <w:r w:rsidRPr="008854EA">
        <w:rPr>
          <w:lang w:val="sk-SK"/>
        </w:rPr>
        <w:t xml:space="preserve">. </w:t>
      </w:r>
    </w:p>
  </w:footnote>
  <w:footnote w:id="10">
    <w:p w14:paraId="457B3084" w14:textId="6ADAC4B7" w:rsidR="00541698" w:rsidRPr="008854EA" w:rsidRDefault="0054169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Výroba, spracovanie a rafinácia paliva.</w:t>
      </w:r>
    </w:p>
  </w:footnote>
  <w:footnote w:id="11">
    <w:p w14:paraId="0004B08B" w14:textId="17BD7874" w:rsidR="00281D03" w:rsidRPr="008854EA" w:rsidRDefault="00281D03"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 nariadení o riadení (EÚ) 2018/1999 sa od členských štátov vyžaduje, aby každoročne do 31. júla predkladali približné inventúry skleníkových plynov. EEA vypracuje približnú inventúru skleníkových plynov Únie na základe týchto predložených údajov alebo, ak niektorý členský štát nezaslal do uvedeného dátumu svoje približné inventúry emisií skleníkových plynov, spraví tak EEA na základe vlastných odhadov. Tým sa zabezpečí včasný odhad emisií skleníkových plynov ešte pred vytvorením úplnej inventarizačnej správy o skleníkových plynoch.</w:t>
      </w:r>
    </w:p>
  </w:footnote>
  <w:footnote w:id="12">
    <w:p w14:paraId="5136C6FF" w14:textId="7A96AC0A" w:rsidR="003151D1"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vertAlign w:val="superscript"/>
          <w:lang w:val="sk-SK"/>
        </w:rPr>
        <w:tab/>
      </w:r>
      <w:r w:rsidRPr="008854EA">
        <w:rPr>
          <w:rStyle w:val="FootnoteReference"/>
          <w:vertAlign w:val="baseline"/>
          <w:lang w:val="sk-SK"/>
        </w:rPr>
        <w:t>Založené na inventúre skleníkových plynov za rok 2023 a približnej inventúre skleníkových plynov v EÚ za rok 2022 na základe informácií od členských štátov, bez medzinárodných zásobníkov paliva.</w:t>
      </w:r>
      <w:r w:rsidRPr="008854EA">
        <w:rPr>
          <w:lang w:val="sk-SK"/>
        </w:rPr>
        <w:t xml:space="preserve"> Poznámky: 1. Odvetvie energetiky sa týka výroby elektriny a tepla a spracovania ropy; 2. </w:t>
      </w:r>
    </w:p>
    <w:p w14:paraId="5952E18D" w14:textId="399D0B1B" w:rsidR="00E31BEE" w:rsidRPr="008854EA" w:rsidRDefault="003151D1" w:rsidP="003330A9">
      <w:pPr>
        <w:pStyle w:val="FootnoteText1"/>
        <w:spacing w:line="240" w:lineRule="auto"/>
        <w:ind w:left="720"/>
        <w:rPr>
          <w:lang w:val="sk-SK"/>
        </w:rPr>
      </w:pPr>
      <w:r w:rsidRPr="008854EA">
        <w:rPr>
          <w:lang w:val="sk-SK"/>
        </w:rPr>
        <w:t>Priemysel zahŕňa spaľovanie paliva vo výrobe a v stavebníctve a emisie z priemyselných procesov a používania výrobkov. 3. Budovy zahŕňajú emisie zo spotreby energie v obytných budovách a budovách terciárneho sektora a zo spotreby energie v odvetví poľnohospodárstva a rybolovu (kód inventúry skleníkových plynov 1.A.4).</w:t>
      </w:r>
    </w:p>
  </w:footnote>
  <w:footnote w:id="13">
    <w:p w14:paraId="6F60C9AA" w14:textId="679132B1" w:rsidR="00FD08D8" w:rsidRPr="008854EA" w:rsidRDefault="00FD08D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Najmä kvôli dočasnému zatvoreniu niekoľkých jadrových reaktorov vo Francúzsku pre technickú údržbu a/alebo dodatočné inšpekcie.</w:t>
      </w:r>
    </w:p>
  </w:footnote>
  <w:footnote w:id="14">
    <w:p w14:paraId="6F257524" w14:textId="242DE5D3" w:rsidR="00FD08D8" w:rsidRPr="008854EA" w:rsidRDefault="00FD08D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Čiastočne kvôli suchu a vysokým teplotám vody v mnohých častiach EÚ.</w:t>
      </w:r>
    </w:p>
  </w:footnote>
  <w:footnote w:id="15">
    <w:p w14:paraId="6AD8083B" w14:textId="63B06ACD" w:rsidR="00541698" w:rsidRPr="008854EA" w:rsidRDefault="00541698"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r w:rsidRPr="008854EA">
        <w:rPr>
          <w:lang w:val="sk-SK"/>
        </w:rPr>
        <w:t>Články 29 a 35 nariadenia energetickej únie a opatrení v oblasti klímy [nariadenie (EÚ) 2018/1999].</w:t>
      </w:r>
    </w:p>
  </w:footnote>
  <w:footnote w:id="16">
    <w:p w14:paraId="7CC0A2DC" w14:textId="731451EB" w:rsidR="00541698" w:rsidRPr="008854EA" w:rsidRDefault="00541698" w:rsidP="001F2564">
      <w:pPr>
        <w:pStyle w:val="FootnoteText1"/>
        <w:spacing w:line="240" w:lineRule="auto"/>
        <w:ind w:left="720" w:hanging="720"/>
        <w:rPr>
          <w:lang w:val="sk-SK"/>
        </w:rPr>
      </w:pPr>
      <w:r w:rsidRPr="008854EA">
        <w:rPr>
          <w:vertAlign w:val="superscript"/>
          <w:lang w:val="sk-SK"/>
        </w:rPr>
        <w:footnoteRef/>
      </w:r>
      <w:r w:rsidR="003330A9" w:rsidRPr="008854EA">
        <w:rPr>
          <w:vertAlign w:val="superscript"/>
          <w:lang w:val="sk-SK"/>
        </w:rPr>
        <w:tab/>
      </w:r>
      <w:r w:rsidRPr="008854EA">
        <w:rPr>
          <w:lang w:val="sk-SK"/>
        </w:rPr>
        <w:t>Články 6 až 8 európskeho právneho predpisu v oblasti klímy [EUR-Lex - 32021R1119 - EN - EUR-Lex (europa.eu)].</w:t>
      </w:r>
    </w:p>
  </w:footnote>
  <w:footnote w:id="17">
    <w:p w14:paraId="0D8ACC43" w14:textId="6EB3C002" w:rsidR="003656E2" w:rsidRPr="008854EA" w:rsidRDefault="003656E2"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Cieľ klimatickej neutrality EÚ, ako sa stanovuje v článku 2 ods. 1 nariadenia (EÚ) 2021/1119, sa dosiahne, keď emisie skleníkových plynov a ich odstraňovanie regulované právnymi predpismi EÚ dosiahnu v rámci EÚ najneskôr do roku 2050 rovnováhu, čím sa zabezpečí nulová bilancia emisií. Následne je cieľom EÚ dosiahnuť záporné emisie.</w:t>
      </w:r>
    </w:p>
  </w:footnote>
  <w:footnote w:id="18">
    <w:p w14:paraId="7AE8BFD6" w14:textId="48FDCEE5"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Cieľ EÚ na rok 2030, ako sa uvádza v tabuľke aj v súvisiacich posúdeniach pokroku, nie je v plnom súlade s presným právnym rozsahom cieľa na rok 2030, ktorý zahŕňa všetky emisie a ich odstraňovanie regulované právnymi predpismi EÚ. Zatiaľ čo systém EU ETS zahŕňa emisie zo všetkých letov v rámci Európskeho hospodárskeho priestoru (ďalej len „EHP“) a odlety do Švajčiarska a Spojeného kráľovstva, tieto emisie (menej ako 2 % celkových emisií skleníkových plynov) sa v tomto posúdení nezohľadňujú. Viac informácií o emisiách z leteckej dopravy v rámci ETS sa uvádzajú v kapitole 2. </w:t>
      </w:r>
    </w:p>
  </w:footnote>
  <w:footnote w:id="19">
    <w:p w14:paraId="71F6C7B2" w14:textId="60707033"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Päťročný priemer porovnaný so spotrebou plynu medzi augustom 2022 a júnom 2023 (Správa o stave energetickej únie 2023).</w:t>
      </w:r>
    </w:p>
  </w:footnote>
  <w:footnote w:id="20">
    <w:p w14:paraId="47E9A4E1" w14:textId="4BF5A73F"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rStyle w:val="FootnoteReference"/>
          <w:vertAlign w:val="baseline"/>
          <w:lang w:val="sk-SK"/>
        </w:rPr>
        <w:t>Založené na inventúre skleníkových plynov za rok 2023 a približnej inventúre skleníkových plynov v EÚ za rok 2022 na základe informácií od členských štátov, bez medzinárodných zásobníkov paliva.</w:t>
      </w:r>
      <w:r w:rsidRPr="008854EA">
        <w:rPr>
          <w:lang w:val="sk-SK"/>
        </w:rPr>
        <w:t xml:space="preserve"> Lineárne trajektórie pre emisie skleníkových plynov a ich odstraňovanie vychádzajú z legislatívnych cieľov EÚ na rok 2030. Na splnenie cieľa znížiť emisie skleníkových plynov o 55 % do roku 2030 (európsky právny predpis v oblasti klímy) sa predpokladá obmedzenie príspevku ich odstraňovania na množstvo 225 miliónov ton ekvivalentu CO</w:t>
      </w:r>
      <w:r w:rsidRPr="008854EA">
        <w:rPr>
          <w:vertAlign w:val="subscript"/>
          <w:lang w:val="sk-SK"/>
        </w:rPr>
        <w:t>2</w:t>
      </w:r>
      <w:r w:rsidRPr="008854EA">
        <w:rPr>
          <w:lang w:val="sk-SK"/>
        </w:rPr>
        <w:t>. Národné ciele pre skleníkové plyny pochádzajú zo správ členských štátov o pokroku NEKP (príloha I, tabuľka 1). Akékoľvek chýbajúce údaje sú nahradené inými cieľmi alebo míľnikmi, ktoré členské štáty predložili Komisii v rámci iného podávania správ (t. j. národné dlhodobé stratégie, integrované národné energetické a klimatické plány alebo projekcie skleníkových plynov na rok 2021). Ročné priemerné zníženie emisií po roku 2030 vychádza z lineárnej trajektórie smerom ku klimatickej neutralite EÚ. Týmto nie je dotknuté tempo požadované v novom cieli na rok 2040, ktorý Komisia navrhne v súlade s právnym predpisom v oblasti klímy.</w:t>
      </w:r>
    </w:p>
  </w:footnote>
  <w:footnote w:id="21">
    <w:p w14:paraId="582AC4FC" w14:textId="7B48138C"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Využívanie slnečnej energie v EÚ sa medziročne zvýšilo o 47 % oproti 28,1 GW v roku 2021. Novopridaná kapacita slnečnej energie vo výške 41,4 GW v roku 2022 sa rovná energii potrebnej pre 12,4 milióna európskych domácností. </w:t>
      </w:r>
      <w:hyperlink r:id="rId12" w:history="1">
        <w:r w:rsidRPr="008854EA">
          <w:rPr>
            <w:rStyle w:val="Hyperlink"/>
            <w:lang w:val="sk-SK"/>
          </w:rPr>
          <w:t>Podľa novej správy prudko vzrástlo využívanie slnečnej energie v EÚ, a to takmer o 50 % v roku 2022 – združenie SolarPower Europe</w:t>
        </w:r>
      </w:hyperlink>
      <w:r w:rsidRPr="008854EA">
        <w:rPr>
          <w:lang w:val="sk-SK"/>
        </w:rPr>
        <w:t xml:space="preserve">. Nová kapacita veternej energie tvorila v roku 2022 približne 16 GW, čo je nárast o 40 % oproti roku 2021. </w:t>
      </w:r>
      <w:hyperlink r:id="rId13" w:anchor=":~:text=Europe%20built%2019%20GW%20of,for%20the%20EU's%202030%20goals." w:history="1">
        <w:r w:rsidRPr="008854EA">
          <w:rPr>
            <w:rStyle w:val="Hyperlink"/>
            <w:lang w:val="sk-SK"/>
          </w:rPr>
          <w:t>EÚ vybudovala v roku 2022 len 16 GW novej kapacity, pokiaľ ide o veternú energiu:</w:t>
        </w:r>
      </w:hyperlink>
      <w:r w:rsidR="001E5844">
        <w:rPr>
          <w:rStyle w:val="Hyperlink"/>
          <w:lang w:val="sk-SK"/>
        </w:rPr>
        <w:t xml:space="preserve"> </w:t>
      </w:r>
      <w:hyperlink r:id="rId14" w:anchor=":~:text=Europe%20built%2019%20GW%20of,for%20the%20EU's%202030%20goals." w:history="1">
        <w:r w:rsidRPr="008854EA">
          <w:rPr>
            <w:rStyle w:val="Hyperlink"/>
            <w:lang w:val="sk-SK"/>
          </w:rPr>
          <w:t>Musí obnoviť dôveru investorov a podporiť dodávateľský reťazec |</w:t>
        </w:r>
      </w:hyperlink>
      <w:r w:rsidR="001E5844">
        <w:rPr>
          <w:rStyle w:val="Hyperlink"/>
          <w:lang w:val="sk-SK"/>
        </w:rPr>
        <w:t xml:space="preserve"> </w:t>
      </w:r>
      <w:hyperlink r:id="rId15" w:anchor=":~:text=Europe%20built%2019%20GW%20of,for%20the%20EU's%202030%20goals." w:history="1">
        <w:r w:rsidRPr="008854EA">
          <w:rPr>
            <w:rStyle w:val="Hyperlink"/>
            <w:lang w:val="sk-SK"/>
          </w:rPr>
          <w:t>WindEurope</w:t>
        </w:r>
      </w:hyperlink>
      <w:r w:rsidRPr="008854EA">
        <w:rPr>
          <w:lang w:val="sk-SK"/>
        </w:rPr>
        <w:t>.</w:t>
      </w:r>
    </w:p>
  </w:footnote>
  <w:footnote w:id="22">
    <w:p w14:paraId="7BD3ECBB" w14:textId="0C93348D"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Európske združenie výrobcov tepelných čerpadiel, vychádzajúc z údajov 21 trhov, počet tepelných čerpadiel predaných v roku 2022 nahradil zhruba 4 miliardy metrov kubických zemného plynu, čím došlo k zníženiu emisií CO</w:t>
      </w:r>
      <w:r w:rsidRPr="008854EA">
        <w:rPr>
          <w:vertAlign w:val="subscript"/>
          <w:lang w:val="sk-SK"/>
        </w:rPr>
        <w:t>2</w:t>
      </w:r>
      <w:r w:rsidRPr="008854EA">
        <w:rPr>
          <w:lang w:val="sk-SK"/>
        </w:rPr>
        <w:t xml:space="preserve"> o približne 8 miliónov ton. </w:t>
      </w:r>
      <w:hyperlink r:id="rId16" w:history="1">
        <w:r w:rsidRPr="008854EA">
          <w:rPr>
            <w:rStyle w:val="Hyperlink"/>
            <w:lang w:val="sk-SK"/>
          </w:rPr>
          <w:t>Trhové údaje – Európske združenie výrobcov tepelných čerpadiel (ehpa.org)</w:t>
        </w:r>
      </w:hyperlink>
      <w:r w:rsidRPr="008854EA">
        <w:rPr>
          <w:lang w:val="sk-SK"/>
        </w:rPr>
        <w:t>.</w:t>
      </w:r>
    </w:p>
  </w:footnote>
  <w:footnote w:id="23">
    <w:p w14:paraId="0C2DC570" w14:textId="53AB0AAA"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Globálny výhľad v oblasti elektrických vozidiel na rok 2023 (IEA).</w:t>
      </w:r>
    </w:p>
  </w:footnote>
  <w:footnote w:id="24">
    <w:p w14:paraId="0517C87C" w14:textId="1972D933"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rStyle w:val="FootnoteReference"/>
          <w:vertAlign w:val="baseline"/>
          <w:lang w:val="sk-SK"/>
        </w:rPr>
        <w:t>Na základe inventúry skleníkových plynov za rok 2023</w:t>
      </w:r>
      <w:r w:rsidRPr="008854EA">
        <w:rPr>
          <w:lang w:val="sk-SK"/>
        </w:rPr>
        <w:t xml:space="preserve"> a modelových výstupov hlavného politického scenára, v ktorom sa podporujú iniciatívy na realizáciu Európskej zelenej dohody. Negatívne hodnoty sektora LULUCF naznačujú nárast úrovne odstraňovania skleníkových plynov. Poznámky: 1. Odvetvie energetiky sa týka výroby elektriny a tepla a spracovania ropy; 2. Priemysel zahŕňa spaľovanie paliva vo výrobe a v stavebníctve a emisie z priemyselných procesov a používania výrobkov. 3. Budovy zahŕňajú emisie zo spotreby energie v obytných budovách a budovách terciárneho sektora. 4. Poľnohospodárstvo zahŕňa iné emisie než emisie CO</w:t>
      </w:r>
      <w:r w:rsidRPr="008854EA">
        <w:rPr>
          <w:vertAlign w:val="subscript"/>
          <w:lang w:val="sk-SK"/>
        </w:rPr>
        <w:t>2</w:t>
      </w:r>
      <w:r w:rsidRPr="008854EA">
        <w:rPr>
          <w:lang w:val="sk-SK"/>
        </w:rPr>
        <w:t xml:space="preserve"> aj emisie z využívania energie v sektore poľnohospodárstva a rybolovu.</w:t>
      </w:r>
    </w:p>
  </w:footnote>
  <w:footnote w:id="25">
    <w:p w14:paraId="7C72DDDD" w14:textId="26072CD3"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Ako sa uvádza v tabuľke 1 prílohy I k vykonávaciemu nariadeniu Komisie (EÚ) 2022/2299 z 15. november 2022. Pozri pracovný dokument útvarov Komisie o posúdení pokroku pri dosahovaní cieľov energetickej únie a opatrení v oblasti klímy, ktorý sprevádza správu o stave energetickej únie 2023.</w:t>
      </w:r>
    </w:p>
  </w:footnote>
  <w:footnote w:id="26">
    <w:p w14:paraId="5DB6568D" w14:textId="0EB09D66"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Chýbajúce hodnoty integrovanej národnej energetickej a klimatickej správy o pokroku boli v prípade dostupnosti nahradené národnými cieľmi v oblasti skleníkových plynov, ktoré členské štáty predložili Komisii v minulosti (napr. za rok 2021 NEKP alebo dlhodobé stratégie). Keďže ciele môžu byť vyjadrené v rôznych potenciáloch globálneho otepľovania (t. j. AR4 alebo AR5), sú tieto hodnoty len orientačné. </w:t>
      </w:r>
    </w:p>
  </w:footnote>
  <w:footnote w:id="27">
    <w:p w14:paraId="1D1EB701" w14:textId="2AE088BC" w:rsidR="00F91C4D" w:rsidRPr="008854EA" w:rsidRDefault="00F91C4D"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Tieto medzery by mohli ešte zväčšiť emisie z medzinárodnej námornej a leteckej dopravy, keď budú zahrnuté do rozsahu cieľov EÚ v oblasti klímy.</w:t>
      </w:r>
    </w:p>
  </w:footnote>
  <w:footnote w:id="28">
    <w:p w14:paraId="2B4544E0" w14:textId="75BB4FF4"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Aktualizované NEKP by mali odrážať potrebné vyššie ambície z balíka Fit for 55, iniciatívy REPowerEU a opatrení na riešenie energetickej krízy, ktoré EÚ prijala minulý rok, a to vzhľadom na usmernenia vydané Európskou komisiou v decembri 2022 o aktualizácii NEKP a prebiehajúce hĺbkové preskúmanie nariadenia o riadení.</w:t>
      </w:r>
    </w:p>
  </w:footnote>
  <w:footnote w:id="29">
    <w:p w14:paraId="37235563" w14:textId="0196A249"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Hodnoty vychádzajú z prílohy IX ku správam o pokroku NEKP, ktoré členské štáty predkladali od 31. augusta 2023. Členské štáty mohli uviesť viac ako jeden sektor. Tým sa vysvetľuje, prečo je súčet opatrení vo všetkých dotknutých sektoroch vyšší ako súčasný celkový počet jednotlivých opatrení.</w:t>
      </w:r>
    </w:p>
  </w:footnote>
  <w:footnote w:id="30">
    <w:p w14:paraId="5885851B" w14:textId="48F144C4"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3330A9" w:rsidRPr="008854EA">
        <w:rPr>
          <w:vertAlign w:val="superscript"/>
          <w:lang w:val="sk-SK"/>
        </w:rPr>
        <w:tab/>
      </w:r>
      <w:r w:rsidRPr="008854EA">
        <w:rPr>
          <w:lang w:val="sk-SK"/>
        </w:rPr>
        <w:t>To zahŕňa revidovanú smernicu o EU ETS, nový systém ETS pre budovy, cestnú dopravu a palivá, trhovú stabilizačnú rezervu, nariadenie o spoločnom úsilí, normy CO</w:t>
      </w:r>
      <w:r w:rsidRPr="008854EA">
        <w:rPr>
          <w:vertAlign w:val="subscript"/>
          <w:lang w:val="sk-SK"/>
        </w:rPr>
        <w:t>2</w:t>
      </w:r>
      <w:r w:rsidRPr="008854EA">
        <w:rPr>
          <w:lang w:val="sk-SK"/>
        </w:rPr>
        <w:t xml:space="preserve"> pre automobily a dodávky, nariadenie o využívaní pôdy, zmenách vo využívaní pôdy a lesnom hospodárstve, mechanizmus uhlíkovej kompenzácie na hraniciach, zriadenie Sociálno-klimatického fondu, iniciatívu FuelEU Maritime, nariadenie o infraštruktúre pre alternatívne palivá (AFIR), iniciatívu ReFuelEU Aviation, smernicu o energetickej efektívnosti a smernicu o energii z obnoviteľných zdrojov. Na dosiahnutie dohody čaká už len navrhovaná revidovaná smernica o zdaňovaní energie.</w:t>
      </w:r>
    </w:p>
  </w:footnote>
  <w:footnote w:id="31">
    <w:p w14:paraId="0C1F017E" w14:textId="5DBB895C" w:rsidR="65F2F914" w:rsidRPr="008854EA" w:rsidRDefault="65F2F914"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r w:rsidRPr="008854EA">
        <w:rPr>
          <w:lang w:val="sk-SK"/>
        </w:rPr>
        <w:t>Pozri kapitolu 2 pracovného dokumentu útvarov Komisie – Technické informácie.</w:t>
      </w:r>
    </w:p>
  </w:footnote>
  <w:footnote w:id="32">
    <w:p w14:paraId="4389563E" w14:textId="2C341A2F"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r w:rsidRPr="008854EA">
        <w:rPr>
          <w:lang w:val="sk-SK"/>
        </w:rPr>
        <w:t xml:space="preserve">Odhaduje sa, že prijatím právnych predpisov sa do roku 2030 dosiahne čisté domáce zníženie emisií skleníkových plynov o 57 % v porovnaní s rokom 1990. Prehľad cieľov sa uvádza v kapitole 1 pracovného dokumentu útvarov Komisie – Technické informácie. </w:t>
      </w:r>
    </w:p>
  </w:footnote>
  <w:footnote w:id="33">
    <w:p w14:paraId="06BE5375" w14:textId="765F2C0F"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r w:rsidRPr="008854EA">
        <w:rPr>
          <w:lang w:val="sk-SK"/>
        </w:rPr>
        <w:t>Existujúci systém EU ETS nezahŕňa emisie CO</w:t>
      </w:r>
      <w:r w:rsidRPr="008854EA">
        <w:rPr>
          <w:vertAlign w:val="subscript"/>
          <w:lang w:val="sk-SK"/>
        </w:rPr>
        <w:t>2</w:t>
      </w:r>
      <w:r w:rsidRPr="008854EA">
        <w:rPr>
          <w:lang w:val="sk-SK"/>
        </w:rPr>
        <w:t xml:space="preserve"> zo spaľovania paliva v priemyselnom sektore.</w:t>
      </w:r>
    </w:p>
  </w:footnote>
  <w:footnote w:id="34">
    <w:p w14:paraId="134D7C7F" w14:textId="38092C67" w:rsidR="29C75426" w:rsidRPr="008854EA" w:rsidRDefault="29C75426"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r w:rsidRPr="008854EA">
        <w:rPr>
          <w:rStyle w:val="normaltextrun"/>
          <w:shd w:val="clear" w:color="auto" w:fill="FFFFFF"/>
          <w:lang w:val="sk-SK"/>
        </w:rPr>
        <w:t>Posúdenie vplyvu prvýkrát predložené výboru pre kontrolu regulácie medzi januárom 2022 a aprílom 2023, pre ktoré sa začala medziútvarová konzultácia trvajúca do 23. 5. 2023.</w:t>
      </w:r>
    </w:p>
  </w:footnote>
  <w:footnote w:id="35">
    <w:p w14:paraId="13127712" w14:textId="3F44ADC3"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r w:rsidRPr="008854EA">
        <w:rPr>
          <w:lang w:val="sk-SK"/>
        </w:rPr>
        <w:t>Šiesta hodnotiaca správa IPCC, Dôsledky, adaptácia a zraniteľnosť, február 2022.</w:t>
      </w:r>
    </w:p>
  </w:footnote>
  <w:footnote w:id="36">
    <w:p w14:paraId="466E9D32" w14:textId="2B27EABD"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 rámci UNFCCC sa EÚ a jej členské štáty (vrátane Spojeného kráľovstva) zaviazali k spoločnému cieľu pre celé hospodárstvo, a to znížiť emisie skleníkových plynov o 20 % do roku 2020 v porovnaní s úrovňami z roku 1990 (ďalej len „záväzok z Cancúnu“).</w:t>
      </w:r>
    </w:p>
  </w:footnote>
  <w:footnote w:id="37">
    <w:p w14:paraId="1C914EB9" w14:textId="03E12B42"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 rámci druhého záväzného obdobia Kjótskeho protokolu na roky 2013 – 2020 sa EÚ, jej členské štáty, Spojené kráľovstvo a Island zaviazali spoločne znížiť emisie skleníkových plynov v priemere o 20 % v porovnaní s úrovňami z roku 1990.</w:t>
      </w:r>
    </w:p>
  </w:footnote>
  <w:footnote w:id="38">
    <w:p w14:paraId="3F0DEF5A" w14:textId="2764130D"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Čisté emisie skleníkových plynov v súlade s cieľom EÚ do roku 2030 (približne 2 100 miliónov ton ekvivalentu CO</w:t>
      </w:r>
      <w:r w:rsidRPr="008854EA">
        <w:rPr>
          <w:vertAlign w:val="subscript"/>
          <w:lang w:val="sk-SK"/>
        </w:rPr>
        <w:t>2</w:t>
      </w:r>
      <w:r w:rsidRPr="008854EA">
        <w:rPr>
          <w:lang w:val="sk-SK"/>
        </w:rPr>
        <w:t>) vydelené aktuálnymi projekciami Eurostatu o obyvateľstve v prípade EÚ27 do roku 2030 (približne 550 miliónov obyvateľov EÚ) sa rovná 4,7 tony ekvivalentu CO</w:t>
      </w:r>
      <w:r w:rsidRPr="008854EA">
        <w:rPr>
          <w:vertAlign w:val="subscript"/>
          <w:lang w:val="sk-SK"/>
        </w:rPr>
        <w:t>2</w:t>
      </w:r>
      <w:r w:rsidRPr="008854EA">
        <w:rPr>
          <w:lang w:val="sk-SK"/>
        </w:rPr>
        <w:t xml:space="preserve"> na obyvateľa. </w:t>
      </w:r>
    </w:p>
  </w:footnote>
  <w:footnote w:id="39">
    <w:p w14:paraId="62398656" w14:textId="1C1447A1"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S výnimkou emisií a ich odstraňovania z LULUCF. </w:t>
      </w:r>
    </w:p>
  </w:footnote>
  <w:footnote w:id="40">
    <w:p w14:paraId="53E37725" w14:textId="6CE7B3A4"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hyperlink r:id="rId17" w:history="1">
        <w:r w:rsidRPr="008854EA">
          <w:rPr>
            <w:rStyle w:val="Hyperlink"/>
            <w:i/>
            <w:iCs/>
            <w:lang w:val="sk-SK"/>
          </w:rPr>
          <w:t>Scientific advice for the determination of an EU-wide 2040 climate target and a GHG budget for 2030–2050 (europa.eu)</w:t>
        </w:r>
        <w:r w:rsidRPr="008854EA">
          <w:rPr>
            <w:rStyle w:val="Hyperlink"/>
            <w:lang w:val="sk-SK"/>
          </w:rPr>
          <w:t xml:space="preserve"> (Vedecké poradenstvo na určenie cieľa pre EÚ v oblasti klímy do roku 2040 a rozpočtu skleníkových plynov na roky 2030 – 2050)</w:t>
        </w:r>
      </w:hyperlink>
      <w:r w:rsidRPr="008854EA">
        <w:rPr>
          <w:lang w:val="sk-SK"/>
        </w:rPr>
        <w:t>.</w:t>
      </w:r>
    </w:p>
  </w:footnote>
  <w:footnote w:id="41">
    <w:p w14:paraId="585EA17A" w14:textId="27151AAB"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hyperlink r:id="rId18" w:history="1">
        <w:r w:rsidRPr="008854EA">
          <w:rPr>
            <w:rStyle w:val="Hyperlink"/>
            <w:i/>
            <w:iCs/>
            <w:lang w:val="sk-SK"/>
          </w:rPr>
          <w:t>Policy scenarios for delivering the European Green Deal</w:t>
        </w:r>
        <w:r w:rsidRPr="008854EA">
          <w:rPr>
            <w:rStyle w:val="Hyperlink"/>
            <w:lang w:val="sk-SK"/>
          </w:rPr>
          <w:t xml:space="preserve"> (Politické scenáre na plnenie Európskej zelenej dohody)</w:t>
        </w:r>
      </w:hyperlink>
      <w:r w:rsidRPr="008854EA">
        <w:rPr>
          <w:rStyle w:val="Hyperlink"/>
          <w:lang w:val="sk-SK"/>
        </w:rPr>
        <w:t>. Po roku 2030 je distribučný kľúč konštantný.</w:t>
      </w:r>
      <w:r w:rsidRPr="008854EA">
        <w:rPr>
          <w:lang w:val="sk-SK"/>
        </w:rPr>
        <w:t xml:space="preserve"> </w:t>
      </w:r>
    </w:p>
  </w:footnote>
  <w:footnote w:id="42">
    <w:p w14:paraId="1235BF48" w14:textId="53E89BF3"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Projekcie „s existujúcimi opatreniami“ zahŕňajú vplyvy prijatých a vykonaných politík a opatrení na emisie skleníkových plynov.</w:t>
      </w:r>
    </w:p>
  </w:footnote>
  <w:footnote w:id="43">
    <w:p w14:paraId="32F7F709" w14:textId="15AAD010"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ES, SL, HR, RO, IT, BG, LU, IE, EL, AT, HU, BE, FR, PT a CY.</w:t>
      </w:r>
    </w:p>
  </w:footnote>
  <w:footnote w:id="44">
    <w:p w14:paraId="6DCCF1DA" w14:textId="7EC5ED38"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Projekcie „s dodatočnými opatreniami“ zahŕňajú vplyvy prijatých a vykonaných politík a opatrení na zníženie emisií skleníkových plynov, ako aj plánované politiky a opatrenia (napr. opatrenia, o ktorých sa rokuje a ktoré majú po dni predloženia národného plánu skutočnú šancu byť prijaté a vykonávané).</w:t>
      </w:r>
    </w:p>
  </w:footnote>
  <w:footnote w:id="45">
    <w:p w14:paraId="6A673360" w14:textId="1BE2ACD1"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Len 18 členských štátov predložilo svoje projekcie o emisiách skleníkových plynov v rámci scenára „s dodatočným opatrením“.</w:t>
      </w:r>
    </w:p>
  </w:footnote>
  <w:footnote w:id="46">
    <w:p w14:paraId="76942BA7" w14:textId="1406C704"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 metrike sa porovnávajú kumulatívne predpokladané čisté emisie skleníkových plynov (vrátane LULUCF) s kumulatívnymi emisiami, ktoré predstavujú lineárnu trajektóriu od úrovní čistých emisií skleníkových plynov z roku 2021 v jednotlivých členských štátoch až po klimatickú neutralitu do roku 2050.</w:t>
      </w:r>
    </w:p>
  </w:footnote>
  <w:footnote w:id="47">
    <w:p w14:paraId="2D5BA041" w14:textId="1DD79CA0"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CY, DK, FR, EL, IT, MT, AT, HU a SE. </w:t>
      </w:r>
    </w:p>
  </w:footnote>
  <w:footnote w:id="48">
    <w:p w14:paraId="0E88873D" w14:textId="6C04F3C5" w:rsidR="00593459" w:rsidRPr="008854EA" w:rsidRDefault="00593459"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Počet oznámených politík a opatrení by mohol odrážať podrobnosť oznámených politík a opatrení. Napríklad Belgicko aj Francúzsko oznamujú svoje politiky a opatrenia na vysoko podrobnej úrovni (napr. oznámených bolo mnoho regionálnych politík a opatrení), zatiaľ čo iné členské štáty oznamujú svoje politiky a opatrenia súhrnnejším spôsobom. Hodnoty sú z 31. 8. 2023.</w:t>
      </w:r>
    </w:p>
  </w:footnote>
  <w:footnote w:id="49">
    <w:p w14:paraId="3F37651E" w14:textId="0E0EE589" w:rsidR="00BC606E" w:rsidRPr="008854EA" w:rsidRDefault="00BC606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Príloha IX k vykonávaciemu nariadeniu Komisie (EÚ) 2022/2299 z 15. novembra 2022. Pre viac podrobností pozri pracovný dokument útvarov Komisie o posúdení pokroku pri dosahovaní cieľov energetickej únie a opatrení v oblasti klímy, ktorý sprevádza správu o stave energetickej únie 2023.</w:t>
      </w:r>
    </w:p>
  </w:footnote>
  <w:footnote w:id="50">
    <w:p w14:paraId="05FF31C1" w14:textId="48712146"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rStyle w:val="FootnoteReference"/>
          <w:vertAlign w:val="baseline"/>
          <w:lang w:val="sk-SK"/>
        </w:rPr>
        <w:t>Hodnoty vychádzajú z prílohy IX ku správam o pokroku NEKP, ktoré členské štáty predkladali do 15. 8. 2023. Členské štáty mohli označiť viac ako jeden zasiahnutý sektor, takže súčet politík a opatrení vo všetkých zasiahnutých sektoroch môže byť vyšší ako celkový počet jednotlivých politík a opatrení s rozmerom dekarbonizácie.</w:t>
      </w:r>
    </w:p>
  </w:footnote>
  <w:footnote w:id="51">
    <w:p w14:paraId="6CA2A67D" w14:textId="7015DC71" w:rsidR="002C4CD7" w:rsidRPr="008854EA" w:rsidDel="00F3610C" w:rsidRDefault="002C4CD7"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Správa o dotáciách na energiu v EÚ za rok 2023 pripojená k správe o stave energetickej únie 2023.</w:t>
      </w:r>
    </w:p>
  </w:footnote>
  <w:footnote w:id="52">
    <w:p w14:paraId="4FA0AE78" w14:textId="2BE14293"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Do 6. októbra 2023 predložilo 16 členských štátov návrh aktualizovaných NEKP. Šesť členských štátov predvída vo svojich návrhoch NEKP vyššiu ambíciu v porovnaní s oznámenými projekciami v marci 2023.</w:t>
      </w:r>
    </w:p>
  </w:footnote>
  <w:footnote w:id="53">
    <w:p w14:paraId="50F1EAD5" w14:textId="1F6BFCFD"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Vrátane odletov do Švajčiarska a Spojeného kráľovstva. </w:t>
      </w:r>
    </w:p>
  </w:footnote>
  <w:footnote w:id="54">
    <w:p w14:paraId="5F09ECD7" w14:textId="6AA1359D"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Na základe údajov z registra EÚ z 30. júna 2023. </w:t>
      </w:r>
    </w:p>
  </w:footnote>
  <w:footnote w:id="55">
    <w:p w14:paraId="3267FCF9" w14:textId="2A5526A1" w:rsidR="00EC0995" w:rsidRPr="008854EA" w:rsidRDefault="00EC0995"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Emisný strop v rámci systému EU ETS (pri zohľadnení revízie smernice o ETS z roku 2023, t. j. zmena základnej hodnoty v roku 2024 a 2026, zahrnutie sektora námornej dopravy v roku 2024 a lineárny redukčný koeficient 4,3 % v rokoch 2024 až 2027 a 4,4 % od roku 2028) v porovnaní s overenými emisiami. Letectvo nie je zahrnuté. Vzhľadom na zmeny v rozsahu nemožno čísla z rokov 2005 až 2007 priamo porovnávať so súčasnými. Legenda: stĺpce (strop), svetlé tieňované stĺpce v rokoch 2014 – 2016 (kvóty odložené vo fáze 3), svetlé tieňované stĺpce od roku 2019 (kvóty umiestnené do trhovej stabilizačnej rezervy), prerušovaná čiara (overené emisie).</w:t>
      </w:r>
    </w:p>
  </w:footnote>
  <w:footnote w:id="56">
    <w:p w14:paraId="32010D46" w14:textId="647C7F00" w:rsidR="008903CD" w:rsidRPr="008854EA" w:rsidRDefault="008903CD"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EÚ27 + krajiny EHP + Severné Írsko + Inovačný fond + Modernizačný fond. </w:t>
      </w:r>
    </w:p>
  </w:footnote>
  <w:footnote w:id="57">
    <w:p w14:paraId="6D671151" w14:textId="6C985BD6" w:rsidR="008903CD" w:rsidRPr="008854EA" w:rsidRDefault="008903CD"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Zvyšných 24 % sa nevyhnutne nevynaloží na iné účely. Časť sa vynaloží v ďalších rokoch alebo sa nasmeruje do všeobecného rozpočtu používaného na rozličné účely vrátane zmeny klímy a energetiky. </w:t>
      </w:r>
    </w:p>
  </w:footnote>
  <w:footnote w:id="58">
    <w:p w14:paraId="1ACFD6F0" w14:textId="4E1B7EB7"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Nariadenie (EÚ) 2015/757.</w:t>
      </w:r>
    </w:p>
  </w:footnote>
  <w:footnote w:id="59">
    <w:p w14:paraId="7A08FF68" w14:textId="12F16C07" w:rsidR="006D26DE" w:rsidRPr="008854EA" w:rsidRDefault="006D26D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Rozhodnutie č. 406/2009/ES z 23. apríla 2009.</w:t>
      </w:r>
    </w:p>
  </w:footnote>
  <w:footnote w:id="60">
    <w:p w14:paraId="463B26B3" w14:textId="2A3AB8F7" w:rsidR="006D26DE" w:rsidRPr="008854EA" w:rsidRDefault="006D26D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 xml:space="preserve">Nariadenie (EÚ) 2018/842 z 30. mája 2018 zmenené nariadením (EÚ) 2023/857 z 19. apríla 2023. </w:t>
      </w:r>
    </w:p>
  </w:footnote>
  <w:footnote w:id="61">
    <w:p w14:paraId="575CE9A8" w14:textId="289106CC"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 základe inventarizačných údajov za roky 2005 – 2022 a prognóz na roky 2023 – 2030, ktoré nahlásili členské štáty podľa nariadenia (EÚ) 2018/1999 a ktoré zostavila a skontrolovala agentúra EEA. Ročne pridelené emisné kvóty (AEA) podľa rozhodnutia o spoločnom úsilí sú vyjadrené v potenciáli globálneho otepľovania podľa štvrtej hodnotiacej správy (AR4), všetky ostatné hodnoty sú v potenciáli globálneho otepľovania podľa piatej hodnotiacej správy (AR5). Údaje zahŕňajú len EÚ27.</w:t>
      </w:r>
    </w:p>
  </w:footnote>
  <w:footnote w:id="62">
    <w:p w14:paraId="5C556DE6" w14:textId="4DCF175C" w:rsidR="006D26DE" w:rsidRPr="008854EA" w:rsidRDefault="006D26DE" w:rsidP="001F2564">
      <w:pPr>
        <w:pStyle w:val="FootnoteText1"/>
        <w:spacing w:line="240" w:lineRule="auto"/>
        <w:ind w:left="720" w:hanging="720"/>
        <w:rPr>
          <w:lang w:val="sk-SK"/>
        </w:rPr>
      </w:pPr>
      <w:r w:rsidRPr="008854EA">
        <w:rPr>
          <w:vertAlign w:val="superscript"/>
          <w:lang w:val="sk-SK"/>
        </w:rPr>
        <w:footnoteRef/>
      </w:r>
      <w:r w:rsidR="003330A9" w:rsidRPr="008854EA">
        <w:rPr>
          <w:lang w:val="sk-SK"/>
        </w:rPr>
        <w:tab/>
      </w:r>
      <w:r w:rsidRPr="008854EA">
        <w:rPr>
          <w:lang w:val="sk-SK"/>
        </w:rPr>
        <w:t>Ročné emisné kvóty sú ročné limitné hodnoty emisií skleníkových plynov v sektoroch spoločného úsilia pre každý členský štát.</w:t>
      </w:r>
    </w:p>
  </w:footnote>
  <w:footnote w:id="63">
    <w:p w14:paraId="2766B2D2" w14:textId="0BEC0921"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Mechanizmus čistého rozvoja (CDM) je vymedzený v článku 12 Kjótskeho protokolu a umožňuje krajine, ktorá sa zaviazala znížiť alebo obmedziť emisie (strana uvedená v prílohe B), realizovať projekt na zníženie emisií v rozvojových krajinách.</w:t>
      </w:r>
    </w:p>
  </w:footnote>
  <w:footnote w:id="64">
    <w:p w14:paraId="29E6D76A" w14:textId="64654FC1"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 grafe sú znázornené emisie členských štátov podľa rozhodnutia o spoločnom úsilí v roku 2013 (žltý stĺpec) a v roku 2020 (oranžový stĺpec) v porovnaní s ich AEA na rok 2020 (zelená čiara) pred využitím akýchkoľvek flexibilít podľa rozhodnutia o spoločnom úsilí.</w:t>
      </w:r>
    </w:p>
  </w:footnote>
  <w:footnote w:id="65">
    <w:p w14:paraId="63E176A3" w14:textId="40680D0C" w:rsidR="006D26DE" w:rsidRPr="008854EA" w:rsidRDefault="006D26D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Vývoj na Islande a v Nórsku sa opisuje vo výročnej klimatickej správe o pokroku vypracovanej Dozorným úradom EZVO.</w:t>
      </w:r>
    </w:p>
  </w:footnote>
  <w:footnote w:id="66">
    <w:p w14:paraId="0B7EE88D" w14:textId="3494DF56" w:rsidR="006D26DE" w:rsidRPr="008854EA" w:rsidRDefault="006D26DE" w:rsidP="001F2564">
      <w:pPr>
        <w:pStyle w:val="FootnoteText1"/>
        <w:spacing w:line="240" w:lineRule="auto"/>
        <w:ind w:left="720" w:hanging="720"/>
        <w:rPr>
          <w:lang w:val="sk-SK"/>
        </w:rPr>
      </w:pPr>
      <w:r w:rsidRPr="008854EA">
        <w:rPr>
          <w:rStyle w:val="footnotetextChar0"/>
          <w:vertAlign w:val="superscript"/>
          <w:lang w:val="sk-SK"/>
        </w:rPr>
        <w:footnoteRef/>
      </w:r>
      <w:r w:rsidR="003330A9" w:rsidRPr="008854EA">
        <w:rPr>
          <w:rStyle w:val="footnotetextChar0"/>
          <w:lang w:val="sk-SK"/>
        </w:rPr>
        <w:tab/>
      </w:r>
      <w:r w:rsidRPr="008854EA">
        <w:rPr>
          <w:rStyle w:val="footnotetextChar0"/>
          <w:lang w:val="sk-SK"/>
        </w:rPr>
        <w:t>Rakúsko, Cyprus, Dánsko, Írsko a Taliansko. Dánsko už naznačilo, že ak sa v roku 2027 po komplexnom preskúmaní emisií podľa nariadenia o spoločnom úsilí potvrdia nadmerné emisie v roku 2021, plánuje na ich pokrytie využiť flexibilitu</w:t>
      </w:r>
      <w:r w:rsidRPr="008854EA">
        <w:rPr>
          <w:lang w:val="sk-SK"/>
        </w:rPr>
        <w:t xml:space="preserve"> v spojení s nariadením o LULUCF.</w:t>
      </w:r>
    </w:p>
  </w:footnote>
  <w:footnote w:id="67">
    <w:p w14:paraId="1EAC2E16" w14:textId="552957E4" w:rsidR="006D26DE" w:rsidRPr="008854EA" w:rsidRDefault="006D26D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Emisie podľa nariadenia o spoločnom úsilí za rok 2021 vychádzajú z konečných inventarizačných údajov a emisie podľa nariadenia o spoločnom úsilí za rok 2022 vychádzajú z približných inventarizačných údajov, pričom obe tieto skupiny údajov boli nahlásené v roku 2023.</w:t>
      </w:r>
    </w:p>
  </w:footnote>
  <w:footnote w:id="68">
    <w:p w14:paraId="4E70B2B2" w14:textId="41D970EA" w:rsidR="006D26DE" w:rsidRPr="008854EA" w:rsidRDefault="006D26DE" w:rsidP="001F2564">
      <w:pPr>
        <w:pStyle w:val="FootnoteText1"/>
        <w:spacing w:line="240" w:lineRule="auto"/>
        <w:ind w:left="720" w:hanging="720"/>
        <w:rPr>
          <w:rFonts w:cs="Times New Roman"/>
          <w:lang w:val="sk-SK"/>
        </w:rPr>
      </w:pPr>
      <w:r w:rsidRPr="008854EA">
        <w:rPr>
          <w:rStyle w:val="FootnoteReference"/>
          <w:lang w:val="sk-SK"/>
        </w:rPr>
        <w:footnoteRef/>
      </w:r>
      <w:r w:rsidR="003330A9" w:rsidRPr="008854EA">
        <w:rPr>
          <w:lang w:val="sk-SK"/>
        </w:rPr>
        <w:tab/>
      </w:r>
      <w:r w:rsidRPr="008854EA">
        <w:rPr>
          <w:lang w:val="sk-SK"/>
        </w:rPr>
        <w:t>V článku 8 nariadenia o spoločnom úsilí sa stanovuje, že ak Komisia zistí, že sa nedosahuje dostatočný pokrok, členské štáty musia vypracovať plán nápravných opatrení.</w:t>
      </w:r>
    </w:p>
  </w:footnote>
  <w:footnote w:id="69">
    <w:p w14:paraId="5484330D" w14:textId="62615805" w:rsidR="006D26DE" w:rsidRPr="008854EA" w:rsidRDefault="006D26DE" w:rsidP="001F2564">
      <w:pPr>
        <w:pStyle w:val="FootnoteText1"/>
        <w:spacing w:line="240" w:lineRule="auto"/>
        <w:ind w:left="720" w:hanging="720"/>
        <w:rPr>
          <w:rFonts w:cs="Times New Roman"/>
          <w:lang w:val="sk-SK"/>
        </w:rPr>
      </w:pPr>
      <w:r w:rsidRPr="008854EA">
        <w:rPr>
          <w:rStyle w:val="FootnoteReference"/>
          <w:rFonts w:cs="Times New Roman"/>
          <w:lang w:val="sk-SK"/>
        </w:rPr>
        <w:footnoteRef/>
      </w:r>
      <w:r w:rsidR="003330A9" w:rsidRPr="008854EA">
        <w:rPr>
          <w:lang w:val="sk-SK"/>
        </w:rPr>
        <w:tab/>
      </w:r>
      <w:r w:rsidRPr="008854EA">
        <w:rPr>
          <w:lang w:val="sk-SK"/>
        </w:rPr>
        <w:t>AT, BG, CY, CZ, DE, DK, EE, FR, HR, HU, IE, IT, LT, LV, MT, NL, PL, RO, SK.</w:t>
      </w:r>
    </w:p>
  </w:footnote>
  <w:footnote w:id="70">
    <w:p w14:paraId="6EA75223" w14:textId="3D403182" w:rsidR="006D26DE" w:rsidRPr="008854EA" w:rsidRDefault="006D26DE" w:rsidP="001F2564">
      <w:pPr>
        <w:pStyle w:val="FootnoteText1"/>
        <w:spacing w:line="240" w:lineRule="auto"/>
        <w:ind w:left="720" w:hanging="720"/>
        <w:rPr>
          <w:lang w:val="sk-SK"/>
        </w:rPr>
      </w:pPr>
      <w:r w:rsidRPr="008854EA">
        <w:rPr>
          <w:rStyle w:val="FootnoteReference"/>
          <w:rFonts w:cs="Times New Roman"/>
          <w:lang w:val="sk-SK"/>
        </w:rPr>
        <w:footnoteRef/>
      </w:r>
      <w:r w:rsidR="003330A9" w:rsidRPr="008854EA">
        <w:rPr>
          <w:lang w:val="sk-SK"/>
        </w:rPr>
        <w:tab/>
      </w:r>
      <w:r w:rsidRPr="008854EA">
        <w:rPr>
          <w:lang w:val="sk-SK"/>
        </w:rPr>
        <w:t>CY, HR, HU, IE, IT, LT, MT, RO.</w:t>
      </w:r>
    </w:p>
  </w:footnote>
  <w:footnote w:id="71">
    <w:p w14:paraId="2406EF72" w14:textId="4AFA4F20" w:rsidR="006D26DE" w:rsidRPr="008854EA" w:rsidRDefault="006D26DE" w:rsidP="001F2564">
      <w:pPr>
        <w:pStyle w:val="FootnoteText1"/>
        <w:spacing w:line="240" w:lineRule="auto"/>
        <w:ind w:left="720" w:hanging="720"/>
        <w:rPr>
          <w:rFonts w:cs="Times New Roman"/>
          <w:lang w:val="sk-SK"/>
        </w:rPr>
      </w:pPr>
      <w:r w:rsidRPr="008854EA">
        <w:rPr>
          <w:rStyle w:val="FootnoteReference"/>
          <w:lang w:val="sk-SK"/>
        </w:rPr>
        <w:footnoteRef/>
      </w:r>
      <w:r w:rsidR="003330A9" w:rsidRPr="008854EA">
        <w:rPr>
          <w:lang w:val="sk-SK"/>
        </w:rPr>
        <w:tab/>
      </w:r>
      <w:r w:rsidRPr="008854EA">
        <w:rPr>
          <w:lang w:val="sk-SK"/>
        </w:rPr>
        <w:t xml:space="preserve">Pri určovaní emisií členských štátov podľa nariadenia o spoločnom úsilí v rokoch 2021 a 2022 a na účely projekcií na ďalšie roky sa použili dostupné historické a približné údaje. Konečné emisie podľa nariadenia o spoločnom úsilí budú stanovené až po komplexnom preskúmaní v roku 2027 (za roky 2021 – 2025) a v roku 2032 (za roky 2026 – 2030). AEA na roky 2026 – 2030 predstavujú odhadované hodnoty, keďže budú stanovené až po komplexnom preskúmaní v roku 2025. Pozri podrobnejšie informácie v kapitole 2 </w:t>
      </w:r>
      <w:r w:rsidRPr="008854EA">
        <w:rPr>
          <w:color w:val="000000" w:themeColor="text1"/>
          <w:lang w:val="sk-SK"/>
        </w:rPr>
        <w:t>pracovného dokumentu útvarov</w:t>
      </w:r>
      <w:r w:rsidRPr="008854EA">
        <w:rPr>
          <w:lang w:val="sk-SK"/>
        </w:rPr>
        <w:t xml:space="preserve"> Komisie – „Technické informácie“.</w:t>
      </w:r>
    </w:p>
  </w:footnote>
  <w:footnote w:id="72">
    <w:p w14:paraId="391C9D17" w14:textId="2CBDC970" w:rsidR="006D26DE" w:rsidRPr="008854EA" w:rsidRDefault="006D26D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 účely tohto posúdenia sú nadmerné emisie z LULUCF v rokoch 2021 – 2025 rovnomerne rozdelené medzi roky 2021 až 2025, aby sa vypočítalo zníženie AEA podľa nariadenia o spoločnom úsilí. Flexibility podľa nariadenia o LULUCF sa nezohľadňujú.</w:t>
      </w:r>
    </w:p>
  </w:footnote>
  <w:footnote w:id="73">
    <w:p w14:paraId="2EFCAE90" w14:textId="0B7EEF96" w:rsidR="00E77D48" w:rsidRPr="008854EA" w:rsidRDefault="00E77D48" w:rsidP="001F2564">
      <w:pPr>
        <w:pStyle w:val="FootnoteText"/>
        <w:spacing w:line="240" w:lineRule="auto"/>
        <w:ind w:left="720" w:hanging="720"/>
        <w:jc w:val="both"/>
        <w:rPr>
          <w:rFonts w:ascii="Times New Roman" w:hAnsi="Times New Roman" w:cs="Times New Roman"/>
          <w:lang w:val="sk-SK"/>
        </w:rPr>
      </w:pPr>
      <w:r w:rsidRPr="008854EA">
        <w:rPr>
          <w:rStyle w:val="FootnoteReference"/>
          <w:lang w:val="sk-SK"/>
        </w:rPr>
        <w:footnoteRef/>
      </w:r>
      <w:r w:rsidR="003330A9" w:rsidRPr="008854EA">
        <w:rPr>
          <w:lang w:val="sk-SK"/>
        </w:rPr>
        <w:tab/>
      </w:r>
      <w:r w:rsidRPr="008854EA">
        <w:rPr>
          <w:rFonts w:ascii="Times New Roman" w:hAnsi="Times New Roman"/>
          <w:lang w:val="sk-SK"/>
        </w:rPr>
        <w:t>Belgicko, Holandsko, Švédsko a Malta. Flexibilita ETS umožňuje členskému štátu oznámiť Komisii množstvo kvót EU ETS, ktoré má byť k dispozícii na účely súladu s nariadením o spoločnom úsilí. Kvóty EU ETS sa odpočítajú od množstva, s ktorým by sa za bežných okolností obchodovalo formou aukcie v rámci EU ETS.</w:t>
      </w:r>
    </w:p>
  </w:footnote>
  <w:footnote w:id="74">
    <w:p w14:paraId="2EC19145" w14:textId="4008A1A4" w:rsidR="00E77D48" w:rsidRPr="008854EA" w:rsidRDefault="00E77D48" w:rsidP="001F2564">
      <w:pPr>
        <w:pStyle w:val="FootnoteText1"/>
        <w:spacing w:line="240" w:lineRule="auto"/>
        <w:ind w:left="720" w:hanging="720"/>
        <w:rPr>
          <w:lang w:val="sk-SK"/>
        </w:rPr>
      </w:pPr>
      <w:r w:rsidRPr="008854EA">
        <w:rPr>
          <w:rStyle w:val="FootnoteReference"/>
          <w:rFonts w:cs="Times New Roman"/>
          <w:lang w:val="sk-SK"/>
        </w:rPr>
        <w:footnoteRef/>
      </w:r>
      <w:r w:rsidR="003330A9" w:rsidRPr="008854EA">
        <w:rPr>
          <w:lang w:val="sk-SK"/>
        </w:rPr>
        <w:tab/>
      </w:r>
      <w:r w:rsidRPr="008854EA">
        <w:rPr>
          <w:lang w:val="sk-SK"/>
        </w:rPr>
        <w:t>Možnosť nakupovať AEA od členských štátov a predávať AEA členským štátom majú aj Island a Nórsko.</w:t>
      </w:r>
    </w:p>
  </w:footnote>
  <w:footnote w:id="75">
    <w:p w14:paraId="1C3AC413" w14:textId="4C304967" w:rsidR="008D4EE2" w:rsidRPr="008854EA" w:rsidRDefault="008D4EE2"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 základe systému kvót pri meraní z hľadiska vplyvu na klímu (v ekvivalente CO</w:t>
      </w:r>
      <w:r w:rsidRPr="008854EA">
        <w:rPr>
          <w:vertAlign w:val="subscript"/>
          <w:lang w:val="sk-SK"/>
        </w:rPr>
        <w:t>2</w:t>
      </w:r>
      <w:r w:rsidRPr="008854EA">
        <w:rPr>
          <w:lang w:val="sk-SK"/>
        </w:rPr>
        <w:t>).</w:t>
      </w:r>
    </w:p>
  </w:footnote>
  <w:footnote w:id="76">
    <w:p w14:paraId="7D0859A9" w14:textId="1685C5B4" w:rsidR="00E77D48" w:rsidRPr="008854EA" w:rsidRDefault="00E77D4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 základe porovnania s databázou agentúry EEA o politikách a opatreniach v oblasti skleníkových plynov v Európe. Databáza obsahuje všetky už ukončené, prijaté, zavedené, ako aj plánované politiky a opatrenia.</w:t>
      </w:r>
    </w:p>
  </w:footnote>
  <w:footnote w:id="77">
    <w:p w14:paraId="0BA1620C" w14:textId="48DD3C37"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Počet politík a opatrení bol stanovený na základe nahlásených politík a opatrení, pri ktorých členské štáty ako cieľ výslovne uviedli nariadenie o spoločnom úsilí. Počet politík a opatrení v kontexte nariadenia o spoločnom úsilí sa tým pravdepodobne podhodnocuje, pretože nie všetky politiky a opatrenia, ktorých cieľ odvetvovej politiky je úzko spojený so znižovaním emisií podľa nariadenia o spoločnom úsilí (napr. smernica o energetickej hospodárnosti budov), členské štáty kvalifikujú ako politiky a opatrenia v kontexte nariadenia o spoločnom úsilí.</w:t>
      </w:r>
    </w:p>
  </w:footnote>
  <w:footnote w:id="78">
    <w:p w14:paraId="493B1E08" w14:textId="649B65CD"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V porovnaní s úrovňami z roku 2015, pozri SWD(2020) 176 final.</w:t>
      </w:r>
    </w:p>
  </w:footnote>
  <w:footnote w:id="79">
    <w:p w14:paraId="52FDD1B6" w14:textId="06A48949" w:rsidR="004762F8" w:rsidRPr="008854EA" w:rsidRDefault="004762F8"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hyperlink r:id="rId19" w:history="1">
        <w:r w:rsidRPr="008854EA">
          <w:rPr>
            <w:rStyle w:val="Hyperlink"/>
            <w:lang w:val="sk-SK"/>
          </w:rPr>
          <w:t>Hodnotiaca tabuľka obnovy a odolnosti (europa.eu)</w:t>
        </w:r>
      </w:hyperlink>
      <w:r w:rsidRPr="008854EA">
        <w:rPr>
          <w:lang w:val="sk-SK"/>
        </w:rPr>
        <w:t>.</w:t>
      </w:r>
    </w:p>
  </w:footnote>
  <w:footnote w:id="80">
    <w:p w14:paraId="7C977835" w14:textId="0CA3857D"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 základe výsledkov modelovania hlavného politického scenára podporujúceho iniciatívy na realizáciu Európskej zelenej dohody by v rokoch 2022 až 2030 malo priemerné ročné zníženie emisií v doprave predstavovať približne 22 miliónov ton ekvivalentu CO</w:t>
      </w:r>
      <w:r w:rsidRPr="008854EA">
        <w:rPr>
          <w:vertAlign w:val="subscript"/>
          <w:lang w:val="sk-SK"/>
        </w:rPr>
        <w:t>2</w:t>
      </w:r>
      <w:r w:rsidRPr="008854EA">
        <w:rPr>
          <w:lang w:val="sk-SK"/>
        </w:rPr>
        <w:t xml:space="preserve">. </w:t>
      </w:r>
      <w:hyperlink r:id="rId20" w:history="1">
        <w:r w:rsidRPr="008854EA">
          <w:rPr>
            <w:rStyle w:val="Hyperlink"/>
            <w:lang w:val="sk-SK"/>
          </w:rPr>
          <w:t>https://energy.ec.europa.eu/data-and-analysis/energy-modelling/policy-scenarios-delivering-european-green-deal_sk</w:t>
        </w:r>
      </w:hyperlink>
      <w:r w:rsidRPr="008854EA">
        <w:rPr>
          <w:lang w:val="sk-SK"/>
        </w:rPr>
        <w:t>.</w:t>
      </w:r>
    </w:p>
  </w:footnote>
  <w:footnote w:id="81">
    <w:p w14:paraId="59EB7CF1" w14:textId="0014FE0E" w:rsidR="00E31BEE" w:rsidRPr="008854EA" w:rsidRDefault="00E31BEE" w:rsidP="001F2564">
      <w:pPr>
        <w:pStyle w:val="FootnoteText"/>
        <w:spacing w:line="240" w:lineRule="auto"/>
        <w:ind w:left="720" w:hanging="720"/>
        <w:jc w:val="both"/>
        <w:rPr>
          <w:lang w:val="sk-SK"/>
        </w:rPr>
      </w:pPr>
      <w:r w:rsidRPr="008854EA">
        <w:rPr>
          <w:rStyle w:val="FootnoteReference"/>
          <w:lang w:val="sk-SK"/>
        </w:rPr>
        <w:footnoteRef/>
      </w:r>
      <w:r w:rsidR="003330A9" w:rsidRPr="008854EA">
        <w:rPr>
          <w:rFonts w:ascii="Times New Roman" w:hAnsi="Times New Roman"/>
          <w:sz w:val="18"/>
          <w:lang w:val="sk-SK"/>
        </w:rPr>
        <w:tab/>
      </w:r>
      <w:r w:rsidRPr="008854EA">
        <w:rPr>
          <w:rFonts w:ascii="Times New Roman" w:hAnsi="Times New Roman"/>
          <w:sz w:val="18"/>
          <w:lang w:val="sk-SK"/>
        </w:rPr>
        <w:t>Údaje z monitorovania emisií CO</w:t>
      </w:r>
      <w:r w:rsidRPr="008854EA">
        <w:rPr>
          <w:rFonts w:ascii="Times New Roman" w:hAnsi="Times New Roman"/>
          <w:sz w:val="18"/>
          <w:vertAlign w:val="subscript"/>
          <w:lang w:val="sk-SK"/>
        </w:rPr>
        <w:t>2</w:t>
      </w:r>
      <w:r w:rsidRPr="008854EA">
        <w:rPr>
          <w:rFonts w:ascii="Times New Roman" w:hAnsi="Times New Roman"/>
          <w:sz w:val="18"/>
          <w:lang w:val="sk-SK"/>
        </w:rPr>
        <w:t xml:space="preserve"> z osobných automobilov a dodávkových vozidiel – nariadenie (EÚ) 2019/631; uverejnené agentúrou EEA.</w:t>
      </w:r>
    </w:p>
  </w:footnote>
  <w:footnote w:id="82">
    <w:p w14:paraId="3A2514C6" w14:textId="34336B55" w:rsidR="00E31BEE" w:rsidRPr="008854EA" w:rsidRDefault="00E31BEE" w:rsidP="001F2564">
      <w:pPr>
        <w:pStyle w:val="FootnoteText"/>
        <w:spacing w:line="240" w:lineRule="auto"/>
        <w:ind w:left="720" w:hanging="720"/>
        <w:jc w:val="both"/>
        <w:rPr>
          <w:lang w:val="sk-SK"/>
        </w:rPr>
      </w:pPr>
      <w:r w:rsidRPr="008854EA">
        <w:rPr>
          <w:rStyle w:val="FootnoteReference"/>
          <w:lang w:val="sk-SK"/>
        </w:rPr>
        <w:footnoteRef/>
      </w:r>
      <w:r w:rsidR="003330A9" w:rsidRPr="008854EA">
        <w:rPr>
          <w:rFonts w:ascii="Times New Roman" w:hAnsi="Times New Roman"/>
          <w:sz w:val="18"/>
          <w:lang w:val="sk-SK"/>
        </w:rPr>
        <w:tab/>
      </w:r>
      <w:r w:rsidRPr="008854EA">
        <w:rPr>
          <w:rFonts w:ascii="Times New Roman" w:hAnsi="Times New Roman"/>
          <w:sz w:val="18"/>
          <w:lang w:val="sk-SK"/>
        </w:rPr>
        <w:t>Určuje sa počas typového schvaľovania pomocou celosvetovo harmonizovaného skúšobného postupu pre ľahké vozidlá.</w:t>
      </w:r>
    </w:p>
  </w:footnote>
  <w:footnote w:id="83">
    <w:p w14:paraId="3BD10106" w14:textId="0413882E"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Nariadenie Európskeho parlamentu a Rady (EÚ) 2018/841 z 30. mája 2018 o začlenení emisií a odstraňovania skleníkových plynov z využívania pôdy, zo zmien vo využívaní pôdy a z lesného hospodárstva do rámca politík v oblasti klímy a energetiky na rok 2030, ktorým sa mení nariadenie (EÚ) č. 525/2013 a rozhodnutie č. 529/2013/EÚ (Ú. v. EÚ L 156, 19.6.2018, s. 1).</w:t>
      </w:r>
    </w:p>
  </w:footnote>
  <w:footnote w:id="84">
    <w:p w14:paraId="5C211B98" w14:textId="6F3851DA"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3330A9" w:rsidRPr="008854EA">
        <w:rPr>
          <w:lang w:val="sk-SK"/>
        </w:rPr>
        <w:tab/>
      </w:r>
      <w:r w:rsidRPr="008854EA">
        <w:rPr>
          <w:lang w:val="sk-SK"/>
        </w:rPr>
        <w:t>Nariadenie Európskeho parlamentu a Rady (EÚ) 2023/839 z 19. apríla 2023, ktorým sa mení nariadenie (EÚ) 2018/841, pokiaľ ide o rozsah pôsobnosti, zjednodušenie pravidiel týkajúcich sa podávania správ a dodržiavania záväzkov a stanovenie cieľov členských štátov na rok 2030, a nariadenie (EÚ) 2018/1999, pokiaľ ide o zlepšenie monitorovania, podávania správ, sledovania pokroku a preskúmania (Ú. v. EÚ L 107, 21.4.2023, s. 1).</w:t>
      </w:r>
    </w:p>
  </w:footnote>
  <w:footnote w:id="85">
    <w:p w14:paraId="0EC2D2EF" w14:textId="13B30580" w:rsidR="00E31BEE" w:rsidRPr="008854EA" w:rsidRDefault="00E31BEE" w:rsidP="001F2564">
      <w:pPr>
        <w:pStyle w:val="FootnoteText1"/>
        <w:spacing w:line="240" w:lineRule="auto"/>
        <w:ind w:left="720" w:hanging="720"/>
        <w:rPr>
          <w:lang w:val="sk-SK"/>
        </w:rPr>
      </w:pPr>
      <w:bookmarkStart w:id="15" w:name="_Hlk147839720"/>
      <w:r w:rsidRPr="008854EA">
        <w:rPr>
          <w:rStyle w:val="FootnoteReference"/>
          <w:lang w:val="sk-SK"/>
        </w:rPr>
        <w:footnoteRef/>
      </w:r>
      <w:r w:rsidR="003330A9" w:rsidRPr="008854EA">
        <w:rPr>
          <w:lang w:val="sk-SK"/>
        </w:rPr>
        <w:tab/>
      </w:r>
      <w:r w:rsidRPr="008854EA">
        <w:rPr>
          <w:lang w:val="sk-SK"/>
        </w:rPr>
        <w:t>Delegované nariadenie Komisie (EÚ) 2021/268 z 28. októbra 2020, ktorým sa mení príloha IV k nariadeniu Európskeho parlamentu a Rady (EÚ) 2018/841, pokiaľ ide o lesné referenčné úrovne, ktoré majú členské štáty uplatňovať v období 2021 – 2025.</w:t>
      </w:r>
    </w:p>
    <w:bookmarkEnd w:id="15"/>
  </w:footnote>
  <w:footnote w:id="86">
    <w:p w14:paraId="22FC8947" w14:textId="10080000" w:rsidR="005E1F5D" w:rsidRPr="008854EA" w:rsidRDefault="005E1F5D" w:rsidP="001F2564">
      <w:pPr>
        <w:pStyle w:val="FootnoteText1"/>
        <w:spacing w:line="240" w:lineRule="auto"/>
        <w:ind w:left="720" w:hanging="720"/>
        <w:rPr>
          <w:lang w:val="sk-SK"/>
        </w:rPr>
      </w:pPr>
      <w:r w:rsidRPr="008854EA">
        <w:rPr>
          <w:rStyle w:val="FootnoteReference"/>
          <w:rFonts w:cs="Times New Roman"/>
          <w:lang w:val="sk-SK"/>
        </w:rPr>
        <w:footnoteRef/>
      </w:r>
      <w:r w:rsidR="003330A9" w:rsidRPr="008854EA">
        <w:rPr>
          <w:lang w:val="sk-SK"/>
        </w:rPr>
        <w:tab/>
      </w:r>
      <w:r w:rsidRPr="008854EA">
        <w:rPr>
          <w:lang w:val="sk-SK"/>
        </w:rPr>
        <w:t>Údaje o LULUCF predložené v rámci inventúry skleníkových plynov za rok 2023, nahlásené za celý rozsah sektora.</w:t>
      </w:r>
    </w:p>
  </w:footnote>
  <w:footnote w:id="87">
    <w:p w14:paraId="22311352" w14:textId="08053368" w:rsidR="008D3432" w:rsidRPr="008854EA" w:rsidRDefault="00480CE2" w:rsidP="001F2564">
      <w:pPr>
        <w:pStyle w:val="FootnoteText1"/>
        <w:spacing w:line="240" w:lineRule="auto"/>
        <w:ind w:left="720" w:hanging="720"/>
        <w:rPr>
          <w:lang w:val="sk-SK"/>
        </w:rPr>
      </w:pPr>
      <w:r w:rsidRPr="008854EA">
        <w:rPr>
          <w:rStyle w:val="FootnoteReference"/>
          <w:rFonts w:cs="Times New Roman"/>
          <w:lang w:val="sk-SK"/>
        </w:rPr>
        <w:footnoteRef/>
      </w:r>
      <w:r w:rsidR="007213B8" w:rsidRPr="008854EA">
        <w:rPr>
          <w:lang w:val="sk-SK"/>
        </w:rPr>
        <w:tab/>
      </w:r>
      <w:r w:rsidRPr="008854EA">
        <w:rPr>
          <w:lang w:val="sk-SK"/>
        </w:rPr>
        <w:t>V zostupnom poradí: Francúzsko, Fínsko, Česká republika, Portugalsko, Estónsko, Poľsko, Slovinsko, Belgicko a Cyprus vykazujú čistý debet emisií z LULUCF.</w:t>
      </w:r>
    </w:p>
  </w:footnote>
  <w:footnote w:id="88">
    <w:p w14:paraId="239A32C0" w14:textId="57EC3A44" w:rsidR="002A7216" w:rsidRPr="008854EA" w:rsidRDefault="002A7216" w:rsidP="001F2564">
      <w:pPr>
        <w:pStyle w:val="FootnoteText1"/>
        <w:spacing w:line="240" w:lineRule="auto"/>
        <w:ind w:left="720" w:hanging="720"/>
        <w:rPr>
          <w:lang w:val="sk-SK"/>
        </w:rPr>
      </w:pPr>
      <w:r w:rsidRPr="008854EA">
        <w:rPr>
          <w:rStyle w:val="FootnoteReference"/>
          <w:rFonts w:cs="Times New Roman"/>
          <w:lang w:val="sk-SK"/>
        </w:rPr>
        <w:footnoteRef/>
      </w:r>
      <w:r w:rsidR="007213B8" w:rsidRPr="008854EA">
        <w:rPr>
          <w:lang w:val="sk-SK"/>
        </w:rPr>
        <w:tab/>
      </w:r>
      <w:r w:rsidRPr="008854EA">
        <w:rPr>
          <w:lang w:val="sk-SK"/>
        </w:rPr>
        <w:t>Vo vzostupnom poradí: Malta, Luxembursko, Lotyšsko, Holandsko, Chorvátsko, Slovensko, Bulharsko, Grécko, Írsko, Rakúsko, Litva, Dánsko, Maďarsko, Taliansko, Švédsko, Španielsko, Nemecko a Rumunsko vykazujú čistý kredit emisií z LULUCF.</w:t>
      </w:r>
    </w:p>
  </w:footnote>
  <w:footnote w:id="89">
    <w:p w14:paraId="471E72F7" w14:textId="165B6EBC" w:rsidR="00794227" w:rsidRPr="008854EA" w:rsidRDefault="00794227" w:rsidP="001F2564">
      <w:pPr>
        <w:pStyle w:val="FootnoteText1"/>
        <w:spacing w:line="240" w:lineRule="auto"/>
        <w:ind w:left="720" w:hanging="720"/>
        <w:rPr>
          <w:lang w:val="sk-SK"/>
        </w:rPr>
      </w:pPr>
      <w:r w:rsidRPr="008854EA">
        <w:rPr>
          <w:rStyle w:val="FootnoteReference"/>
          <w:rFonts w:cs="Times New Roman"/>
          <w:lang w:val="sk-SK"/>
        </w:rPr>
        <w:footnoteRef/>
      </w:r>
      <w:r w:rsidR="007213B8" w:rsidRPr="008854EA">
        <w:rPr>
          <w:lang w:val="sk-SK"/>
        </w:rPr>
        <w:tab/>
      </w:r>
      <w:r w:rsidRPr="008854EA">
        <w:rPr>
          <w:lang w:val="sk-SK"/>
        </w:rPr>
        <w:t xml:space="preserve">S približnými údajmi o LULUCF, ktoré členské štáty </w:t>
      </w:r>
      <w:r w:rsidRPr="008854EA">
        <w:rPr>
          <w:shd w:val="clear" w:color="auto" w:fill="F7F7F8"/>
          <w:lang w:val="sk-SK"/>
        </w:rPr>
        <w:t>nahlásili za rok 2022, sa spája neistota, a preto treba pri vyvodzovaní záverov z týchto údajov postupovať opatrne. Sedem členských štátov nahlásilo údaje z roku 2021 ako približné údaje za rok 2022.</w:t>
      </w:r>
      <w:r w:rsidRPr="008854EA">
        <w:rPr>
          <w:color w:val="374151"/>
          <w:shd w:val="clear" w:color="auto" w:fill="F7F7F8"/>
          <w:lang w:val="sk-SK"/>
        </w:rPr>
        <w:t xml:space="preserve"> </w:t>
      </w:r>
    </w:p>
  </w:footnote>
  <w:footnote w:id="90">
    <w:p w14:paraId="7A0AF345" w14:textId="2D4D39E0" w:rsidR="00A82415" w:rsidRPr="008854EA" w:rsidRDefault="00A82415" w:rsidP="001F2564">
      <w:pPr>
        <w:pStyle w:val="FootnoteText1"/>
        <w:spacing w:line="240" w:lineRule="auto"/>
        <w:ind w:left="720" w:hanging="720"/>
        <w:rPr>
          <w:lang w:val="sk-SK"/>
        </w:rPr>
      </w:pPr>
      <w:r w:rsidRPr="008854EA">
        <w:rPr>
          <w:rStyle w:val="FootnoteReference"/>
          <w:rFonts w:cs="Times New Roman"/>
          <w:lang w:val="sk-SK"/>
        </w:rPr>
        <w:footnoteRef/>
      </w:r>
      <w:r w:rsidR="007213B8" w:rsidRPr="008854EA">
        <w:rPr>
          <w:lang w:val="sk-SK"/>
        </w:rPr>
        <w:tab/>
      </w:r>
      <w:r w:rsidRPr="008854EA">
        <w:rPr>
          <w:lang w:val="sk-SK"/>
        </w:rPr>
        <w:t>Bulharsko, Dánsko, Grécko, Holandsko, Chorvátsko, Írsko, Litva, Luxembursko, Maďarsko, Nemecko, Rakúsko, Rumunsko, Slovensko, Španielsko, Švédsko, Taliansko.</w:t>
      </w:r>
    </w:p>
  </w:footnote>
  <w:footnote w:id="91">
    <w:p w14:paraId="59498F6E" w14:textId="778E120D" w:rsidR="00995A04" w:rsidRPr="008854EA" w:rsidRDefault="00995A04" w:rsidP="001F2564">
      <w:pPr>
        <w:pStyle w:val="FootnoteText1"/>
        <w:spacing w:line="240" w:lineRule="auto"/>
        <w:ind w:left="720" w:hanging="720"/>
        <w:rPr>
          <w:lang w:val="sk-SK"/>
        </w:rPr>
      </w:pPr>
      <w:r w:rsidRPr="008854EA">
        <w:rPr>
          <w:rStyle w:val="FootnoteReference"/>
          <w:rFonts w:cs="Times New Roman"/>
          <w:lang w:val="sk-SK"/>
        </w:rPr>
        <w:footnoteRef/>
      </w:r>
      <w:r w:rsidR="007213B8" w:rsidRPr="008854EA">
        <w:rPr>
          <w:lang w:val="sk-SK"/>
        </w:rPr>
        <w:tab/>
      </w:r>
      <w:r w:rsidRPr="008854EA">
        <w:rPr>
          <w:lang w:val="sk-SK"/>
        </w:rPr>
        <w:t>Belgicko, Cyprus, Česká republika, Estónsko, Fínsko, Francúzsko, Lotyšsko, Poľsko, Portugalsko, Slovinsko.</w:t>
      </w:r>
    </w:p>
  </w:footnote>
  <w:footnote w:id="92">
    <w:p w14:paraId="526022C7" w14:textId="54DC7ED0" w:rsidR="001A7C71" w:rsidRPr="008854EA" w:rsidRDefault="001A7C71" w:rsidP="001F2564">
      <w:pPr>
        <w:pStyle w:val="FootnoteText1"/>
        <w:spacing w:line="240" w:lineRule="auto"/>
        <w:ind w:left="720" w:hanging="720"/>
        <w:rPr>
          <w:lang w:val="sk-SK"/>
        </w:rPr>
      </w:pPr>
      <w:r w:rsidRPr="008854EA">
        <w:rPr>
          <w:rStyle w:val="FootnoteReference"/>
          <w:rFonts w:cs="Times New Roman"/>
          <w:lang w:val="sk-SK"/>
        </w:rPr>
        <w:footnoteRef/>
      </w:r>
      <w:r w:rsidR="007213B8" w:rsidRPr="008854EA">
        <w:rPr>
          <w:lang w:val="sk-SK"/>
        </w:rPr>
        <w:tab/>
      </w:r>
      <w:r w:rsidRPr="008854EA">
        <w:rPr>
          <w:lang w:val="sk-SK"/>
        </w:rPr>
        <w:t>Rakúsko, Belgicko, Chorvátsko, Cyprus, Dánsko a Estónsko predložili ako približné údaje o LULUCF za rok 2022 rovnaké údaje, aké boli nahlásené pri predložení inventúry skleníkových plynov v roku 2023.</w:t>
      </w:r>
    </w:p>
  </w:footnote>
  <w:footnote w:id="93">
    <w:p w14:paraId="6ACD72DF" w14:textId="705310B3" w:rsidR="00AA1446" w:rsidRPr="008854EA" w:rsidRDefault="00AA1446" w:rsidP="001F2564">
      <w:pPr>
        <w:pStyle w:val="FootnoteText"/>
        <w:spacing w:line="240" w:lineRule="auto"/>
        <w:ind w:left="720" w:hanging="720"/>
        <w:jc w:val="both"/>
        <w:rPr>
          <w:sz w:val="18"/>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r w:rsidRPr="008854EA">
        <w:rPr>
          <w:rFonts w:ascii="Times New Roman" w:hAnsi="Times New Roman"/>
          <w:sz w:val="18"/>
          <w:lang w:val="sk-SK"/>
        </w:rPr>
        <w:t>Celkové kumulatívne emisie/odstraňovanie (v kt ekvivalentu CO</w:t>
      </w:r>
      <w:r w:rsidRPr="008854EA">
        <w:rPr>
          <w:rFonts w:ascii="Times New Roman" w:hAnsi="Times New Roman"/>
          <w:sz w:val="18"/>
          <w:vertAlign w:val="subscript"/>
          <w:lang w:val="sk-SK"/>
        </w:rPr>
        <w:t>2</w:t>
      </w:r>
      <w:r w:rsidRPr="008854EA">
        <w:rPr>
          <w:rFonts w:ascii="Times New Roman" w:hAnsi="Times New Roman"/>
          <w:sz w:val="18"/>
          <w:lang w:val="sk-SK"/>
        </w:rPr>
        <w:t>) z LULUCF podľa kategórií pôdy v rokoch 2021 – 2025, nahlásené členskými štátmi v tabuľke 5b: Projekcie započítaných emisií a odstraňovania zo sektora LULUCF v súlade s nariadením (EÚ) 2018/841.</w:t>
      </w:r>
    </w:p>
  </w:footnote>
  <w:footnote w:id="94">
    <w:p w14:paraId="3BB6CCF1" w14:textId="5154F4BE" w:rsidR="0013078F" w:rsidRPr="008854EA" w:rsidRDefault="0013078F" w:rsidP="001F2564">
      <w:pPr>
        <w:pStyle w:val="FootnoteText"/>
        <w:spacing w:line="240" w:lineRule="auto"/>
        <w:ind w:left="720" w:hanging="720"/>
        <w:jc w:val="both"/>
        <w:rPr>
          <w:rFonts w:ascii="Times New Roman" w:hAnsi="Times New Roman" w:cs="Times New Roman"/>
          <w:sz w:val="18"/>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r w:rsidRPr="008854EA">
        <w:rPr>
          <w:rFonts w:ascii="Times New Roman" w:hAnsi="Times New Roman"/>
          <w:sz w:val="18"/>
          <w:lang w:val="sk-SK"/>
        </w:rPr>
        <w:t>Bulharsko, Česká republika, Dánsko, Fínsko, Francúzsko, Grécko, Holandsko, Malta, Maďarsko, Nemecko, Poľsko, Portugalsko, Rakúsko, Rumunsko, Švédsko a Taliansko.</w:t>
      </w:r>
    </w:p>
  </w:footnote>
  <w:footnote w:id="95">
    <w:p w14:paraId="1CB700B1" w14:textId="3988013A" w:rsidR="0013078F" w:rsidRPr="008854EA" w:rsidRDefault="0013078F" w:rsidP="001F2564">
      <w:pPr>
        <w:pStyle w:val="FootnoteText"/>
        <w:spacing w:line="240" w:lineRule="auto"/>
        <w:ind w:left="720" w:hanging="720"/>
        <w:jc w:val="both"/>
        <w:rPr>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r w:rsidRPr="008854EA">
        <w:rPr>
          <w:rFonts w:ascii="Times New Roman" w:hAnsi="Times New Roman"/>
          <w:sz w:val="18"/>
          <w:lang w:val="sk-SK"/>
        </w:rPr>
        <w:t>Belgicko, Chorvátsko, Estónsko, Írsko, Lotyšsko, Litva, Luxembursko, Slovensko, Slovinsko a Španielsko.</w:t>
      </w:r>
    </w:p>
  </w:footnote>
  <w:footnote w:id="96">
    <w:p w14:paraId="4BE87301" w14:textId="62B4DAB1" w:rsidR="00AA1446" w:rsidRPr="008854EA" w:rsidRDefault="00AA1446" w:rsidP="001F2564">
      <w:pPr>
        <w:pStyle w:val="FootnoteText"/>
        <w:spacing w:line="240" w:lineRule="auto"/>
        <w:ind w:left="720" w:hanging="720"/>
        <w:jc w:val="both"/>
        <w:rPr>
          <w:rFonts w:ascii="Times New Roman" w:hAnsi="Times New Roman" w:cs="Times New Roman"/>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r w:rsidRPr="008854EA">
        <w:rPr>
          <w:rFonts w:ascii="Times New Roman" w:hAnsi="Times New Roman"/>
          <w:sz w:val="18"/>
          <w:lang w:val="sk-SK"/>
        </w:rPr>
        <w:t>Celkové kumulatívne emisie a odstraňovanie (v kt ekvivalentu CO</w:t>
      </w:r>
      <w:r w:rsidRPr="008854EA">
        <w:rPr>
          <w:rFonts w:ascii="Times New Roman" w:hAnsi="Times New Roman"/>
          <w:sz w:val="18"/>
          <w:vertAlign w:val="subscript"/>
          <w:lang w:val="sk-SK"/>
        </w:rPr>
        <w:t>2</w:t>
      </w:r>
      <w:r w:rsidRPr="008854EA">
        <w:rPr>
          <w:rFonts w:ascii="Times New Roman" w:hAnsi="Times New Roman"/>
          <w:sz w:val="18"/>
          <w:lang w:val="sk-SK"/>
        </w:rPr>
        <w:t>) vypočítané v priemere za rok počas päťročného obdobia pomocou projekcií pre jednotlivé kategórie pôdy zohľadňujúcich dodatočné opatrenia, pričom ak nie sú k dispozícii projekcie zohľadňujúce dodatočné opatrenia, použijú sa projekcie zohľadňujúce existujúce opatrenia. LULUCF: Obhospodarovaná lesná pôda vrátane výrobkov z vyťaženého dreva, pri ktorých sa predpokladá okamžitá oxidácia, ak je dostupná.</w:t>
      </w:r>
    </w:p>
  </w:footnote>
  <w:footnote w:id="97">
    <w:p w14:paraId="2F90CE66" w14:textId="7D20CEC5" w:rsidR="00AA1446" w:rsidRPr="008854EA" w:rsidRDefault="00AA1446" w:rsidP="001F2564">
      <w:pPr>
        <w:pStyle w:val="FootnoteText"/>
        <w:spacing w:line="240" w:lineRule="auto"/>
        <w:ind w:left="720" w:hanging="720"/>
        <w:jc w:val="both"/>
        <w:rPr>
          <w:lang w:val="sk-SK"/>
        </w:rPr>
      </w:pPr>
      <w:r w:rsidRPr="008854EA">
        <w:rPr>
          <w:rStyle w:val="FootnoteReference"/>
          <w:sz w:val="18"/>
          <w:lang w:val="sk-SK"/>
        </w:rPr>
        <w:footnoteRef/>
      </w:r>
      <w:r w:rsidR="007213B8" w:rsidRPr="008854EA">
        <w:rPr>
          <w:rFonts w:ascii="Times New Roman" w:hAnsi="Times New Roman"/>
          <w:lang w:val="sk-SK"/>
        </w:rPr>
        <w:tab/>
      </w:r>
      <w:r w:rsidRPr="008854EA">
        <w:rPr>
          <w:rFonts w:ascii="Times New Roman" w:hAnsi="Times New Roman"/>
          <w:lang w:val="sk-SK"/>
        </w:rPr>
        <w:t>Belgicko, Cyprus, Česká republika, Estónsko, Fínsko, Francúzsko, Malta, Portugalsko a Slovinsko.</w:t>
      </w:r>
    </w:p>
  </w:footnote>
  <w:footnote w:id="98">
    <w:p w14:paraId="17D6A5DC" w14:textId="7285C27C" w:rsidR="00604F81" w:rsidRPr="008854EA" w:rsidRDefault="00604F81"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V grafe sa uvádza nahlásené čisté odstraňovanie podľa kategórií využívania pôdy za každý členský štát v roku 2021.</w:t>
      </w:r>
      <w:r w:rsidRPr="008854EA">
        <w:rPr>
          <w:i/>
          <w:lang w:val="sk-SK"/>
        </w:rPr>
        <w:t xml:space="preserve"> </w:t>
      </w:r>
      <w:r w:rsidRPr="008854EA">
        <w:rPr>
          <w:lang w:val="sk-SK"/>
        </w:rPr>
        <w:t xml:space="preserve">Čisté odstraňovanie je vyjadrené v záporných číslach a čisté emisie v kladných číslach. </w:t>
      </w:r>
    </w:p>
  </w:footnote>
  <w:footnote w:id="99">
    <w:p w14:paraId="10116F5D" w14:textId="0E34E447" w:rsidR="00E31BEE" w:rsidRPr="008854EA" w:rsidRDefault="00E31BEE" w:rsidP="001F2564">
      <w:pPr>
        <w:pStyle w:val="FootnoteText1"/>
        <w:spacing w:line="240" w:lineRule="auto"/>
        <w:ind w:left="720" w:hanging="720"/>
        <w:rPr>
          <w:rFonts w:ascii="Calibri" w:hAnsi="Calibri" w:cs="Calibri"/>
          <w:sz w:val="22"/>
          <w:lang w:val="sk-SK"/>
        </w:rPr>
      </w:pPr>
      <w:r w:rsidRPr="008854EA">
        <w:rPr>
          <w:rStyle w:val="FootnoteReference"/>
          <w:lang w:val="sk-SK"/>
        </w:rPr>
        <w:footnoteRef/>
      </w:r>
      <w:r w:rsidR="007213B8" w:rsidRPr="008854EA">
        <w:rPr>
          <w:lang w:val="sk-SK"/>
        </w:rPr>
        <w:tab/>
      </w:r>
      <w:hyperlink r:id="rId21" w:history="1">
        <w:r w:rsidRPr="008854EA">
          <w:rPr>
            <w:rStyle w:val="Hyperlink"/>
            <w:lang w:val="sk-SK"/>
          </w:rPr>
          <w:t>Návrh smernice o monitorovaní a odolnosti pôdy (europa.eu)</w:t>
        </w:r>
      </w:hyperlink>
      <w:r w:rsidRPr="008854EA">
        <w:rPr>
          <w:lang w:val="sk-SK"/>
        </w:rPr>
        <w:t>.</w:t>
      </w:r>
    </w:p>
  </w:footnote>
  <w:footnote w:id="100">
    <w:p w14:paraId="28F00491" w14:textId="3998E4C4" w:rsidR="00B13521" w:rsidRPr="008854EA" w:rsidRDefault="00B13521"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 xml:space="preserve">Nariadenie (EÚ) 2023/839. </w:t>
      </w:r>
    </w:p>
  </w:footnote>
  <w:footnote w:id="101">
    <w:p w14:paraId="671BAAFA" w14:textId="7074309C" w:rsidR="00D04608" w:rsidRPr="008854EA" w:rsidRDefault="00D04608"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 xml:space="preserve">Prostredníctvom zmeny časti 3 písm. e) prílohy V k nariadeniu (EÚ) 2018/1999. </w:t>
      </w:r>
    </w:p>
  </w:footnote>
  <w:footnote w:id="102">
    <w:p w14:paraId="131229C1" w14:textId="3D8EB2E2" w:rsidR="005710A2" w:rsidRPr="008854EA" w:rsidRDefault="005710A2" w:rsidP="001F2564">
      <w:pPr>
        <w:pStyle w:val="FootnoteText"/>
        <w:spacing w:line="240" w:lineRule="auto"/>
        <w:ind w:left="720" w:hanging="720"/>
        <w:jc w:val="both"/>
        <w:rPr>
          <w:rFonts w:ascii="Times New Roman" w:hAnsi="Times New Roman" w:cs="Times New Roman"/>
          <w:lang w:val="sk-SK"/>
        </w:rPr>
      </w:pPr>
      <w:r w:rsidRPr="008854EA">
        <w:rPr>
          <w:rStyle w:val="FootnoteReference"/>
          <w:rFonts w:ascii="Times New Roman" w:hAnsi="Times New Roman" w:cs="Times New Roman"/>
          <w:lang w:val="sk-SK"/>
        </w:rPr>
        <w:footnoteRef/>
      </w:r>
      <w:r w:rsidR="007213B8" w:rsidRPr="008854EA">
        <w:rPr>
          <w:rFonts w:ascii="Times New Roman" w:hAnsi="Times New Roman"/>
          <w:lang w:val="sk-SK"/>
        </w:rPr>
        <w:tab/>
      </w:r>
      <w:r w:rsidRPr="008854EA">
        <w:rPr>
          <w:rFonts w:ascii="Times New Roman" w:hAnsi="Times New Roman"/>
          <w:lang w:val="sk-SK"/>
        </w:rPr>
        <w:t>SWD(2023) </w:t>
      </w:r>
      <w:hyperlink r:id="rId22" w:history="1">
        <w:r w:rsidRPr="008854EA">
          <w:rPr>
            <w:rStyle w:val="Hyperlink"/>
            <w:rFonts w:ascii="Times New Roman" w:hAnsi="Times New Roman"/>
            <w:lang w:val="sk-SK"/>
          </w:rPr>
          <w:t>423</w:t>
        </w:r>
      </w:hyperlink>
      <w:r w:rsidRPr="008854EA">
        <w:rPr>
          <w:rFonts w:ascii="Times New Roman" w:hAnsi="Times New Roman"/>
          <w:lang w:val="sk-SK"/>
        </w:rPr>
        <w:t xml:space="preserve"> final. </w:t>
      </w:r>
    </w:p>
  </w:footnote>
  <w:footnote w:id="103">
    <w:p w14:paraId="06838E76" w14:textId="64E16214" w:rsidR="00553489" w:rsidRPr="008854EA" w:rsidRDefault="00553489"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hyperlink r:id="rId23" w:history="1">
        <w:r w:rsidRPr="008854EA">
          <w:rPr>
            <w:rStyle w:val="Hyperlink"/>
            <w:i/>
            <w:iCs/>
            <w:lang w:val="sk-SK"/>
          </w:rPr>
          <w:t>Guidance on the Development of Public and Private Payment Schemes for Forest Ecosystem Services</w:t>
        </w:r>
      </w:hyperlink>
      <w:r w:rsidRPr="008854EA">
        <w:rPr>
          <w:lang w:val="sk-SK"/>
        </w:rPr>
        <w:t xml:space="preserve"> (Usmernenie k rozvoju verejných a súkromných platobných režimov pre lesné ekosystémové služby) [SWD(2023) 285 final].</w:t>
      </w:r>
    </w:p>
  </w:footnote>
  <w:footnote w:id="104">
    <w:p w14:paraId="42DE03C1" w14:textId="032A7B0B"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hyperlink r:id="rId24" w:history="1">
        <w:r w:rsidRPr="008854EA">
          <w:rPr>
            <w:rStyle w:val="Hyperlink"/>
            <w:lang w:val="sk-SK"/>
          </w:rPr>
          <w:t>Návrh nariadenia, ktorým sa stanovuje rámec Únie pre certifikáciu odstraňovania uhlíka (europa.eu)</w:t>
        </w:r>
      </w:hyperlink>
      <w:r w:rsidRPr="008854EA">
        <w:rPr>
          <w:lang w:val="sk-SK"/>
        </w:rPr>
        <w:t>.</w:t>
      </w:r>
    </w:p>
  </w:footnote>
  <w:footnote w:id="105">
    <w:p w14:paraId="5A42E2DF" w14:textId="060FE579" w:rsidR="00E31BEE" w:rsidRPr="008854EA" w:rsidRDefault="00E31BEE" w:rsidP="001F2564">
      <w:pPr>
        <w:pStyle w:val="FootnoteText1"/>
        <w:spacing w:line="240" w:lineRule="auto"/>
        <w:ind w:left="720" w:hanging="720"/>
        <w:rPr>
          <w:rFonts w:cs="Times New Roman"/>
          <w:lang w:val="sk-SK"/>
        </w:rPr>
      </w:pPr>
      <w:r w:rsidRPr="008854EA">
        <w:rPr>
          <w:rStyle w:val="FootnoteReference"/>
          <w:lang w:val="sk-SK"/>
        </w:rPr>
        <w:footnoteRef/>
      </w:r>
      <w:r w:rsidR="007213B8" w:rsidRPr="008854EA">
        <w:rPr>
          <w:lang w:val="sk-SK"/>
        </w:rPr>
        <w:tab/>
      </w:r>
      <w:hyperlink r:id="rId25" w:history="1">
        <w:r w:rsidRPr="008854EA">
          <w:rPr>
            <w:rStyle w:val="Hyperlink"/>
            <w:lang w:val="sk-SK"/>
          </w:rPr>
          <w:t>Smernica o sociálnej zodpovednosti podnikov a súvisiace normy v oblasti vykazovania informácií o udržateľnosti</w:t>
        </w:r>
      </w:hyperlink>
      <w:r w:rsidRPr="008854EA">
        <w:rPr>
          <w:lang w:val="sk-SK"/>
        </w:rPr>
        <w:t>.</w:t>
      </w:r>
    </w:p>
  </w:footnote>
  <w:footnote w:id="106">
    <w:p w14:paraId="53066418" w14:textId="61277141" w:rsidR="00E31BEE" w:rsidRPr="008854EA" w:rsidRDefault="00E31BEE" w:rsidP="001F2564">
      <w:pPr>
        <w:pStyle w:val="FootnoteText1"/>
        <w:spacing w:line="240" w:lineRule="auto"/>
        <w:ind w:left="720" w:hanging="720"/>
        <w:rPr>
          <w:rFonts w:cs="Times New Roman"/>
          <w:lang w:val="sk-SK"/>
        </w:rPr>
      </w:pPr>
      <w:r w:rsidRPr="008854EA">
        <w:rPr>
          <w:rStyle w:val="FootnoteReference"/>
          <w:rFonts w:cs="Times New Roman"/>
          <w:lang w:val="sk-SK"/>
        </w:rPr>
        <w:footnoteRef/>
      </w:r>
      <w:r w:rsidR="007213B8" w:rsidRPr="008854EA">
        <w:rPr>
          <w:lang w:val="sk-SK"/>
        </w:rPr>
        <w:tab/>
      </w:r>
      <w:hyperlink r:id="rId26" w:history="1">
        <w:r w:rsidRPr="008854EA">
          <w:rPr>
            <w:rStyle w:val="Hyperlink"/>
            <w:lang w:val="sk-SK"/>
          </w:rPr>
          <w:t>Návrh smernice o tvrdeniach týkajúcich sa životného prostredia (europa.eu)</w:t>
        </w:r>
      </w:hyperlink>
      <w:r w:rsidRPr="008854EA">
        <w:rPr>
          <w:lang w:val="sk-SK"/>
        </w:rPr>
        <w:t>.</w:t>
      </w:r>
    </w:p>
  </w:footnote>
  <w:footnote w:id="107">
    <w:p w14:paraId="373AD9D1" w14:textId="05F31BD8"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hyperlink r:id="rId27" w:history="1">
        <w:r w:rsidRPr="008854EA">
          <w:rPr>
            <w:rStyle w:val="Hyperlink"/>
            <w:lang w:val="sk-SK"/>
          </w:rPr>
          <w:t>Expertná skupina pre odstraňovanie uhlíka (europa.eu)</w:t>
        </w:r>
      </w:hyperlink>
      <w:r w:rsidRPr="008854EA">
        <w:rPr>
          <w:lang w:val="sk-SK"/>
        </w:rPr>
        <w:t>.</w:t>
      </w:r>
    </w:p>
  </w:footnote>
  <w:footnote w:id="108">
    <w:p w14:paraId="67C2EC62" w14:textId="799196CE"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hyperlink r:id="rId28">
        <w:r w:rsidRPr="008854EA">
          <w:rPr>
            <w:rStyle w:val="Hyperlink"/>
            <w:i/>
            <w:iCs/>
            <w:u w:val="none"/>
            <w:lang w:val="sk-SK"/>
          </w:rPr>
          <w:t>Heat-related mortality in Europe during the summer of 2022</w:t>
        </w:r>
        <w:r w:rsidRPr="008854EA">
          <w:rPr>
            <w:rStyle w:val="Hyperlink"/>
            <w:u w:val="none"/>
            <w:lang w:val="sk-SK"/>
          </w:rPr>
          <w:t xml:space="preserve"> (Úmrtnosť v Európe v lete 2022 súvisiaca s teplom) |</w:t>
        </w:r>
      </w:hyperlink>
      <w:hyperlink r:id="rId29">
        <w:r w:rsidRPr="008854EA">
          <w:rPr>
            <w:rStyle w:val="Hyperlink"/>
            <w:u w:val="none"/>
            <w:lang w:val="sk-SK"/>
          </w:rPr>
          <w:t xml:space="preserve"> Nature Medicine</w:t>
        </w:r>
      </w:hyperlink>
      <w:r w:rsidRPr="008854EA">
        <w:rPr>
          <w:lang w:val="sk-SK"/>
        </w:rPr>
        <w:t xml:space="preserve">. </w:t>
      </w:r>
    </w:p>
  </w:footnote>
  <w:footnote w:id="109">
    <w:p w14:paraId="3BF3540D" w14:textId="52D240A9"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hyperlink r:id="rId30" w:history="1">
        <w:r w:rsidRPr="008854EA">
          <w:rPr>
            <w:rStyle w:val="Hyperlink"/>
            <w:lang w:val="sk-SK"/>
          </w:rPr>
          <w:t>Hospodárske straty spôsobené extrémnymi klimatickými javmi v Európe (8. EAP) (europa.eu)</w:t>
        </w:r>
      </w:hyperlink>
      <w:r w:rsidRPr="008854EA">
        <w:rPr>
          <w:lang w:val="sk-SK"/>
        </w:rPr>
        <w:t>.</w:t>
      </w:r>
    </w:p>
  </w:footnote>
  <w:footnote w:id="110">
    <w:p w14:paraId="00EC5882" w14:textId="22C58AAB"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hyperlink r:id="rId31">
        <w:r w:rsidRPr="008854EA">
          <w:rPr>
            <w:rStyle w:val="Hyperlink"/>
            <w:u w:val="none"/>
            <w:lang w:val="sk-SK"/>
          </w:rPr>
          <w:t>Šiesta hodnotiaca správa – IPCC</w:t>
        </w:r>
      </w:hyperlink>
      <w:r w:rsidRPr="008854EA">
        <w:rPr>
          <w:lang w:val="sk-SK"/>
        </w:rPr>
        <w:t>.</w:t>
      </w:r>
    </w:p>
  </w:footnote>
  <w:footnote w:id="111">
    <w:p w14:paraId="060C2848" w14:textId="470BEA53"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r w:rsidRPr="008854EA">
        <w:rPr>
          <w:lang w:val="sk-SK"/>
        </w:rPr>
        <w:t>Európske stredisko pre monitorovanie klímy a zdravia (europa.eu).</w:t>
      </w:r>
    </w:p>
  </w:footnote>
  <w:footnote w:id="112">
    <w:p w14:paraId="1B71F65A" w14:textId="5F71B424"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r w:rsidRPr="008854EA">
        <w:rPr>
          <w:lang w:val="sk-SK"/>
        </w:rPr>
        <w:t xml:space="preserve">Centrum DRMKC pre údaje o rizikách (europa.eu). </w:t>
      </w:r>
    </w:p>
  </w:footnote>
  <w:footnote w:id="113">
    <w:p w14:paraId="7E048F66" w14:textId="56372BA2"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hyperlink r:id="rId32">
        <w:r w:rsidRPr="008854EA">
          <w:rPr>
            <w:rStyle w:val="Hyperlink"/>
            <w:u w:val="none"/>
            <w:lang w:val="sk-SK"/>
          </w:rPr>
          <w:t>Rozhovory o odolnosti voči zmene klímy (europa.eu)</w:t>
        </w:r>
      </w:hyperlink>
      <w:r w:rsidRPr="008854EA">
        <w:rPr>
          <w:lang w:val="sk-SK"/>
        </w:rPr>
        <w:t>.</w:t>
      </w:r>
    </w:p>
  </w:footnote>
  <w:footnote w:id="114">
    <w:p w14:paraId="0FFE3F85" w14:textId="2AD6AAA1"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hyperlink r:id="rId33">
        <w:r w:rsidRPr="008854EA">
          <w:rPr>
            <w:rStyle w:val="Hyperlink"/>
            <w:u w:val="none"/>
            <w:lang w:val="sk-SK"/>
          </w:rPr>
          <w:t>Opätovné využívanie vody (europa.eu)</w:t>
        </w:r>
      </w:hyperlink>
      <w:r w:rsidRPr="008854EA">
        <w:rPr>
          <w:lang w:val="sk-SK"/>
        </w:rPr>
        <w:t>.</w:t>
      </w:r>
    </w:p>
  </w:footnote>
  <w:footnote w:id="115">
    <w:p w14:paraId="27D78C23" w14:textId="68D152C3" w:rsidR="00E31BEE" w:rsidRPr="008854EA" w:rsidRDefault="00E31BEE"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hyperlink r:id="rId34">
        <w:r w:rsidRPr="008854EA">
          <w:rPr>
            <w:rStyle w:val="Hyperlink"/>
            <w:u w:val="none"/>
            <w:lang w:val="sk-SK"/>
          </w:rPr>
          <w:t>Európsky klimatický pakt (europa.eu)</w:t>
        </w:r>
      </w:hyperlink>
      <w:r w:rsidRPr="008854EA">
        <w:rPr>
          <w:lang w:val="sk-SK"/>
        </w:rPr>
        <w:t>.</w:t>
      </w:r>
    </w:p>
  </w:footnote>
  <w:footnote w:id="116">
    <w:p w14:paraId="253F5B6E" w14:textId="40A1FB79" w:rsidR="209358B5" w:rsidRPr="008854EA" w:rsidRDefault="209358B5"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r w:rsidRPr="008854EA">
        <w:rPr>
          <w:lang w:val="sk-SK"/>
        </w:rPr>
        <w:t>Misia EÚ: Adaptácia na zmenu klímy (europa.eu).</w:t>
      </w:r>
    </w:p>
  </w:footnote>
  <w:footnote w:id="117">
    <w:p w14:paraId="1327E4BF" w14:textId="2700DEBE" w:rsidR="00E31BEE" w:rsidRPr="008854EA" w:rsidRDefault="00E31BEE" w:rsidP="001F2564">
      <w:pPr>
        <w:pStyle w:val="FootnoteText1"/>
        <w:spacing w:line="240" w:lineRule="auto"/>
        <w:ind w:left="720" w:hanging="720"/>
        <w:rPr>
          <w:rFonts w:cs="Times New Roman"/>
          <w:lang w:val="sk-SK"/>
        </w:rPr>
      </w:pPr>
      <w:r w:rsidRPr="008854EA">
        <w:rPr>
          <w:rStyle w:val="FootnoteReference"/>
          <w:rFonts w:cs="Times New Roman"/>
          <w:lang w:val="sk-SK"/>
        </w:rPr>
        <w:footnoteRef/>
      </w:r>
      <w:r w:rsidR="007213B8" w:rsidRPr="008854EA">
        <w:rPr>
          <w:lang w:val="sk-SK"/>
        </w:rPr>
        <w:tab/>
      </w:r>
      <w:r w:rsidRPr="008854EA">
        <w:rPr>
          <w:lang w:val="sk-SK"/>
        </w:rPr>
        <w:t>SWD(2023) 68 final. Hodnoty v EUR v roku 2022.</w:t>
      </w:r>
    </w:p>
  </w:footnote>
  <w:footnote w:id="118">
    <w:p w14:paraId="7E46BFAF" w14:textId="7F55FA72" w:rsidR="2F5CE879" w:rsidRPr="008854EA" w:rsidRDefault="2F5CE879" w:rsidP="001F2564">
      <w:pPr>
        <w:spacing w:after="0" w:line="240" w:lineRule="auto"/>
        <w:ind w:left="720" w:hanging="720"/>
        <w:jc w:val="both"/>
        <w:rPr>
          <w:rFonts w:ascii="Calibri" w:eastAsia="Calibri" w:hAnsi="Calibri" w:cs="Calibri"/>
          <w:lang w:val="sk-SK"/>
        </w:rPr>
      </w:pPr>
      <w:r w:rsidRPr="008854EA">
        <w:rPr>
          <w:rStyle w:val="FootnoteReference"/>
          <w:rFonts w:ascii="Times New Roman" w:eastAsiaTheme="minorEastAsia" w:hAnsi="Times New Roman" w:cs="Times New Roman"/>
          <w:sz w:val="18"/>
          <w:lang w:val="sk-SK"/>
        </w:rPr>
        <w:footnoteRef/>
      </w:r>
      <w:r w:rsidR="007213B8" w:rsidRPr="008854EA">
        <w:rPr>
          <w:rFonts w:ascii="Times New Roman" w:hAnsi="Times New Roman"/>
          <w:sz w:val="18"/>
          <w:lang w:val="sk-SK"/>
        </w:rPr>
        <w:tab/>
      </w:r>
      <w:r w:rsidRPr="008854EA">
        <w:rPr>
          <w:rFonts w:ascii="Times New Roman" w:hAnsi="Times New Roman"/>
          <w:sz w:val="18"/>
          <w:lang w:val="sk-SK"/>
        </w:rPr>
        <w:t>V tomto údaji sú zahrnuté aj investície v odvetví dopravy, nie však investície do cestnej či železničnej infraštruktúry.</w:t>
      </w:r>
    </w:p>
  </w:footnote>
  <w:footnote w:id="119">
    <w:p w14:paraId="7C7F388B" w14:textId="6845F312" w:rsidR="00E31BEE" w:rsidRPr="008854EA" w:rsidRDefault="00E31BEE" w:rsidP="001F2564">
      <w:pPr>
        <w:pStyle w:val="FootnoteText1"/>
        <w:spacing w:line="240" w:lineRule="auto"/>
        <w:ind w:left="720" w:hanging="720"/>
        <w:rPr>
          <w:rFonts w:cs="Times New Roman"/>
          <w:lang w:val="sk-SK"/>
        </w:rPr>
      </w:pPr>
      <w:r w:rsidRPr="008854EA">
        <w:rPr>
          <w:rStyle w:val="FootnoteReference"/>
          <w:rFonts w:cs="Times New Roman"/>
          <w:lang w:val="sk-SK"/>
        </w:rPr>
        <w:footnoteRef/>
      </w:r>
      <w:r w:rsidR="007213B8" w:rsidRPr="008854EA">
        <w:rPr>
          <w:lang w:val="sk-SK"/>
        </w:rPr>
        <w:tab/>
      </w:r>
      <w:r w:rsidRPr="008854EA">
        <w:rPr>
          <w:lang w:val="sk-SK"/>
        </w:rPr>
        <w:t>COM(2022) 230 final, s. 12.</w:t>
      </w:r>
    </w:p>
  </w:footnote>
  <w:footnote w:id="120">
    <w:p w14:paraId="0079E500" w14:textId="0F9119C4" w:rsidR="00A34E56" w:rsidRPr="008854EA" w:rsidRDefault="00A34E56" w:rsidP="001F2564">
      <w:pPr>
        <w:pStyle w:val="FootnoteText"/>
        <w:spacing w:line="240" w:lineRule="auto"/>
        <w:ind w:left="720" w:hanging="720"/>
        <w:jc w:val="both"/>
        <w:rPr>
          <w:rFonts w:ascii="Times New Roman" w:hAnsi="Times New Roman" w:cs="Times New Roman"/>
          <w:sz w:val="18"/>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r w:rsidRPr="008854EA">
        <w:rPr>
          <w:rFonts w:ascii="Times New Roman" w:hAnsi="Times New Roman"/>
          <w:sz w:val="18"/>
          <w:lang w:val="sk-SK"/>
        </w:rPr>
        <w:t xml:space="preserve">Riziká spojené s transformáciou sa vymedzujú ako finančne významné riziká súvisiace so zmenami v regulačnom prostredí, technologickom vývoji alebo správaní spotrebiteľov. Fyzické riziká sú finančne významné riziká súvisiace s vplyvom zmeny klímy na podnik. </w:t>
      </w:r>
    </w:p>
  </w:footnote>
  <w:footnote w:id="121">
    <w:p w14:paraId="6E27D7BD" w14:textId="38C1E145" w:rsidR="00E31BEE" w:rsidRPr="008854EA" w:rsidRDefault="00E31BEE" w:rsidP="001F2564">
      <w:pPr>
        <w:pStyle w:val="FootnoteText"/>
        <w:spacing w:line="240" w:lineRule="auto"/>
        <w:ind w:left="720" w:hanging="720"/>
        <w:jc w:val="both"/>
        <w:rPr>
          <w:rFonts w:ascii="Times New Roman" w:hAnsi="Times New Roman" w:cs="Times New Roman"/>
          <w:sz w:val="18"/>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r w:rsidRPr="008854EA">
        <w:rPr>
          <w:rFonts w:ascii="Times New Roman" w:hAnsi="Times New Roman"/>
          <w:sz w:val="18"/>
          <w:lang w:val="sk-SK"/>
        </w:rPr>
        <w:t>https://www.icmagroup.org/sustainable-finance/the-principles-guidelines-and-handbooks/green-bond-principles-gbp/.</w:t>
      </w:r>
    </w:p>
  </w:footnote>
  <w:footnote w:id="122">
    <w:p w14:paraId="098C5584" w14:textId="753558E9"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Zdroj: Dealogic DCM a výpočty JRC. Údaje k 30. júnu 2023.</w:t>
      </w:r>
    </w:p>
  </w:footnote>
  <w:footnote w:id="123">
    <w:p w14:paraId="67B95323" w14:textId="24EA0D0F"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Zdroje: Dealogic DCM, výpočet JRC.</w:t>
      </w:r>
    </w:p>
  </w:footnote>
  <w:footnote w:id="124">
    <w:p w14:paraId="4BB749AB" w14:textId="25C72827" w:rsidR="00E31BEE" w:rsidRPr="008854EA" w:rsidRDefault="00E31BEE" w:rsidP="001F2564">
      <w:pPr>
        <w:pStyle w:val="FootnoteText"/>
        <w:spacing w:line="240" w:lineRule="auto"/>
        <w:ind w:left="720" w:hanging="720"/>
        <w:jc w:val="both"/>
        <w:rPr>
          <w:rFonts w:ascii="Times New Roman" w:hAnsi="Times New Roman" w:cs="Times New Roman"/>
          <w:sz w:val="18"/>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hyperlink r:id="rId35" w:history="1">
        <w:r w:rsidRPr="008854EA">
          <w:rPr>
            <w:rStyle w:val="Hyperlink"/>
            <w:rFonts w:ascii="Times New Roman" w:hAnsi="Times New Roman"/>
            <w:sz w:val="18"/>
            <w:lang w:val="sk-SK"/>
          </w:rPr>
          <w:t>Norma pre európske zelené dlhopisy (europa.eu)</w:t>
        </w:r>
      </w:hyperlink>
      <w:r w:rsidRPr="008854EA">
        <w:rPr>
          <w:lang w:val="sk-SK"/>
        </w:rPr>
        <w:t>.</w:t>
      </w:r>
      <w:r w:rsidRPr="008854EA">
        <w:rPr>
          <w:rFonts w:ascii="Times New Roman" w:hAnsi="Times New Roman"/>
          <w:sz w:val="18"/>
          <w:lang w:val="sk-SK"/>
        </w:rPr>
        <w:t xml:space="preserve"> </w:t>
      </w:r>
    </w:p>
  </w:footnote>
  <w:footnote w:id="125">
    <w:p w14:paraId="51920ACC" w14:textId="1C91EFAF" w:rsidR="00E31BEE" w:rsidRPr="008854EA" w:rsidRDefault="00E31BEE" w:rsidP="001F2564">
      <w:pPr>
        <w:pStyle w:val="FootnoteText"/>
        <w:spacing w:line="240" w:lineRule="auto"/>
        <w:ind w:left="720" w:hanging="720"/>
        <w:jc w:val="both"/>
        <w:rPr>
          <w:rFonts w:ascii="Times New Roman" w:hAnsi="Times New Roman" w:cs="Times New Roman"/>
          <w:sz w:val="18"/>
          <w:lang w:val="sk-SK"/>
        </w:rPr>
      </w:pPr>
      <w:r w:rsidRPr="008854EA">
        <w:rPr>
          <w:rStyle w:val="FootnoteReference"/>
          <w:rFonts w:ascii="Times New Roman" w:hAnsi="Times New Roman" w:cs="Times New Roman"/>
          <w:sz w:val="18"/>
          <w:lang w:val="sk-SK"/>
        </w:rPr>
        <w:footnoteRef/>
      </w:r>
      <w:r w:rsidR="007213B8" w:rsidRPr="008854EA">
        <w:rPr>
          <w:lang w:val="sk-SK"/>
        </w:rPr>
        <w:t xml:space="preserve"> </w:t>
      </w:r>
      <w:r w:rsidR="007213B8" w:rsidRPr="008854EA">
        <w:rPr>
          <w:lang w:val="sk-SK"/>
        </w:rPr>
        <w:tab/>
      </w:r>
      <w:hyperlink r:id="rId36" w:history="1">
        <w:r w:rsidR="007213B8" w:rsidRPr="008854EA">
          <w:rPr>
            <w:rStyle w:val="Hyperlink"/>
            <w:rFonts w:ascii="Times New Roman" w:hAnsi="Times New Roman"/>
            <w:sz w:val="18"/>
            <w:lang w:val="sk-SK"/>
          </w:rPr>
          <w:t>https://www.icmagroup.org/assets/documents/Regulatory/Green-Bonds/LMA_Green_Loan_Principles_Booklet-220318.pdf</w:t>
        </w:r>
      </w:hyperlink>
      <w:r w:rsidRPr="008854EA">
        <w:rPr>
          <w:lang w:val="sk-SK"/>
        </w:rPr>
        <w:t>.</w:t>
      </w:r>
      <w:r w:rsidRPr="008854EA">
        <w:rPr>
          <w:rFonts w:ascii="Times New Roman" w:hAnsi="Times New Roman"/>
          <w:sz w:val="18"/>
          <w:lang w:val="sk-SK"/>
        </w:rPr>
        <w:t xml:space="preserve"> </w:t>
      </w:r>
    </w:p>
  </w:footnote>
  <w:footnote w:id="126">
    <w:p w14:paraId="6AB5209A" w14:textId="52949820"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Graf zahŕňa tri typy úverov: skupinové transakcie, syndikované transakcie, dvojstranné transakcie. Zdroj: Refinitiv, výpočty JRC.</w:t>
      </w:r>
    </w:p>
  </w:footnote>
  <w:footnote w:id="127">
    <w:p w14:paraId="41B0B4BF" w14:textId="01C95154"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Článok 6 = fondy nezahŕňajúce udržateľnosť, článok 8 = fondy podporujúce environmentálne alebo sociálne charakteristiky, článok 9 = fondy zamerané na udržateľné investície. Zdroj: MorningStar, výpočet JRC.</w:t>
      </w:r>
    </w:p>
  </w:footnote>
  <w:footnote w:id="128">
    <w:p w14:paraId="3312E671" w14:textId="2C1014B3" w:rsidR="00E31BEE" w:rsidRPr="008854EA" w:rsidRDefault="00E31BEE" w:rsidP="001F2564">
      <w:pPr>
        <w:pStyle w:val="FootnoteText"/>
        <w:spacing w:line="240" w:lineRule="auto"/>
        <w:ind w:left="720" w:hanging="720"/>
        <w:jc w:val="both"/>
        <w:rPr>
          <w:rFonts w:ascii="Times New Roman" w:hAnsi="Times New Roman" w:cs="Times New Roman"/>
          <w:sz w:val="18"/>
          <w:lang w:val="sk-SK"/>
        </w:rPr>
      </w:pPr>
      <w:r w:rsidRPr="008854EA">
        <w:rPr>
          <w:rStyle w:val="FootnoteReference"/>
          <w:rFonts w:ascii="Times New Roman" w:hAnsi="Times New Roman" w:cs="Times New Roman"/>
          <w:sz w:val="18"/>
          <w:lang w:val="sk-SK"/>
        </w:rPr>
        <w:footnoteRef/>
      </w:r>
      <w:r w:rsidR="007213B8" w:rsidRPr="008854EA">
        <w:rPr>
          <w:rFonts w:ascii="Times New Roman" w:hAnsi="Times New Roman"/>
          <w:sz w:val="18"/>
          <w:lang w:val="sk-SK"/>
        </w:rPr>
        <w:tab/>
      </w:r>
      <w:hyperlink r:id="rId37" w:history="1">
        <w:r w:rsidRPr="008854EA">
          <w:rPr>
            <w:rStyle w:val="Hyperlink"/>
            <w:rFonts w:ascii="Times New Roman" w:hAnsi="Times New Roman"/>
            <w:sz w:val="18"/>
            <w:lang w:val="sk-SK"/>
          </w:rPr>
          <w:t>EUR-Lex – 32019R2089 – SK – EUR-Lex (europa.eu)</w:t>
        </w:r>
      </w:hyperlink>
      <w:r w:rsidRPr="008854EA">
        <w:rPr>
          <w:lang w:val="sk-SK"/>
        </w:rPr>
        <w:t>.</w:t>
      </w:r>
    </w:p>
  </w:footnote>
  <w:footnote w:id="129">
    <w:p w14:paraId="771F5BD5" w14:textId="7E82E24B" w:rsidR="00E31BEE" w:rsidRPr="008854EA" w:rsidRDefault="00E31BEE" w:rsidP="001F2564">
      <w:pPr>
        <w:pStyle w:val="FootnoteText1"/>
        <w:spacing w:line="240" w:lineRule="auto"/>
        <w:ind w:left="720" w:hanging="720"/>
        <w:rPr>
          <w:rFonts w:cs="Times New Roman"/>
          <w:lang w:val="sk-SK"/>
        </w:rPr>
      </w:pPr>
      <w:r w:rsidRPr="008854EA">
        <w:rPr>
          <w:rStyle w:val="FootnoteReference"/>
          <w:rFonts w:cs="Times New Roman"/>
          <w:lang w:val="sk-SK"/>
        </w:rPr>
        <w:footnoteRef/>
      </w:r>
      <w:r w:rsidR="007213B8" w:rsidRPr="008854EA">
        <w:rPr>
          <w:lang w:val="sk-SK"/>
        </w:rPr>
        <w:tab/>
      </w:r>
      <w:r w:rsidRPr="008854EA">
        <w:rPr>
          <w:lang w:val="sk-SK"/>
        </w:rPr>
        <w:t>Pracovný dokument útvarov Komisie, Zlepšovanie použiteľnosti taxonómie EÚ a celkového rámca EÚ pre udržateľné financovanie,</w:t>
      </w:r>
      <w:r w:rsidR="00770EA4" w:rsidRPr="008854EA">
        <w:rPr>
          <w:lang w:val="sk-SK"/>
        </w:rPr>
        <w:t xml:space="preserve"> </w:t>
      </w:r>
      <w:hyperlink r:id="rId38" w:history="1">
        <w:r w:rsidR="00770EA4" w:rsidRPr="008854EA">
          <w:rPr>
            <w:rStyle w:val="Hyperlink"/>
            <w:lang w:val="sk-SK"/>
          </w:rPr>
          <w:t>https://impact-investor.com/article-9-funds-underreporting-exposure-to-fossil-fuels-research/</w:t>
        </w:r>
      </w:hyperlink>
      <w:r w:rsidRPr="008854EA">
        <w:rPr>
          <w:lang w:val="sk-SK"/>
        </w:rPr>
        <w:t xml:space="preserve">. </w:t>
      </w:r>
    </w:p>
  </w:footnote>
  <w:footnote w:id="130">
    <w:p w14:paraId="0912F1F8" w14:textId="31839101"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Zelené = horných 10 % spoločností, t. j. pod hranicou 10. percentilu v prípade absolútnych emisií aj hodnotenia intenzity emisií, nedostatočne ekologické = spoločnosti, ktoré sa umiestnili nad stanovenou prahovou hodnotou v prípade absolútnych emisií aj hodnotenia intenzity emisií, sivé z hľadiska intenzity emisií = spoločnosti hodnotené ako zelené z hľadiska absolútnych emisií, ale ako nedostatočne ekologické z hľadiska intenzity emisií, sivé z hľadiska absolútnych emisií = spoločnosti hodnotené ako zelené z hľadiska intenzity emisií, ale ako nedostatočne ekologické z hľadiska absolútnych emisií. Zdroj: Výpočet JRC na základe údajov o emisiách od MSCI (hodnotenie na základe globálneho súboru údajov MSCI, celkové údaje podľa kategórií sa vzťahujú na podsúbor spoločností so sídlom v EÚ).</w:t>
      </w:r>
    </w:p>
  </w:footnote>
  <w:footnote w:id="131">
    <w:p w14:paraId="36D966AD" w14:textId="0E5B333D" w:rsidR="00E31BEE" w:rsidRPr="008854EA" w:rsidRDefault="00E31BEE" w:rsidP="001F2564">
      <w:pPr>
        <w:pStyle w:val="FootnoteText1"/>
        <w:spacing w:line="240" w:lineRule="auto"/>
        <w:ind w:left="720" w:hanging="720"/>
        <w:rPr>
          <w:rFonts w:cs="Times New Roman"/>
          <w:lang w:val="sk-SK"/>
        </w:rPr>
      </w:pPr>
      <w:r w:rsidRPr="008854EA">
        <w:rPr>
          <w:rStyle w:val="FootnoteReference"/>
          <w:rFonts w:cs="Times New Roman"/>
          <w:lang w:val="sk-SK"/>
        </w:rPr>
        <w:footnoteRef/>
      </w:r>
      <w:r w:rsidR="007213B8" w:rsidRPr="008854EA">
        <w:rPr>
          <w:lang w:val="sk-SK"/>
        </w:rPr>
        <w:tab/>
      </w:r>
      <w:hyperlink r:id="rId39" w:history="1">
        <w:r w:rsidRPr="008854EA">
          <w:rPr>
            <w:rStyle w:val="Hyperlink"/>
            <w:lang w:val="sk-SK"/>
          </w:rPr>
          <w:t>EUR-Lex – 32023H1425 – EN – EUR-Lex (europa.eu)</w:t>
        </w:r>
      </w:hyperlink>
      <w:r w:rsidRPr="008854EA">
        <w:rPr>
          <w:lang w:val="sk-SK"/>
        </w:rPr>
        <w:t xml:space="preserve">. </w:t>
      </w:r>
    </w:p>
  </w:footnote>
  <w:footnote w:id="132">
    <w:p w14:paraId="5D567A6D" w14:textId="5790E144" w:rsidR="00264243" w:rsidRPr="008854EA" w:rsidRDefault="00264243"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 xml:space="preserve">Pozri delegované nariadenie o Inovačnom fonde [nariadenie (EÚ) 2019/856]. </w:t>
      </w:r>
    </w:p>
  </w:footnote>
  <w:footnote w:id="133">
    <w:p w14:paraId="60D78131" w14:textId="73BD3275"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COM(2023) 156.</w:t>
      </w:r>
    </w:p>
  </w:footnote>
  <w:footnote w:id="134">
    <w:p w14:paraId="468415E8" w14:textId="16269184"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COM(2023) 62.</w:t>
      </w:r>
    </w:p>
  </w:footnote>
  <w:footnote w:id="135">
    <w:p w14:paraId="54494EB4" w14:textId="588E86F2" w:rsidR="00E31BEE" w:rsidRPr="008854EA" w:rsidRDefault="00E31BEE"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COM(2023) 161.</w:t>
      </w:r>
    </w:p>
  </w:footnote>
  <w:footnote w:id="136">
    <w:p w14:paraId="5DDCBDDA" w14:textId="02580EF4" w:rsidR="00D20EAC" w:rsidRPr="008854EA" w:rsidRDefault="00D20EAC"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r w:rsidRPr="008854EA">
        <w:rPr>
          <w:lang w:val="sk-SK"/>
        </w:rPr>
        <w:t>„Výkaz odhadov“ Európskej komisie zverejnený v rámci prípravy návrhu rozpočtu na rok 2024. Predpokladaná suma odráža úvery, o ktoré sa v súčasnosti žiada v rámci Mechanizmu na podporu obnovy a odolnosti, a nezahŕňa Inovačný fond ani Modernizačný fond.</w:t>
      </w:r>
    </w:p>
  </w:footnote>
  <w:footnote w:id="137">
    <w:p w14:paraId="59521F84" w14:textId="14A263F1" w:rsidR="007631ED" w:rsidRPr="008854EA" w:rsidRDefault="007631ED" w:rsidP="001F2564">
      <w:pPr>
        <w:pStyle w:val="FootnoteText1"/>
        <w:spacing w:line="240" w:lineRule="auto"/>
        <w:ind w:left="720" w:hanging="720"/>
        <w:rPr>
          <w:lang w:val="sk-SK"/>
        </w:rPr>
      </w:pPr>
      <w:r w:rsidRPr="008854EA">
        <w:rPr>
          <w:vertAlign w:val="superscript"/>
          <w:lang w:val="sk-SK"/>
        </w:rPr>
        <w:footnoteRef/>
      </w:r>
      <w:r w:rsidR="007213B8" w:rsidRPr="008854EA">
        <w:rPr>
          <w:lang w:val="sk-SK"/>
        </w:rPr>
        <w:tab/>
      </w:r>
      <w:hyperlink r:id="rId40" w:history="1">
        <w:r w:rsidRPr="008854EA">
          <w:rPr>
            <w:rStyle w:val="Hyperlink"/>
            <w:lang w:val="sk-SK"/>
          </w:rPr>
          <w:t>Hodnotiaca tabuľka obnovy a odolnosti (europa.eu)</w:t>
        </w:r>
      </w:hyperlink>
      <w:r w:rsidRPr="008854EA">
        <w:rPr>
          <w:lang w:val="sk-SK"/>
        </w:rPr>
        <w:t>.</w:t>
      </w:r>
      <w:r w:rsidRPr="008854EA">
        <w:rPr>
          <w:rStyle w:val="Hyperlink"/>
          <w:u w:val="none"/>
          <w:lang w:val="sk-SK"/>
        </w:rPr>
        <w:t xml:space="preserve"> </w:t>
      </w:r>
    </w:p>
  </w:footnote>
  <w:footnote w:id="138">
    <w:p w14:paraId="381301CB" w14:textId="3023B632" w:rsidR="00DC11C3" w:rsidRPr="008854EA" w:rsidRDefault="00DC11C3"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Z dôvodu zaokrúhľovania nemusia súčty zodpovedať súčtu čiastkových súm. Uvedené údaje boli prevzaté 25. 9. 2023 z </w:t>
      </w:r>
      <w:hyperlink r:id="rId41" w:history="1">
        <w:r w:rsidRPr="008854EA">
          <w:rPr>
            <w:rStyle w:val="Hyperlink"/>
            <w:lang w:val="sk-SK"/>
          </w:rPr>
          <w:t>portálu otvorených údajov pre európske štrukturálne a investičné fondy – Európska komisia |</w:t>
        </w:r>
      </w:hyperlink>
      <w:hyperlink r:id="rId42" w:history="1">
        <w:r w:rsidRPr="008854EA">
          <w:rPr>
            <w:rStyle w:val="Hyperlink"/>
            <w:lang w:val="sk-SK"/>
          </w:rPr>
          <w:t xml:space="preserve"> Údaje |</w:t>
        </w:r>
      </w:hyperlink>
      <w:hyperlink r:id="rId43" w:history="1">
        <w:r w:rsidRPr="008854EA">
          <w:rPr>
            <w:rStyle w:val="Hyperlink"/>
            <w:lang w:val="sk-SK"/>
          </w:rPr>
          <w:t xml:space="preserve"> Európske štrukturálne a investičné fondy (europa.eu)</w:t>
        </w:r>
      </w:hyperlink>
      <w:r w:rsidRPr="008854EA">
        <w:rPr>
          <w:lang w:val="sk-SK"/>
        </w:rPr>
        <w:t xml:space="preserve">, kde možno nájsť podrobnejšie informácie vrátane výdavkov na klímu podľa programov. Uvedené údaje pochádzajú z najnovších prijatých verzií programov. Tieto údaje sa môžu zmeniť, pretože členské štáty môžu počas programového obdobia svoje programy zmeniť. Ako základ na kategorizáciu výdavkov na klímu podľa kategórií politík bola použitá </w:t>
      </w:r>
      <w:hyperlink r:id="rId44" w:history="1">
        <w:r w:rsidRPr="008854EA">
          <w:rPr>
            <w:rStyle w:val="Hyperlink"/>
            <w:lang w:val="sk-SK"/>
          </w:rPr>
          <w:t>metodika</w:t>
        </w:r>
      </w:hyperlink>
      <w:r w:rsidRPr="008854EA">
        <w:rPr>
          <w:lang w:val="sk-SK"/>
        </w:rPr>
        <w:t xml:space="preserve"> sledovania klímy v rámci Mechanizmu na podporu obnovy a odolnosti.</w:t>
      </w:r>
    </w:p>
  </w:footnote>
  <w:footnote w:id="139">
    <w:p w14:paraId="0357B03B" w14:textId="692F6E60" w:rsidR="00410826" w:rsidRPr="008854EA" w:rsidRDefault="00410826" w:rsidP="001F2564">
      <w:pPr>
        <w:pStyle w:val="FootnoteText1"/>
        <w:spacing w:line="240" w:lineRule="auto"/>
        <w:ind w:left="720" w:hanging="720"/>
        <w:rPr>
          <w:lang w:val="sk-SK"/>
        </w:rPr>
      </w:pPr>
      <w:r w:rsidRPr="008854EA">
        <w:rPr>
          <w:rStyle w:val="FootnoteReference"/>
          <w:lang w:val="sk-SK"/>
        </w:rPr>
        <w:footnoteRef/>
      </w:r>
      <w:r w:rsidR="007213B8" w:rsidRPr="008854EA">
        <w:rPr>
          <w:lang w:val="sk-SK"/>
        </w:rPr>
        <w:tab/>
      </w:r>
      <w:r w:rsidRPr="008854EA">
        <w:rPr>
          <w:lang w:val="sk-SK"/>
        </w:rPr>
        <w:t>Predbežné údaje.</w:t>
      </w:r>
    </w:p>
  </w:footnote>
  <w:footnote w:id="140">
    <w:p w14:paraId="26954CC2" w14:textId="2DCCAC9B" w:rsidR="00E31BEE" w:rsidRPr="008854EA" w:rsidRDefault="00E31BEE" w:rsidP="001F2564">
      <w:pPr>
        <w:pStyle w:val="FootnoteText1"/>
        <w:spacing w:line="240" w:lineRule="auto"/>
        <w:ind w:left="720" w:hanging="720"/>
        <w:rPr>
          <w:u w:val="single"/>
          <w:lang w:val="sk-SK"/>
        </w:rPr>
      </w:pPr>
      <w:r w:rsidRPr="008854EA">
        <w:rPr>
          <w:rStyle w:val="FootnoteReference"/>
          <w:lang w:val="sk-SK"/>
        </w:rPr>
        <w:footnoteRef/>
      </w:r>
      <w:r w:rsidR="007213B8" w:rsidRPr="008854EA">
        <w:rPr>
          <w:lang w:val="sk-SK"/>
        </w:rPr>
        <w:tab/>
      </w:r>
      <w:r w:rsidRPr="008854EA">
        <w:rPr>
          <w:lang w:val="sk-SK"/>
        </w:rPr>
        <w:t>Hlavný nástroj EÚ na investovanie do zručností a na podporu zmeny postavenia na trhu práce s celkovým rozpočtom takmer 99,3 miliardy EUR na obdobie 2021 – 2027.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39B1" w14:textId="77777777" w:rsidR="00EE79E1" w:rsidRPr="00EE79E1" w:rsidRDefault="00EE79E1" w:rsidP="00EE7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75D62" w14:textId="77777777" w:rsidR="00EE79E1" w:rsidRPr="00EE79E1" w:rsidRDefault="00EE79E1" w:rsidP="00EE79E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9A73" w14:textId="77777777" w:rsidR="00EE79E1" w:rsidRPr="00EE79E1" w:rsidRDefault="00EE79E1" w:rsidP="00EE79E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5CE6F" w14:textId="77777777" w:rsidR="009C37EE" w:rsidRDefault="009C37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83E4" w14:textId="77777777" w:rsidR="009C37EE" w:rsidRDefault="009C37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C378C" w14:textId="77777777" w:rsidR="009C37EE" w:rsidRDefault="009C37E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6D7"/>
    <w:multiLevelType w:val="hybridMultilevel"/>
    <w:tmpl w:val="9EC688B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 w15:restartNumberingAfterBreak="0">
    <w:nsid w:val="019F69B3"/>
    <w:multiLevelType w:val="hybridMultilevel"/>
    <w:tmpl w:val="0172D198"/>
    <w:lvl w:ilvl="0" w:tplc="06D0ABF2">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8D77B4"/>
    <w:multiLevelType w:val="hybridMultilevel"/>
    <w:tmpl w:val="189EC582"/>
    <w:lvl w:ilvl="0" w:tplc="A8B01B58">
      <w:start w:val="1"/>
      <w:numFmt w:val="bullet"/>
      <w:lvlText w:val=""/>
      <w:lvlJc w:val="left"/>
      <w:pPr>
        <w:ind w:left="720" w:hanging="360"/>
      </w:pPr>
      <w:rPr>
        <w:rFonts w:ascii="Symbol" w:hAnsi="Symbol"/>
      </w:rPr>
    </w:lvl>
    <w:lvl w:ilvl="1" w:tplc="55F02BCA">
      <w:start w:val="1"/>
      <w:numFmt w:val="bullet"/>
      <w:lvlText w:val=""/>
      <w:lvlJc w:val="left"/>
      <w:pPr>
        <w:ind w:left="720" w:hanging="360"/>
      </w:pPr>
      <w:rPr>
        <w:rFonts w:ascii="Symbol" w:hAnsi="Symbol"/>
      </w:rPr>
    </w:lvl>
    <w:lvl w:ilvl="2" w:tplc="6BF29FBE">
      <w:start w:val="1"/>
      <w:numFmt w:val="bullet"/>
      <w:lvlText w:val=""/>
      <w:lvlJc w:val="left"/>
      <w:pPr>
        <w:ind w:left="720" w:hanging="360"/>
      </w:pPr>
      <w:rPr>
        <w:rFonts w:ascii="Symbol" w:hAnsi="Symbol"/>
      </w:rPr>
    </w:lvl>
    <w:lvl w:ilvl="3" w:tplc="CDB077F0">
      <w:start w:val="1"/>
      <w:numFmt w:val="bullet"/>
      <w:lvlText w:val=""/>
      <w:lvlJc w:val="left"/>
      <w:pPr>
        <w:ind w:left="720" w:hanging="360"/>
      </w:pPr>
      <w:rPr>
        <w:rFonts w:ascii="Symbol" w:hAnsi="Symbol"/>
      </w:rPr>
    </w:lvl>
    <w:lvl w:ilvl="4" w:tplc="D884CE34">
      <w:start w:val="1"/>
      <w:numFmt w:val="bullet"/>
      <w:lvlText w:val=""/>
      <w:lvlJc w:val="left"/>
      <w:pPr>
        <w:ind w:left="720" w:hanging="360"/>
      </w:pPr>
      <w:rPr>
        <w:rFonts w:ascii="Symbol" w:hAnsi="Symbol"/>
      </w:rPr>
    </w:lvl>
    <w:lvl w:ilvl="5" w:tplc="3D30C318">
      <w:start w:val="1"/>
      <w:numFmt w:val="bullet"/>
      <w:lvlText w:val=""/>
      <w:lvlJc w:val="left"/>
      <w:pPr>
        <w:ind w:left="720" w:hanging="360"/>
      </w:pPr>
      <w:rPr>
        <w:rFonts w:ascii="Symbol" w:hAnsi="Symbol"/>
      </w:rPr>
    </w:lvl>
    <w:lvl w:ilvl="6" w:tplc="F10E6C62">
      <w:start w:val="1"/>
      <w:numFmt w:val="bullet"/>
      <w:lvlText w:val=""/>
      <w:lvlJc w:val="left"/>
      <w:pPr>
        <w:ind w:left="720" w:hanging="360"/>
      </w:pPr>
      <w:rPr>
        <w:rFonts w:ascii="Symbol" w:hAnsi="Symbol"/>
      </w:rPr>
    </w:lvl>
    <w:lvl w:ilvl="7" w:tplc="710AFCE4">
      <w:start w:val="1"/>
      <w:numFmt w:val="bullet"/>
      <w:lvlText w:val=""/>
      <w:lvlJc w:val="left"/>
      <w:pPr>
        <w:ind w:left="720" w:hanging="360"/>
      </w:pPr>
      <w:rPr>
        <w:rFonts w:ascii="Symbol" w:hAnsi="Symbol"/>
      </w:rPr>
    </w:lvl>
    <w:lvl w:ilvl="8" w:tplc="525AD4CC">
      <w:start w:val="1"/>
      <w:numFmt w:val="bullet"/>
      <w:lvlText w:val=""/>
      <w:lvlJc w:val="left"/>
      <w:pPr>
        <w:ind w:left="720" w:hanging="360"/>
      </w:pPr>
      <w:rPr>
        <w:rFonts w:ascii="Symbol" w:hAnsi="Symbol"/>
      </w:rPr>
    </w:lvl>
  </w:abstractNum>
  <w:abstractNum w:abstractNumId="3" w15:restartNumberingAfterBreak="0">
    <w:nsid w:val="1248A4D7"/>
    <w:multiLevelType w:val="hybridMultilevel"/>
    <w:tmpl w:val="53321818"/>
    <w:lvl w:ilvl="0" w:tplc="92CADB54">
      <w:start w:val="1"/>
      <w:numFmt w:val="bullet"/>
      <w:lvlText w:val="·"/>
      <w:lvlJc w:val="left"/>
      <w:pPr>
        <w:ind w:left="720" w:hanging="360"/>
      </w:pPr>
      <w:rPr>
        <w:rFonts w:ascii="Symbol" w:hAnsi="Symbol" w:hint="default"/>
      </w:rPr>
    </w:lvl>
    <w:lvl w:ilvl="1" w:tplc="A5064E7C">
      <w:start w:val="1"/>
      <w:numFmt w:val="bullet"/>
      <w:lvlText w:val="o"/>
      <w:lvlJc w:val="left"/>
      <w:pPr>
        <w:ind w:left="1440" w:hanging="360"/>
      </w:pPr>
      <w:rPr>
        <w:rFonts w:ascii="Courier New" w:hAnsi="Courier New" w:hint="default"/>
      </w:rPr>
    </w:lvl>
    <w:lvl w:ilvl="2" w:tplc="69984E86">
      <w:start w:val="1"/>
      <w:numFmt w:val="bullet"/>
      <w:lvlText w:val=""/>
      <w:lvlJc w:val="left"/>
      <w:pPr>
        <w:ind w:left="2160" w:hanging="360"/>
      </w:pPr>
      <w:rPr>
        <w:rFonts w:ascii="Wingdings" w:hAnsi="Wingdings" w:hint="default"/>
      </w:rPr>
    </w:lvl>
    <w:lvl w:ilvl="3" w:tplc="E12256EA">
      <w:start w:val="1"/>
      <w:numFmt w:val="bullet"/>
      <w:lvlText w:val=""/>
      <w:lvlJc w:val="left"/>
      <w:pPr>
        <w:ind w:left="2880" w:hanging="360"/>
      </w:pPr>
      <w:rPr>
        <w:rFonts w:ascii="Symbol" w:hAnsi="Symbol" w:hint="default"/>
      </w:rPr>
    </w:lvl>
    <w:lvl w:ilvl="4" w:tplc="D31C9332">
      <w:start w:val="1"/>
      <w:numFmt w:val="bullet"/>
      <w:lvlText w:val="o"/>
      <w:lvlJc w:val="left"/>
      <w:pPr>
        <w:ind w:left="3600" w:hanging="360"/>
      </w:pPr>
      <w:rPr>
        <w:rFonts w:ascii="Courier New" w:hAnsi="Courier New" w:hint="default"/>
      </w:rPr>
    </w:lvl>
    <w:lvl w:ilvl="5" w:tplc="6C6CEE72">
      <w:start w:val="1"/>
      <w:numFmt w:val="bullet"/>
      <w:lvlText w:val=""/>
      <w:lvlJc w:val="left"/>
      <w:pPr>
        <w:ind w:left="4320" w:hanging="360"/>
      </w:pPr>
      <w:rPr>
        <w:rFonts w:ascii="Wingdings" w:hAnsi="Wingdings" w:hint="default"/>
      </w:rPr>
    </w:lvl>
    <w:lvl w:ilvl="6" w:tplc="46E8C1A0">
      <w:start w:val="1"/>
      <w:numFmt w:val="bullet"/>
      <w:lvlText w:val=""/>
      <w:lvlJc w:val="left"/>
      <w:pPr>
        <w:ind w:left="5040" w:hanging="360"/>
      </w:pPr>
      <w:rPr>
        <w:rFonts w:ascii="Symbol" w:hAnsi="Symbol" w:hint="default"/>
      </w:rPr>
    </w:lvl>
    <w:lvl w:ilvl="7" w:tplc="AA2AA188">
      <w:start w:val="1"/>
      <w:numFmt w:val="bullet"/>
      <w:lvlText w:val="o"/>
      <w:lvlJc w:val="left"/>
      <w:pPr>
        <w:ind w:left="5760" w:hanging="360"/>
      </w:pPr>
      <w:rPr>
        <w:rFonts w:ascii="Courier New" w:hAnsi="Courier New" w:hint="default"/>
      </w:rPr>
    </w:lvl>
    <w:lvl w:ilvl="8" w:tplc="8222FB76">
      <w:start w:val="1"/>
      <w:numFmt w:val="bullet"/>
      <w:lvlText w:val=""/>
      <w:lvlJc w:val="left"/>
      <w:pPr>
        <w:ind w:left="6480" w:hanging="360"/>
      </w:pPr>
      <w:rPr>
        <w:rFonts w:ascii="Wingdings" w:hAnsi="Wingdings" w:hint="default"/>
      </w:rPr>
    </w:lvl>
  </w:abstractNum>
  <w:abstractNum w:abstractNumId="4" w15:restartNumberingAfterBreak="0">
    <w:nsid w:val="135554F4"/>
    <w:multiLevelType w:val="hybridMultilevel"/>
    <w:tmpl w:val="114A836E"/>
    <w:lvl w:ilvl="0" w:tplc="9AE0E9DA">
      <w:numFmt w:val="bullet"/>
      <w:lvlText w:val="-"/>
      <w:lvlJc w:val="left"/>
      <w:pPr>
        <w:ind w:left="644" w:hanging="360"/>
      </w:pPr>
      <w:rPr>
        <w:rFonts w:ascii="Calibri" w:eastAsiaTheme="minorEastAsia"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5" w15:restartNumberingAfterBreak="0">
    <w:nsid w:val="1482775B"/>
    <w:multiLevelType w:val="multilevel"/>
    <w:tmpl w:val="2F344548"/>
    <w:lvl w:ilvl="0">
      <w:start w:val="1"/>
      <w:numFmt w:val="decimal"/>
      <w:pStyle w:val="Heading1"/>
      <w:lvlText w:val="%1."/>
      <w:lvlJc w:val="left"/>
      <w:pPr>
        <w:ind w:left="432" w:hanging="432"/>
      </w:pPr>
      <w:rPr>
        <w:rFonts w:ascii="Times New Roman" w:hAnsi="Times New Roman" w:hint="default"/>
        <w:sz w:val="32"/>
      </w:rPr>
    </w:lvl>
    <w:lvl w:ilvl="1">
      <w:start w:val="1"/>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5B15C8C"/>
    <w:multiLevelType w:val="hybridMultilevel"/>
    <w:tmpl w:val="5CA0D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AD02E5"/>
    <w:multiLevelType w:val="hybridMultilevel"/>
    <w:tmpl w:val="0614A6CC"/>
    <w:lvl w:ilvl="0" w:tplc="D2DE4560">
      <w:start w:val="2100"/>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F50FCC"/>
    <w:multiLevelType w:val="hybridMultilevel"/>
    <w:tmpl w:val="8A989030"/>
    <w:lvl w:ilvl="0" w:tplc="FFFFFFFF">
      <w:numFmt w:val="bullet"/>
      <w:lvlText w:val="-"/>
      <w:lvlJc w:val="left"/>
      <w:pPr>
        <w:ind w:left="502" w:hanging="360"/>
      </w:pPr>
      <w:rPr>
        <w:rFonts w:ascii="Times New Roman" w:eastAsiaTheme="minorHAnsi" w:hAnsi="Times New Roman" w:cs="Times New Roman" w:hint="default"/>
      </w:rPr>
    </w:lvl>
    <w:lvl w:ilvl="1" w:tplc="118808EE">
      <w:start w:val="1"/>
      <w:numFmt w:val="bullet"/>
      <w:lvlText w:val="–"/>
      <w:lvlJc w:val="left"/>
      <w:pPr>
        <w:ind w:left="1222" w:hanging="360"/>
      </w:pPr>
      <w:rPr>
        <w:rFonts w:ascii="Calibri" w:hAnsi="Calibri"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9" w15:restartNumberingAfterBreak="0">
    <w:nsid w:val="1F3437F5"/>
    <w:multiLevelType w:val="hybridMultilevel"/>
    <w:tmpl w:val="BEE275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F732913"/>
    <w:multiLevelType w:val="multilevel"/>
    <w:tmpl w:val="98D465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B92197"/>
    <w:multiLevelType w:val="hybridMultilevel"/>
    <w:tmpl w:val="72FA4E9A"/>
    <w:lvl w:ilvl="0" w:tplc="FFB435A2">
      <w:start w:val="1"/>
      <w:numFmt w:val="bullet"/>
      <w:lvlText w:val="-"/>
      <w:lvlJc w:val="left"/>
      <w:pPr>
        <w:ind w:left="720" w:hanging="360"/>
      </w:pPr>
      <w:rPr>
        <w:rFonts w:ascii="Calibri" w:hAnsi="Calibri" w:hint="default"/>
      </w:rPr>
    </w:lvl>
    <w:lvl w:ilvl="1" w:tplc="049A0294">
      <w:start w:val="1"/>
      <w:numFmt w:val="bullet"/>
      <w:lvlText w:val="o"/>
      <w:lvlJc w:val="left"/>
      <w:pPr>
        <w:ind w:left="1440" w:hanging="360"/>
      </w:pPr>
      <w:rPr>
        <w:rFonts w:ascii="Courier New" w:hAnsi="Courier New" w:hint="default"/>
      </w:rPr>
    </w:lvl>
    <w:lvl w:ilvl="2" w:tplc="29088BD2">
      <w:start w:val="1"/>
      <w:numFmt w:val="bullet"/>
      <w:lvlText w:val=""/>
      <w:lvlJc w:val="left"/>
      <w:pPr>
        <w:ind w:left="2160" w:hanging="360"/>
      </w:pPr>
      <w:rPr>
        <w:rFonts w:ascii="Wingdings" w:hAnsi="Wingdings" w:hint="default"/>
      </w:rPr>
    </w:lvl>
    <w:lvl w:ilvl="3" w:tplc="6FBC078C">
      <w:start w:val="1"/>
      <w:numFmt w:val="bullet"/>
      <w:lvlText w:val=""/>
      <w:lvlJc w:val="left"/>
      <w:pPr>
        <w:ind w:left="2880" w:hanging="360"/>
      </w:pPr>
      <w:rPr>
        <w:rFonts w:ascii="Symbol" w:hAnsi="Symbol" w:hint="default"/>
      </w:rPr>
    </w:lvl>
    <w:lvl w:ilvl="4" w:tplc="ED5A5E66">
      <w:start w:val="1"/>
      <w:numFmt w:val="bullet"/>
      <w:lvlText w:val="o"/>
      <w:lvlJc w:val="left"/>
      <w:pPr>
        <w:ind w:left="3600" w:hanging="360"/>
      </w:pPr>
      <w:rPr>
        <w:rFonts w:ascii="Courier New" w:hAnsi="Courier New" w:hint="default"/>
      </w:rPr>
    </w:lvl>
    <w:lvl w:ilvl="5" w:tplc="C77C8C30">
      <w:start w:val="1"/>
      <w:numFmt w:val="bullet"/>
      <w:lvlText w:val=""/>
      <w:lvlJc w:val="left"/>
      <w:pPr>
        <w:ind w:left="4320" w:hanging="360"/>
      </w:pPr>
      <w:rPr>
        <w:rFonts w:ascii="Wingdings" w:hAnsi="Wingdings" w:hint="default"/>
      </w:rPr>
    </w:lvl>
    <w:lvl w:ilvl="6" w:tplc="B18CDA02">
      <w:start w:val="1"/>
      <w:numFmt w:val="bullet"/>
      <w:lvlText w:val=""/>
      <w:lvlJc w:val="left"/>
      <w:pPr>
        <w:ind w:left="5040" w:hanging="360"/>
      </w:pPr>
      <w:rPr>
        <w:rFonts w:ascii="Symbol" w:hAnsi="Symbol" w:hint="default"/>
      </w:rPr>
    </w:lvl>
    <w:lvl w:ilvl="7" w:tplc="058A0198">
      <w:start w:val="1"/>
      <w:numFmt w:val="bullet"/>
      <w:lvlText w:val="o"/>
      <w:lvlJc w:val="left"/>
      <w:pPr>
        <w:ind w:left="5760" w:hanging="360"/>
      </w:pPr>
      <w:rPr>
        <w:rFonts w:ascii="Courier New" w:hAnsi="Courier New" w:hint="default"/>
      </w:rPr>
    </w:lvl>
    <w:lvl w:ilvl="8" w:tplc="8B3E56A0">
      <w:start w:val="1"/>
      <w:numFmt w:val="bullet"/>
      <w:lvlText w:val=""/>
      <w:lvlJc w:val="left"/>
      <w:pPr>
        <w:ind w:left="6480" w:hanging="360"/>
      </w:pPr>
      <w:rPr>
        <w:rFonts w:ascii="Wingdings" w:hAnsi="Wingdings" w:hint="default"/>
      </w:rPr>
    </w:lvl>
  </w:abstractNum>
  <w:abstractNum w:abstractNumId="12" w15:restartNumberingAfterBreak="0">
    <w:nsid w:val="293869FD"/>
    <w:multiLevelType w:val="hybridMultilevel"/>
    <w:tmpl w:val="96049FEE"/>
    <w:lvl w:ilvl="0" w:tplc="10EA47B0">
      <w:start w:val="1"/>
      <w:numFmt w:val="bullet"/>
      <w:lvlText w:val=""/>
      <w:lvlJc w:val="left"/>
      <w:pPr>
        <w:ind w:left="720" w:hanging="360"/>
      </w:pPr>
      <w:rPr>
        <w:rFonts w:ascii="Symbol" w:hAnsi="Symbol" w:hint="default"/>
      </w:rPr>
    </w:lvl>
    <w:lvl w:ilvl="1" w:tplc="C1F8E256">
      <w:start w:val="1"/>
      <w:numFmt w:val="bullet"/>
      <w:lvlText w:val="o"/>
      <w:lvlJc w:val="left"/>
      <w:pPr>
        <w:ind w:left="1440" w:hanging="360"/>
      </w:pPr>
      <w:rPr>
        <w:rFonts w:ascii="Courier New" w:hAnsi="Courier New" w:hint="default"/>
      </w:rPr>
    </w:lvl>
    <w:lvl w:ilvl="2" w:tplc="8C9EF896">
      <w:start w:val="1"/>
      <w:numFmt w:val="bullet"/>
      <w:lvlText w:val=""/>
      <w:lvlJc w:val="left"/>
      <w:pPr>
        <w:ind w:left="2160" w:hanging="360"/>
      </w:pPr>
      <w:rPr>
        <w:rFonts w:ascii="Wingdings" w:hAnsi="Wingdings" w:hint="default"/>
      </w:rPr>
    </w:lvl>
    <w:lvl w:ilvl="3" w:tplc="327E8598">
      <w:start w:val="1"/>
      <w:numFmt w:val="bullet"/>
      <w:lvlText w:val=""/>
      <w:lvlJc w:val="left"/>
      <w:pPr>
        <w:ind w:left="2880" w:hanging="360"/>
      </w:pPr>
      <w:rPr>
        <w:rFonts w:ascii="Symbol" w:hAnsi="Symbol" w:hint="default"/>
      </w:rPr>
    </w:lvl>
    <w:lvl w:ilvl="4" w:tplc="B5C4BE82">
      <w:start w:val="1"/>
      <w:numFmt w:val="bullet"/>
      <w:lvlText w:val="o"/>
      <w:lvlJc w:val="left"/>
      <w:pPr>
        <w:ind w:left="3600" w:hanging="360"/>
      </w:pPr>
      <w:rPr>
        <w:rFonts w:ascii="Courier New" w:hAnsi="Courier New" w:hint="default"/>
      </w:rPr>
    </w:lvl>
    <w:lvl w:ilvl="5" w:tplc="03424A56">
      <w:start w:val="1"/>
      <w:numFmt w:val="bullet"/>
      <w:lvlText w:val=""/>
      <w:lvlJc w:val="left"/>
      <w:pPr>
        <w:ind w:left="4320" w:hanging="360"/>
      </w:pPr>
      <w:rPr>
        <w:rFonts w:ascii="Wingdings" w:hAnsi="Wingdings" w:hint="default"/>
      </w:rPr>
    </w:lvl>
    <w:lvl w:ilvl="6" w:tplc="1F7E66E6">
      <w:start w:val="1"/>
      <w:numFmt w:val="bullet"/>
      <w:lvlText w:val=""/>
      <w:lvlJc w:val="left"/>
      <w:pPr>
        <w:ind w:left="5040" w:hanging="360"/>
      </w:pPr>
      <w:rPr>
        <w:rFonts w:ascii="Symbol" w:hAnsi="Symbol" w:hint="default"/>
      </w:rPr>
    </w:lvl>
    <w:lvl w:ilvl="7" w:tplc="21D67090">
      <w:start w:val="1"/>
      <w:numFmt w:val="bullet"/>
      <w:lvlText w:val="o"/>
      <w:lvlJc w:val="left"/>
      <w:pPr>
        <w:ind w:left="5760" w:hanging="360"/>
      </w:pPr>
      <w:rPr>
        <w:rFonts w:ascii="Courier New" w:hAnsi="Courier New" w:hint="default"/>
      </w:rPr>
    </w:lvl>
    <w:lvl w:ilvl="8" w:tplc="DC264B58">
      <w:start w:val="1"/>
      <w:numFmt w:val="bullet"/>
      <w:lvlText w:val=""/>
      <w:lvlJc w:val="left"/>
      <w:pPr>
        <w:ind w:left="6480" w:hanging="360"/>
      </w:pPr>
      <w:rPr>
        <w:rFonts w:ascii="Wingdings" w:hAnsi="Wingdings" w:hint="default"/>
      </w:rPr>
    </w:lvl>
  </w:abstractNum>
  <w:abstractNum w:abstractNumId="13" w15:restartNumberingAfterBreak="0">
    <w:nsid w:val="2D7FE4FE"/>
    <w:multiLevelType w:val="hybridMultilevel"/>
    <w:tmpl w:val="1B806FA4"/>
    <w:lvl w:ilvl="0" w:tplc="7E9C8D8C">
      <w:start w:val="1"/>
      <w:numFmt w:val="bullet"/>
      <w:lvlText w:val=""/>
      <w:lvlJc w:val="left"/>
      <w:pPr>
        <w:ind w:left="720" w:hanging="360"/>
      </w:pPr>
      <w:rPr>
        <w:rFonts w:ascii="Symbol" w:hAnsi="Symbol" w:hint="default"/>
      </w:rPr>
    </w:lvl>
    <w:lvl w:ilvl="1" w:tplc="CCDEF692">
      <w:start w:val="1"/>
      <w:numFmt w:val="bullet"/>
      <w:lvlText w:val="o"/>
      <w:lvlJc w:val="left"/>
      <w:pPr>
        <w:ind w:left="1440" w:hanging="360"/>
      </w:pPr>
      <w:rPr>
        <w:rFonts w:ascii="Courier New" w:hAnsi="Courier New" w:hint="default"/>
      </w:rPr>
    </w:lvl>
    <w:lvl w:ilvl="2" w:tplc="D39EE318">
      <w:start w:val="1"/>
      <w:numFmt w:val="bullet"/>
      <w:lvlText w:val=""/>
      <w:lvlJc w:val="left"/>
      <w:pPr>
        <w:ind w:left="2160" w:hanging="360"/>
      </w:pPr>
      <w:rPr>
        <w:rFonts w:ascii="Wingdings" w:hAnsi="Wingdings" w:hint="default"/>
      </w:rPr>
    </w:lvl>
    <w:lvl w:ilvl="3" w:tplc="CEAE7EFE">
      <w:start w:val="1"/>
      <w:numFmt w:val="bullet"/>
      <w:lvlText w:val=""/>
      <w:lvlJc w:val="left"/>
      <w:pPr>
        <w:ind w:left="2880" w:hanging="360"/>
      </w:pPr>
      <w:rPr>
        <w:rFonts w:ascii="Symbol" w:hAnsi="Symbol" w:hint="default"/>
      </w:rPr>
    </w:lvl>
    <w:lvl w:ilvl="4" w:tplc="3A6A4296">
      <w:start w:val="1"/>
      <w:numFmt w:val="bullet"/>
      <w:lvlText w:val="o"/>
      <w:lvlJc w:val="left"/>
      <w:pPr>
        <w:ind w:left="3600" w:hanging="360"/>
      </w:pPr>
      <w:rPr>
        <w:rFonts w:ascii="Courier New" w:hAnsi="Courier New" w:hint="default"/>
      </w:rPr>
    </w:lvl>
    <w:lvl w:ilvl="5" w:tplc="C9E4DF12">
      <w:start w:val="1"/>
      <w:numFmt w:val="bullet"/>
      <w:lvlText w:val=""/>
      <w:lvlJc w:val="left"/>
      <w:pPr>
        <w:ind w:left="4320" w:hanging="360"/>
      </w:pPr>
      <w:rPr>
        <w:rFonts w:ascii="Wingdings" w:hAnsi="Wingdings" w:hint="default"/>
      </w:rPr>
    </w:lvl>
    <w:lvl w:ilvl="6" w:tplc="32A40580">
      <w:start w:val="1"/>
      <w:numFmt w:val="bullet"/>
      <w:lvlText w:val=""/>
      <w:lvlJc w:val="left"/>
      <w:pPr>
        <w:ind w:left="5040" w:hanging="360"/>
      </w:pPr>
      <w:rPr>
        <w:rFonts w:ascii="Symbol" w:hAnsi="Symbol" w:hint="default"/>
      </w:rPr>
    </w:lvl>
    <w:lvl w:ilvl="7" w:tplc="5B5AFCBA">
      <w:start w:val="1"/>
      <w:numFmt w:val="bullet"/>
      <w:lvlText w:val="o"/>
      <w:lvlJc w:val="left"/>
      <w:pPr>
        <w:ind w:left="5760" w:hanging="360"/>
      </w:pPr>
      <w:rPr>
        <w:rFonts w:ascii="Courier New" w:hAnsi="Courier New" w:hint="default"/>
      </w:rPr>
    </w:lvl>
    <w:lvl w:ilvl="8" w:tplc="33A49C58">
      <w:start w:val="1"/>
      <w:numFmt w:val="bullet"/>
      <w:lvlText w:val=""/>
      <w:lvlJc w:val="left"/>
      <w:pPr>
        <w:ind w:left="6480" w:hanging="360"/>
      </w:pPr>
      <w:rPr>
        <w:rFonts w:ascii="Wingdings" w:hAnsi="Wingdings" w:hint="default"/>
      </w:rPr>
    </w:lvl>
  </w:abstractNum>
  <w:abstractNum w:abstractNumId="14" w15:restartNumberingAfterBreak="0">
    <w:nsid w:val="3488758B"/>
    <w:multiLevelType w:val="multilevel"/>
    <w:tmpl w:val="5C940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B466C"/>
    <w:multiLevelType w:val="hybridMultilevel"/>
    <w:tmpl w:val="E19251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BB83E53"/>
    <w:multiLevelType w:val="hybridMultilevel"/>
    <w:tmpl w:val="703C1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EA31EB"/>
    <w:multiLevelType w:val="hybridMultilevel"/>
    <w:tmpl w:val="6AB40600"/>
    <w:lvl w:ilvl="0" w:tplc="920EB822">
      <w:start w:val="1"/>
      <w:numFmt w:val="bullet"/>
      <w:lvlText w:val=""/>
      <w:lvlJc w:val="left"/>
      <w:pPr>
        <w:ind w:left="720" w:hanging="360"/>
      </w:pPr>
      <w:rPr>
        <w:rFonts w:ascii="Symbol" w:hAnsi="Symbol"/>
      </w:rPr>
    </w:lvl>
    <w:lvl w:ilvl="1" w:tplc="9D2AFE48">
      <w:start w:val="1"/>
      <w:numFmt w:val="bullet"/>
      <w:lvlText w:val=""/>
      <w:lvlJc w:val="left"/>
      <w:pPr>
        <w:ind w:left="720" w:hanging="360"/>
      </w:pPr>
      <w:rPr>
        <w:rFonts w:ascii="Symbol" w:hAnsi="Symbol"/>
      </w:rPr>
    </w:lvl>
    <w:lvl w:ilvl="2" w:tplc="A6A0F168">
      <w:start w:val="1"/>
      <w:numFmt w:val="bullet"/>
      <w:lvlText w:val=""/>
      <w:lvlJc w:val="left"/>
      <w:pPr>
        <w:ind w:left="720" w:hanging="360"/>
      </w:pPr>
      <w:rPr>
        <w:rFonts w:ascii="Symbol" w:hAnsi="Symbol"/>
      </w:rPr>
    </w:lvl>
    <w:lvl w:ilvl="3" w:tplc="C1F8C23A">
      <w:start w:val="1"/>
      <w:numFmt w:val="bullet"/>
      <w:lvlText w:val=""/>
      <w:lvlJc w:val="left"/>
      <w:pPr>
        <w:ind w:left="720" w:hanging="360"/>
      </w:pPr>
      <w:rPr>
        <w:rFonts w:ascii="Symbol" w:hAnsi="Symbol"/>
      </w:rPr>
    </w:lvl>
    <w:lvl w:ilvl="4" w:tplc="C6A06606">
      <w:start w:val="1"/>
      <w:numFmt w:val="bullet"/>
      <w:lvlText w:val=""/>
      <w:lvlJc w:val="left"/>
      <w:pPr>
        <w:ind w:left="720" w:hanging="360"/>
      </w:pPr>
      <w:rPr>
        <w:rFonts w:ascii="Symbol" w:hAnsi="Symbol"/>
      </w:rPr>
    </w:lvl>
    <w:lvl w:ilvl="5" w:tplc="91A84142">
      <w:start w:val="1"/>
      <w:numFmt w:val="bullet"/>
      <w:lvlText w:val=""/>
      <w:lvlJc w:val="left"/>
      <w:pPr>
        <w:ind w:left="720" w:hanging="360"/>
      </w:pPr>
      <w:rPr>
        <w:rFonts w:ascii="Symbol" w:hAnsi="Symbol"/>
      </w:rPr>
    </w:lvl>
    <w:lvl w:ilvl="6" w:tplc="04C44730">
      <w:start w:val="1"/>
      <w:numFmt w:val="bullet"/>
      <w:lvlText w:val=""/>
      <w:lvlJc w:val="left"/>
      <w:pPr>
        <w:ind w:left="720" w:hanging="360"/>
      </w:pPr>
      <w:rPr>
        <w:rFonts w:ascii="Symbol" w:hAnsi="Symbol"/>
      </w:rPr>
    </w:lvl>
    <w:lvl w:ilvl="7" w:tplc="5C9AF400">
      <w:start w:val="1"/>
      <w:numFmt w:val="bullet"/>
      <w:lvlText w:val=""/>
      <w:lvlJc w:val="left"/>
      <w:pPr>
        <w:ind w:left="720" w:hanging="360"/>
      </w:pPr>
      <w:rPr>
        <w:rFonts w:ascii="Symbol" w:hAnsi="Symbol"/>
      </w:rPr>
    </w:lvl>
    <w:lvl w:ilvl="8" w:tplc="6DCA761C">
      <w:start w:val="1"/>
      <w:numFmt w:val="bullet"/>
      <w:lvlText w:val=""/>
      <w:lvlJc w:val="left"/>
      <w:pPr>
        <w:ind w:left="720" w:hanging="360"/>
      </w:pPr>
      <w:rPr>
        <w:rFonts w:ascii="Symbol" w:hAnsi="Symbol"/>
      </w:rPr>
    </w:lvl>
  </w:abstractNum>
  <w:abstractNum w:abstractNumId="18" w15:restartNumberingAfterBreak="0">
    <w:nsid w:val="3DEC3EE9"/>
    <w:multiLevelType w:val="hybridMultilevel"/>
    <w:tmpl w:val="8258F6FA"/>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316A56"/>
    <w:multiLevelType w:val="multilevel"/>
    <w:tmpl w:val="4DEE10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40A29"/>
    <w:multiLevelType w:val="hybridMultilevel"/>
    <w:tmpl w:val="2B920E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6D21E92"/>
    <w:multiLevelType w:val="hybridMultilevel"/>
    <w:tmpl w:val="26CCB5C2"/>
    <w:lvl w:ilvl="0" w:tplc="F43C3FE8">
      <w:numFmt w:val="bullet"/>
      <w:lvlText w:val="-"/>
      <w:lvlJc w:val="left"/>
      <w:pPr>
        <w:ind w:left="720" w:hanging="360"/>
      </w:pPr>
      <w:rPr>
        <w:rFonts w:ascii="Times New Roman" w:eastAsia="Arial Unicode MS"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9B5B64"/>
    <w:multiLevelType w:val="hybridMultilevel"/>
    <w:tmpl w:val="97C84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DF623D9"/>
    <w:multiLevelType w:val="hybridMultilevel"/>
    <w:tmpl w:val="CBF65592"/>
    <w:lvl w:ilvl="0" w:tplc="53902B3E">
      <w:start w:val="1"/>
      <w:numFmt w:val="bullet"/>
      <w:lvlText w:val=""/>
      <w:lvlJc w:val="left"/>
      <w:pPr>
        <w:ind w:left="720" w:hanging="360"/>
      </w:pPr>
      <w:rPr>
        <w:rFonts w:ascii="Symbol" w:hAnsi="Symbol"/>
      </w:rPr>
    </w:lvl>
    <w:lvl w:ilvl="1" w:tplc="69A2EF18">
      <w:start w:val="1"/>
      <w:numFmt w:val="bullet"/>
      <w:lvlText w:val=""/>
      <w:lvlJc w:val="left"/>
      <w:pPr>
        <w:ind w:left="720" w:hanging="360"/>
      </w:pPr>
      <w:rPr>
        <w:rFonts w:ascii="Symbol" w:hAnsi="Symbol"/>
      </w:rPr>
    </w:lvl>
    <w:lvl w:ilvl="2" w:tplc="16BA1DAA">
      <w:start w:val="1"/>
      <w:numFmt w:val="bullet"/>
      <w:lvlText w:val=""/>
      <w:lvlJc w:val="left"/>
      <w:pPr>
        <w:ind w:left="720" w:hanging="360"/>
      </w:pPr>
      <w:rPr>
        <w:rFonts w:ascii="Symbol" w:hAnsi="Symbol"/>
      </w:rPr>
    </w:lvl>
    <w:lvl w:ilvl="3" w:tplc="53485E86">
      <w:start w:val="1"/>
      <w:numFmt w:val="bullet"/>
      <w:lvlText w:val=""/>
      <w:lvlJc w:val="left"/>
      <w:pPr>
        <w:ind w:left="720" w:hanging="360"/>
      </w:pPr>
      <w:rPr>
        <w:rFonts w:ascii="Symbol" w:hAnsi="Symbol"/>
      </w:rPr>
    </w:lvl>
    <w:lvl w:ilvl="4" w:tplc="B800735A">
      <w:start w:val="1"/>
      <w:numFmt w:val="bullet"/>
      <w:lvlText w:val=""/>
      <w:lvlJc w:val="left"/>
      <w:pPr>
        <w:ind w:left="720" w:hanging="360"/>
      </w:pPr>
      <w:rPr>
        <w:rFonts w:ascii="Symbol" w:hAnsi="Symbol"/>
      </w:rPr>
    </w:lvl>
    <w:lvl w:ilvl="5" w:tplc="B628A774">
      <w:start w:val="1"/>
      <w:numFmt w:val="bullet"/>
      <w:lvlText w:val=""/>
      <w:lvlJc w:val="left"/>
      <w:pPr>
        <w:ind w:left="720" w:hanging="360"/>
      </w:pPr>
      <w:rPr>
        <w:rFonts w:ascii="Symbol" w:hAnsi="Symbol"/>
      </w:rPr>
    </w:lvl>
    <w:lvl w:ilvl="6" w:tplc="9304919E">
      <w:start w:val="1"/>
      <w:numFmt w:val="bullet"/>
      <w:lvlText w:val=""/>
      <w:lvlJc w:val="left"/>
      <w:pPr>
        <w:ind w:left="720" w:hanging="360"/>
      </w:pPr>
      <w:rPr>
        <w:rFonts w:ascii="Symbol" w:hAnsi="Symbol"/>
      </w:rPr>
    </w:lvl>
    <w:lvl w:ilvl="7" w:tplc="077EEE68">
      <w:start w:val="1"/>
      <w:numFmt w:val="bullet"/>
      <w:lvlText w:val=""/>
      <w:lvlJc w:val="left"/>
      <w:pPr>
        <w:ind w:left="720" w:hanging="360"/>
      </w:pPr>
      <w:rPr>
        <w:rFonts w:ascii="Symbol" w:hAnsi="Symbol"/>
      </w:rPr>
    </w:lvl>
    <w:lvl w:ilvl="8" w:tplc="9A6A4032">
      <w:start w:val="1"/>
      <w:numFmt w:val="bullet"/>
      <w:lvlText w:val=""/>
      <w:lvlJc w:val="left"/>
      <w:pPr>
        <w:ind w:left="720" w:hanging="360"/>
      </w:pPr>
      <w:rPr>
        <w:rFonts w:ascii="Symbol" w:hAnsi="Symbol"/>
      </w:rPr>
    </w:lvl>
  </w:abstractNum>
  <w:abstractNum w:abstractNumId="24" w15:restartNumberingAfterBreak="0">
    <w:nsid w:val="50B20675"/>
    <w:multiLevelType w:val="hybridMultilevel"/>
    <w:tmpl w:val="B224C2F6"/>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C666A2"/>
    <w:multiLevelType w:val="hybridMultilevel"/>
    <w:tmpl w:val="39EA36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54E93BB7"/>
    <w:multiLevelType w:val="hybridMultilevel"/>
    <w:tmpl w:val="48A433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8016EBE"/>
    <w:multiLevelType w:val="hybridMultilevel"/>
    <w:tmpl w:val="7668F5C8"/>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B87FF91"/>
    <w:multiLevelType w:val="hybridMultilevel"/>
    <w:tmpl w:val="AFDC3B26"/>
    <w:lvl w:ilvl="0" w:tplc="A2263EAA">
      <w:start w:val="1"/>
      <w:numFmt w:val="bullet"/>
      <w:lvlText w:val=""/>
      <w:lvlJc w:val="left"/>
      <w:pPr>
        <w:ind w:left="360" w:hanging="360"/>
      </w:pPr>
      <w:rPr>
        <w:rFonts w:ascii="Symbol" w:hAnsi="Symbol" w:hint="default"/>
      </w:rPr>
    </w:lvl>
    <w:lvl w:ilvl="1" w:tplc="78A25D2E">
      <w:start w:val="1"/>
      <w:numFmt w:val="bullet"/>
      <w:lvlText w:val="o"/>
      <w:lvlJc w:val="left"/>
      <w:pPr>
        <w:ind w:left="1080" w:hanging="360"/>
      </w:pPr>
      <w:rPr>
        <w:rFonts w:ascii="Courier New" w:hAnsi="Courier New" w:hint="default"/>
      </w:rPr>
    </w:lvl>
    <w:lvl w:ilvl="2" w:tplc="1FBCC702">
      <w:start w:val="1"/>
      <w:numFmt w:val="bullet"/>
      <w:lvlText w:val=""/>
      <w:lvlJc w:val="left"/>
      <w:pPr>
        <w:ind w:left="1800" w:hanging="360"/>
      </w:pPr>
      <w:rPr>
        <w:rFonts w:ascii="Wingdings" w:hAnsi="Wingdings" w:hint="default"/>
      </w:rPr>
    </w:lvl>
    <w:lvl w:ilvl="3" w:tplc="220A21E2">
      <w:start w:val="1"/>
      <w:numFmt w:val="bullet"/>
      <w:lvlText w:val=""/>
      <w:lvlJc w:val="left"/>
      <w:pPr>
        <w:ind w:left="2520" w:hanging="360"/>
      </w:pPr>
      <w:rPr>
        <w:rFonts w:ascii="Symbol" w:hAnsi="Symbol" w:hint="default"/>
      </w:rPr>
    </w:lvl>
    <w:lvl w:ilvl="4" w:tplc="63C02DD4">
      <w:start w:val="1"/>
      <w:numFmt w:val="bullet"/>
      <w:lvlText w:val="o"/>
      <w:lvlJc w:val="left"/>
      <w:pPr>
        <w:ind w:left="3240" w:hanging="360"/>
      </w:pPr>
      <w:rPr>
        <w:rFonts w:ascii="Courier New" w:hAnsi="Courier New" w:hint="default"/>
      </w:rPr>
    </w:lvl>
    <w:lvl w:ilvl="5" w:tplc="7DE43422">
      <w:start w:val="1"/>
      <w:numFmt w:val="bullet"/>
      <w:lvlText w:val=""/>
      <w:lvlJc w:val="left"/>
      <w:pPr>
        <w:ind w:left="3960" w:hanging="360"/>
      </w:pPr>
      <w:rPr>
        <w:rFonts w:ascii="Wingdings" w:hAnsi="Wingdings" w:hint="default"/>
      </w:rPr>
    </w:lvl>
    <w:lvl w:ilvl="6" w:tplc="8EA4C7E8">
      <w:start w:val="1"/>
      <w:numFmt w:val="bullet"/>
      <w:lvlText w:val=""/>
      <w:lvlJc w:val="left"/>
      <w:pPr>
        <w:ind w:left="4680" w:hanging="360"/>
      </w:pPr>
      <w:rPr>
        <w:rFonts w:ascii="Symbol" w:hAnsi="Symbol" w:hint="default"/>
      </w:rPr>
    </w:lvl>
    <w:lvl w:ilvl="7" w:tplc="9D7C1776">
      <w:start w:val="1"/>
      <w:numFmt w:val="bullet"/>
      <w:lvlText w:val="o"/>
      <w:lvlJc w:val="left"/>
      <w:pPr>
        <w:ind w:left="5400" w:hanging="360"/>
      </w:pPr>
      <w:rPr>
        <w:rFonts w:ascii="Courier New" w:hAnsi="Courier New" w:hint="default"/>
      </w:rPr>
    </w:lvl>
    <w:lvl w:ilvl="8" w:tplc="60868734">
      <w:start w:val="1"/>
      <w:numFmt w:val="bullet"/>
      <w:lvlText w:val=""/>
      <w:lvlJc w:val="left"/>
      <w:pPr>
        <w:ind w:left="6120" w:hanging="360"/>
      </w:pPr>
      <w:rPr>
        <w:rFonts w:ascii="Wingdings" w:hAnsi="Wingdings" w:hint="default"/>
      </w:rPr>
    </w:lvl>
  </w:abstractNum>
  <w:abstractNum w:abstractNumId="29" w15:restartNumberingAfterBreak="0">
    <w:nsid w:val="5BD99A4D"/>
    <w:multiLevelType w:val="multilevel"/>
    <w:tmpl w:val="FFFFFFFF"/>
    <w:lvl w:ilvl="0">
      <w:start w:val="7"/>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325C5F"/>
    <w:multiLevelType w:val="hybridMultilevel"/>
    <w:tmpl w:val="FFFFFFFF"/>
    <w:lvl w:ilvl="0" w:tplc="4008C1CE">
      <w:start w:val="1"/>
      <w:numFmt w:val="bullet"/>
      <w:lvlText w:val="·"/>
      <w:lvlJc w:val="left"/>
      <w:pPr>
        <w:ind w:left="720" w:hanging="360"/>
      </w:pPr>
      <w:rPr>
        <w:rFonts w:ascii="Symbol" w:hAnsi="Symbol" w:hint="default"/>
      </w:rPr>
    </w:lvl>
    <w:lvl w:ilvl="1" w:tplc="B8A66344">
      <w:start w:val="1"/>
      <w:numFmt w:val="bullet"/>
      <w:lvlText w:val="o"/>
      <w:lvlJc w:val="left"/>
      <w:pPr>
        <w:ind w:left="1440" w:hanging="360"/>
      </w:pPr>
      <w:rPr>
        <w:rFonts w:ascii="Courier New" w:hAnsi="Courier New" w:hint="default"/>
      </w:rPr>
    </w:lvl>
    <w:lvl w:ilvl="2" w:tplc="85D4ADE4">
      <w:start w:val="1"/>
      <w:numFmt w:val="bullet"/>
      <w:lvlText w:val=""/>
      <w:lvlJc w:val="left"/>
      <w:pPr>
        <w:ind w:left="2160" w:hanging="360"/>
      </w:pPr>
      <w:rPr>
        <w:rFonts w:ascii="Wingdings" w:hAnsi="Wingdings" w:hint="default"/>
      </w:rPr>
    </w:lvl>
    <w:lvl w:ilvl="3" w:tplc="74904B6E">
      <w:start w:val="1"/>
      <w:numFmt w:val="bullet"/>
      <w:lvlText w:val=""/>
      <w:lvlJc w:val="left"/>
      <w:pPr>
        <w:ind w:left="2880" w:hanging="360"/>
      </w:pPr>
      <w:rPr>
        <w:rFonts w:ascii="Symbol" w:hAnsi="Symbol" w:hint="default"/>
      </w:rPr>
    </w:lvl>
    <w:lvl w:ilvl="4" w:tplc="081EE192">
      <w:start w:val="1"/>
      <w:numFmt w:val="bullet"/>
      <w:lvlText w:val="o"/>
      <w:lvlJc w:val="left"/>
      <w:pPr>
        <w:ind w:left="3600" w:hanging="360"/>
      </w:pPr>
      <w:rPr>
        <w:rFonts w:ascii="Courier New" w:hAnsi="Courier New" w:hint="default"/>
      </w:rPr>
    </w:lvl>
    <w:lvl w:ilvl="5" w:tplc="5CEE842A">
      <w:start w:val="1"/>
      <w:numFmt w:val="bullet"/>
      <w:lvlText w:val=""/>
      <w:lvlJc w:val="left"/>
      <w:pPr>
        <w:ind w:left="4320" w:hanging="360"/>
      </w:pPr>
      <w:rPr>
        <w:rFonts w:ascii="Wingdings" w:hAnsi="Wingdings" w:hint="default"/>
      </w:rPr>
    </w:lvl>
    <w:lvl w:ilvl="6" w:tplc="B1941864">
      <w:start w:val="1"/>
      <w:numFmt w:val="bullet"/>
      <w:lvlText w:val=""/>
      <w:lvlJc w:val="left"/>
      <w:pPr>
        <w:ind w:left="5040" w:hanging="360"/>
      </w:pPr>
      <w:rPr>
        <w:rFonts w:ascii="Symbol" w:hAnsi="Symbol" w:hint="default"/>
      </w:rPr>
    </w:lvl>
    <w:lvl w:ilvl="7" w:tplc="3252D682">
      <w:start w:val="1"/>
      <w:numFmt w:val="bullet"/>
      <w:lvlText w:val="o"/>
      <w:lvlJc w:val="left"/>
      <w:pPr>
        <w:ind w:left="5760" w:hanging="360"/>
      </w:pPr>
      <w:rPr>
        <w:rFonts w:ascii="Courier New" w:hAnsi="Courier New" w:hint="default"/>
      </w:rPr>
    </w:lvl>
    <w:lvl w:ilvl="8" w:tplc="D8D29FA2">
      <w:start w:val="1"/>
      <w:numFmt w:val="bullet"/>
      <w:lvlText w:val=""/>
      <w:lvlJc w:val="left"/>
      <w:pPr>
        <w:ind w:left="6480" w:hanging="360"/>
      </w:pPr>
      <w:rPr>
        <w:rFonts w:ascii="Wingdings" w:hAnsi="Wingdings" w:hint="default"/>
      </w:rPr>
    </w:lvl>
  </w:abstractNum>
  <w:abstractNum w:abstractNumId="31" w15:restartNumberingAfterBreak="0">
    <w:nsid w:val="708561CE"/>
    <w:multiLevelType w:val="multilevel"/>
    <w:tmpl w:val="CDF2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213388"/>
    <w:multiLevelType w:val="hybridMultilevel"/>
    <w:tmpl w:val="84D205CE"/>
    <w:lvl w:ilvl="0" w:tplc="37E8197A">
      <w:numFmt w:val="bullet"/>
      <w:lvlText w:val="-"/>
      <w:lvlJc w:val="left"/>
      <w:pPr>
        <w:ind w:left="360" w:hanging="360"/>
      </w:pPr>
      <w:rPr>
        <w:rFonts w:ascii="Times New Roman" w:eastAsiaTheme="minorHAnsi" w:hAnsi="Times New Roman" w:cs="Times New Roman"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2F9004D"/>
    <w:multiLevelType w:val="hybridMultilevel"/>
    <w:tmpl w:val="61CC4298"/>
    <w:lvl w:ilvl="0" w:tplc="2D80DE96">
      <w:start w:val="1"/>
      <w:numFmt w:val="bullet"/>
      <w:lvlText w:val="-"/>
      <w:lvlJc w:val="left"/>
      <w:pPr>
        <w:ind w:left="720" w:hanging="360"/>
      </w:pPr>
      <w:rPr>
        <w:rFonts w:ascii="Calibri" w:hAnsi="Calibri" w:hint="default"/>
      </w:rPr>
    </w:lvl>
    <w:lvl w:ilvl="1" w:tplc="BDA4C0BC">
      <w:start w:val="1"/>
      <w:numFmt w:val="bullet"/>
      <w:lvlText w:val="o"/>
      <w:lvlJc w:val="left"/>
      <w:pPr>
        <w:ind w:left="1440" w:hanging="360"/>
      </w:pPr>
      <w:rPr>
        <w:rFonts w:ascii="Courier New" w:hAnsi="Courier New" w:hint="default"/>
      </w:rPr>
    </w:lvl>
    <w:lvl w:ilvl="2" w:tplc="6D804AA2">
      <w:start w:val="1"/>
      <w:numFmt w:val="bullet"/>
      <w:lvlText w:val=""/>
      <w:lvlJc w:val="left"/>
      <w:pPr>
        <w:ind w:left="2160" w:hanging="360"/>
      </w:pPr>
      <w:rPr>
        <w:rFonts w:ascii="Wingdings" w:hAnsi="Wingdings" w:hint="default"/>
      </w:rPr>
    </w:lvl>
    <w:lvl w:ilvl="3" w:tplc="AC966A2A">
      <w:start w:val="1"/>
      <w:numFmt w:val="bullet"/>
      <w:lvlText w:val=""/>
      <w:lvlJc w:val="left"/>
      <w:pPr>
        <w:ind w:left="2880" w:hanging="360"/>
      </w:pPr>
      <w:rPr>
        <w:rFonts w:ascii="Symbol" w:hAnsi="Symbol" w:hint="default"/>
      </w:rPr>
    </w:lvl>
    <w:lvl w:ilvl="4" w:tplc="476EA460">
      <w:start w:val="1"/>
      <w:numFmt w:val="bullet"/>
      <w:lvlText w:val="o"/>
      <w:lvlJc w:val="left"/>
      <w:pPr>
        <w:ind w:left="3600" w:hanging="360"/>
      </w:pPr>
      <w:rPr>
        <w:rFonts w:ascii="Courier New" w:hAnsi="Courier New" w:hint="default"/>
      </w:rPr>
    </w:lvl>
    <w:lvl w:ilvl="5" w:tplc="66FE9586">
      <w:start w:val="1"/>
      <w:numFmt w:val="bullet"/>
      <w:lvlText w:val=""/>
      <w:lvlJc w:val="left"/>
      <w:pPr>
        <w:ind w:left="4320" w:hanging="360"/>
      </w:pPr>
      <w:rPr>
        <w:rFonts w:ascii="Wingdings" w:hAnsi="Wingdings" w:hint="default"/>
      </w:rPr>
    </w:lvl>
    <w:lvl w:ilvl="6" w:tplc="CE0E64A4">
      <w:start w:val="1"/>
      <w:numFmt w:val="bullet"/>
      <w:lvlText w:val=""/>
      <w:lvlJc w:val="left"/>
      <w:pPr>
        <w:ind w:left="5040" w:hanging="360"/>
      </w:pPr>
      <w:rPr>
        <w:rFonts w:ascii="Symbol" w:hAnsi="Symbol" w:hint="default"/>
      </w:rPr>
    </w:lvl>
    <w:lvl w:ilvl="7" w:tplc="6B922262">
      <w:start w:val="1"/>
      <w:numFmt w:val="bullet"/>
      <w:lvlText w:val="o"/>
      <w:lvlJc w:val="left"/>
      <w:pPr>
        <w:ind w:left="5760" w:hanging="360"/>
      </w:pPr>
      <w:rPr>
        <w:rFonts w:ascii="Courier New" w:hAnsi="Courier New" w:hint="default"/>
      </w:rPr>
    </w:lvl>
    <w:lvl w:ilvl="8" w:tplc="5832E5D4">
      <w:start w:val="1"/>
      <w:numFmt w:val="bullet"/>
      <w:lvlText w:val=""/>
      <w:lvlJc w:val="left"/>
      <w:pPr>
        <w:ind w:left="6480" w:hanging="360"/>
      </w:pPr>
      <w:rPr>
        <w:rFonts w:ascii="Wingdings" w:hAnsi="Wingdings" w:hint="default"/>
      </w:rPr>
    </w:lvl>
  </w:abstractNum>
  <w:abstractNum w:abstractNumId="34" w15:restartNumberingAfterBreak="0">
    <w:nsid w:val="74C6EA80"/>
    <w:multiLevelType w:val="hybridMultilevel"/>
    <w:tmpl w:val="DD302C10"/>
    <w:lvl w:ilvl="0" w:tplc="DE120750">
      <w:start w:val="1"/>
      <w:numFmt w:val="bullet"/>
      <w:lvlText w:val=""/>
      <w:lvlJc w:val="left"/>
      <w:pPr>
        <w:ind w:left="360" w:hanging="360"/>
      </w:pPr>
      <w:rPr>
        <w:rFonts w:ascii="Symbol" w:hAnsi="Symbol" w:hint="default"/>
      </w:rPr>
    </w:lvl>
    <w:lvl w:ilvl="1" w:tplc="CE4CB4D8">
      <w:start w:val="1"/>
      <w:numFmt w:val="bullet"/>
      <w:lvlText w:val="o"/>
      <w:lvlJc w:val="left"/>
      <w:pPr>
        <w:ind w:left="1440" w:hanging="360"/>
      </w:pPr>
      <w:rPr>
        <w:rFonts w:ascii="Courier New" w:hAnsi="Courier New" w:hint="default"/>
      </w:rPr>
    </w:lvl>
    <w:lvl w:ilvl="2" w:tplc="623AD010">
      <w:start w:val="1"/>
      <w:numFmt w:val="bullet"/>
      <w:lvlText w:val=""/>
      <w:lvlJc w:val="left"/>
      <w:pPr>
        <w:ind w:left="2160" w:hanging="360"/>
      </w:pPr>
      <w:rPr>
        <w:rFonts w:ascii="Wingdings" w:hAnsi="Wingdings" w:hint="default"/>
      </w:rPr>
    </w:lvl>
    <w:lvl w:ilvl="3" w:tplc="B06E0DEE">
      <w:start w:val="1"/>
      <w:numFmt w:val="bullet"/>
      <w:lvlText w:val=""/>
      <w:lvlJc w:val="left"/>
      <w:pPr>
        <w:ind w:left="2880" w:hanging="360"/>
      </w:pPr>
      <w:rPr>
        <w:rFonts w:ascii="Symbol" w:hAnsi="Symbol" w:hint="default"/>
      </w:rPr>
    </w:lvl>
    <w:lvl w:ilvl="4" w:tplc="DB0E26DA">
      <w:start w:val="1"/>
      <w:numFmt w:val="bullet"/>
      <w:lvlText w:val="o"/>
      <w:lvlJc w:val="left"/>
      <w:pPr>
        <w:ind w:left="3600" w:hanging="360"/>
      </w:pPr>
      <w:rPr>
        <w:rFonts w:ascii="Courier New" w:hAnsi="Courier New" w:hint="default"/>
      </w:rPr>
    </w:lvl>
    <w:lvl w:ilvl="5" w:tplc="E5B85C3A">
      <w:start w:val="1"/>
      <w:numFmt w:val="bullet"/>
      <w:lvlText w:val=""/>
      <w:lvlJc w:val="left"/>
      <w:pPr>
        <w:ind w:left="4320" w:hanging="360"/>
      </w:pPr>
      <w:rPr>
        <w:rFonts w:ascii="Wingdings" w:hAnsi="Wingdings" w:hint="default"/>
      </w:rPr>
    </w:lvl>
    <w:lvl w:ilvl="6" w:tplc="82A09C14">
      <w:start w:val="1"/>
      <w:numFmt w:val="bullet"/>
      <w:lvlText w:val=""/>
      <w:lvlJc w:val="left"/>
      <w:pPr>
        <w:ind w:left="5040" w:hanging="360"/>
      </w:pPr>
      <w:rPr>
        <w:rFonts w:ascii="Symbol" w:hAnsi="Symbol" w:hint="default"/>
      </w:rPr>
    </w:lvl>
    <w:lvl w:ilvl="7" w:tplc="1E6C6172">
      <w:start w:val="1"/>
      <w:numFmt w:val="bullet"/>
      <w:lvlText w:val="o"/>
      <w:lvlJc w:val="left"/>
      <w:pPr>
        <w:ind w:left="5760" w:hanging="360"/>
      </w:pPr>
      <w:rPr>
        <w:rFonts w:ascii="Courier New" w:hAnsi="Courier New" w:hint="default"/>
      </w:rPr>
    </w:lvl>
    <w:lvl w:ilvl="8" w:tplc="E57EAEDE">
      <w:start w:val="1"/>
      <w:numFmt w:val="bullet"/>
      <w:lvlText w:val=""/>
      <w:lvlJc w:val="left"/>
      <w:pPr>
        <w:ind w:left="6480" w:hanging="360"/>
      </w:pPr>
      <w:rPr>
        <w:rFonts w:ascii="Wingdings" w:hAnsi="Wingdings" w:hint="default"/>
      </w:rPr>
    </w:lvl>
  </w:abstractNum>
  <w:abstractNum w:abstractNumId="35" w15:restartNumberingAfterBreak="0">
    <w:nsid w:val="7937011E"/>
    <w:multiLevelType w:val="multilevel"/>
    <w:tmpl w:val="2EFC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B524E7"/>
    <w:multiLevelType w:val="hybridMultilevel"/>
    <w:tmpl w:val="CFC2D72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7" w15:restartNumberingAfterBreak="0">
    <w:nsid w:val="7C092C12"/>
    <w:multiLevelType w:val="hybridMultilevel"/>
    <w:tmpl w:val="DBD05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E82306"/>
    <w:multiLevelType w:val="hybridMultilevel"/>
    <w:tmpl w:val="A41AFE7E"/>
    <w:lvl w:ilvl="0" w:tplc="B76896C0">
      <w:start w:val="1"/>
      <w:numFmt w:val="lowerLetter"/>
      <w:lvlText w:val="(%1)"/>
      <w:lvlJc w:val="left"/>
      <w:pPr>
        <w:ind w:left="360" w:hanging="360"/>
      </w:pPr>
      <w:rPr>
        <w:rFonts w:hint="default"/>
        <w:b w:val="0"/>
        <w:bCs w:val="0"/>
        <w:sz w:val="16"/>
        <w:vertAlign w:val="superscrip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7F5F3E93"/>
    <w:multiLevelType w:val="hybridMultilevel"/>
    <w:tmpl w:val="B198C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FD31406"/>
    <w:multiLevelType w:val="hybridMultilevel"/>
    <w:tmpl w:val="A622F2A2"/>
    <w:lvl w:ilvl="0" w:tplc="348E7ED8">
      <w:start w:val="6"/>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33"/>
  </w:num>
  <w:num w:numId="2">
    <w:abstractNumId w:val="18"/>
  </w:num>
  <w:num w:numId="3">
    <w:abstractNumId w:val="5"/>
  </w:num>
  <w:num w:numId="4">
    <w:abstractNumId w:val="26"/>
  </w:num>
  <w:num w:numId="5">
    <w:abstractNumId w:val="38"/>
  </w:num>
  <w:num w:numId="6">
    <w:abstractNumId w:val="12"/>
  </w:num>
  <w:num w:numId="7">
    <w:abstractNumId w:val="40"/>
  </w:num>
  <w:num w:numId="8">
    <w:abstractNumId w:val="34"/>
  </w:num>
  <w:num w:numId="9">
    <w:abstractNumId w:val="9"/>
  </w:num>
  <w:num w:numId="10">
    <w:abstractNumId w:val="28"/>
  </w:num>
  <w:num w:numId="11">
    <w:abstractNumId w:val="8"/>
  </w:num>
  <w:num w:numId="12">
    <w:abstractNumId w:val="16"/>
  </w:num>
  <w:num w:numId="13">
    <w:abstractNumId w:val="4"/>
  </w:num>
  <w:num w:numId="14">
    <w:abstractNumId w:val="36"/>
  </w:num>
  <w:num w:numId="15">
    <w:abstractNumId w:val="27"/>
  </w:num>
  <w:num w:numId="16">
    <w:abstractNumId w:val="7"/>
  </w:num>
  <w:num w:numId="17">
    <w:abstractNumId w:val="20"/>
  </w:num>
  <w:num w:numId="18">
    <w:abstractNumId w:val="0"/>
  </w:num>
  <w:num w:numId="19">
    <w:abstractNumId w:val="30"/>
  </w:num>
  <w:num w:numId="20">
    <w:abstractNumId w:val="32"/>
  </w:num>
  <w:num w:numId="21">
    <w:abstractNumId w:val="24"/>
  </w:num>
  <w:num w:numId="2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
  </w:num>
  <w:num w:numId="25">
    <w:abstractNumId w:val="13"/>
  </w:num>
  <w:num w:numId="26">
    <w:abstractNumId w:val="11"/>
  </w:num>
  <w:num w:numId="27">
    <w:abstractNumId w:val="39"/>
  </w:num>
  <w:num w:numId="28">
    <w:abstractNumId w:val="10"/>
  </w:num>
  <w:num w:numId="29">
    <w:abstractNumId w:val="1"/>
  </w:num>
  <w:num w:numId="30">
    <w:abstractNumId w:val="21"/>
  </w:num>
  <w:num w:numId="31">
    <w:abstractNumId w:val="25"/>
  </w:num>
  <w:num w:numId="32">
    <w:abstractNumId w:val="2"/>
  </w:num>
  <w:num w:numId="33">
    <w:abstractNumId w:val="23"/>
  </w:num>
  <w:num w:numId="34">
    <w:abstractNumId w:val="37"/>
  </w:num>
  <w:num w:numId="35">
    <w:abstractNumId w:val="17"/>
  </w:num>
  <w:num w:numId="36">
    <w:abstractNumId w:val="19"/>
  </w:num>
  <w:num w:numId="37">
    <w:abstractNumId w:val="5"/>
  </w:num>
  <w:num w:numId="38">
    <w:abstractNumId w:val="22"/>
  </w:num>
  <w:num w:numId="39">
    <w:abstractNumId w:val="6"/>
  </w:num>
  <w:num w:numId="40">
    <w:abstractNumId w:val="5"/>
  </w:num>
  <w:num w:numId="41">
    <w:abstractNumId w:val="5"/>
  </w:num>
  <w:num w:numId="42">
    <w:abstractNumId w:val="5"/>
  </w:num>
  <w:num w:numId="43">
    <w:abstractNumId w:val="31"/>
  </w:num>
  <w:num w:numId="44">
    <w:abstractNumId w:val="35"/>
  </w:num>
  <w:num w:numId="45">
    <w:abstractNumId w:val="15"/>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
  <w:docVars>
    <w:docVar w:name="DocStatus" w:val="Green"/>
    <w:docVar w:name="LW_CORRIGENDUM" w:val="&lt;UNUSED&gt;"/>
    <w:docVar w:name="LW_COVERPAGE_EXISTS" w:val="True"/>
    <w:docVar w:name="LW_COVERPAGE_GUID" w:val="4BC0B253-57DA-425D-A456-5C69230DE0F1"/>
    <w:docVar w:name="LW_COVERPAGE_TYPE" w:val="1"/>
    <w:docVar w:name="LW_CROSSREFERENCE" w:val="{SWD(2023) 338 final} - {SWD(2023) 339 final}"/>
    <w:docVar w:name="LW_DocType" w:val="NORMAL"/>
    <w:docVar w:name="LW_EMISSION" w:val="24. 10. 2023"/>
    <w:docVar w:name="LW_EMISSION_ISODATE" w:val="2023-10-24"/>
    <w:docVar w:name="LW_EMISSION_LOCATION" w:val="BRX"/>
    <w:docVar w:name="LW_EMISSION_PREFIX" w:val="V Bruseli"/>
    <w:docVar w:name="LW_EMISSION_SUFFIX" w:val=" "/>
    <w:docVar w:name="LW_ID_DOCTYPE_NONLW" w:val="CP-006"/>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23) 653"/>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práva o pokroku opatrení  EÚ v oblasti klímy za rok 2023"/>
    <w:docVar w:name="LW_TYPE.DOC.CP" w:val="SPRÁVA KOMISIE EURÓPSKEMU PARLAMENTU A RADE"/>
    <w:docVar w:name="LwApiVersions" w:val="LW4CoDe 1.23.2.0; LW 8.0, Build 20211117"/>
  </w:docVars>
  <w:rsids>
    <w:rsidRoot w:val="00E31BEE"/>
    <w:rsid w:val="000001ED"/>
    <w:rsid w:val="000004A2"/>
    <w:rsid w:val="00000829"/>
    <w:rsid w:val="000009D0"/>
    <w:rsid w:val="0000237B"/>
    <w:rsid w:val="000023F7"/>
    <w:rsid w:val="0000280C"/>
    <w:rsid w:val="00002EAE"/>
    <w:rsid w:val="000047BD"/>
    <w:rsid w:val="0000580A"/>
    <w:rsid w:val="00005F70"/>
    <w:rsid w:val="00006919"/>
    <w:rsid w:val="00007883"/>
    <w:rsid w:val="0001193E"/>
    <w:rsid w:val="00011F4C"/>
    <w:rsid w:val="0001299D"/>
    <w:rsid w:val="000132E4"/>
    <w:rsid w:val="000138B5"/>
    <w:rsid w:val="00013AE7"/>
    <w:rsid w:val="000149A9"/>
    <w:rsid w:val="000150D6"/>
    <w:rsid w:val="000158F6"/>
    <w:rsid w:val="00015BD0"/>
    <w:rsid w:val="0001692C"/>
    <w:rsid w:val="00016990"/>
    <w:rsid w:val="00016AD8"/>
    <w:rsid w:val="00016F1E"/>
    <w:rsid w:val="0001707C"/>
    <w:rsid w:val="000176C1"/>
    <w:rsid w:val="00017ACD"/>
    <w:rsid w:val="00017B0A"/>
    <w:rsid w:val="00019729"/>
    <w:rsid w:val="00020DCC"/>
    <w:rsid w:val="00021AE6"/>
    <w:rsid w:val="00022712"/>
    <w:rsid w:val="00022A86"/>
    <w:rsid w:val="00024816"/>
    <w:rsid w:val="000249B0"/>
    <w:rsid w:val="00024B95"/>
    <w:rsid w:val="00025D17"/>
    <w:rsid w:val="00025E4C"/>
    <w:rsid w:val="00026471"/>
    <w:rsid w:val="00026FB1"/>
    <w:rsid w:val="00027095"/>
    <w:rsid w:val="00027C1C"/>
    <w:rsid w:val="00030333"/>
    <w:rsid w:val="00030669"/>
    <w:rsid w:val="00030E86"/>
    <w:rsid w:val="000312D6"/>
    <w:rsid w:val="00031825"/>
    <w:rsid w:val="00031DF0"/>
    <w:rsid w:val="0003261E"/>
    <w:rsid w:val="00032E6F"/>
    <w:rsid w:val="00032F77"/>
    <w:rsid w:val="000332B4"/>
    <w:rsid w:val="0003343C"/>
    <w:rsid w:val="00033FCF"/>
    <w:rsid w:val="00034325"/>
    <w:rsid w:val="000343F2"/>
    <w:rsid w:val="000345B9"/>
    <w:rsid w:val="00035073"/>
    <w:rsid w:val="00036044"/>
    <w:rsid w:val="00036599"/>
    <w:rsid w:val="00036859"/>
    <w:rsid w:val="00036A89"/>
    <w:rsid w:val="000376FE"/>
    <w:rsid w:val="00040128"/>
    <w:rsid w:val="00040892"/>
    <w:rsid w:val="00040AF8"/>
    <w:rsid w:val="00041608"/>
    <w:rsid w:val="000417BF"/>
    <w:rsid w:val="00041D70"/>
    <w:rsid w:val="000424E3"/>
    <w:rsid w:val="0004321D"/>
    <w:rsid w:val="00043798"/>
    <w:rsid w:val="00043C56"/>
    <w:rsid w:val="00044942"/>
    <w:rsid w:val="00044C8F"/>
    <w:rsid w:val="000458DB"/>
    <w:rsid w:val="000464CC"/>
    <w:rsid w:val="0004677C"/>
    <w:rsid w:val="0004696F"/>
    <w:rsid w:val="0004759F"/>
    <w:rsid w:val="00047C68"/>
    <w:rsid w:val="000505CC"/>
    <w:rsid w:val="00050C06"/>
    <w:rsid w:val="00051018"/>
    <w:rsid w:val="00051774"/>
    <w:rsid w:val="00051FE8"/>
    <w:rsid w:val="0005294B"/>
    <w:rsid w:val="00052A37"/>
    <w:rsid w:val="00053978"/>
    <w:rsid w:val="000539C6"/>
    <w:rsid w:val="00054142"/>
    <w:rsid w:val="00054893"/>
    <w:rsid w:val="000557A6"/>
    <w:rsid w:val="000557C6"/>
    <w:rsid w:val="00055BF2"/>
    <w:rsid w:val="00056321"/>
    <w:rsid w:val="00056643"/>
    <w:rsid w:val="00057474"/>
    <w:rsid w:val="00057F9E"/>
    <w:rsid w:val="000606C2"/>
    <w:rsid w:val="00060983"/>
    <w:rsid w:val="000616EE"/>
    <w:rsid w:val="00062AB5"/>
    <w:rsid w:val="0006304A"/>
    <w:rsid w:val="00063166"/>
    <w:rsid w:val="00063946"/>
    <w:rsid w:val="00063998"/>
    <w:rsid w:val="00063D95"/>
    <w:rsid w:val="00064023"/>
    <w:rsid w:val="00064053"/>
    <w:rsid w:val="000640E3"/>
    <w:rsid w:val="00064195"/>
    <w:rsid w:val="000643AC"/>
    <w:rsid w:val="00064EA8"/>
    <w:rsid w:val="000650A6"/>
    <w:rsid w:val="0006530D"/>
    <w:rsid w:val="0006562F"/>
    <w:rsid w:val="00066C20"/>
    <w:rsid w:val="00066F09"/>
    <w:rsid w:val="0006735F"/>
    <w:rsid w:val="000700CA"/>
    <w:rsid w:val="00070418"/>
    <w:rsid w:val="00070477"/>
    <w:rsid w:val="000704ED"/>
    <w:rsid w:val="00070B7D"/>
    <w:rsid w:val="00070C64"/>
    <w:rsid w:val="000710EA"/>
    <w:rsid w:val="00071E58"/>
    <w:rsid w:val="000723F9"/>
    <w:rsid w:val="0007241B"/>
    <w:rsid w:val="000727BC"/>
    <w:rsid w:val="00073214"/>
    <w:rsid w:val="00073AC7"/>
    <w:rsid w:val="00074284"/>
    <w:rsid w:val="000746D0"/>
    <w:rsid w:val="0007480B"/>
    <w:rsid w:val="000750A0"/>
    <w:rsid w:val="000753A4"/>
    <w:rsid w:val="00075D11"/>
    <w:rsid w:val="00075FA0"/>
    <w:rsid w:val="0007676B"/>
    <w:rsid w:val="000803AB"/>
    <w:rsid w:val="00080784"/>
    <w:rsid w:val="000808ED"/>
    <w:rsid w:val="000811DA"/>
    <w:rsid w:val="00082674"/>
    <w:rsid w:val="00082D4D"/>
    <w:rsid w:val="00082E08"/>
    <w:rsid w:val="00082EC3"/>
    <w:rsid w:val="00082F77"/>
    <w:rsid w:val="00083D9D"/>
    <w:rsid w:val="00083EAF"/>
    <w:rsid w:val="00084F12"/>
    <w:rsid w:val="00084FE0"/>
    <w:rsid w:val="00085A94"/>
    <w:rsid w:val="00085C9F"/>
    <w:rsid w:val="00085EDC"/>
    <w:rsid w:val="0008623D"/>
    <w:rsid w:val="00087072"/>
    <w:rsid w:val="000870D4"/>
    <w:rsid w:val="000878A2"/>
    <w:rsid w:val="00087DBC"/>
    <w:rsid w:val="00090336"/>
    <w:rsid w:val="000905E8"/>
    <w:rsid w:val="000908E6"/>
    <w:rsid w:val="00091A9E"/>
    <w:rsid w:val="00091DE5"/>
    <w:rsid w:val="00091EE1"/>
    <w:rsid w:val="00092A5C"/>
    <w:rsid w:val="00092F6A"/>
    <w:rsid w:val="0009306C"/>
    <w:rsid w:val="000930E6"/>
    <w:rsid w:val="00094231"/>
    <w:rsid w:val="00095012"/>
    <w:rsid w:val="00095965"/>
    <w:rsid w:val="00095A09"/>
    <w:rsid w:val="00095DE8"/>
    <w:rsid w:val="00095ECB"/>
    <w:rsid w:val="0009631C"/>
    <w:rsid w:val="00097CC3"/>
    <w:rsid w:val="00097E10"/>
    <w:rsid w:val="000A05DD"/>
    <w:rsid w:val="000A0776"/>
    <w:rsid w:val="000A1736"/>
    <w:rsid w:val="000A25A8"/>
    <w:rsid w:val="000A304E"/>
    <w:rsid w:val="000A3219"/>
    <w:rsid w:val="000A3440"/>
    <w:rsid w:val="000A370D"/>
    <w:rsid w:val="000A37FD"/>
    <w:rsid w:val="000A3A3F"/>
    <w:rsid w:val="000A3D0E"/>
    <w:rsid w:val="000A47CA"/>
    <w:rsid w:val="000A524B"/>
    <w:rsid w:val="000A5937"/>
    <w:rsid w:val="000A626D"/>
    <w:rsid w:val="000A667D"/>
    <w:rsid w:val="000A6C5C"/>
    <w:rsid w:val="000A722E"/>
    <w:rsid w:val="000A76E3"/>
    <w:rsid w:val="000A7894"/>
    <w:rsid w:val="000B0A68"/>
    <w:rsid w:val="000B11E3"/>
    <w:rsid w:val="000B12C0"/>
    <w:rsid w:val="000B1A90"/>
    <w:rsid w:val="000B2CA6"/>
    <w:rsid w:val="000B3744"/>
    <w:rsid w:val="000B39F2"/>
    <w:rsid w:val="000B3AD2"/>
    <w:rsid w:val="000B3B04"/>
    <w:rsid w:val="000B4118"/>
    <w:rsid w:val="000B42C8"/>
    <w:rsid w:val="000B43EA"/>
    <w:rsid w:val="000B4559"/>
    <w:rsid w:val="000B508A"/>
    <w:rsid w:val="000B50D4"/>
    <w:rsid w:val="000B5DFF"/>
    <w:rsid w:val="000B6563"/>
    <w:rsid w:val="000B788D"/>
    <w:rsid w:val="000B78D5"/>
    <w:rsid w:val="000B7C00"/>
    <w:rsid w:val="000C029B"/>
    <w:rsid w:val="000C1745"/>
    <w:rsid w:val="000C2392"/>
    <w:rsid w:val="000C2A2B"/>
    <w:rsid w:val="000C3188"/>
    <w:rsid w:val="000C33C4"/>
    <w:rsid w:val="000C38B5"/>
    <w:rsid w:val="000C468D"/>
    <w:rsid w:val="000C4728"/>
    <w:rsid w:val="000C52BF"/>
    <w:rsid w:val="000C64DD"/>
    <w:rsid w:val="000C68BB"/>
    <w:rsid w:val="000C6DE7"/>
    <w:rsid w:val="000C6E6F"/>
    <w:rsid w:val="000C7A6E"/>
    <w:rsid w:val="000C7D9B"/>
    <w:rsid w:val="000D0A5C"/>
    <w:rsid w:val="000D0F70"/>
    <w:rsid w:val="000D1080"/>
    <w:rsid w:val="000D136F"/>
    <w:rsid w:val="000D1E00"/>
    <w:rsid w:val="000D1F00"/>
    <w:rsid w:val="000D2D78"/>
    <w:rsid w:val="000D315A"/>
    <w:rsid w:val="000D35AD"/>
    <w:rsid w:val="000D36E7"/>
    <w:rsid w:val="000D49A2"/>
    <w:rsid w:val="000D52BE"/>
    <w:rsid w:val="000D56B9"/>
    <w:rsid w:val="000D5B6F"/>
    <w:rsid w:val="000D5CD5"/>
    <w:rsid w:val="000D6191"/>
    <w:rsid w:val="000D6AF6"/>
    <w:rsid w:val="000E0114"/>
    <w:rsid w:val="000E0D2D"/>
    <w:rsid w:val="000E11B9"/>
    <w:rsid w:val="000E16C3"/>
    <w:rsid w:val="000E182E"/>
    <w:rsid w:val="000E1D56"/>
    <w:rsid w:val="000E2B32"/>
    <w:rsid w:val="000E360C"/>
    <w:rsid w:val="000E3A96"/>
    <w:rsid w:val="000E3C04"/>
    <w:rsid w:val="000E4186"/>
    <w:rsid w:val="000E4858"/>
    <w:rsid w:val="000E570C"/>
    <w:rsid w:val="000E58F8"/>
    <w:rsid w:val="000E5ED0"/>
    <w:rsid w:val="000E64FE"/>
    <w:rsid w:val="000E6CDE"/>
    <w:rsid w:val="000E6E99"/>
    <w:rsid w:val="000E6FB4"/>
    <w:rsid w:val="000E7F1D"/>
    <w:rsid w:val="000F1110"/>
    <w:rsid w:val="000F22C9"/>
    <w:rsid w:val="000F2451"/>
    <w:rsid w:val="000F251E"/>
    <w:rsid w:val="000F2A3A"/>
    <w:rsid w:val="000F2B64"/>
    <w:rsid w:val="000F2C83"/>
    <w:rsid w:val="000F41E9"/>
    <w:rsid w:val="000F4F58"/>
    <w:rsid w:val="000F57CB"/>
    <w:rsid w:val="000F5D27"/>
    <w:rsid w:val="000F5E9C"/>
    <w:rsid w:val="000F601A"/>
    <w:rsid w:val="000F75DC"/>
    <w:rsid w:val="000F78A8"/>
    <w:rsid w:val="000F79ED"/>
    <w:rsid w:val="00100287"/>
    <w:rsid w:val="001005D0"/>
    <w:rsid w:val="00102234"/>
    <w:rsid w:val="001022BA"/>
    <w:rsid w:val="0010246B"/>
    <w:rsid w:val="0010253E"/>
    <w:rsid w:val="00102921"/>
    <w:rsid w:val="00103191"/>
    <w:rsid w:val="001032C9"/>
    <w:rsid w:val="00104734"/>
    <w:rsid w:val="00104CE7"/>
    <w:rsid w:val="00105901"/>
    <w:rsid w:val="00105A8B"/>
    <w:rsid w:val="00106003"/>
    <w:rsid w:val="0010617D"/>
    <w:rsid w:val="00106C67"/>
    <w:rsid w:val="001075DC"/>
    <w:rsid w:val="00107F23"/>
    <w:rsid w:val="00107FA0"/>
    <w:rsid w:val="00110A42"/>
    <w:rsid w:val="00110AD2"/>
    <w:rsid w:val="00110F09"/>
    <w:rsid w:val="001110F0"/>
    <w:rsid w:val="00111A37"/>
    <w:rsid w:val="00111B00"/>
    <w:rsid w:val="0011246A"/>
    <w:rsid w:val="00112974"/>
    <w:rsid w:val="00112C2E"/>
    <w:rsid w:val="0011386C"/>
    <w:rsid w:val="0011419A"/>
    <w:rsid w:val="00114371"/>
    <w:rsid w:val="00114B4C"/>
    <w:rsid w:val="00114D1A"/>
    <w:rsid w:val="00115242"/>
    <w:rsid w:val="0011606C"/>
    <w:rsid w:val="001164A4"/>
    <w:rsid w:val="00116812"/>
    <w:rsid w:val="00116CAF"/>
    <w:rsid w:val="001174C4"/>
    <w:rsid w:val="001174CC"/>
    <w:rsid w:val="00117874"/>
    <w:rsid w:val="00117B80"/>
    <w:rsid w:val="00117E3F"/>
    <w:rsid w:val="001207CC"/>
    <w:rsid w:val="00120BC8"/>
    <w:rsid w:val="0012158E"/>
    <w:rsid w:val="001216C5"/>
    <w:rsid w:val="00121D6E"/>
    <w:rsid w:val="001220B3"/>
    <w:rsid w:val="00123308"/>
    <w:rsid w:val="001238C5"/>
    <w:rsid w:val="00123D29"/>
    <w:rsid w:val="00124217"/>
    <w:rsid w:val="00125757"/>
    <w:rsid w:val="0012579D"/>
    <w:rsid w:val="001259CB"/>
    <w:rsid w:val="00127B5D"/>
    <w:rsid w:val="00130407"/>
    <w:rsid w:val="00130430"/>
    <w:rsid w:val="0013078F"/>
    <w:rsid w:val="00130DEB"/>
    <w:rsid w:val="001312EF"/>
    <w:rsid w:val="001315B8"/>
    <w:rsid w:val="001318E0"/>
    <w:rsid w:val="00132093"/>
    <w:rsid w:val="00132EB1"/>
    <w:rsid w:val="00133B4C"/>
    <w:rsid w:val="00133C65"/>
    <w:rsid w:val="00133DBE"/>
    <w:rsid w:val="001345B5"/>
    <w:rsid w:val="00134C4E"/>
    <w:rsid w:val="0013546A"/>
    <w:rsid w:val="001358F3"/>
    <w:rsid w:val="0013620B"/>
    <w:rsid w:val="00137E9A"/>
    <w:rsid w:val="0014047C"/>
    <w:rsid w:val="00140562"/>
    <w:rsid w:val="0014074A"/>
    <w:rsid w:val="00140854"/>
    <w:rsid w:val="00141271"/>
    <w:rsid w:val="00141500"/>
    <w:rsid w:val="0014177D"/>
    <w:rsid w:val="00141822"/>
    <w:rsid w:val="0014203E"/>
    <w:rsid w:val="001423A2"/>
    <w:rsid w:val="001424BA"/>
    <w:rsid w:val="0014269D"/>
    <w:rsid w:val="00143DD0"/>
    <w:rsid w:val="00143DFF"/>
    <w:rsid w:val="00143EE2"/>
    <w:rsid w:val="00144151"/>
    <w:rsid w:val="0014456D"/>
    <w:rsid w:val="00146460"/>
    <w:rsid w:val="001465DE"/>
    <w:rsid w:val="00150496"/>
    <w:rsid w:val="0015049D"/>
    <w:rsid w:val="0015078A"/>
    <w:rsid w:val="001507D6"/>
    <w:rsid w:val="0015081D"/>
    <w:rsid w:val="001508A8"/>
    <w:rsid w:val="001509E2"/>
    <w:rsid w:val="00150BD3"/>
    <w:rsid w:val="001515FC"/>
    <w:rsid w:val="00151C1A"/>
    <w:rsid w:val="00151F64"/>
    <w:rsid w:val="00154024"/>
    <w:rsid w:val="001543FA"/>
    <w:rsid w:val="00154604"/>
    <w:rsid w:val="001548DF"/>
    <w:rsid w:val="00154FE5"/>
    <w:rsid w:val="0015521A"/>
    <w:rsid w:val="001556FF"/>
    <w:rsid w:val="00155F41"/>
    <w:rsid w:val="00156A5F"/>
    <w:rsid w:val="001600F9"/>
    <w:rsid w:val="00162709"/>
    <w:rsid w:val="00162819"/>
    <w:rsid w:val="00162D68"/>
    <w:rsid w:val="00163260"/>
    <w:rsid w:val="0016396A"/>
    <w:rsid w:val="001641AF"/>
    <w:rsid w:val="00164719"/>
    <w:rsid w:val="001650F0"/>
    <w:rsid w:val="00165CD9"/>
    <w:rsid w:val="00165EC3"/>
    <w:rsid w:val="001662D4"/>
    <w:rsid w:val="0016645C"/>
    <w:rsid w:val="00166C08"/>
    <w:rsid w:val="001671AB"/>
    <w:rsid w:val="001700C5"/>
    <w:rsid w:val="00170867"/>
    <w:rsid w:val="00171F4B"/>
    <w:rsid w:val="00172050"/>
    <w:rsid w:val="0017244F"/>
    <w:rsid w:val="001725A2"/>
    <w:rsid w:val="00172C57"/>
    <w:rsid w:val="0017357D"/>
    <w:rsid w:val="001738F6"/>
    <w:rsid w:val="0017418C"/>
    <w:rsid w:val="00174FAB"/>
    <w:rsid w:val="00175311"/>
    <w:rsid w:val="00176676"/>
    <w:rsid w:val="0017748B"/>
    <w:rsid w:val="001800EF"/>
    <w:rsid w:val="0018031E"/>
    <w:rsid w:val="00181550"/>
    <w:rsid w:val="00181891"/>
    <w:rsid w:val="00181E6E"/>
    <w:rsid w:val="0018279F"/>
    <w:rsid w:val="00182A88"/>
    <w:rsid w:val="00182CAC"/>
    <w:rsid w:val="00182F77"/>
    <w:rsid w:val="00183723"/>
    <w:rsid w:val="001839AC"/>
    <w:rsid w:val="001840D5"/>
    <w:rsid w:val="00184931"/>
    <w:rsid w:val="0018528C"/>
    <w:rsid w:val="001852B0"/>
    <w:rsid w:val="00185C6D"/>
    <w:rsid w:val="001865EA"/>
    <w:rsid w:val="00187E5B"/>
    <w:rsid w:val="001901BB"/>
    <w:rsid w:val="0019092F"/>
    <w:rsid w:val="00190F8A"/>
    <w:rsid w:val="001913FE"/>
    <w:rsid w:val="00193E29"/>
    <w:rsid w:val="00194202"/>
    <w:rsid w:val="0019422C"/>
    <w:rsid w:val="001947B7"/>
    <w:rsid w:val="001959E4"/>
    <w:rsid w:val="00195DBB"/>
    <w:rsid w:val="00195EA1"/>
    <w:rsid w:val="0019653A"/>
    <w:rsid w:val="001966D7"/>
    <w:rsid w:val="00196828"/>
    <w:rsid w:val="00196D04"/>
    <w:rsid w:val="00197170"/>
    <w:rsid w:val="00197BF9"/>
    <w:rsid w:val="001A289A"/>
    <w:rsid w:val="001A2D56"/>
    <w:rsid w:val="001A39B9"/>
    <w:rsid w:val="001A3E23"/>
    <w:rsid w:val="001A44ED"/>
    <w:rsid w:val="001A4829"/>
    <w:rsid w:val="001A566E"/>
    <w:rsid w:val="001A5822"/>
    <w:rsid w:val="001A5C43"/>
    <w:rsid w:val="001A5F8F"/>
    <w:rsid w:val="001A76C5"/>
    <w:rsid w:val="001A76F4"/>
    <w:rsid w:val="001A7C71"/>
    <w:rsid w:val="001B0257"/>
    <w:rsid w:val="001B03B6"/>
    <w:rsid w:val="001B1BD0"/>
    <w:rsid w:val="001B1CA4"/>
    <w:rsid w:val="001B1DB1"/>
    <w:rsid w:val="001B249F"/>
    <w:rsid w:val="001B294F"/>
    <w:rsid w:val="001B3531"/>
    <w:rsid w:val="001B4CC0"/>
    <w:rsid w:val="001B4D7C"/>
    <w:rsid w:val="001B5B91"/>
    <w:rsid w:val="001B5BCF"/>
    <w:rsid w:val="001B5FD7"/>
    <w:rsid w:val="001B6682"/>
    <w:rsid w:val="001B6FB6"/>
    <w:rsid w:val="001B78B4"/>
    <w:rsid w:val="001B792C"/>
    <w:rsid w:val="001B7A85"/>
    <w:rsid w:val="001B7B73"/>
    <w:rsid w:val="001B7C59"/>
    <w:rsid w:val="001B7D3B"/>
    <w:rsid w:val="001C07CB"/>
    <w:rsid w:val="001C1392"/>
    <w:rsid w:val="001C2A41"/>
    <w:rsid w:val="001C31D8"/>
    <w:rsid w:val="001C384D"/>
    <w:rsid w:val="001C3C76"/>
    <w:rsid w:val="001C500E"/>
    <w:rsid w:val="001C6976"/>
    <w:rsid w:val="001C6F80"/>
    <w:rsid w:val="001C7090"/>
    <w:rsid w:val="001C789B"/>
    <w:rsid w:val="001C7F23"/>
    <w:rsid w:val="001D0469"/>
    <w:rsid w:val="001D0630"/>
    <w:rsid w:val="001D068C"/>
    <w:rsid w:val="001D0794"/>
    <w:rsid w:val="001D07BB"/>
    <w:rsid w:val="001D182F"/>
    <w:rsid w:val="001D27D2"/>
    <w:rsid w:val="001D2E1E"/>
    <w:rsid w:val="001D32E5"/>
    <w:rsid w:val="001D3F88"/>
    <w:rsid w:val="001D4067"/>
    <w:rsid w:val="001D46DA"/>
    <w:rsid w:val="001D4964"/>
    <w:rsid w:val="001D4DD0"/>
    <w:rsid w:val="001D4E35"/>
    <w:rsid w:val="001D4F79"/>
    <w:rsid w:val="001D4F99"/>
    <w:rsid w:val="001D55E1"/>
    <w:rsid w:val="001D6621"/>
    <w:rsid w:val="001E0490"/>
    <w:rsid w:val="001E07D7"/>
    <w:rsid w:val="001E0BD1"/>
    <w:rsid w:val="001E0E90"/>
    <w:rsid w:val="001E0F27"/>
    <w:rsid w:val="001E110D"/>
    <w:rsid w:val="001E1111"/>
    <w:rsid w:val="001E2F75"/>
    <w:rsid w:val="001E3476"/>
    <w:rsid w:val="001E3AD5"/>
    <w:rsid w:val="001E4AD6"/>
    <w:rsid w:val="001E4D5F"/>
    <w:rsid w:val="001E5507"/>
    <w:rsid w:val="001E5844"/>
    <w:rsid w:val="001E5A4C"/>
    <w:rsid w:val="001E608A"/>
    <w:rsid w:val="001E6734"/>
    <w:rsid w:val="001E68D7"/>
    <w:rsid w:val="001E7442"/>
    <w:rsid w:val="001E7783"/>
    <w:rsid w:val="001F027C"/>
    <w:rsid w:val="001F04B5"/>
    <w:rsid w:val="001F08EC"/>
    <w:rsid w:val="001F0DA7"/>
    <w:rsid w:val="001F1BD5"/>
    <w:rsid w:val="001F2564"/>
    <w:rsid w:val="001F283E"/>
    <w:rsid w:val="001F320C"/>
    <w:rsid w:val="001F385D"/>
    <w:rsid w:val="001F3EE4"/>
    <w:rsid w:val="001F4289"/>
    <w:rsid w:val="001F4922"/>
    <w:rsid w:val="001F49E8"/>
    <w:rsid w:val="001F4C0A"/>
    <w:rsid w:val="001F4FF9"/>
    <w:rsid w:val="001F5101"/>
    <w:rsid w:val="001F5F28"/>
    <w:rsid w:val="001F5F5D"/>
    <w:rsid w:val="001F6C73"/>
    <w:rsid w:val="001F6C83"/>
    <w:rsid w:val="001F7CA7"/>
    <w:rsid w:val="001F7EDF"/>
    <w:rsid w:val="001F7F4F"/>
    <w:rsid w:val="001FA790"/>
    <w:rsid w:val="002009F8"/>
    <w:rsid w:val="00200DE6"/>
    <w:rsid w:val="00201355"/>
    <w:rsid w:val="00201387"/>
    <w:rsid w:val="0020154A"/>
    <w:rsid w:val="00201A67"/>
    <w:rsid w:val="002025B8"/>
    <w:rsid w:val="00202AE9"/>
    <w:rsid w:val="0020302D"/>
    <w:rsid w:val="002036ED"/>
    <w:rsid w:val="00204517"/>
    <w:rsid w:val="00204C18"/>
    <w:rsid w:val="00204D53"/>
    <w:rsid w:val="00205394"/>
    <w:rsid w:val="00205731"/>
    <w:rsid w:val="0020573A"/>
    <w:rsid w:val="00206F35"/>
    <w:rsid w:val="00207890"/>
    <w:rsid w:val="00207AB5"/>
    <w:rsid w:val="002100AA"/>
    <w:rsid w:val="002104D7"/>
    <w:rsid w:val="0021079E"/>
    <w:rsid w:val="00210E3F"/>
    <w:rsid w:val="002119A6"/>
    <w:rsid w:val="0021291F"/>
    <w:rsid w:val="00213649"/>
    <w:rsid w:val="00213DF0"/>
    <w:rsid w:val="00213ECB"/>
    <w:rsid w:val="002149D3"/>
    <w:rsid w:val="00214E0D"/>
    <w:rsid w:val="002158FF"/>
    <w:rsid w:val="0021597A"/>
    <w:rsid w:val="00215B25"/>
    <w:rsid w:val="00215BE5"/>
    <w:rsid w:val="00215FCE"/>
    <w:rsid w:val="0021673B"/>
    <w:rsid w:val="00216E84"/>
    <w:rsid w:val="00217C3A"/>
    <w:rsid w:val="00217D14"/>
    <w:rsid w:val="00217E59"/>
    <w:rsid w:val="0022011D"/>
    <w:rsid w:val="002208AA"/>
    <w:rsid w:val="00220D61"/>
    <w:rsid w:val="00221B9D"/>
    <w:rsid w:val="002227D8"/>
    <w:rsid w:val="00222896"/>
    <w:rsid w:val="00222F23"/>
    <w:rsid w:val="002234FA"/>
    <w:rsid w:val="0022383F"/>
    <w:rsid w:val="00224127"/>
    <w:rsid w:val="0022413C"/>
    <w:rsid w:val="00224ACD"/>
    <w:rsid w:val="00225762"/>
    <w:rsid w:val="002258BD"/>
    <w:rsid w:val="002262AF"/>
    <w:rsid w:val="002262F1"/>
    <w:rsid w:val="00227DE4"/>
    <w:rsid w:val="00230856"/>
    <w:rsid w:val="0023168C"/>
    <w:rsid w:val="00231BB0"/>
    <w:rsid w:val="0023255B"/>
    <w:rsid w:val="00232C22"/>
    <w:rsid w:val="00232D03"/>
    <w:rsid w:val="00232F5E"/>
    <w:rsid w:val="002337CC"/>
    <w:rsid w:val="00234215"/>
    <w:rsid w:val="00234C11"/>
    <w:rsid w:val="00234C79"/>
    <w:rsid w:val="00234D8C"/>
    <w:rsid w:val="002352F7"/>
    <w:rsid w:val="002353FE"/>
    <w:rsid w:val="002354CF"/>
    <w:rsid w:val="00235711"/>
    <w:rsid w:val="00235F46"/>
    <w:rsid w:val="002372B9"/>
    <w:rsid w:val="00237981"/>
    <w:rsid w:val="002405F2"/>
    <w:rsid w:val="00240E98"/>
    <w:rsid w:val="00242C15"/>
    <w:rsid w:val="00242CBC"/>
    <w:rsid w:val="00243BA0"/>
    <w:rsid w:val="00244720"/>
    <w:rsid w:val="00244BA9"/>
    <w:rsid w:val="00244CD1"/>
    <w:rsid w:val="00244E06"/>
    <w:rsid w:val="0024566F"/>
    <w:rsid w:val="002461D5"/>
    <w:rsid w:val="002469C9"/>
    <w:rsid w:val="002470C2"/>
    <w:rsid w:val="002477BB"/>
    <w:rsid w:val="00247A0D"/>
    <w:rsid w:val="00250053"/>
    <w:rsid w:val="002502AB"/>
    <w:rsid w:val="002503B5"/>
    <w:rsid w:val="002507D4"/>
    <w:rsid w:val="00250A6F"/>
    <w:rsid w:val="00251FA7"/>
    <w:rsid w:val="00253EFA"/>
    <w:rsid w:val="002542B3"/>
    <w:rsid w:val="002547C2"/>
    <w:rsid w:val="0025648B"/>
    <w:rsid w:val="00257238"/>
    <w:rsid w:val="002579F1"/>
    <w:rsid w:val="00257A9F"/>
    <w:rsid w:val="00257C7C"/>
    <w:rsid w:val="002603D7"/>
    <w:rsid w:val="00261C8D"/>
    <w:rsid w:val="00262112"/>
    <w:rsid w:val="0026251A"/>
    <w:rsid w:val="00262A86"/>
    <w:rsid w:val="0026305C"/>
    <w:rsid w:val="0026319B"/>
    <w:rsid w:val="00263524"/>
    <w:rsid w:val="00264243"/>
    <w:rsid w:val="002649F4"/>
    <w:rsid w:val="00264C9D"/>
    <w:rsid w:val="00265854"/>
    <w:rsid w:val="00265B22"/>
    <w:rsid w:val="002660FF"/>
    <w:rsid w:val="0027099F"/>
    <w:rsid w:val="00271800"/>
    <w:rsid w:val="00271D23"/>
    <w:rsid w:val="002723DF"/>
    <w:rsid w:val="002726D0"/>
    <w:rsid w:val="002738DE"/>
    <w:rsid w:val="00274166"/>
    <w:rsid w:val="00274263"/>
    <w:rsid w:val="00274333"/>
    <w:rsid w:val="002746ED"/>
    <w:rsid w:val="0027471A"/>
    <w:rsid w:val="00275531"/>
    <w:rsid w:val="002757A5"/>
    <w:rsid w:val="002761FC"/>
    <w:rsid w:val="002769E2"/>
    <w:rsid w:val="00276D3D"/>
    <w:rsid w:val="00276EB9"/>
    <w:rsid w:val="002774C4"/>
    <w:rsid w:val="0027756A"/>
    <w:rsid w:val="002779DD"/>
    <w:rsid w:val="002805C8"/>
    <w:rsid w:val="00280E6A"/>
    <w:rsid w:val="002815DC"/>
    <w:rsid w:val="00281D03"/>
    <w:rsid w:val="0028278C"/>
    <w:rsid w:val="002836CE"/>
    <w:rsid w:val="00284CC9"/>
    <w:rsid w:val="00284F0B"/>
    <w:rsid w:val="002851EF"/>
    <w:rsid w:val="0028559E"/>
    <w:rsid w:val="00285DBB"/>
    <w:rsid w:val="00285E5B"/>
    <w:rsid w:val="002861F5"/>
    <w:rsid w:val="002862CF"/>
    <w:rsid w:val="002873EF"/>
    <w:rsid w:val="0028775A"/>
    <w:rsid w:val="00287C42"/>
    <w:rsid w:val="002919BF"/>
    <w:rsid w:val="00293FC9"/>
    <w:rsid w:val="00294587"/>
    <w:rsid w:val="00294AB0"/>
    <w:rsid w:val="00294FF4"/>
    <w:rsid w:val="002954A6"/>
    <w:rsid w:val="002959AD"/>
    <w:rsid w:val="00296581"/>
    <w:rsid w:val="00296E64"/>
    <w:rsid w:val="002A040E"/>
    <w:rsid w:val="002A0555"/>
    <w:rsid w:val="002A160A"/>
    <w:rsid w:val="002A1962"/>
    <w:rsid w:val="002A22C8"/>
    <w:rsid w:val="002A2D15"/>
    <w:rsid w:val="002A2E54"/>
    <w:rsid w:val="002A2F8E"/>
    <w:rsid w:val="002A36DC"/>
    <w:rsid w:val="002A3FB5"/>
    <w:rsid w:val="002A422B"/>
    <w:rsid w:val="002A4849"/>
    <w:rsid w:val="002A48C0"/>
    <w:rsid w:val="002A499F"/>
    <w:rsid w:val="002A49BB"/>
    <w:rsid w:val="002A5616"/>
    <w:rsid w:val="002A5884"/>
    <w:rsid w:val="002A6269"/>
    <w:rsid w:val="002A7216"/>
    <w:rsid w:val="002A786B"/>
    <w:rsid w:val="002B032A"/>
    <w:rsid w:val="002B0CDE"/>
    <w:rsid w:val="002B1488"/>
    <w:rsid w:val="002B1DF7"/>
    <w:rsid w:val="002B2C32"/>
    <w:rsid w:val="002B2C45"/>
    <w:rsid w:val="002B3006"/>
    <w:rsid w:val="002B3201"/>
    <w:rsid w:val="002B32CF"/>
    <w:rsid w:val="002B3AAE"/>
    <w:rsid w:val="002B4776"/>
    <w:rsid w:val="002B47B2"/>
    <w:rsid w:val="002B5718"/>
    <w:rsid w:val="002B64C2"/>
    <w:rsid w:val="002B668C"/>
    <w:rsid w:val="002B66E7"/>
    <w:rsid w:val="002B7202"/>
    <w:rsid w:val="002B7C8F"/>
    <w:rsid w:val="002C0492"/>
    <w:rsid w:val="002C0D1C"/>
    <w:rsid w:val="002C0E68"/>
    <w:rsid w:val="002C2348"/>
    <w:rsid w:val="002C29CC"/>
    <w:rsid w:val="002C447C"/>
    <w:rsid w:val="002C4653"/>
    <w:rsid w:val="002C4CD7"/>
    <w:rsid w:val="002C4DA5"/>
    <w:rsid w:val="002C4E50"/>
    <w:rsid w:val="002C51BF"/>
    <w:rsid w:val="002C57B3"/>
    <w:rsid w:val="002C6B82"/>
    <w:rsid w:val="002C7360"/>
    <w:rsid w:val="002D0184"/>
    <w:rsid w:val="002D070A"/>
    <w:rsid w:val="002D0ADC"/>
    <w:rsid w:val="002D1274"/>
    <w:rsid w:val="002D3A59"/>
    <w:rsid w:val="002D3A7F"/>
    <w:rsid w:val="002D43A7"/>
    <w:rsid w:val="002D445F"/>
    <w:rsid w:val="002D4C22"/>
    <w:rsid w:val="002D4DC4"/>
    <w:rsid w:val="002D5A78"/>
    <w:rsid w:val="002D5CA6"/>
    <w:rsid w:val="002D5E43"/>
    <w:rsid w:val="002D7125"/>
    <w:rsid w:val="002D76AF"/>
    <w:rsid w:val="002E02D6"/>
    <w:rsid w:val="002E073C"/>
    <w:rsid w:val="002E089F"/>
    <w:rsid w:val="002E12AA"/>
    <w:rsid w:val="002E1381"/>
    <w:rsid w:val="002E1A42"/>
    <w:rsid w:val="002E23D5"/>
    <w:rsid w:val="002E25D2"/>
    <w:rsid w:val="002E2BE7"/>
    <w:rsid w:val="002E3CDA"/>
    <w:rsid w:val="002E5EDB"/>
    <w:rsid w:val="002E6611"/>
    <w:rsid w:val="002E666B"/>
    <w:rsid w:val="002E6736"/>
    <w:rsid w:val="002E6F22"/>
    <w:rsid w:val="002E7CE2"/>
    <w:rsid w:val="002E7EE4"/>
    <w:rsid w:val="002F12C2"/>
    <w:rsid w:val="002F1453"/>
    <w:rsid w:val="002F1591"/>
    <w:rsid w:val="002F349B"/>
    <w:rsid w:val="002F44F1"/>
    <w:rsid w:val="002F4598"/>
    <w:rsid w:val="002F4F9A"/>
    <w:rsid w:val="002F5CF1"/>
    <w:rsid w:val="002F69BE"/>
    <w:rsid w:val="002F797D"/>
    <w:rsid w:val="002F7FB0"/>
    <w:rsid w:val="003002A0"/>
    <w:rsid w:val="0030237F"/>
    <w:rsid w:val="0030277B"/>
    <w:rsid w:val="00302A24"/>
    <w:rsid w:val="003030E8"/>
    <w:rsid w:val="0030334C"/>
    <w:rsid w:val="0030363A"/>
    <w:rsid w:val="00303A23"/>
    <w:rsid w:val="00303B73"/>
    <w:rsid w:val="00303CF0"/>
    <w:rsid w:val="00304684"/>
    <w:rsid w:val="0030468F"/>
    <w:rsid w:val="00304D31"/>
    <w:rsid w:val="00304E02"/>
    <w:rsid w:val="0030500B"/>
    <w:rsid w:val="003052B8"/>
    <w:rsid w:val="00305483"/>
    <w:rsid w:val="00305F04"/>
    <w:rsid w:val="003067DC"/>
    <w:rsid w:val="00307ED7"/>
    <w:rsid w:val="00307FB5"/>
    <w:rsid w:val="00310634"/>
    <w:rsid w:val="00310956"/>
    <w:rsid w:val="003109DF"/>
    <w:rsid w:val="00310FED"/>
    <w:rsid w:val="00312690"/>
    <w:rsid w:val="00313488"/>
    <w:rsid w:val="00313E7F"/>
    <w:rsid w:val="00314927"/>
    <w:rsid w:val="00315108"/>
    <w:rsid w:val="003151D1"/>
    <w:rsid w:val="003152A7"/>
    <w:rsid w:val="003153B0"/>
    <w:rsid w:val="00316D97"/>
    <w:rsid w:val="00316DB4"/>
    <w:rsid w:val="003170F7"/>
    <w:rsid w:val="0031766A"/>
    <w:rsid w:val="00317740"/>
    <w:rsid w:val="00321693"/>
    <w:rsid w:val="003222DA"/>
    <w:rsid w:val="003240DE"/>
    <w:rsid w:val="00324306"/>
    <w:rsid w:val="00324B9F"/>
    <w:rsid w:val="003255D0"/>
    <w:rsid w:val="003259C0"/>
    <w:rsid w:val="00325D3A"/>
    <w:rsid w:val="00326448"/>
    <w:rsid w:val="0032696A"/>
    <w:rsid w:val="003272E7"/>
    <w:rsid w:val="0032776D"/>
    <w:rsid w:val="00327CE2"/>
    <w:rsid w:val="00330147"/>
    <w:rsid w:val="00330992"/>
    <w:rsid w:val="003312C3"/>
    <w:rsid w:val="00331965"/>
    <w:rsid w:val="003325B9"/>
    <w:rsid w:val="003330A9"/>
    <w:rsid w:val="00333BCA"/>
    <w:rsid w:val="00333CFA"/>
    <w:rsid w:val="00333E04"/>
    <w:rsid w:val="00334A7D"/>
    <w:rsid w:val="00334E7A"/>
    <w:rsid w:val="0033561C"/>
    <w:rsid w:val="003356B0"/>
    <w:rsid w:val="003357D2"/>
    <w:rsid w:val="00335962"/>
    <w:rsid w:val="00336244"/>
    <w:rsid w:val="0033742D"/>
    <w:rsid w:val="00337D24"/>
    <w:rsid w:val="00340A49"/>
    <w:rsid w:val="0034113A"/>
    <w:rsid w:val="00341EAA"/>
    <w:rsid w:val="00342556"/>
    <w:rsid w:val="00342B68"/>
    <w:rsid w:val="0034357C"/>
    <w:rsid w:val="003435EF"/>
    <w:rsid w:val="00343966"/>
    <w:rsid w:val="00344380"/>
    <w:rsid w:val="00344427"/>
    <w:rsid w:val="0034449B"/>
    <w:rsid w:val="00344B1A"/>
    <w:rsid w:val="00345AD2"/>
    <w:rsid w:val="00345CE3"/>
    <w:rsid w:val="0035097E"/>
    <w:rsid w:val="00350B72"/>
    <w:rsid w:val="00351294"/>
    <w:rsid w:val="00352B8D"/>
    <w:rsid w:val="00352BA0"/>
    <w:rsid w:val="00352C3D"/>
    <w:rsid w:val="00352D0A"/>
    <w:rsid w:val="00353F96"/>
    <w:rsid w:val="003546A4"/>
    <w:rsid w:val="00354C1D"/>
    <w:rsid w:val="00354D26"/>
    <w:rsid w:val="00355E98"/>
    <w:rsid w:val="00356484"/>
    <w:rsid w:val="003565EC"/>
    <w:rsid w:val="003567A5"/>
    <w:rsid w:val="00356EE6"/>
    <w:rsid w:val="0036011A"/>
    <w:rsid w:val="00360EA2"/>
    <w:rsid w:val="003610F6"/>
    <w:rsid w:val="003615D8"/>
    <w:rsid w:val="003622E7"/>
    <w:rsid w:val="003626C1"/>
    <w:rsid w:val="00363FB7"/>
    <w:rsid w:val="003645CA"/>
    <w:rsid w:val="0036469F"/>
    <w:rsid w:val="0036488A"/>
    <w:rsid w:val="00365407"/>
    <w:rsid w:val="003656E2"/>
    <w:rsid w:val="003665C0"/>
    <w:rsid w:val="0036710C"/>
    <w:rsid w:val="00367AEB"/>
    <w:rsid w:val="00367AF5"/>
    <w:rsid w:val="00367E51"/>
    <w:rsid w:val="00367ED1"/>
    <w:rsid w:val="0037053A"/>
    <w:rsid w:val="00370705"/>
    <w:rsid w:val="0037084E"/>
    <w:rsid w:val="00370D30"/>
    <w:rsid w:val="003712D0"/>
    <w:rsid w:val="00371611"/>
    <w:rsid w:val="00372AB1"/>
    <w:rsid w:val="00372DDC"/>
    <w:rsid w:val="00372F99"/>
    <w:rsid w:val="00373055"/>
    <w:rsid w:val="00373540"/>
    <w:rsid w:val="00373547"/>
    <w:rsid w:val="003736A6"/>
    <w:rsid w:val="0037393A"/>
    <w:rsid w:val="00373E22"/>
    <w:rsid w:val="00373F3F"/>
    <w:rsid w:val="00373FE6"/>
    <w:rsid w:val="003749F3"/>
    <w:rsid w:val="00375047"/>
    <w:rsid w:val="00375CE9"/>
    <w:rsid w:val="00375ECE"/>
    <w:rsid w:val="00376275"/>
    <w:rsid w:val="003763B6"/>
    <w:rsid w:val="003764CE"/>
    <w:rsid w:val="00376613"/>
    <w:rsid w:val="003766D8"/>
    <w:rsid w:val="00376859"/>
    <w:rsid w:val="003768B4"/>
    <w:rsid w:val="00376925"/>
    <w:rsid w:val="00377045"/>
    <w:rsid w:val="0037716E"/>
    <w:rsid w:val="003775F8"/>
    <w:rsid w:val="003777EE"/>
    <w:rsid w:val="00377B32"/>
    <w:rsid w:val="00377FDA"/>
    <w:rsid w:val="00383B82"/>
    <w:rsid w:val="00384B89"/>
    <w:rsid w:val="00384CC1"/>
    <w:rsid w:val="0038518C"/>
    <w:rsid w:val="00385297"/>
    <w:rsid w:val="003855BD"/>
    <w:rsid w:val="003857C2"/>
    <w:rsid w:val="00385DAF"/>
    <w:rsid w:val="00386111"/>
    <w:rsid w:val="00387174"/>
    <w:rsid w:val="00391D90"/>
    <w:rsid w:val="0039226A"/>
    <w:rsid w:val="003929A6"/>
    <w:rsid w:val="00392D1B"/>
    <w:rsid w:val="003935A0"/>
    <w:rsid w:val="00393E89"/>
    <w:rsid w:val="00393EF4"/>
    <w:rsid w:val="0039453B"/>
    <w:rsid w:val="00394DB9"/>
    <w:rsid w:val="00394FB7"/>
    <w:rsid w:val="00395BE4"/>
    <w:rsid w:val="00396899"/>
    <w:rsid w:val="00396C5C"/>
    <w:rsid w:val="00397307"/>
    <w:rsid w:val="00397E64"/>
    <w:rsid w:val="003A0422"/>
    <w:rsid w:val="003A0653"/>
    <w:rsid w:val="003A07ED"/>
    <w:rsid w:val="003A0B91"/>
    <w:rsid w:val="003A1223"/>
    <w:rsid w:val="003A1367"/>
    <w:rsid w:val="003A2D2B"/>
    <w:rsid w:val="003A2FED"/>
    <w:rsid w:val="003A3DFF"/>
    <w:rsid w:val="003A427D"/>
    <w:rsid w:val="003A42D3"/>
    <w:rsid w:val="003A451C"/>
    <w:rsid w:val="003A487D"/>
    <w:rsid w:val="003A4B5A"/>
    <w:rsid w:val="003A53F8"/>
    <w:rsid w:val="003A6F78"/>
    <w:rsid w:val="003B050A"/>
    <w:rsid w:val="003B0A09"/>
    <w:rsid w:val="003B0DCE"/>
    <w:rsid w:val="003B1272"/>
    <w:rsid w:val="003B2647"/>
    <w:rsid w:val="003B3079"/>
    <w:rsid w:val="003B3178"/>
    <w:rsid w:val="003B3194"/>
    <w:rsid w:val="003B328D"/>
    <w:rsid w:val="003B3402"/>
    <w:rsid w:val="003B4067"/>
    <w:rsid w:val="003B495C"/>
    <w:rsid w:val="003B4C4E"/>
    <w:rsid w:val="003B4D7F"/>
    <w:rsid w:val="003B5721"/>
    <w:rsid w:val="003B61AB"/>
    <w:rsid w:val="003B6F19"/>
    <w:rsid w:val="003B6F3B"/>
    <w:rsid w:val="003B7853"/>
    <w:rsid w:val="003C00A9"/>
    <w:rsid w:val="003C1604"/>
    <w:rsid w:val="003C1D12"/>
    <w:rsid w:val="003C1E55"/>
    <w:rsid w:val="003C5A25"/>
    <w:rsid w:val="003C5B73"/>
    <w:rsid w:val="003C6558"/>
    <w:rsid w:val="003C6FEB"/>
    <w:rsid w:val="003C7432"/>
    <w:rsid w:val="003C751A"/>
    <w:rsid w:val="003C7A99"/>
    <w:rsid w:val="003C7DC9"/>
    <w:rsid w:val="003D0439"/>
    <w:rsid w:val="003D05F5"/>
    <w:rsid w:val="003D0A17"/>
    <w:rsid w:val="003D1160"/>
    <w:rsid w:val="003D1389"/>
    <w:rsid w:val="003D18F7"/>
    <w:rsid w:val="003D2237"/>
    <w:rsid w:val="003D234A"/>
    <w:rsid w:val="003D246E"/>
    <w:rsid w:val="003D3973"/>
    <w:rsid w:val="003D5354"/>
    <w:rsid w:val="003D559D"/>
    <w:rsid w:val="003D669B"/>
    <w:rsid w:val="003D6757"/>
    <w:rsid w:val="003D6897"/>
    <w:rsid w:val="003D6CC9"/>
    <w:rsid w:val="003E077C"/>
    <w:rsid w:val="003E0E6C"/>
    <w:rsid w:val="003E1104"/>
    <w:rsid w:val="003E1F66"/>
    <w:rsid w:val="003E201A"/>
    <w:rsid w:val="003E2386"/>
    <w:rsid w:val="003E24F2"/>
    <w:rsid w:val="003E3422"/>
    <w:rsid w:val="003E3477"/>
    <w:rsid w:val="003E3489"/>
    <w:rsid w:val="003E377F"/>
    <w:rsid w:val="003E3FB4"/>
    <w:rsid w:val="003E409E"/>
    <w:rsid w:val="003E4CC2"/>
    <w:rsid w:val="003E4F77"/>
    <w:rsid w:val="003E5677"/>
    <w:rsid w:val="003E5AA0"/>
    <w:rsid w:val="003E5C80"/>
    <w:rsid w:val="003E632D"/>
    <w:rsid w:val="003E67BF"/>
    <w:rsid w:val="003E6BAF"/>
    <w:rsid w:val="003E794F"/>
    <w:rsid w:val="003E7F20"/>
    <w:rsid w:val="003F01CB"/>
    <w:rsid w:val="003F0207"/>
    <w:rsid w:val="003F0350"/>
    <w:rsid w:val="003F0455"/>
    <w:rsid w:val="003F0787"/>
    <w:rsid w:val="003F0794"/>
    <w:rsid w:val="003F0EDD"/>
    <w:rsid w:val="003F1071"/>
    <w:rsid w:val="003F12B2"/>
    <w:rsid w:val="003F13AB"/>
    <w:rsid w:val="003F1975"/>
    <w:rsid w:val="003F2C36"/>
    <w:rsid w:val="003F30E4"/>
    <w:rsid w:val="003F32D7"/>
    <w:rsid w:val="003F3392"/>
    <w:rsid w:val="003F3865"/>
    <w:rsid w:val="003F687D"/>
    <w:rsid w:val="003F6B26"/>
    <w:rsid w:val="003F724E"/>
    <w:rsid w:val="003F76AD"/>
    <w:rsid w:val="003F78B5"/>
    <w:rsid w:val="004001A0"/>
    <w:rsid w:val="004003A8"/>
    <w:rsid w:val="00400ED8"/>
    <w:rsid w:val="004016E8"/>
    <w:rsid w:val="00402B0C"/>
    <w:rsid w:val="00402D44"/>
    <w:rsid w:val="00403198"/>
    <w:rsid w:val="0040421E"/>
    <w:rsid w:val="00404351"/>
    <w:rsid w:val="00404A86"/>
    <w:rsid w:val="00404D97"/>
    <w:rsid w:val="00404FEC"/>
    <w:rsid w:val="00405EB8"/>
    <w:rsid w:val="00406128"/>
    <w:rsid w:val="004061B7"/>
    <w:rsid w:val="00406512"/>
    <w:rsid w:val="004069DA"/>
    <w:rsid w:val="004075B3"/>
    <w:rsid w:val="00410826"/>
    <w:rsid w:val="00411AE8"/>
    <w:rsid w:val="00412031"/>
    <w:rsid w:val="00412260"/>
    <w:rsid w:val="004122EE"/>
    <w:rsid w:val="0041239B"/>
    <w:rsid w:val="00412483"/>
    <w:rsid w:val="004125D4"/>
    <w:rsid w:val="00412C1B"/>
    <w:rsid w:val="004137E3"/>
    <w:rsid w:val="00413CED"/>
    <w:rsid w:val="00415CAA"/>
    <w:rsid w:val="00415D51"/>
    <w:rsid w:val="00417099"/>
    <w:rsid w:val="00417451"/>
    <w:rsid w:val="004177C1"/>
    <w:rsid w:val="00420361"/>
    <w:rsid w:val="00420688"/>
    <w:rsid w:val="0042253D"/>
    <w:rsid w:val="004233F3"/>
    <w:rsid w:val="00423A9C"/>
    <w:rsid w:val="00423AEE"/>
    <w:rsid w:val="00423BB1"/>
    <w:rsid w:val="00423DD7"/>
    <w:rsid w:val="004245A1"/>
    <w:rsid w:val="0042471F"/>
    <w:rsid w:val="00424EAB"/>
    <w:rsid w:val="0042590A"/>
    <w:rsid w:val="00425C32"/>
    <w:rsid w:val="00425C4F"/>
    <w:rsid w:val="004260A7"/>
    <w:rsid w:val="004261CB"/>
    <w:rsid w:val="00426250"/>
    <w:rsid w:val="004270C5"/>
    <w:rsid w:val="00427F7F"/>
    <w:rsid w:val="0043003D"/>
    <w:rsid w:val="00430701"/>
    <w:rsid w:val="00430B3C"/>
    <w:rsid w:val="00430EC6"/>
    <w:rsid w:val="004312A6"/>
    <w:rsid w:val="0043183D"/>
    <w:rsid w:val="0043390E"/>
    <w:rsid w:val="00433DC4"/>
    <w:rsid w:val="004342AE"/>
    <w:rsid w:val="0043478B"/>
    <w:rsid w:val="00434C8E"/>
    <w:rsid w:val="00435570"/>
    <w:rsid w:val="00435773"/>
    <w:rsid w:val="00435C1A"/>
    <w:rsid w:val="004360B7"/>
    <w:rsid w:val="00436E63"/>
    <w:rsid w:val="004373B4"/>
    <w:rsid w:val="004376BB"/>
    <w:rsid w:val="0044067E"/>
    <w:rsid w:val="00440F96"/>
    <w:rsid w:val="00441190"/>
    <w:rsid w:val="004412D0"/>
    <w:rsid w:val="0044224A"/>
    <w:rsid w:val="00443110"/>
    <w:rsid w:val="00443A0D"/>
    <w:rsid w:val="00443D83"/>
    <w:rsid w:val="00444532"/>
    <w:rsid w:val="00444F6E"/>
    <w:rsid w:val="00447589"/>
    <w:rsid w:val="004476EB"/>
    <w:rsid w:val="00450BAD"/>
    <w:rsid w:val="00451254"/>
    <w:rsid w:val="00452FFA"/>
    <w:rsid w:val="0045344F"/>
    <w:rsid w:val="0045408A"/>
    <w:rsid w:val="00454461"/>
    <w:rsid w:val="00455959"/>
    <w:rsid w:val="00455A34"/>
    <w:rsid w:val="00455ACA"/>
    <w:rsid w:val="00457443"/>
    <w:rsid w:val="00457824"/>
    <w:rsid w:val="00460EC8"/>
    <w:rsid w:val="004610F3"/>
    <w:rsid w:val="0046117C"/>
    <w:rsid w:val="004614F2"/>
    <w:rsid w:val="00462155"/>
    <w:rsid w:val="00463ECC"/>
    <w:rsid w:val="0046573C"/>
    <w:rsid w:val="00466A31"/>
    <w:rsid w:val="004674A5"/>
    <w:rsid w:val="00467D7E"/>
    <w:rsid w:val="0047013C"/>
    <w:rsid w:val="0047038A"/>
    <w:rsid w:val="0047091F"/>
    <w:rsid w:val="00470D0A"/>
    <w:rsid w:val="00470DFA"/>
    <w:rsid w:val="0047123B"/>
    <w:rsid w:val="004714EC"/>
    <w:rsid w:val="00471A76"/>
    <w:rsid w:val="00472414"/>
    <w:rsid w:val="00472958"/>
    <w:rsid w:val="00472A55"/>
    <w:rsid w:val="00472B7A"/>
    <w:rsid w:val="00472C4C"/>
    <w:rsid w:val="00474459"/>
    <w:rsid w:val="00475737"/>
    <w:rsid w:val="00475A3F"/>
    <w:rsid w:val="004762F8"/>
    <w:rsid w:val="0047699C"/>
    <w:rsid w:val="00476D22"/>
    <w:rsid w:val="004771AB"/>
    <w:rsid w:val="0047721B"/>
    <w:rsid w:val="004777FE"/>
    <w:rsid w:val="00477985"/>
    <w:rsid w:val="00480CE2"/>
    <w:rsid w:val="00481790"/>
    <w:rsid w:val="004822FB"/>
    <w:rsid w:val="00482904"/>
    <w:rsid w:val="004835B4"/>
    <w:rsid w:val="0048367B"/>
    <w:rsid w:val="00484224"/>
    <w:rsid w:val="00484455"/>
    <w:rsid w:val="0048533F"/>
    <w:rsid w:val="00485B2A"/>
    <w:rsid w:val="00485C15"/>
    <w:rsid w:val="00485CAC"/>
    <w:rsid w:val="00485F09"/>
    <w:rsid w:val="0048611C"/>
    <w:rsid w:val="00486133"/>
    <w:rsid w:val="00486549"/>
    <w:rsid w:val="0048705B"/>
    <w:rsid w:val="00487189"/>
    <w:rsid w:val="00487348"/>
    <w:rsid w:val="00487DA4"/>
    <w:rsid w:val="004904C8"/>
    <w:rsid w:val="0049074A"/>
    <w:rsid w:val="00493768"/>
    <w:rsid w:val="00493AFE"/>
    <w:rsid w:val="00493E2F"/>
    <w:rsid w:val="00494E41"/>
    <w:rsid w:val="00494EDD"/>
    <w:rsid w:val="004964AD"/>
    <w:rsid w:val="004975D3"/>
    <w:rsid w:val="00497670"/>
    <w:rsid w:val="004A0127"/>
    <w:rsid w:val="004A0C95"/>
    <w:rsid w:val="004A1299"/>
    <w:rsid w:val="004A15C9"/>
    <w:rsid w:val="004A196B"/>
    <w:rsid w:val="004A3004"/>
    <w:rsid w:val="004A3689"/>
    <w:rsid w:val="004A399D"/>
    <w:rsid w:val="004A4F46"/>
    <w:rsid w:val="004A55C0"/>
    <w:rsid w:val="004A5B5D"/>
    <w:rsid w:val="004A612F"/>
    <w:rsid w:val="004A6151"/>
    <w:rsid w:val="004A6A9D"/>
    <w:rsid w:val="004A6B4A"/>
    <w:rsid w:val="004A7909"/>
    <w:rsid w:val="004B0BB2"/>
    <w:rsid w:val="004B139A"/>
    <w:rsid w:val="004B169E"/>
    <w:rsid w:val="004B2403"/>
    <w:rsid w:val="004B2977"/>
    <w:rsid w:val="004B3674"/>
    <w:rsid w:val="004B373A"/>
    <w:rsid w:val="004B37DF"/>
    <w:rsid w:val="004B452A"/>
    <w:rsid w:val="004B4791"/>
    <w:rsid w:val="004B5A51"/>
    <w:rsid w:val="004B708C"/>
    <w:rsid w:val="004B79A6"/>
    <w:rsid w:val="004C0954"/>
    <w:rsid w:val="004C24A2"/>
    <w:rsid w:val="004C345A"/>
    <w:rsid w:val="004C383A"/>
    <w:rsid w:val="004C3A0F"/>
    <w:rsid w:val="004C41F6"/>
    <w:rsid w:val="004C46A7"/>
    <w:rsid w:val="004C4888"/>
    <w:rsid w:val="004C59BD"/>
    <w:rsid w:val="004C638D"/>
    <w:rsid w:val="004C6653"/>
    <w:rsid w:val="004C673F"/>
    <w:rsid w:val="004C67E8"/>
    <w:rsid w:val="004C70A2"/>
    <w:rsid w:val="004C7322"/>
    <w:rsid w:val="004D0A3E"/>
    <w:rsid w:val="004D0E9D"/>
    <w:rsid w:val="004D16D9"/>
    <w:rsid w:val="004D16F3"/>
    <w:rsid w:val="004D19B4"/>
    <w:rsid w:val="004D2817"/>
    <w:rsid w:val="004D2AF1"/>
    <w:rsid w:val="004D3A58"/>
    <w:rsid w:val="004D4BF4"/>
    <w:rsid w:val="004D4C82"/>
    <w:rsid w:val="004D4DF7"/>
    <w:rsid w:val="004D4E24"/>
    <w:rsid w:val="004D4F1B"/>
    <w:rsid w:val="004D52A6"/>
    <w:rsid w:val="004D6293"/>
    <w:rsid w:val="004D66D7"/>
    <w:rsid w:val="004D734F"/>
    <w:rsid w:val="004D7CD8"/>
    <w:rsid w:val="004E02FD"/>
    <w:rsid w:val="004E0B98"/>
    <w:rsid w:val="004E1C07"/>
    <w:rsid w:val="004E25BF"/>
    <w:rsid w:val="004E2E6B"/>
    <w:rsid w:val="004E3532"/>
    <w:rsid w:val="004E467D"/>
    <w:rsid w:val="004E4B02"/>
    <w:rsid w:val="004E4B96"/>
    <w:rsid w:val="004E52DE"/>
    <w:rsid w:val="004E55E6"/>
    <w:rsid w:val="004E6107"/>
    <w:rsid w:val="004E6B19"/>
    <w:rsid w:val="004E6DFB"/>
    <w:rsid w:val="004E73E7"/>
    <w:rsid w:val="004E7717"/>
    <w:rsid w:val="004E78DE"/>
    <w:rsid w:val="004E7D60"/>
    <w:rsid w:val="004F0760"/>
    <w:rsid w:val="004F17B4"/>
    <w:rsid w:val="004F2CE4"/>
    <w:rsid w:val="004F3F91"/>
    <w:rsid w:val="004F4018"/>
    <w:rsid w:val="004F432A"/>
    <w:rsid w:val="004F477E"/>
    <w:rsid w:val="004F4AD2"/>
    <w:rsid w:val="004F4C48"/>
    <w:rsid w:val="004F5305"/>
    <w:rsid w:val="004F6B7B"/>
    <w:rsid w:val="004F71F9"/>
    <w:rsid w:val="004F73AA"/>
    <w:rsid w:val="004F795D"/>
    <w:rsid w:val="005012F1"/>
    <w:rsid w:val="00501AFF"/>
    <w:rsid w:val="005023C1"/>
    <w:rsid w:val="0050260A"/>
    <w:rsid w:val="005027D5"/>
    <w:rsid w:val="00502AAE"/>
    <w:rsid w:val="005039CC"/>
    <w:rsid w:val="00503D7B"/>
    <w:rsid w:val="00505375"/>
    <w:rsid w:val="005066B7"/>
    <w:rsid w:val="005102B0"/>
    <w:rsid w:val="00510DDE"/>
    <w:rsid w:val="005111F5"/>
    <w:rsid w:val="00511B7A"/>
    <w:rsid w:val="00511C6C"/>
    <w:rsid w:val="00511CB9"/>
    <w:rsid w:val="0051280D"/>
    <w:rsid w:val="00513213"/>
    <w:rsid w:val="00513285"/>
    <w:rsid w:val="005141D1"/>
    <w:rsid w:val="005143EE"/>
    <w:rsid w:val="00515224"/>
    <w:rsid w:val="00515A65"/>
    <w:rsid w:val="00515B3A"/>
    <w:rsid w:val="00515E3E"/>
    <w:rsid w:val="0051657C"/>
    <w:rsid w:val="005172A0"/>
    <w:rsid w:val="005173AB"/>
    <w:rsid w:val="00517EB3"/>
    <w:rsid w:val="005203A7"/>
    <w:rsid w:val="00520407"/>
    <w:rsid w:val="00521212"/>
    <w:rsid w:val="00521ABD"/>
    <w:rsid w:val="005226F9"/>
    <w:rsid w:val="00522CDC"/>
    <w:rsid w:val="00523094"/>
    <w:rsid w:val="005238EF"/>
    <w:rsid w:val="00524B96"/>
    <w:rsid w:val="00524CBF"/>
    <w:rsid w:val="005251AB"/>
    <w:rsid w:val="00525F8D"/>
    <w:rsid w:val="005271B8"/>
    <w:rsid w:val="0053070B"/>
    <w:rsid w:val="005307D4"/>
    <w:rsid w:val="005314EF"/>
    <w:rsid w:val="00532048"/>
    <w:rsid w:val="0053229C"/>
    <w:rsid w:val="00533679"/>
    <w:rsid w:val="00533906"/>
    <w:rsid w:val="00533BB1"/>
    <w:rsid w:val="00533DA6"/>
    <w:rsid w:val="00534CF8"/>
    <w:rsid w:val="005352DF"/>
    <w:rsid w:val="00535738"/>
    <w:rsid w:val="005358A7"/>
    <w:rsid w:val="00536081"/>
    <w:rsid w:val="00536335"/>
    <w:rsid w:val="00536C82"/>
    <w:rsid w:val="005379D9"/>
    <w:rsid w:val="00537C2F"/>
    <w:rsid w:val="0054022B"/>
    <w:rsid w:val="00541011"/>
    <w:rsid w:val="00541603"/>
    <w:rsid w:val="00541698"/>
    <w:rsid w:val="005417E0"/>
    <w:rsid w:val="00541BFC"/>
    <w:rsid w:val="00541E04"/>
    <w:rsid w:val="005423CC"/>
    <w:rsid w:val="0054247A"/>
    <w:rsid w:val="00542560"/>
    <w:rsid w:val="00543B18"/>
    <w:rsid w:val="0054461F"/>
    <w:rsid w:val="0054651B"/>
    <w:rsid w:val="00546B3B"/>
    <w:rsid w:val="00547ECC"/>
    <w:rsid w:val="005502C1"/>
    <w:rsid w:val="00550795"/>
    <w:rsid w:val="00550C9C"/>
    <w:rsid w:val="005511AD"/>
    <w:rsid w:val="005516A0"/>
    <w:rsid w:val="00551E7C"/>
    <w:rsid w:val="005520E2"/>
    <w:rsid w:val="00552261"/>
    <w:rsid w:val="00552E71"/>
    <w:rsid w:val="00552EB0"/>
    <w:rsid w:val="00553057"/>
    <w:rsid w:val="005531F5"/>
    <w:rsid w:val="00553489"/>
    <w:rsid w:val="005542C0"/>
    <w:rsid w:val="00554978"/>
    <w:rsid w:val="0055536C"/>
    <w:rsid w:val="005557C0"/>
    <w:rsid w:val="00555828"/>
    <w:rsid w:val="0055608E"/>
    <w:rsid w:val="00556512"/>
    <w:rsid w:val="00556F68"/>
    <w:rsid w:val="00560D77"/>
    <w:rsid w:val="00560E18"/>
    <w:rsid w:val="0056126B"/>
    <w:rsid w:val="005637F5"/>
    <w:rsid w:val="00564331"/>
    <w:rsid w:val="00564434"/>
    <w:rsid w:val="00564A97"/>
    <w:rsid w:val="00564B58"/>
    <w:rsid w:val="00565001"/>
    <w:rsid w:val="00565792"/>
    <w:rsid w:val="00565935"/>
    <w:rsid w:val="005666F4"/>
    <w:rsid w:val="005669D7"/>
    <w:rsid w:val="0056700F"/>
    <w:rsid w:val="005671DE"/>
    <w:rsid w:val="005676C4"/>
    <w:rsid w:val="00571099"/>
    <w:rsid w:val="005710A2"/>
    <w:rsid w:val="00571B32"/>
    <w:rsid w:val="00571E99"/>
    <w:rsid w:val="0057218C"/>
    <w:rsid w:val="005724BF"/>
    <w:rsid w:val="005724D5"/>
    <w:rsid w:val="0057282B"/>
    <w:rsid w:val="005729BC"/>
    <w:rsid w:val="005741E0"/>
    <w:rsid w:val="00574FB7"/>
    <w:rsid w:val="0057517C"/>
    <w:rsid w:val="005751A9"/>
    <w:rsid w:val="005754CF"/>
    <w:rsid w:val="00575A28"/>
    <w:rsid w:val="00576190"/>
    <w:rsid w:val="0057665E"/>
    <w:rsid w:val="00576D02"/>
    <w:rsid w:val="00577292"/>
    <w:rsid w:val="0057732E"/>
    <w:rsid w:val="0058018F"/>
    <w:rsid w:val="005801B9"/>
    <w:rsid w:val="0058070F"/>
    <w:rsid w:val="00580E07"/>
    <w:rsid w:val="00584955"/>
    <w:rsid w:val="00584D7E"/>
    <w:rsid w:val="00584E47"/>
    <w:rsid w:val="00587098"/>
    <w:rsid w:val="0058770D"/>
    <w:rsid w:val="00590311"/>
    <w:rsid w:val="005909B2"/>
    <w:rsid w:val="00591125"/>
    <w:rsid w:val="00591289"/>
    <w:rsid w:val="005918F1"/>
    <w:rsid w:val="00591DD6"/>
    <w:rsid w:val="00591FA5"/>
    <w:rsid w:val="005925D9"/>
    <w:rsid w:val="00592F47"/>
    <w:rsid w:val="00593162"/>
    <w:rsid w:val="005932D2"/>
    <w:rsid w:val="005933ED"/>
    <w:rsid w:val="00593459"/>
    <w:rsid w:val="00594D89"/>
    <w:rsid w:val="00595A5B"/>
    <w:rsid w:val="00595B17"/>
    <w:rsid w:val="00596092"/>
    <w:rsid w:val="005964D0"/>
    <w:rsid w:val="00597722"/>
    <w:rsid w:val="00597AD0"/>
    <w:rsid w:val="005A0604"/>
    <w:rsid w:val="005A0B10"/>
    <w:rsid w:val="005A1E8D"/>
    <w:rsid w:val="005A370A"/>
    <w:rsid w:val="005A39E7"/>
    <w:rsid w:val="005A42F8"/>
    <w:rsid w:val="005A435C"/>
    <w:rsid w:val="005A483F"/>
    <w:rsid w:val="005A50B6"/>
    <w:rsid w:val="005A555D"/>
    <w:rsid w:val="005A5726"/>
    <w:rsid w:val="005A6595"/>
    <w:rsid w:val="005A6B22"/>
    <w:rsid w:val="005A71E2"/>
    <w:rsid w:val="005A7302"/>
    <w:rsid w:val="005A7DE5"/>
    <w:rsid w:val="005B0896"/>
    <w:rsid w:val="005B0BBE"/>
    <w:rsid w:val="005B1941"/>
    <w:rsid w:val="005B21DD"/>
    <w:rsid w:val="005B2203"/>
    <w:rsid w:val="005B25C9"/>
    <w:rsid w:val="005B2D22"/>
    <w:rsid w:val="005B467E"/>
    <w:rsid w:val="005B4987"/>
    <w:rsid w:val="005B4DF7"/>
    <w:rsid w:val="005B570F"/>
    <w:rsid w:val="005B6764"/>
    <w:rsid w:val="005B7FE2"/>
    <w:rsid w:val="005C006C"/>
    <w:rsid w:val="005C0309"/>
    <w:rsid w:val="005C0945"/>
    <w:rsid w:val="005C0A1B"/>
    <w:rsid w:val="005C0D2F"/>
    <w:rsid w:val="005C0D64"/>
    <w:rsid w:val="005C1270"/>
    <w:rsid w:val="005C2A2C"/>
    <w:rsid w:val="005C3642"/>
    <w:rsid w:val="005C372D"/>
    <w:rsid w:val="005C3B10"/>
    <w:rsid w:val="005C480F"/>
    <w:rsid w:val="005C4C68"/>
    <w:rsid w:val="005C4D01"/>
    <w:rsid w:val="005C50E2"/>
    <w:rsid w:val="005C548E"/>
    <w:rsid w:val="005C5910"/>
    <w:rsid w:val="005C59E4"/>
    <w:rsid w:val="005C5B4C"/>
    <w:rsid w:val="005C61CD"/>
    <w:rsid w:val="005C627E"/>
    <w:rsid w:val="005C6843"/>
    <w:rsid w:val="005C7112"/>
    <w:rsid w:val="005C77A7"/>
    <w:rsid w:val="005C7F71"/>
    <w:rsid w:val="005D0508"/>
    <w:rsid w:val="005D060E"/>
    <w:rsid w:val="005D0F40"/>
    <w:rsid w:val="005D180C"/>
    <w:rsid w:val="005D249E"/>
    <w:rsid w:val="005D270B"/>
    <w:rsid w:val="005D287F"/>
    <w:rsid w:val="005D3916"/>
    <w:rsid w:val="005D42AD"/>
    <w:rsid w:val="005D4D0E"/>
    <w:rsid w:val="005D588F"/>
    <w:rsid w:val="005D626D"/>
    <w:rsid w:val="005D6B5D"/>
    <w:rsid w:val="005D79A4"/>
    <w:rsid w:val="005D7D4F"/>
    <w:rsid w:val="005E086E"/>
    <w:rsid w:val="005E0AD8"/>
    <w:rsid w:val="005E0DE3"/>
    <w:rsid w:val="005E0ED6"/>
    <w:rsid w:val="005E0EE9"/>
    <w:rsid w:val="005E1826"/>
    <w:rsid w:val="005E1827"/>
    <w:rsid w:val="005E1DF1"/>
    <w:rsid w:val="005E1F5D"/>
    <w:rsid w:val="005E2A33"/>
    <w:rsid w:val="005E2E19"/>
    <w:rsid w:val="005E372D"/>
    <w:rsid w:val="005E4CB9"/>
    <w:rsid w:val="005E4CE7"/>
    <w:rsid w:val="005E667B"/>
    <w:rsid w:val="005E7B9F"/>
    <w:rsid w:val="005F0A67"/>
    <w:rsid w:val="005F1346"/>
    <w:rsid w:val="005F18B5"/>
    <w:rsid w:val="005F21C1"/>
    <w:rsid w:val="005F235F"/>
    <w:rsid w:val="005F2727"/>
    <w:rsid w:val="005F3A86"/>
    <w:rsid w:val="005F4607"/>
    <w:rsid w:val="005F7396"/>
    <w:rsid w:val="005F7BD1"/>
    <w:rsid w:val="0060054B"/>
    <w:rsid w:val="00600BE4"/>
    <w:rsid w:val="00601225"/>
    <w:rsid w:val="00601577"/>
    <w:rsid w:val="00601D0B"/>
    <w:rsid w:val="00602E8F"/>
    <w:rsid w:val="00604233"/>
    <w:rsid w:val="006046C5"/>
    <w:rsid w:val="0060473C"/>
    <w:rsid w:val="00604F81"/>
    <w:rsid w:val="00605152"/>
    <w:rsid w:val="00605608"/>
    <w:rsid w:val="006058D3"/>
    <w:rsid w:val="006059DC"/>
    <w:rsid w:val="00605C52"/>
    <w:rsid w:val="00605F37"/>
    <w:rsid w:val="00606505"/>
    <w:rsid w:val="006067E3"/>
    <w:rsid w:val="00606852"/>
    <w:rsid w:val="006068B5"/>
    <w:rsid w:val="00606A15"/>
    <w:rsid w:val="00606A72"/>
    <w:rsid w:val="00606BB1"/>
    <w:rsid w:val="0060705B"/>
    <w:rsid w:val="0061090C"/>
    <w:rsid w:val="006116E8"/>
    <w:rsid w:val="0061304B"/>
    <w:rsid w:val="00613728"/>
    <w:rsid w:val="00613E5A"/>
    <w:rsid w:val="0061579D"/>
    <w:rsid w:val="00616175"/>
    <w:rsid w:val="0061678C"/>
    <w:rsid w:val="00616A9D"/>
    <w:rsid w:val="006174B9"/>
    <w:rsid w:val="00617703"/>
    <w:rsid w:val="0061777F"/>
    <w:rsid w:val="00617E1E"/>
    <w:rsid w:val="00617E88"/>
    <w:rsid w:val="00617F91"/>
    <w:rsid w:val="00620739"/>
    <w:rsid w:val="006216EE"/>
    <w:rsid w:val="00621735"/>
    <w:rsid w:val="00621827"/>
    <w:rsid w:val="00621E27"/>
    <w:rsid w:val="006234F6"/>
    <w:rsid w:val="006239E3"/>
    <w:rsid w:val="00623D13"/>
    <w:rsid w:val="00624F93"/>
    <w:rsid w:val="006253F7"/>
    <w:rsid w:val="00625A51"/>
    <w:rsid w:val="00626228"/>
    <w:rsid w:val="00626A8A"/>
    <w:rsid w:val="00626D88"/>
    <w:rsid w:val="00627359"/>
    <w:rsid w:val="0062793F"/>
    <w:rsid w:val="00627DA6"/>
    <w:rsid w:val="006311B8"/>
    <w:rsid w:val="00631711"/>
    <w:rsid w:val="006331DD"/>
    <w:rsid w:val="006336DF"/>
    <w:rsid w:val="00633C85"/>
    <w:rsid w:val="00633F9A"/>
    <w:rsid w:val="0063481A"/>
    <w:rsid w:val="006348DE"/>
    <w:rsid w:val="00634D82"/>
    <w:rsid w:val="006363D8"/>
    <w:rsid w:val="00636B8E"/>
    <w:rsid w:val="00636BCD"/>
    <w:rsid w:val="006378C2"/>
    <w:rsid w:val="00640159"/>
    <w:rsid w:val="006410E2"/>
    <w:rsid w:val="00641BFD"/>
    <w:rsid w:val="00642C5E"/>
    <w:rsid w:val="0064311E"/>
    <w:rsid w:val="006436ED"/>
    <w:rsid w:val="00643919"/>
    <w:rsid w:val="00643C3C"/>
    <w:rsid w:val="006442D8"/>
    <w:rsid w:val="0064479C"/>
    <w:rsid w:val="00644CA5"/>
    <w:rsid w:val="00645AEF"/>
    <w:rsid w:val="00645B30"/>
    <w:rsid w:val="006466BC"/>
    <w:rsid w:val="006466ED"/>
    <w:rsid w:val="0064670F"/>
    <w:rsid w:val="0064686B"/>
    <w:rsid w:val="00646ABF"/>
    <w:rsid w:val="00646AFA"/>
    <w:rsid w:val="00646DE0"/>
    <w:rsid w:val="00646ED4"/>
    <w:rsid w:val="00647BF5"/>
    <w:rsid w:val="006509E9"/>
    <w:rsid w:val="00650C4B"/>
    <w:rsid w:val="00651213"/>
    <w:rsid w:val="00651DE9"/>
    <w:rsid w:val="0065337F"/>
    <w:rsid w:val="00653806"/>
    <w:rsid w:val="00653AD4"/>
    <w:rsid w:val="00654407"/>
    <w:rsid w:val="00654DA4"/>
    <w:rsid w:val="00655019"/>
    <w:rsid w:val="00655121"/>
    <w:rsid w:val="00655485"/>
    <w:rsid w:val="00655C8E"/>
    <w:rsid w:val="00655DA4"/>
    <w:rsid w:val="00655FB0"/>
    <w:rsid w:val="00656059"/>
    <w:rsid w:val="00656577"/>
    <w:rsid w:val="00656761"/>
    <w:rsid w:val="00656B3F"/>
    <w:rsid w:val="006573B4"/>
    <w:rsid w:val="00657916"/>
    <w:rsid w:val="00660044"/>
    <w:rsid w:val="00660949"/>
    <w:rsid w:val="00660C59"/>
    <w:rsid w:val="006613BC"/>
    <w:rsid w:val="006625A2"/>
    <w:rsid w:val="006631FF"/>
    <w:rsid w:val="0066378C"/>
    <w:rsid w:val="00663B25"/>
    <w:rsid w:val="00664C8C"/>
    <w:rsid w:val="00664DF5"/>
    <w:rsid w:val="0066544D"/>
    <w:rsid w:val="006654A2"/>
    <w:rsid w:val="00665907"/>
    <w:rsid w:val="00666335"/>
    <w:rsid w:val="00666504"/>
    <w:rsid w:val="0066693C"/>
    <w:rsid w:val="00666B97"/>
    <w:rsid w:val="00666BFA"/>
    <w:rsid w:val="00667884"/>
    <w:rsid w:val="00667AA8"/>
    <w:rsid w:val="00667FA7"/>
    <w:rsid w:val="00670198"/>
    <w:rsid w:val="00670423"/>
    <w:rsid w:val="00671D44"/>
    <w:rsid w:val="00672867"/>
    <w:rsid w:val="00672B22"/>
    <w:rsid w:val="0067392B"/>
    <w:rsid w:val="00673B6B"/>
    <w:rsid w:val="0067419B"/>
    <w:rsid w:val="006755E4"/>
    <w:rsid w:val="00676096"/>
    <w:rsid w:val="0067699D"/>
    <w:rsid w:val="00676F76"/>
    <w:rsid w:val="006778D0"/>
    <w:rsid w:val="00677A3D"/>
    <w:rsid w:val="00677E85"/>
    <w:rsid w:val="006805C1"/>
    <w:rsid w:val="00680A5E"/>
    <w:rsid w:val="00680F13"/>
    <w:rsid w:val="0068221B"/>
    <w:rsid w:val="00682CE5"/>
    <w:rsid w:val="00683F8F"/>
    <w:rsid w:val="00684874"/>
    <w:rsid w:val="00684C14"/>
    <w:rsid w:val="00685848"/>
    <w:rsid w:val="00685ECA"/>
    <w:rsid w:val="006868F1"/>
    <w:rsid w:val="00686AAA"/>
    <w:rsid w:val="00686D29"/>
    <w:rsid w:val="00687791"/>
    <w:rsid w:val="006877B8"/>
    <w:rsid w:val="00687960"/>
    <w:rsid w:val="00691103"/>
    <w:rsid w:val="0069113B"/>
    <w:rsid w:val="00691CCF"/>
    <w:rsid w:val="00691D9B"/>
    <w:rsid w:val="00692111"/>
    <w:rsid w:val="00692FEA"/>
    <w:rsid w:val="00693792"/>
    <w:rsid w:val="00693BC6"/>
    <w:rsid w:val="00694546"/>
    <w:rsid w:val="00694556"/>
    <w:rsid w:val="00694A6F"/>
    <w:rsid w:val="00694F8F"/>
    <w:rsid w:val="006950BE"/>
    <w:rsid w:val="00695865"/>
    <w:rsid w:val="0069586E"/>
    <w:rsid w:val="00695A12"/>
    <w:rsid w:val="00695CC7"/>
    <w:rsid w:val="00695E5C"/>
    <w:rsid w:val="0069760C"/>
    <w:rsid w:val="006976D6"/>
    <w:rsid w:val="006A09CD"/>
    <w:rsid w:val="006A1F82"/>
    <w:rsid w:val="006A23B4"/>
    <w:rsid w:val="006A2E37"/>
    <w:rsid w:val="006A314F"/>
    <w:rsid w:val="006A3871"/>
    <w:rsid w:val="006A430D"/>
    <w:rsid w:val="006A4726"/>
    <w:rsid w:val="006A4B83"/>
    <w:rsid w:val="006A50A1"/>
    <w:rsid w:val="006A56DB"/>
    <w:rsid w:val="006A5798"/>
    <w:rsid w:val="006A5D38"/>
    <w:rsid w:val="006A6E78"/>
    <w:rsid w:val="006A7259"/>
    <w:rsid w:val="006A7A00"/>
    <w:rsid w:val="006A7CEB"/>
    <w:rsid w:val="006A7F6D"/>
    <w:rsid w:val="006A7F93"/>
    <w:rsid w:val="006B0C16"/>
    <w:rsid w:val="006B177E"/>
    <w:rsid w:val="006B1840"/>
    <w:rsid w:val="006B1B92"/>
    <w:rsid w:val="006B2971"/>
    <w:rsid w:val="006B3E58"/>
    <w:rsid w:val="006B5D4D"/>
    <w:rsid w:val="006B5DE7"/>
    <w:rsid w:val="006B7DED"/>
    <w:rsid w:val="006B7E45"/>
    <w:rsid w:val="006C0145"/>
    <w:rsid w:val="006C022A"/>
    <w:rsid w:val="006C027F"/>
    <w:rsid w:val="006C0338"/>
    <w:rsid w:val="006C0AC8"/>
    <w:rsid w:val="006C1556"/>
    <w:rsid w:val="006C17C4"/>
    <w:rsid w:val="006C23D0"/>
    <w:rsid w:val="006C30DE"/>
    <w:rsid w:val="006C3174"/>
    <w:rsid w:val="006C4578"/>
    <w:rsid w:val="006C4655"/>
    <w:rsid w:val="006C569B"/>
    <w:rsid w:val="006C589D"/>
    <w:rsid w:val="006C5E3E"/>
    <w:rsid w:val="006C6C2D"/>
    <w:rsid w:val="006C71B7"/>
    <w:rsid w:val="006C71F6"/>
    <w:rsid w:val="006C7D3B"/>
    <w:rsid w:val="006C7DCE"/>
    <w:rsid w:val="006D0728"/>
    <w:rsid w:val="006D1B00"/>
    <w:rsid w:val="006D1FBB"/>
    <w:rsid w:val="006D2314"/>
    <w:rsid w:val="006D26DE"/>
    <w:rsid w:val="006D2CEB"/>
    <w:rsid w:val="006D3395"/>
    <w:rsid w:val="006D3E5C"/>
    <w:rsid w:val="006D43EA"/>
    <w:rsid w:val="006D5320"/>
    <w:rsid w:val="006D5C84"/>
    <w:rsid w:val="006D6EB4"/>
    <w:rsid w:val="006D7443"/>
    <w:rsid w:val="006D7AE5"/>
    <w:rsid w:val="006E0050"/>
    <w:rsid w:val="006E03CC"/>
    <w:rsid w:val="006E1656"/>
    <w:rsid w:val="006E336C"/>
    <w:rsid w:val="006E4A40"/>
    <w:rsid w:val="006E4DDB"/>
    <w:rsid w:val="006E5030"/>
    <w:rsid w:val="006E50A1"/>
    <w:rsid w:val="006E5284"/>
    <w:rsid w:val="006E5D3A"/>
    <w:rsid w:val="006E62E2"/>
    <w:rsid w:val="006E64BA"/>
    <w:rsid w:val="006E6FCF"/>
    <w:rsid w:val="006E7323"/>
    <w:rsid w:val="006F1059"/>
    <w:rsid w:val="006F1B9B"/>
    <w:rsid w:val="006F2169"/>
    <w:rsid w:val="006F24C6"/>
    <w:rsid w:val="006F27D5"/>
    <w:rsid w:val="006F28F8"/>
    <w:rsid w:val="006F2C37"/>
    <w:rsid w:val="006F45E2"/>
    <w:rsid w:val="006F488F"/>
    <w:rsid w:val="006F5106"/>
    <w:rsid w:val="006F5498"/>
    <w:rsid w:val="006F5581"/>
    <w:rsid w:val="006F586A"/>
    <w:rsid w:val="006F66E5"/>
    <w:rsid w:val="006F68B2"/>
    <w:rsid w:val="006F6FA8"/>
    <w:rsid w:val="006F798A"/>
    <w:rsid w:val="00700625"/>
    <w:rsid w:val="0070062F"/>
    <w:rsid w:val="00700883"/>
    <w:rsid w:val="0070118D"/>
    <w:rsid w:val="00701356"/>
    <w:rsid w:val="00701C24"/>
    <w:rsid w:val="00701D5D"/>
    <w:rsid w:val="00702B6C"/>
    <w:rsid w:val="00702C23"/>
    <w:rsid w:val="007031B4"/>
    <w:rsid w:val="007035F7"/>
    <w:rsid w:val="00703850"/>
    <w:rsid w:val="00703F67"/>
    <w:rsid w:val="00704142"/>
    <w:rsid w:val="00704B55"/>
    <w:rsid w:val="00704CEB"/>
    <w:rsid w:val="00705AD6"/>
    <w:rsid w:val="007064D6"/>
    <w:rsid w:val="0070786C"/>
    <w:rsid w:val="00710222"/>
    <w:rsid w:val="00710585"/>
    <w:rsid w:val="00711666"/>
    <w:rsid w:val="00711986"/>
    <w:rsid w:val="007124AC"/>
    <w:rsid w:val="00712D3A"/>
    <w:rsid w:val="00712F6D"/>
    <w:rsid w:val="00713D8C"/>
    <w:rsid w:val="007145FF"/>
    <w:rsid w:val="007146B9"/>
    <w:rsid w:val="00714CF1"/>
    <w:rsid w:val="0071520B"/>
    <w:rsid w:val="007153E2"/>
    <w:rsid w:val="0071582E"/>
    <w:rsid w:val="00715F69"/>
    <w:rsid w:val="00716522"/>
    <w:rsid w:val="00716690"/>
    <w:rsid w:val="00716834"/>
    <w:rsid w:val="007169C9"/>
    <w:rsid w:val="00716A46"/>
    <w:rsid w:val="00716B14"/>
    <w:rsid w:val="00717215"/>
    <w:rsid w:val="007174CD"/>
    <w:rsid w:val="00717748"/>
    <w:rsid w:val="00720D57"/>
    <w:rsid w:val="007213B8"/>
    <w:rsid w:val="00721473"/>
    <w:rsid w:val="00721C8E"/>
    <w:rsid w:val="00722207"/>
    <w:rsid w:val="00722284"/>
    <w:rsid w:val="00722603"/>
    <w:rsid w:val="00722CA6"/>
    <w:rsid w:val="00722DCF"/>
    <w:rsid w:val="007236AC"/>
    <w:rsid w:val="00724099"/>
    <w:rsid w:val="00724B82"/>
    <w:rsid w:val="00724D37"/>
    <w:rsid w:val="007252D9"/>
    <w:rsid w:val="00725357"/>
    <w:rsid w:val="00726ECD"/>
    <w:rsid w:val="00727506"/>
    <w:rsid w:val="00727883"/>
    <w:rsid w:val="007278AD"/>
    <w:rsid w:val="00727B47"/>
    <w:rsid w:val="00727D0C"/>
    <w:rsid w:val="00730170"/>
    <w:rsid w:val="0073103F"/>
    <w:rsid w:val="00732027"/>
    <w:rsid w:val="00732219"/>
    <w:rsid w:val="00732502"/>
    <w:rsid w:val="007328F8"/>
    <w:rsid w:val="00733097"/>
    <w:rsid w:val="00733CB0"/>
    <w:rsid w:val="007345E2"/>
    <w:rsid w:val="007360CC"/>
    <w:rsid w:val="007363FD"/>
    <w:rsid w:val="00736550"/>
    <w:rsid w:val="0073674C"/>
    <w:rsid w:val="007377B4"/>
    <w:rsid w:val="007402A8"/>
    <w:rsid w:val="00740920"/>
    <w:rsid w:val="00740BF3"/>
    <w:rsid w:val="00740E78"/>
    <w:rsid w:val="007413C7"/>
    <w:rsid w:val="007417F0"/>
    <w:rsid w:val="0074283E"/>
    <w:rsid w:val="00742D0C"/>
    <w:rsid w:val="007435F8"/>
    <w:rsid w:val="007439AE"/>
    <w:rsid w:val="007447AC"/>
    <w:rsid w:val="0074499D"/>
    <w:rsid w:val="00744E15"/>
    <w:rsid w:val="00744F57"/>
    <w:rsid w:val="0074553E"/>
    <w:rsid w:val="0074597D"/>
    <w:rsid w:val="007459F1"/>
    <w:rsid w:val="0074654D"/>
    <w:rsid w:val="00746B7F"/>
    <w:rsid w:val="00747D2D"/>
    <w:rsid w:val="00750094"/>
    <w:rsid w:val="00750593"/>
    <w:rsid w:val="0075155D"/>
    <w:rsid w:val="007517F4"/>
    <w:rsid w:val="0075362A"/>
    <w:rsid w:val="00753A6B"/>
    <w:rsid w:val="00754206"/>
    <w:rsid w:val="00754F3D"/>
    <w:rsid w:val="007551C2"/>
    <w:rsid w:val="0075555C"/>
    <w:rsid w:val="00755D59"/>
    <w:rsid w:val="00756047"/>
    <w:rsid w:val="0075633D"/>
    <w:rsid w:val="00756AF1"/>
    <w:rsid w:val="00756D38"/>
    <w:rsid w:val="00756EA6"/>
    <w:rsid w:val="007573EE"/>
    <w:rsid w:val="0076036D"/>
    <w:rsid w:val="007608EC"/>
    <w:rsid w:val="00760A9E"/>
    <w:rsid w:val="00761048"/>
    <w:rsid w:val="00761222"/>
    <w:rsid w:val="007613C8"/>
    <w:rsid w:val="0076189D"/>
    <w:rsid w:val="00761E5C"/>
    <w:rsid w:val="007631ED"/>
    <w:rsid w:val="007633F5"/>
    <w:rsid w:val="007636E1"/>
    <w:rsid w:val="007637A6"/>
    <w:rsid w:val="00763F8C"/>
    <w:rsid w:val="007641DE"/>
    <w:rsid w:val="00765DF2"/>
    <w:rsid w:val="007660E7"/>
    <w:rsid w:val="0076638C"/>
    <w:rsid w:val="007673A8"/>
    <w:rsid w:val="007677B4"/>
    <w:rsid w:val="00767B90"/>
    <w:rsid w:val="00770A1F"/>
    <w:rsid w:val="00770EA4"/>
    <w:rsid w:val="0077138E"/>
    <w:rsid w:val="00771616"/>
    <w:rsid w:val="00771BE6"/>
    <w:rsid w:val="00772145"/>
    <w:rsid w:val="00772183"/>
    <w:rsid w:val="00772EBE"/>
    <w:rsid w:val="00773399"/>
    <w:rsid w:val="00773469"/>
    <w:rsid w:val="0077378A"/>
    <w:rsid w:val="007739B3"/>
    <w:rsid w:val="00773FAF"/>
    <w:rsid w:val="00774351"/>
    <w:rsid w:val="0077492C"/>
    <w:rsid w:val="00774BF9"/>
    <w:rsid w:val="00774CA9"/>
    <w:rsid w:val="00775B2C"/>
    <w:rsid w:val="00775D93"/>
    <w:rsid w:val="00775EEC"/>
    <w:rsid w:val="00776B32"/>
    <w:rsid w:val="00776D03"/>
    <w:rsid w:val="007774FB"/>
    <w:rsid w:val="007807E9"/>
    <w:rsid w:val="0078236D"/>
    <w:rsid w:val="00782CDC"/>
    <w:rsid w:val="0078309A"/>
    <w:rsid w:val="0078378E"/>
    <w:rsid w:val="00783AC2"/>
    <w:rsid w:val="00784087"/>
    <w:rsid w:val="007844A4"/>
    <w:rsid w:val="00785A15"/>
    <w:rsid w:val="00785C0B"/>
    <w:rsid w:val="007866D9"/>
    <w:rsid w:val="00786709"/>
    <w:rsid w:val="00786724"/>
    <w:rsid w:val="007867FE"/>
    <w:rsid w:val="00786A02"/>
    <w:rsid w:val="00786C1C"/>
    <w:rsid w:val="0078731E"/>
    <w:rsid w:val="00787379"/>
    <w:rsid w:val="007900CA"/>
    <w:rsid w:val="00790307"/>
    <w:rsid w:val="00790E6A"/>
    <w:rsid w:val="00790F87"/>
    <w:rsid w:val="00791158"/>
    <w:rsid w:val="00791901"/>
    <w:rsid w:val="00791EF6"/>
    <w:rsid w:val="00792622"/>
    <w:rsid w:val="007939FC"/>
    <w:rsid w:val="00794227"/>
    <w:rsid w:val="00797218"/>
    <w:rsid w:val="00797A7B"/>
    <w:rsid w:val="007A0052"/>
    <w:rsid w:val="007A0114"/>
    <w:rsid w:val="007A0A8E"/>
    <w:rsid w:val="007A1092"/>
    <w:rsid w:val="007A140E"/>
    <w:rsid w:val="007A16E2"/>
    <w:rsid w:val="007A18E1"/>
    <w:rsid w:val="007A1BAA"/>
    <w:rsid w:val="007A1C74"/>
    <w:rsid w:val="007A1DB3"/>
    <w:rsid w:val="007A2C2F"/>
    <w:rsid w:val="007A30F5"/>
    <w:rsid w:val="007A3D8F"/>
    <w:rsid w:val="007A4077"/>
    <w:rsid w:val="007A42E7"/>
    <w:rsid w:val="007A4B32"/>
    <w:rsid w:val="007A5D8A"/>
    <w:rsid w:val="007A5D92"/>
    <w:rsid w:val="007A65EB"/>
    <w:rsid w:val="007A797E"/>
    <w:rsid w:val="007B0306"/>
    <w:rsid w:val="007B0F14"/>
    <w:rsid w:val="007B1451"/>
    <w:rsid w:val="007B16E2"/>
    <w:rsid w:val="007B18DD"/>
    <w:rsid w:val="007B19DB"/>
    <w:rsid w:val="007B1C8F"/>
    <w:rsid w:val="007B3AEF"/>
    <w:rsid w:val="007B3B67"/>
    <w:rsid w:val="007B43D2"/>
    <w:rsid w:val="007B55D8"/>
    <w:rsid w:val="007B5B2B"/>
    <w:rsid w:val="007B5CD7"/>
    <w:rsid w:val="007B5F8A"/>
    <w:rsid w:val="007B6B3E"/>
    <w:rsid w:val="007B6FF0"/>
    <w:rsid w:val="007B78D3"/>
    <w:rsid w:val="007C056C"/>
    <w:rsid w:val="007C099B"/>
    <w:rsid w:val="007C0A83"/>
    <w:rsid w:val="007C0E22"/>
    <w:rsid w:val="007C165D"/>
    <w:rsid w:val="007C1E0D"/>
    <w:rsid w:val="007C3185"/>
    <w:rsid w:val="007C319E"/>
    <w:rsid w:val="007C339A"/>
    <w:rsid w:val="007C5C59"/>
    <w:rsid w:val="007C6305"/>
    <w:rsid w:val="007C6780"/>
    <w:rsid w:val="007C6788"/>
    <w:rsid w:val="007C69E2"/>
    <w:rsid w:val="007C743A"/>
    <w:rsid w:val="007D05DE"/>
    <w:rsid w:val="007D0F3C"/>
    <w:rsid w:val="007D2A1D"/>
    <w:rsid w:val="007D3371"/>
    <w:rsid w:val="007D3492"/>
    <w:rsid w:val="007D3512"/>
    <w:rsid w:val="007D36AD"/>
    <w:rsid w:val="007D3AC9"/>
    <w:rsid w:val="007D3EDA"/>
    <w:rsid w:val="007D40F5"/>
    <w:rsid w:val="007D4D9E"/>
    <w:rsid w:val="007D54FE"/>
    <w:rsid w:val="007D6094"/>
    <w:rsid w:val="007D615A"/>
    <w:rsid w:val="007D659C"/>
    <w:rsid w:val="007D66A1"/>
    <w:rsid w:val="007D711C"/>
    <w:rsid w:val="007D79D7"/>
    <w:rsid w:val="007D7AF3"/>
    <w:rsid w:val="007D7C8A"/>
    <w:rsid w:val="007D7E22"/>
    <w:rsid w:val="007E0554"/>
    <w:rsid w:val="007E0857"/>
    <w:rsid w:val="007E0CE1"/>
    <w:rsid w:val="007E0E5A"/>
    <w:rsid w:val="007E10A2"/>
    <w:rsid w:val="007E18B7"/>
    <w:rsid w:val="007E4251"/>
    <w:rsid w:val="007E42AC"/>
    <w:rsid w:val="007E45D7"/>
    <w:rsid w:val="007E4D39"/>
    <w:rsid w:val="007E4DF9"/>
    <w:rsid w:val="007E4E08"/>
    <w:rsid w:val="007E525B"/>
    <w:rsid w:val="007E5C49"/>
    <w:rsid w:val="007E6C5B"/>
    <w:rsid w:val="007E7872"/>
    <w:rsid w:val="007E7B67"/>
    <w:rsid w:val="007F01BC"/>
    <w:rsid w:val="007F0467"/>
    <w:rsid w:val="007F077A"/>
    <w:rsid w:val="007F1510"/>
    <w:rsid w:val="007F222D"/>
    <w:rsid w:val="007F34A6"/>
    <w:rsid w:val="007F3630"/>
    <w:rsid w:val="007F3C40"/>
    <w:rsid w:val="007F4284"/>
    <w:rsid w:val="007F4838"/>
    <w:rsid w:val="007F4E8D"/>
    <w:rsid w:val="007F57F9"/>
    <w:rsid w:val="007F7517"/>
    <w:rsid w:val="007F7842"/>
    <w:rsid w:val="007F7892"/>
    <w:rsid w:val="00800224"/>
    <w:rsid w:val="0080036F"/>
    <w:rsid w:val="0080040C"/>
    <w:rsid w:val="00800427"/>
    <w:rsid w:val="00800D31"/>
    <w:rsid w:val="00801249"/>
    <w:rsid w:val="00801384"/>
    <w:rsid w:val="00801840"/>
    <w:rsid w:val="008018E7"/>
    <w:rsid w:val="00801AAF"/>
    <w:rsid w:val="00802FFC"/>
    <w:rsid w:val="008033A1"/>
    <w:rsid w:val="0080474D"/>
    <w:rsid w:val="008057BB"/>
    <w:rsid w:val="00805B18"/>
    <w:rsid w:val="00805C2D"/>
    <w:rsid w:val="008061D6"/>
    <w:rsid w:val="008061FF"/>
    <w:rsid w:val="0080652B"/>
    <w:rsid w:val="00807232"/>
    <w:rsid w:val="008073E9"/>
    <w:rsid w:val="00807794"/>
    <w:rsid w:val="008100B7"/>
    <w:rsid w:val="00810305"/>
    <w:rsid w:val="0081129A"/>
    <w:rsid w:val="0081147E"/>
    <w:rsid w:val="00812014"/>
    <w:rsid w:val="0081229F"/>
    <w:rsid w:val="0081250A"/>
    <w:rsid w:val="008126B3"/>
    <w:rsid w:val="00813076"/>
    <w:rsid w:val="00813D43"/>
    <w:rsid w:val="00813DAF"/>
    <w:rsid w:val="00813E4D"/>
    <w:rsid w:val="00814B36"/>
    <w:rsid w:val="00814BED"/>
    <w:rsid w:val="00815585"/>
    <w:rsid w:val="0081562E"/>
    <w:rsid w:val="00815C57"/>
    <w:rsid w:val="0081603B"/>
    <w:rsid w:val="00816A19"/>
    <w:rsid w:val="00816BAC"/>
    <w:rsid w:val="00816C1C"/>
    <w:rsid w:val="00817649"/>
    <w:rsid w:val="008203FB"/>
    <w:rsid w:val="00820954"/>
    <w:rsid w:val="0082134E"/>
    <w:rsid w:val="008215E3"/>
    <w:rsid w:val="008217DB"/>
    <w:rsid w:val="00822DDE"/>
    <w:rsid w:val="00823412"/>
    <w:rsid w:val="00823732"/>
    <w:rsid w:val="00823EEC"/>
    <w:rsid w:val="00825248"/>
    <w:rsid w:val="008253B0"/>
    <w:rsid w:val="008258FE"/>
    <w:rsid w:val="00825DDE"/>
    <w:rsid w:val="00826B64"/>
    <w:rsid w:val="00826BFD"/>
    <w:rsid w:val="00826DC1"/>
    <w:rsid w:val="00827650"/>
    <w:rsid w:val="00827ED2"/>
    <w:rsid w:val="00827F4D"/>
    <w:rsid w:val="0083084F"/>
    <w:rsid w:val="00830862"/>
    <w:rsid w:val="00830B91"/>
    <w:rsid w:val="00830D7C"/>
    <w:rsid w:val="008316E8"/>
    <w:rsid w:val="00831818"/>
    <w:rsid w:val="00831B1D"/>
    <w:rsid w:val="008320A2"/>
    <w:rsid w:val="00833165"/>
    <w:rsid w:val="008335D0"/>
    <w:rsid w:val="00833649"/>
    <w:rsid w:val="0083365C"/>
    <w:rsid w:val="00834908"/>
    <w:rsid w:val="00834CCD"/>
    <w:rsid w:val="008352BE"/>
    <w:rsid w:val="00835418"/>
    <w:rsid w:val="008379E5"/>
    <w:rsid w:val="008409B7"/>
    <w:rsid w:val="00841CFF"/>
    <w:rsid w:val="00841D46"/>
    <w:rsid w:val="00842194"/>
    <w:rsid w:val="008426D0"/>
    <w:rsid w:val="008433DC"/>
    <w:rsid w:val="00843480"/>
    <w:rsid w:val="008443B0"/>
    <w:rsid w:val="0084495B"/>
    <w:rsid w:val="0084498D"/>
    <w:rsid w:val="00845AF2"/>
    <w:rsid w:val="00845C7F"/>
    <w:rsid w:val="0084630C"/>
    <w:rsid w:val="0084789D"/>
    <w:rsid w:val="00847B28"/>
    <w:rsid w:val="00850343"/>
    <w:rsid w:val="0085181C"/>
    <w:rsid w:val="008519C6"/>
    <w:rsid w:val="00851CF6"/>
    <w:rsid w:val="008523D4"/>
    <w:rsid w:val="00853103"/>
    <w:rsid w:val="0085337C"/>
    <w:rsid w:val="00853965"/>
    <w:rsid w:val="008542E5"/>
    <w:rsid w:val="00855087"/>
    <w:rsid w:val="00856766"/>
    <w:rsid w:val="00856795"/>
    <w:rsid w:val="008567FB"/>
    <w:rsid w:val="008571A4"/>
    <w:rsid w:val="00857A31"/>
    <w:rsid w:val="008600FC"/>
    <w:rsid w:val="0086019C"/>
    <w:rsid w:val="008609FF"/>
    <w:rsid w:val="00860F0B"/>
    <w:rsid w:val="008610A2"/>
    <w:rsid w:val="008629FE"/>
    <w:rsid w:val="00863AA1"/>
    <w:rsid w:val="00863CFD"/>
    <w:rsid w:val="00863DCD"/>
    <w:rsid w:val="00864557"/>
    <w:rsid w:val="00864ACA"/>
    <w:rsid w:val="0086556C"/>
    <w:rsid w:val="00866610"/>
    <w:rsid w:val="008668FE"/>
    <w:rsid w:val="008673BF"/>
    <w:rsid w:val="00867406"/>
    <w:rsid w:val="00867550"/>
    <w:rsid w:val="008677F8"/>
    <w:rsid w:val="00867AAC"/>
    <w:rsid w:val="0086DE89"/>
    <w:rsid w:val="00870736"/>
    <w:rsid w:val="00870748"/>
    <w:rsid w:val="0087085C"/>
    <w:rsid w:val="00871556"/>
    <w:rsid w:val="00871826"/>
    <w:rsid w:val="008732E1"/>
    <w:rsid w:val="00873320"/>
    <w:rsid w:val="00873867"/>
    <w:rsid w:val="00874287"/>
    <w:rsid w:val="00874C81"/>
    <w:rsid w:val="00875199"/>
    <w:rsid w:val="00875358"/>
    <w:rsid w:val="00876296"/>
    <w:rsid w:val="00876610"/>
    <w:rsid w:val="00876696"/>
    <w:rsid w:val="008768C4"/>
    <w:rsid w:val="0087704A"/>
    <w:rsid w:val="0087770E"/>
    <w:rsid w:val="00877D17"/>
    <w:rsid w:val="00880AC4"/>
    <w:rsid w:val="00880B36"/>
    <w:rsid w:val="00880E9D"/>
    <w:rsid w:val="00884096"/>
    <w:rsid w:val="00884EA8"/>
    <w:rsid w:val="008854EA"/>
    <w:rsid w:val="00885D72"/>
    <w:rsid w:val="00885DFF"/>
    <w:rsid w:val="008865D1"/>
    <w:rsid w:val="00886F79"/>
    <w:rsid w:val="008871A9"/>
    <w:rsid w:val="008875FD"/>
    <w:rsid w:val="0088767B"/>
    <w:rsid w:val="00887797"/>
    <w:rsid w:val="00887A43"/>
    <w:rsid w:val="00887D7F"/>
    <w:rsid w:val="008903CD"/>
    <w:rsid w:val="0089143E"/>
    <w:rsid w:val="00891A73"/>
    <w:rsid w:val="00891E8A"/>
    <w:rsid w:val="00891FBD"/>
    <w:rsid w:val="0089251C"/>
    <w:rsid w:val="00892850"/>
    <w:rsid w:val="008928AB"/>
    <w:rsid w:val="0089391A"/>
    <w:rsid w:val="00893AA7"/>
    <w:rsid w:val="00893B38"/>
    <w:rsid w:val="008946A9"/>
    <w:rsid w:val="008948E9"/>
    <w:rsid w:val="00895556"/>
    <w:rsid w:val="00896FAC"/>
    <w:rsid w:val="00897B3B"/>
    <w:rsid w:val="008A0279"/>
    <w:rsid w:val="008A0A10"/>
    <w:rsid w:val="008A0CF3"/>
    <w:rsid w:val="008A0D4E"/>
    <w:rsid w:val="008A0F9F"/>
    <w:rsid w:val="008A1C16"/>
    <w:rsid w:val="008A2A16"/>
    <w:rsid w:val="008A46DC"/>
    <w:rsid w:val="008A46EA"/>
    <w:rsid w:val="008A51FB"/>
    <w:rsid w:val="008A527B"/>
    <w:rsid w:val="008A5DF1"/>
    <w:rsid w:val="008A6668"/>
    <w:rsid w:val="008A675B"/>
    <w:rsid w:val="008A68BA"/>
    <w:rsid w:val="008A6EA8"/>
    <w:rsid w:val="008B0CD5"/>
    <w:rsid w:val="008B1803"/>
    <w:rsid w:val="008B2BD8"/>
    <w:rsid w:val="008B2F87"/>
    <w:rsid w:val="008B31B5"/>
    <w:rsid w:val="008B3253"/>
    <w:rsid w:val="008B32E6"/>
    <w:rsid w:val="008B3607"/>
    <w:rsid w:val="008B4238"/>
    <w:rsid w:val="008B426E"/>
    <w:rsid w:val="008B4419"/>
    <w:rsid w:val="008B45EF"/>
    <w:rsid w:val="008B5612"/>
    <w:rsid w:val="008B5F20"/>
    <w:rsid w:val="008B645C"/>
    <w:rsid w:val="008B65B5"/>
    <w:rsid w:val="008B688C"/>
    <w:rsid w:val="008B6B48"/>
    <w:rsid w:val="008B7199"/>
    <w:rsid w:val="008C0008"/>
    <w:rsid w:val="008C00A1"/>
    <w:rsid w:val="008C0F83"/>
    <w:rsid w:val="008C17D2"/>
    <w:rsid w:val="008C2918"/>
    <w:rsid w:val="008C302B"/>
    <w:rsid w:val="008C36A1"/>
    <w:rsid w:val="008C56A6"/>
    <w:rsid w:val="008C5F6C"/>
    <w:rsid w:val="008C6396"/>
    <w:rsid w:val="008D09BB"/>
    <w:rsid w:val="008D14A0"/>
    <w:rsid w:val="008D1CFF"/>
    <w:rsid w:val="008D1DDE"/>
    <w:rsid w:val="008D1EA1"/>
    <w:rsid w:val="008D2050"/>
    <w:rsid w:val="008D27D0"/>
    <w:rsid w:val="008D3432"/>
    <w:rsid w:val="008D37DB"/>
    <w:rsid w:val="008D4110"/>
    <w:rsid w:val="008D416F"/>
    <w:rsid w:val="008D4DC5"/>
    <w:rsid w:val="008D4EE2"/>
    <w:rsid w:val="008D5E6E"/>
    <w:rsid w:val="008D5EB3"/>
    <w:rsid w:val="008D6CC4"/>
    <w:rsid w:val="008D735D"/>
    <w:rsid w:val="008E06D1"/>
    <w:rsid w:val="008E23C4"/>
    <w:rsid w:val="008E2527"/>
    <w:rsid w:val="008E260D"/>
    <w:rsid w:val="008E261A"/>
    <w:rsid w:val="008E33E5"/>
    <w:rsid w:val="008E347E"/>
    <w:rsid w:val="008E44B7"/>
    <w:rsid w:val="008E4E15"/>
    <w:rsid w:val="008E524B"/>
    <w:rsid w:val="008E5863"/>
    <w:rsid w:val="008E5AA4"/>
    <w:rsid w:val="008E5C1A"/>
    <w:rsid w:val="008E64D6"/>
    <w:rsid w:val="008E677F"/>
    <w:rsid w:val="008F08FD"/>
    <w:rsid w:val="008F0FCA"/>
    <w:rsid w:val="008F15CC"/>
    <w:rsid w:val="008F2648"/>
    <w:rsid w:val="008F2687"/>
    <w:rsid w:val="008F2931"/>
    <w:rsid w:val="008F2BA6"/>
    <w:rsid w:val="008F38EB"/>
    <w:rsid w:val="008F3FF0"/>
    <w:rsid w:val="008F402F"/>
    <w:rsid w:val="008F468C"/>
    <w:rsid w:val="008F4747"/>
    <w:rsid w:val="008F55C4"/>
    <w:rsid w:val="008F5A94"/>
    <w:rsid w:val="008F5B26"/>
    <w:rsid w:val="008F6419"/>
    <w:rsid w:val="008F6465"/>
    <w:rsid w:val="008F6A86"/>
    <w:rsid w:val="008F707D"/>
    <w:rsid w:val="009000AC"/>
    <w:rsid w:val="009009DC"/>
    <w:rsid w:val="009018BA"/>
    <w:rsid w:val="00901FED"/>
    <w:rsid w:val="00902D21"/>
    <w:rsid w:val="0090321E"/>
    <w:rsid w:val="00905E8C"/>
    <w:rsid w:val="00906099"/>
    <w:rsid w:val="009060AB"/>
    <w:rsid w:val="00906404"/>
    <w:rsid w:val="00907684"/>
    <w:rsid w:val="0091162C"/>
    <w:rsid w:val="009135EA"/>
    <w:rsid w:val="00913742"/>
    <w:rsid w:val="00913959"/>
    <w:rsid w:val="00914360"/>
    <w:rsid w:val="009155FD"/>
    <w:rsid w:val="00915657"/>
    <w:rsid w:val="00915796"/>
    <w:rsid w:val="00916028"/>
    <w:rsid w:val="00917740"/>
    <w:rsid w:val="009179D2"/>
    <w:rsid w:val="009209DE"/>
    <w:rsid w:val="0092158E"/>
    <w:rsid w:val="009215E5"/>
    <w:rsid w:val="0092278B"/>
    <w:rsid w:val="00922947"/>
    <w:rsid w:val="00923446"/>
    <w:rsid w:val="00924939"/>
    <w:rsid w:val="009264E5"/>
    <w:rsid w:val="00927B1B"/>
    <w:rsid w:val="00927F39"/>
    <w:rsid w:val="009302B9"/>
    <w:rsid w:val="00931CD9"/>
    <w:rsid w:val="00932539"/>
    <w:rsid w:val="00932CA3"/>
    <w:rsid w:val="00933B4D"/>
    <w:rsid w:val="00933BE7"/>
    <w:rsid w:val="009341CF"/>
    <w:rsid w:val="00934219"/>
    <w:rsid w:val="00934260"/>
    <w:rsid w:val="00934C91"/>
    <w:rsid w:val="0093539E"/>
    <w:rsid w:val="0093603B"/>
    <w:rsid w:val="00936378"/>
    <w:rsid w:val="009366FA"/>
    <w:rsid w:val="00936C05"/>
    <w:rsid w:val="00936DE4"/>
    <w:rsid w:val="009402E0"/>
    <w:rsid w:val="009406D2"/>
    <w:rsid w:val="00940AD6"/>
    <w:rsid w:val="00940B5A"/>
    <w:rsid w:val="00940D2F"/>
    <w:rsid w:val="0094192D"/>
    <w:rsid w:val="00941A00"/>
    <w:rsid w:val="00941FD7"/>
    <w:rsid w:val="0094208E"/>
    <w:rsid w:val="00942A94"/>
    <w:rsid w:val="00942F19"/>
    <w:rsid w:val="009437C4"/>
    <w:rsid w:val="0094392A"/>
    <w:rsid w:val="0094449F"/>
    <w:rsid w:val="00944DA3"/>
    <w:rsid w:val="00944DE1"/>
    <w:rsid w:val="009450F4"/>
    <w:rsid w:val="00945941"/>
    <w:rsid w:val="009465CA"/>
    <w:rsid w:val="00946EDB"/>
    <w:rsid w:val="00947C6C"/>
    <w:rsid w:val="00947EA5"/>
    <w:rsid w:val="00950E5F"/>
    <w:rsid w:val="00951316"/>
    <w:rsid w:val="00951ADD"/>
    <w:rsid w:val="00951D1B"/>
    <w:rsid w:val="00951F90"/>
    <w:rsid w:val="00952159"/>
    <w:rsid w:val="00952978"/>
    <w:rsid w:val="00953433"/>
    <w:rsid w:val="00953930"/>
    <w:rsid w:val="00953A29"/>
    <w:rsid w:val="00953FFE"/>
    <w:rsid w:val="00954083"/>
    <w:rsid w:val="0095471B"/>
    <w:rsid w:val="00954CBE"/>
    <w:rsid w:val="0095534A"/>
    <w:rsid w:val="00955393"/>
    <w:rsid w:val="00956563"/>
    <w:rsid w:val="00956EC1"/>
    <w:rsid w:val="00957299"/>
    <w:rsid w:val="00957359"/>
    <w:rsid w:val="0095743B"/>
    <w:rsid w:val="009576A7"/>
    <w:rsid w:val="00957F6F"/>
    <w:rsid w:val="0096066A"/>
    <w:rsid w:val="00960783"/>
    <w:rsid w:val="009609DB"/>
    <w:rsid w:val="00960AF3"/>
    <w:rsid w:val="00960B03"/>
    <w:rsid w:val="00960E6A"/>
    <w:rsid w:val="00960EC9"/>
    <w:rsid w:val="00961F4E"/>
    <w:rsid w:val="00962116"/>
    <w:rsid w:val="0096213D"/>
    <w:rsid w:val="00962E7F"/>
    <w:rsid w:val="00962FEA"/>
    <w:rsid w:val="0096343E"/>
    <w:rsid w:val="009654B8"/>
    <w:rsid w:val="00965A36"/>
    <w:rsid w:val="0096669F"/>
    <w:rsid w:val="009667C5"/>
    <w:rsid w:val="00966D79"/>
    <w:rsid w:val="00967912"/>
    <w:rsid w:val="00967DE5"/>
    <w:rsid w:val="00967F32"/>
    <w:rsid w:val="009708C5"/>
    <w:rsid w:val="009711C8"/>
    <w:rsid w:val="00971D5D"/>
    <w:rsid w:val="0097403B"/>
    <w:rsid w:val="00974B78"/>
    <w:rsid w:val="0097539E"/>
    <w:rsid w:val="0097591A"/>
    <w:rsid w:val="00975A2F"/>
    <w:rsid w:val="00976F28"/>
    <w:rsid w:val="009773F8"/>
    <w:rsid w:val="00977510"/>
    <w:rsid w:val="00980688"/>
    <w:rsid w:val="00980CB1"/>
    <w:rsid w:val="00982135"/>
    <w:rsid w:val="00982D81"/>
    <w:rsid w:val="00982EF2"/>
    <w:rsid w:val="00982FCF"/>
    <w:rsid w:val="00983AD7"/>
    <w:rsid w:val="0098446F"/>
    <w:rsid w:val="009847D2"/>
    <w:rsid w:val="00984909"/>
    <w:rsid w:val="00984E3F"/>
    <w:rsid w:val="00985D58"/>
    <w:rsid w:val="009863BD"/>
    <w:rsid w:val="009865E5"/>
    <w:rsid w:val="00986BA6"/>
    <w:rsid w:val="0098730A"/>
    <w:rsid w:val="009877FD"/>
    <w:rsid w:val="00990B41"/>
    <w:rsid w:val="00991843"/>
    <w:rsid w:val="00991DE1"/>
    <w:rsid w:val="00992485"/>
    <w:rsid w:val="00992F7C"/>
    <w:rsid w:val="00993BC9"/>
    <w:rsid w:val="009957C2"/>
    <w:rsid w:val="00995A04"/>
    <w:rsid w:val="00996745"/>
    <w:rsid w:val="00996C4E"/>
    <w:rsid w:val="00997B6A"/>
    <w:rsid w:val="009A0CA1"/>
    <w:rsid w:val="009A18C3"/>
    <w:rsid w:val="009A1A16"/>
    <w:rsid w:val="009A1B0D"/>
    <w:rsid w:val="009A2451"/>
    <w:rsid w:val="009A2742"/>
    <w:rsid w:val="009A282C"/>
    <w:rsid w:val="009A2C09"/>
    <w:rsid w:val="009A32DB"/>
    <w:rsid w:val="009A3588"/>
    <w:rsid w:val="009A43E9"/>
    <w:rsid w:val="009A4B55"/>
    <w:rsid w:val="009A4CEE"/>
    <w:rsid w:val="009A632E"/>
    <w:rsid w:val="009A6718"/>
    <w:rsid w:val="009A6ADF"/>
    <w:rsid w:val="009A6CE1"/>
    <w:rsid w:val="009A6EFE"/>
    <w:rsid w:val="009A6FEE"/>
    <w:rsid w:val="009A7301"/>
    <w:rsid w:val="009A74CE"/>
    <w:rsid w:val="009B02B0"/>
    <w:rsid w:val="009B0322"/>
    <w:rsid w:val="009B042A"/>
    <w:rsid w:val="009B05DF"/>
    <w:rsid w:val="009B0B3F"/>
    <w:rsid w:val="009B18FA"/>
    <w:rsid w:val="009B232E"/>
    <w:rsid w:val="009B23BC"/>
    <w:rsid w:val="009B273A"/>
    <w:rsid w:val="009B27E1"/>
    <w:rsid w:val="009B46C7"/>
    <w:rsid w:val="009B4CD0"/>
    <w:rsid w:val="009B5CF5"/>
    <w:rsid w:val="009B6709"/>
    <w:rsid w:val="009B6A0C"/>
    <w:rsid w:val="009B6E06"/>
    <w:rsid w:val="009B7690"/>
    <w:rsid w:val="009B7C03"/>
    <w:rsid w:val="009C04CF"/>
    <w:rsid w:val="009C0D78"/>
    <w:rsid w:val="009C10A9"/>
    <w:rsid w:val="009C11B7"/>
    <w:rsid w:val="009C195D"/>
    <w:rsid w:val="009C1B84"/>
    <w:rsid w:val="009C1BA9"/>
    <w:rsid w:val="009C2E75"/>
    <w:rsid w:val="009C3295"/>
    <w:rsid w:val="009C3632"/>
    <w:rsid w:val="009C37EE"/>
    <w:rsid w:val="009C3CB2"/>
    <w:rsid w:val="009C4426"/>
    <w:rsid w:val="009C4E31"/>
    <w:rsid w:val="009C5B36"/>
    <w:rsid w:val="009C7878"/>
    <w:rsid w:val="009C7E63"/>
    <w:rsid w:val="009D00EA"/>
    <w:rsid w:val="009D027C"/>
    <w:rsid w:val="009D03CB"/>
    <w:rsid w:val="009D1E61"/>
    <w:rsid w:val="009D2CF9"/>
    <w:rsid w:val="009D3193"/>
    <w:rsid w:val="009D3207"/>
    <w:rsid w:val="009D3464"/>
    <w:rsid w:val="009D4534"/>
    <w:rsid w:val="009D5815"/>
    <w:rsid w:val="009D5FCF"/>
    <w:rsid w:val="009D5FEF"/>
    <w:rsid w:val="009D6272"/>
    <w:rsid w:val="009D7283"/>
    <w:rsid w:val="009D7C42"/>
    <w:rsid w:val="009E0107"/>
    <w:rsid w:val="009E0A4C"/>
    <w:rsid w:val="009E0E68"/>
    <w:rsid w:val="009E0FA6"/>
    <w:rsid w:val="009E10F0"/>
    <w:rsid w:val="009E1E6A"/>
    <w:rsid w:val="009E1FC2"/>
    <w:rsid w:val="009E2B65"/>
    <w:rsid w:val="009E31E0"/>
    <w:rsid w:val="009E3398"/>
    <w:rsid w:val="009E3E0B"/>
    <w:rsid w:val="009E433E"/>
    <w:rsid w:val="009E47F8"/>
    <w:rsid w:val="009E4B95"/>
    <w:rsid w:val="009E55E8"/>
    <w:rsid w:val="009E57CC"/>
    <w:rsid w:val="009E5CB0"/>
    <w:rsid w:val="009E60FD"/>
    <w:rsid w:val="009E6AFA"/>
    <w:rsid w:val="009E76FD"/>
    <w:rsid w:val="009F008F"/>
    <w:rsid w:val="009F0182"/>
    <w:rsid w:val="009F0960"/>
    <w:rsid w:val="009F0F56"/>
    <w:rsid w:val="009F102E"/>
    <w:rsid w:val="009F1F2E"/>
    <w:rsid w:val="009F230F"/>
    <w:rsid w:val="009F2C74"/>
    <w:rsid w:val="009F2EFE"/>
    <w:rsid w:val="009F2F4F"/>
    <w:rsid w:val="009F39D3"/>
    <w:rsid w:val="009F3ABE"/>
    <w:rsid w:val="009F3C8D"/>
    <w:rsid w:val="009F3D88"/>
    <w:rsid w:val="009F4242"/>
    <w:rsid w:val="009F493E"/>
    <w:rsid w:val="009F5991"/>
    <w:rsid w:val="009F5DB9"/>
    <w:rsid w:val="009F6982"/>
    <w:rsid w:val="009F758F"/>
    <w:rsid w:val="00A009F7"/>
    <w:rsid w:val="00A00D9E"/>
    <w:rsid w:val="00A0145B"/>
    <w:rsid w:val="00A01626"/>
    <w:rsid w:val="00A031AB"/>
    <w:rsid w:val="00A035B6"/>
    <w:rsid w:val="00A0367F"/>
    <w:rsid w:val="00A03A8E"/>
    <w:rsid w:val="00A03E0C"/>
    <w:rsid w:val="00A03E5C"/>
    <w:rsid w:val="00A043A6"/>
    <w:rsid w:val="00A05590"/>
    <w:rsid w:val="00A05652"/>
    <w:rsid w:val="00A05F7C"/>
    <w:rsid w:val="00A06A22"/>
    <w:rsid w:val="00A06C07"/>
    <w:rsid w:val="00A074A6"/>
    <w:rsid w:val="00A07AF6"/>
    <w:rsid w:val="00A07D62"/>
    <w:rsid w:val="00A10243"/>
    <w:rsid w:val="00A10AEE"/>
    <w:rsid w:val="00A10FBC"/>
    <w:rsid w:val="00A11038"/>
    <w:rsid w:val="00A1181A"/>
    <w:rsid w:val="00A11EAA"/>
    <w:rsid w:val="00A12D1B"/>
    <w:rsid w:val="00A1348F"/>
    <w:rsid w:val="00A14072"/>
    <w:rsid w:val="00A14127"/>
    <w:rsid w:val="00A14D3A"/>
    <w:rsid w:val="00A156A2"/>
    <w:rsid w:val="00A159D5"/>
    <w:rsid w:val="00A176CE"/>
    <w:rsid w:val="00A203D2"/>
    <w:rsid w:val="00A20580"/>
    <w:rsid w:val="00A207B0"/>
    <w:rsid w:val="00A208CB"/>
    <w:rsid w:val="00A20BB8"/>
    <w:rsid w:val="00A21B3C"/>
    <w:rsid w:val="00A22549"/>
    <w:rsid w:val="00A2267E"/>
    <w:rsid w:val="00A226FF"/>
    <w:rsid w:val="00A23647"/>
    <w:rsid w:val="00A23679"/>
    <w:rsid w:val="00A23F6E"/>
    <w:rsid w:val="00A2510D"/>
    <w:rsid w:val="00A25C9B"/>
    <w:rsid w:val="00A26F7A"/>
    <w:rsid w:val="00A26FA7"/>
    <w:rsid w:val="00A273F0"/>
    <w:rsid w:val="00A27753"/>
    <w:rsid w:val="00A27D5B"/>
    <w:rsid w:val="00A27D84"/>
    <w:rsid w:val="00A27FB4"/>
    <w:rsid w:val="00A307C9"/>
    <w:rsid w:val="00A30BBD"/>
    <w:rsid w:val="00A310B5"/>
    <w:rsid w:val="00A31818"/>
    <w:rsid w:val="00A31904"/>
    <w:rsid w:val="00A32BD0"/>
    <w:rsid w:val="00A32D20"/>
    <w:rsid w:val="00A33056"/>
    <w:rsid w:val="00A331EE"/>
    <w:rsid w:val="00A332F5"/>
    <w:rsid w:val="00A349AA"/>
    <w:rsid w:val="00A34D30"/>
    <w:rsid w:val="00A34E56"/>
    <w:rsid w:val="00A35DD6"/>
    <w:rsid w:val="00A35F42"/>
    <w:rsid w:val="00A36EEB"/>
    <w:rsid w:val="00A36FB1"/>
    <w:rsid w:val="00A400E3"/>
    <w:rsid w:val="00A402A4"/>
    <w:rsid w:val="00A4075D"/>
    <w:rsid w:val="00A411BA"/>
    <w:rsid w:val="00A415BA"/>
    <w:rsid w:val="00A4167B"/>
    <w:rsid w:val="00A42553"/>
    <w:rsid w:val="00A43B7A"/>
    <w:rsid w:val="00A441D1"/>
    <w:rsid w:val="00A446D7"/>
    <w:rsid w:val="00A44F4F"/>
    <w:rsid w:val="00A456F7"/>
    <w:rsid w:val="00A458A2"/>
    <w:rsid w:val="00A466F8"/>
    <w:rsid w:val="00A46A10"/>
    <w:rsid w:val="00A50575"/>
    <w:rsid w:val="00A507CD"/>
    <w:rsid w:val="00A509BE"/>
    <w:rsid w:val="00A50ADB"/>
    <w:rsid w:val="00A51777"/>
    <w:rsid w:val="00A519ED"/>
    <w:rsid w:val="00A52448"/>
    <w:rsid w:val="00A527C8"/>
    <w:rsid w:val="00A532D3"/>
    <w:rsid w:val="00A539A6"/>
    <w:rsid w:val="00A53B0F"/>
    <w:rsid w:val="00A53F89"/>
    <w:rsid w:val="00A54B8E"/>
    <w:rsid w:val="00A55033"/>
    <w:rsid w:val="00A55056"/>
    <w:rsid w:val="00A558EC"/>
    <w:rsid w:val="00A55BE1"/>
    <w:rsid w:val="00A55E4D"/>
    <w:rsid w:val="00A56B2B"/>
    <w:rsid w:val="00A56BEF"/>
    <w:rsid w:val="00A5710B"/>
    <w:rsid w:val="00A571EF"/>
    <w:rsid w:val="00A578B8"/>
    <w:rsid w:val="00A578D8"/>
    <w:rsid w:val="00A61E79"/>
    <w:rsid w:val="00A632B6"/>
    <w:rsid w:val="00A63DF1"/>
    <w:rsid w:val="00A662F5"/>
    <w:rsid w:val="00A66403"/>
    <w:rsid w:val="00A66745"/>
    <w:rsid w:val="00A66750"/>
    <w:rsid w:val="00A67850"/>
    <w:rsid w:val="00A70426"/>
    <w:rsid w:val="00A708DF"/>
    <w:rsid w:val="00A7126B"/>
    <w:rsid w:val="00A72692"/>
    <w:rsid w:val="00A735C6"/>
    <w:rsid w:val="00A73A5F"/>
    <w:rsid w:val="00A73CB4"/>
    <w:rsid w:val="00A73F76"/>
    <w:rsid w:val="00A74AE6"/>
    <w:rsid w:val="00A74FCA"/>
    <w:rsid w:val="00A75049"/>
    <w:rsid w:val="00A75B2C"/>
    <w:rsid w:val="00A75B6F"/>
    <w:rsid w:val="00A77700"/>
    <w:rsid w:val="00A77CED"/>
    <w:rsid w:val="00A77D4C"/>
    <w:rsid w:val="00A77D50"/>
    <w:rsid w:val="00A77F81"/>
    <w:rsid w:val="00A80345"/>
    <w:rsid w:val="00A8111B"/>
    <w:rsid w:val="00A81C45"/>
    <w:rsid w:val="00A82294"/>
    <w:rsid w:val="00A82415"/>
    <w:rsid w:val="00A8242A"/>
    <w:rsid w:val="00A82660"/>
    <w:rsid w:val="00A828D4"/>
    <w:rsid w:val="00A82C91"/>
    <w:rsid w:val="00A82F6E"/>
    <w:rsid w:val="00A8367D"/>
    <w:rsid w:val="00A83E1F"/>
    <w:rsid w:val="00A85003"/>
    <w:rsid w:val="00A850B2"/>
    <w:rsid w:val="00A85B5D"/>
    <w:rsid w:val="00A8661E"/>
    <w:rsid w:val="00A86B63"/>
    <w:rsid w:val="00A905BE"/>
    <w:rsid w:val="00A90B4B"/>
    <w:rsid w:val="00A90DAA"/>
    <w:rsid w:val="00A91401"/>
    <w:rsid w:val="00A9189F"/>
    <w:rsid w:val="00A92241"/>
    <w:rsid w:val="00A929F6"/>
    <w:rsid w:val="00A93DC3"/>
    <w:rsid w:val="00A93E87"/>
    <w:rsid w:val="00A9455A"/>
    <w:rsid w:val="00A946DD"/>
    <w:rsid w:val="00A9556F"/>
    <w:rsid w:val="00A95869"/>
    <w:rsid w:val="00A95EC0"/>
    <w:rsid w:val="00A9605A"/>
    <w:rsid w:val="00A963C8"/>
    <w:rsid w:val="00A963E7"/>
    <w:rsid w:val="00AA0B2E"/>
    <w:rsid w:val="00AA112C"/>
    <w:rsid w:val="00AA1446"/>
    <w:rsid w:val="00AA1838"/>
    <w:rsid w:val="00AA1B65"/>
    <w:rsid w:val="00AA1C62"/>
    <w:rsid w:val="00AA2B28"/>
    <w:rsid w:val="00AA4F9D"/>
    <w:rsid w:val="00AA5199"/>
    <w:rsid w:val="00AA5930"/>
    <w:rsid w:val="00AA5A01"/>
    <w:rsid w:val="00AA5F92"/>
    <w:rsid w:val="00AA60A9"/>
    <w:rsid w:val="00AA64DB"/>
    <w:rsid w:val="00AA66D9"/>
    <w:rsid w:val="00AA681F"/>
    <w:rsid w:val="00AA77EA"/>
    <w:rsid w:val="00AA7E0B"/>
    <w:rsid w:val="00AAEE9B"/>
    <w:rsid w:val="00AB071F"/>
    <w:rsid w:val="00AB0B9D"/>
    <w:rsid w:val="00AB1000"/>
    <w:rsid w:val="00AB1116"/>
    <w:rsid w:val="00AB13FF"/>
    <w:rsid w:val="00AB1AB2"/>
    <w:rsid w:val="00AB1FF3"/>
    <w:rsid w:val="00AB23DB"/>
    <w:rsid w:val="00AB24FA"/>
    <w:rsid w:val="00AB2AD6"/>
    <w:rsid w:val="00AB2D71"/>
    <w:rsid w:val="00AB37E9"/>
    <w:rsid w:val="00AB3F4A"/>
    <w:rsid w:val="00AB50FA"/>
    <w:rsid w:val="00AB56FD"/>
    <w:rsid w:val="00AB5C71"/>
    <w:rsid w:val="00AB5DF3"/>
    <w:rsid w:val="00AB5F2F"/>
    <w:rsid w:val="00AB6645"/>
    <w:rsid w:val="00AB66E2"/>
    <w:rsid w:val="00AB6A57"/>
    <w:rsid w:val="00AB6FBD"/>
    <w:rsid w:val="00AB78D2"/>
    <w:rsid w:val="00AB7CF9"/>
    <w:rsid w:val="00AC020B"/>
    <w:rsid w:val="00AC0561"/>
    <w:rsid w:val="00AC09B1"/>
    <w:rsid w:val="00AC0FD7"/>
    <w:rsid w:val="00AC1A00"/>
    <w:rsid w:val="00AC1BED"/>
    <w:rsid w:val="00AC393C"/>
    <w:rsid w:val="00AC4560"/>
    <w:rsid w:val="00AC476C"/>
    <w:rsid w:val="00AC494F"/>
    <w:rsid w:val="00AC4CB8"/>
    <w:rsid w:val="00AC5A04"/>
    <w:rsid w:val="00AC5CC8"/>
    <w:rsid w:val="00AC6719"/>
    <w:rsid w:val="00AC6751"/>
    <w:rsid w:val="00AC6C00"/>
    <w:rsid w:val="00AC7271"/>
    <w:rsid w:val="00AD0F50"/>
    <w:rsid w:val="00AD1EFD"/>
    <w:rsid w:val="00AD24A3"/>
    <w:rsid w:val="00AD2839"/>
    <w:rsid w:val="00AD2DDF"/>
    <w:rsid w:val="00AD2F5D"/>
    <w:rsid w:val="00AD3C1D"/>
    <w:rsid w:val="00AD4D1C"/>
    <w:rsid w:val="00AD53E1"/>
    <w:rsid w:val="00AD54EC"/>
    <w:rsid w:val="00AD5AA6"/>
    <w:rsid w:val="00AD5C19"/>
    <w:rsid w:val="00AD6F1A"/>
    <w:rsid w:val="00AD70EB"/>
    <w:rsid w:val="00AD7F72"/>
    <w:rsid w:val="00AE06C8"/>
    <w:rsid w:val="00AE0772"/>
    <w:rsid w:val="00AE1498"/>
    <w:rsid w:val="00AE1590"/>
    <w:rsid w:val="00AE167E"/>
    <w:rsid w:val="00AE178F"/>
    <w:rsid w:val="00AE1FBF"/>
    <w:rsid w:val="00AE2BA1"/>
    <w:rsid w:val="00AE31E9"/>
    <w:rsid w:val="00AE39D4"/>
    <w:rsid w:val="00AE3ADA"/>
    <w:rsid w:val="00AE3C52"/>
    <w:rsid w:val="00AE3CF2"/>
    <w:rsid w:val="00AE429B"/>
    <w:rsid w:val="00AE49D9"/>
    <w:rsid w:val="00AE4C54"/>
    <w:rsid w:val="00AE5B91"/>
    <w:rsid w:val="00AE689F"/>
    <w:rsid w:val="00AE7C47"/>
    <w:rsid w:val="00AF151D"/>
    <w:rsid w:val="00AF199E"/>
    <w:rsid w:val="00AF1D8F"/>
    <w:rsid w:val="00AF2ADB"/>
    <w:rsid w:val="00AF354F"/>
    <w:rsid w:val="00AF3F3F"/>
    <w:rsid w:val="00AF4311"/>
    <w:rsid w:val="00AF4D7D"/>
    <w:rsid w:val="00AF56CC"/>
    <w:rsid w:val="00AF5F70"/>
    <w:rsid w:val="00AF66C8"/>
    <w:rsid w:val="00B00B4D"/>
    <w:rsid w:val="00B00B68"/>
    <w:rsid w:val="00B00C8B"/>
    <w:rsid w:val="00B00F0F"/>
    <w:rsid w:val="00B01F97"/>
    <w:rsid w:val="00B020B0"/>
    <w:rsid w:val="00B02827"/>
    <w:rsid w:val="00B028B5"/>
    <w:rsid w:val="00B03B6E"/>
    <w:rsid w:val="00B04182"/>
    <w:rsid w:val="00B04CE0"/>
    <w:rsid w:val="00B05F41"/>
    <w:rsid w:val="00B061A5"/>
    <w:rsid w:val="00B07A0C"/>
    <w:rsid w:val="00B11D4B"/>
    <w:rsid w:val="00B11D6D"/>
    <w:rsid w:val="00B13521"/>
    <w:rsid w:val="00B1357F"/>
    <w:rsid w:val="00B13BF3"/>
    <w:rsid w:val="00B14D77"/>
    <w:rsid w:val="00B153C1"/>
    <w:rsid w:val="00B16370"/>
    <w:rsid w:val="00B164C1"/>
    <w:rsid w:val="00B16E2E"/>
    <w:rsid w:val="00B17645"/>
    <w:rsid w:val="00B17784"/>
    <w:rsid w:val="00B20154"/>
    <w:rsid w:val="00B205F6"/>
    <w:rsid w:val="00B20ACD"/>
    <w:rsid w:val="00B20ED0"/>
    <w:rsid w:val="00B2102F"/>
    <w:rsid w:val="00B213E9"/>
    <w:rsid w:val="00B21774"/>
    <w:rsid w:val="00B2304C"/>
    <w:rsid w:val="00B23F10"/>
    <w:rsid w:val="00B247DF"/>
    <w:rsid w:val="00B253C1"/>
    <w:rsid w:val="00B256F7"/>
    <w:rsid w:val="00B265AD"/>
    <w:rsid w:val="00B2671A"/>
    <w:rsid w:val="00B269E2"/>
    <w:rsid w:val="00B27E68"/>
    <w:rsid w:val="00B30CFC"/>
    <w:rsid w:val="00B313FF"/>
    <w:rsid w:val="00B3166B"/>
    <w:rsid w:val="00B325D3"/>
    <w:rsid w:val="00B32962"/>
    <w:rsid w:val="00B334E8"/>
    <w:rsid w:val="00B34CA7"/>
    <w:rsid w:val="00B34DE0"/>
    <w:rsid w:val="00B3603E"/>
    <w:rsid w:val="00B36307"/>
    <w:rsid w:val="00B364CA"/>
    <w:rsid w:val="00B368C6"/>
    <w:rsid w:val="00B368FD"/>
    <w:rsid w:val="00B372B2"/>
    <w:rsid w:val="00B374FD"/>
    <w:rsid w:val="00B37781"/>
    <w:rsid w:val="00B4000A"/>
    <w:rsid w:val="00B40111"/>
    <w:rsid w:val="00B42D21"/>
    <w:rsid w:val="00B43960"/>
    <w:rsid w:val="00B43CCD"/>
    <w:rsid w:val="00B449AF"/>
    <w:rsid w:val="00B44C17"/>
    <w:rsid w:val="00B46A95"/>
    <w:rsid w:val="00B479F4"/>
    <w:rsid w:val="00B47C26"/>
    <w:rsid w:val="00B50369"/>
    <w:rsid w:val="00B503B5"/>
    <w:rsid w:val="00B505C8"/>
    <w:rsid w:val="00B51638"/>
    <w:rsid w:val="00B51DA2"/>
    <w:rsid w:val="00B51F1D"/>
    <w:rsid w:val="00B521B9"/>
    <w:rsid w:val="00B526A5"/>
    <w:rsid w:val="00B52E0E"/>
    <w:rsid w:val="00B53A33"/>
    <w:rsid w:val="00B53C2D"/>
    <w:rsid w:val="00B53E6D"/>
    <w:rsid w:val="00B53FC2"/>
    <w:rsid w:val="00B5402B"/>
    <w:rsid w:val="00B5412D"/>
    <w:rsid w:val="00B54BBA"/>
    <w:rsid w:val="00B55645"/>
    <w:rsid w:val="00B5568A"/>
    <w:rsid w:val="00B557E6"/>
    <w:rsid w:val="00B56742"/>
    <w:rsid w:val="00B56A31"/>
    <w:rsid w:val="00B56AE7"/>
    <w:rsid w:val="00B6036A"/>
    <w:rsid w:val="00B6066C"/>
    <w:rsid w:val="00B60670"/>
    <w:rsid w:val="00B6087D"/>
    <w:rsid w:val="00B611B0"/>
    <w:rsid w:val="00B6212D"/>
    <w:rsid w:val="00B62A06"/>
    <w:rsid w:val="00B633D8"/>
    <w:rsid w:val="00B65122"/>
    <w:rsid w:val="00B653FC"/>
    <w:rsid w:val="00B65F53"/>
    <w:rsid w:val="00B6772E"/>
    <w:rsid w:val="00B67B31"/>
    <w:rsid w:val="00B67BE2"/>
    <w:rsid w:val="00B7044E"/>
    <w:rsid w:val="00B704F5"/>
    <w:rsid w:val="00B70AF4"/>
    <w:rsid w:val="00B71634"/>
    <w:rsid w:val="00B71863"/>
    <w:rsid w:val="00B71CFA"/>
    <w:rsid w:val="00B71FC2"/>
    <w:rsid w:val="00B737A9"/>
    <w:rsid w:val="00B73E11"/>
    <w:rsid w:val="00B74E4F"/>
    <w:rsid w:val="00B74F21"/>
    <w:rsid w:val="00B75372"/>
    <w:rsid w:val="00B755C8"/>
    <w:rsid w:val="00B75BFD"/>
    <w:rsid w:val="00B76CB2"/>
    <w:rsid w:val="00B7708B"/>
    <w:rsid w:val="00B77303"/>
    <w:rsid w:val="00B774FD"/>
    <w:rsid w:val="00B8159B"/>
    <w:rsid w:val="00B81845"/>
    <w:rsid w:val="00B82885"/>
    <w:rsid w:val="00B8462F"/>
    <w:rsid w:val="00B85099"/>
    <w:rsid w:val="00B85298"/>
    <w:rsid w:val="00B85367"/>
    <w:rsid w:val="00B85554"/>
    <w:rsid w:val="00B858BD"/>
    <w:rsid w:val="00B8598E"/>
    <w:rsid w:val="00B85A00"/>
    <w:rsid w:val="00B86E62"/>
    <w:rsid w:val="00B87865"/>
    <w:rsid w:val="00B910A3"/>
    <w:rsid w:val="00B9150B"/>
    <w:rsid w:val="00B91891"/>
    <w:rsid w:val="00B92229"/>
    <w:rsid w:val="00B92816"/>
    <w:rsid w:val="00B92DA8"/>
    <w:rsid w:val="00B92DF9"/>
    <w:rsid w:val="00B94181"/>
    <w:rsid w:val="00B94999"/>
    <w:rsid w:val="00B94E3F"/>
    <w:rsid w:val="00B94F97"/>
    <w:rsid w:val="00B95AE9"/>
    <w:rsid w:val="00B95C24"/>
    <w:rsid w:val="00B961CE"/>
    <w:rsid w:val="00B964FB"/>
    <w:rsid w:val="00B96E35"/>
    <w:rsid w:val="00B9715E"/>
    <w:rsid w:val="00B971E1"/>
    <w:rsid w:val="00B973EB"/>
    <w:rsid w:val="00B974D7"/>
    <w:rsid w:val="00B97C29"/>
    <w:rsid w:val="00BA01A3"/>
    <w:rsid w:val="00BA0C41"/>
    <w:rsid w:val="00BA13EF"/>
    <w:rsid w:val="00BA1726"/>
    <w:rsid w:val="00BA3676"/>
    <w:rsid w:val="00BA3F36"/>
    <w:rsid w:val="00BA62E6"/>
    <w:rsid w:val="00BA6935"/>
    <w:rsid w:val="00BA731F"/>
    <w:rsid w:val="00BA743E"/>
    <w:rsid w:val="00BA7473"/>
    <w:rsid w:val="00BA7771"/>
    <w:rsid w:val="00BA7B48"/>
    <w:rsid w:val="00BB089F"/>
    <w:rsid w:val="00BB0CA2"/>
    <w:rsid w:val="00BB27C6"/>
    <w:rsid w:val="00BB27FD"/>
    <w:rsid w:val="00BB2ECA"/>
    <w:rsid w:val="00BB305C"/>
    <w:rsid w:val="00BB37FB"/>
    <w:rsid w:val="00BB39BC"/>
    <w:rsid w:val="00BB3CAA"/>
    <w:rsid w:val="00BB3DFC"/>
    <w:rsid w:val="00BB3F1E"/>
    <w:rsid w:val="00BB4DCA"/>
    <w:rsid w:val="00BB512D"/>
    <w:rsid w:val="00BB56E4"/>
    <w:rsid w:val="00BB5BE6"/>
    <w:rsid w:val="00BB65B2"/>
    <w:rsid w:val="00BB715F"/>
    <w:rsid w:val="00BB75CE"/>
    <w:rsid w:val="00BB7AA9"/>
    <w:rsid w:val="00BC0F5F"/>
    <w:rsid w:val="00BC144D"/>
    <w:rsid w:val="00BC295C"/>
    <w:rsid w:val="00BC2969"/>
    <w:rsid w:val="00BC2DA2"/>
    <w:rsid w:val="00BC40A7"/>
    <w:rsid w:val="00BC478F"/>
    <w:rsid w:val="00BC48CA"/>
    <w:rsid w:val="00BC58CD"/>
    <w:rsid w:val="00BC5C72"/>
    <w:rsid w:val="00BC5D65"/>
    <w:rsid w:val="00BC5DE1"/>
    <w:rsid w:val="00BC606E"/>
    <w:rsid w:val="00BC67F4"/>
    <w:rsid w:val="00BC6976"/>
    <w:rsid w:val="00BC6ECC"/>
    <w:rsid w:val="00BC7DD6"/>
    <w:rsid w:val="00BC7E9E"/>
    <w:rsid w:val="00BD01E5"/>
    <w:rsid w:val="00BD03DF"/>
    <w:rsid w:val="00BD0D90"/>
    <w:rsid w:val="00BD0F7F"/>
    <w:rsid w:val="00BD1C6F"/>
    <w:rsid w:val="00BD20AB"/>
    <w:rsid w:val="00BD24CC"/>
    <w:rsid w:val="00BD275B"/>
    <w:rsid w:val="00BD37B4"/>
    <w:rsid w:val="00BD47C6"/>
    <w:rsid w:val="00BD4A89"/>
    <w:rsid w:val="00BD5E06"/>
    <w:rsid w:val="00BD68FC"/>
    <w:rsid w:val="00BD6987"/>
    <w:rsid w:val="00BD7485"/>
    <w:rsid w:val="00BD75D9"/>
    <w:rsid w:val="00BD7793"/>
    <w:rsid w:val="00BE0020"/>
    <w:rsid w:val="00BE068B"/>
    <w:rsid w:val="00BE0AD2"/>
    <w:rsid w:val="00BE206F"/>
    <w:rsid w:val="00BE2185"/>
    <w:rsid w:val="00BE2E63"/>
    <w:rsid w:val="00BE35B5"/>
    <w:rsid w:val="00BE3666"/>
    <w:rsid w:val="00BE39E3"/>
    <w:rsid w:val="00BE3C11"/>
    <w:rsid w:val="00BE4787"/>
    <w:rsid w:val="00BE4A62"/>
    <w:rsid w:val="00BE4AB9"/>
    <w:rsid w:val="00BE4E76"/>
    <w:rsid w:val="00BE4F92"/>
    <w:rsid w:val="00BE504C"/>
    <w:rsid w:val="00BE546A"/>
    <w:rsid w:val="00BE5551"/>
    <w:rsid w:val="00BE5F26"/>
    <w:rsid w:val="00BE6422"/>
    <w:rsid w:val="00BE65DF"/>
    <w:rsid w:val="00BE68C3"/>
    <w:rsid w:val="00BE76B6"/>
    <w:rsid w:val="00BF0FB8"/>
    <w:rsid w:val="00BF17C3"/>
    <w:rsid w:val="00BF18C3"/>
    <w:rsid w:val="00BF288B"/>
    <w:rsid w:val="00BF2BFC"/>
    <w:rsid w:val="00BF2DE9"/>
    <w:rsid w:val="00BF2EE7"/>
    <w:rsid w:val="00BF2F29"/>
    <w:rsid w:val="00BF3757"/>
    <w:rsid w:val="00BF482D"/>
    <w:rsid w:val="00BF513B"/>
    <w:rsid w:val="00BF58B1"/>
    <w:rsid w:val="00BF68C9"/>
    <w:rsid w:val="00BF6B92"/>
    <w:rsid w:val="00BF7877"/>
    <w:rsid w:val="00BF7F66"/>
    <w:rsid w:val="00BF7F85"/>
    <w:rsid w:val="00C00451"/>
    <w:rsid w:val="00C0085C"/>
    <w:rsid w:val="00C00E8E"/>
    <w:rsid w:val="00C01327"/>
    <w:rsid w:val="00C01ECD"/>
    <w:rsid w:val="00C022B3"/>
    <w:rsid w:val="00C0253C"/>
    <w:rsid w:val="00C03243"/>
    <w:rsid w:val="00C032EA"/>
    <w:rsid w:val="00C0396D"/>
    <w:rsid w:val="00C03C87"/>
    <w:rsid w:val="00C04D03"/>
    <w:rsid w:val="00C05027"/>
    <w:rsid w:val="00C050A5"/>
    <w:rsid w:val="00C0510E"/>
    <w:rsid w:val="00C058B9"/>
    <w:rsid w:val="00C060C2"/>
    <w:rsid w:val="00C06A11"/>
    <w:rsid w:val="00C06BD4"/>
    <w:rsid w:val="00C077A2"/>
    <w:rsid w:val="00C07CDA"/>
    <w:rsid w:val="00C101BD"/>
    <w:rsid w:val="00C10E95"/>
    <w:rsid w:val="00C10F8E"/>
    <w:rsid w:val="00C11727"/>
    <w:rsid w:val="00C1180D"/>
    <w:rsid w:val="00C121D5"/>
    <w:rsid w:val="00C12569"/>
    <w:rsid w:val="00C13BCE"/>
    <w:rsid w:val="00C152F6"/>
    <w:rsid w:val="00C15AEF"/>
    <w:rsid w:val="00C16398"/>
    <w:rsid w:val="00C1661F"/>
    <w:rsid w:val="00C1689F"/>
    <w:rsid w:val="00C16EB1"/>
    <w:rsid w:val="00C17242"/>
    <w:rsid w:val="00C17EE8"/>
    <w:rsid w:val="00C20776"/>
    <w:rsid w:val="00C210C5"/>
    <w:rsid w:val="00C2182D"/>
    <w:rsid w:val="00C22635"/>
    <w:rsid w:val="00C22FF7"/>
    <w:rsid w:val="00C23579"/>
    <w:rsid w:val="00C235E6"/>
    <w:rsid w:val="00C236B1"/>
    <w:rsid w:val="00C24D89"/>
    <w:rsid w:val="00C24E0E"/>
    <w:rsid w:val="00C25E5F"/>
    <w:rsid w:val="00C26968"/>
    <w:rsid w:val="00C27542"/>
    <w:rsid w:val="00C279D0"/>
    <w:rsid w:val="00C304C9"/>
    <w:rsid w:val="00C30525"/>
    <w:rsid w:val="00C30F3A"/>
    <w:rsid w:val="00C317A9"/>
    <w:rsid w:val="00C325BE"/>
    <w:rsid w:val="00C3304B"/>
    <w:rsid w:val="00C33761"/>
    <w:rsid w:val="00C33D10"/>
    <w:rsid w:val="00C33DA9"/>
    <w:rsid w:val="00C342BF"/>
    <w:rsid w:val="00C34988"/>
    <w:rsid w:val="00C34BDE"/>
    <w:rsid w:val="00C34CE2"/>
    <w:rsid w:val="00C3553D"/>
    <w:rsid w:val="00C358A1"/>
    <w:rsid w:val="00C36091"/>
    <w:rsid w:val="00C361E4"/>
    <w:rsid w:val="00C364D9"/>
    <w:rsid w:val="00C3738F"/>
    <w:rsid w:val="00C37566"/>
    <w:rsid w:val="00C37D98"/>
    <w:rsid w:val="00C407B0"/>
    <w:rsid w:val="00C40BBB"/>
    <w:rsid w:val="00C40DEC"/>
    <w:rsid w:val="00C40E2B"/>
    <w:rsid w:val="00C40E33"/>
    <w:rsid w:val="00C4113E"/>
    <w:rsid w:val="00C41C55"/>
    <w:rsid w:val="00C42680"/>
    <w:rsid w:val="00C42B44"/>
    <w:rsid w:val="00C42E65"/>
    <w:rsid w:val="00C44190"/>
    <w:rsid w:val="00C44A47"/>
    <w:rsid w:val="00C44C10"/>
    <w:rsid w:val="00C455F6"/>
    <w:rsid w:val="00C45C86"/>
    <w:rsid w:val="00C4684A"/>
    <w:rsid w:val="00C46A8D"/>
    <w:rsid w:val="00C47D8F"/>
    <w:rsid w:val="00C4C181"/>
    <w:rsid w:val="00C50AEA"/>
    <w:rsid w:val="00C510C7"/>
    <w:rsid w:val="00C51249"/>
    <w:rsid w:val="00C51951"/>
    <w:rsid w:val="00C527AF"/>
    <w:rsid w:val="00C528C9"/>
    <w:rsid w:val="00C52A36"/>
    <w:rsid w:val="00C53CB3"/>
    <w:rsid w:val="00C54476"/>
    <w:rsid w:val="00C547B2"/>
    <w:rsid w:val="00C553F4"/>
    <w:rsid w:val="00C557BB"/>
    <w:rsid w:val="00C56E08"/>
    <w:rsid w:val="00C572D1"/>
    <w:rsid w:val="00C60027"/>
    <w:rsid w:val="00C60EE8"/>
    <w:rsid w:val="00C61290"/>
    <w:rsid w:val="00C612CA"/>
    <w:rsid w:val="00C61607"/>
    <w:rsid w:val="00C61795"/>
    <w:rsid w:val="00C61865"/>
    <w:rsid w:val="00C621E1"/>
    <w:rsid w:val="00C62736"/>
    <w:rsid w:val="00C62823"/>
    <w:rsid w:val="00C63346"/>
    <w:rsid w:val="00C63350"/>
    <w:rsid w:val="00C652A2"/>
    <w:rsid w:val="00C65430"/>
    <w:rsid w:val="00C655CA"/>
    <w:rsid w:val="00C656E9"/>
    <w:rsid w:val="00C65897"/>
    <w:rsid w:val="00C65BF4"/>
    <w:rsid w:val="00C65E1E"/>
    <w:rsid w:val="00C660A3"/>
    <w:rsid w:val="00C66258"/>
    <w:rsid w:val="00C663A9"/>
    <w:rsid w:val="00C66E99"/>
    <w:rsid w:val="00C67D56"/>
    <w:rsid w:val="00C7009B"/>
    <w:rsid w:val="00C70781"/>
    <w:rsid w:val="00C714CE"/>
    <w:rsid w:val="00C718F1"/>
    <w:rsid w:val="00C7217B"/>
    <w:rsid w:val="00C72186"/>
    <w:rsid w:val="00C72318"/>
    <w:rsid w:val="00C7268E"/>
    <w:rsid w:val="00C72693"/>
    <w:rsid w:val="00C72752"/>
    <w:rsid w:val="00C7287B"/>
    <w:rsid w:val="00C731F0"/>
    <w:rsid w:val="00C74960"/>
    <w:rsid w:val="00C75070"/>
    <w:rsid w:val="00C756DC"/>
    <w:rsid w:val="00C75BE0"/>
    <w:rsid w:val="00C760FE"/>
    <w:rsid w:val="00C76BFF"/>
    <w:rsid w:val="00C76C42"/>
    <w:rsid w:val="00C772A0"/>
    <w:rsid w:val="00C81D1C"/>
    <w:rsid w:val="00C83747"/>
    <w:rsid w:val="00C83AE8"/>
    <w:rsid w:val="00C83BD2"/>
    <w:rsid w:val="00C83BF2"/>
    <w:rsid w:val="00C83DB4"/>
    <w:rsid w:val="00C84728"/>
    <w:rsid w:val="00C84C4F"/>
    <w:rsid w:val="00C84EC0"/>
    <w:rsid w:val="00C855B0"/>
    <w:rsid w:val="00C856E7"/>
    <w:rsid w:val="00C8597B"/>
    <w:rsid w:val="00C859F1"/>
    <w:rsid w:val="00C85F6F"/>
    <w:rsid w:val="00C8606C"/>
    <w:rsid w:val="00C86504"/>
    <w:rsid w:val="00C8665E"/>
    <w:rsid w:val="00C86A1B"/>
    <w:rsid w:val="00C86C14"/>
    <w:rsid w:val="00C86E74"/>
    <w:rsid w:val="00C871EB"/>
    <w:rsid w:val="00C8728D"/>
    <w:rsid w:val="00C87814"/>
    <w:rsid w:val="00C8784E"/>
    <w:rsid w:val="00C879A7"/>
    <w:rsid w:val="00C87B74"/>
    <w:rsid w:val="00C91138"/>
    <w:rsid w:val="00C9125A"/>
    <w:rsid w:val="00C91A05"/>
    <w:rsid w:val="00C92638"/>
    <w:rsid w:val="00C93159"/>
    <w:rsid w:val="00C939B4"/>
    <w:rsid w:val="00C93B79"/>
    <w:rsid w:val="00C93BC5"/>
    <w:rsid w:val="00C94151"/>
    <w:rsid w:val="00C94372"/>
    <w:rsid w:val="00C94C83"/>
    <w:rsid w:val="00C9562D"/>
    <w:rsid w:val="00C957C1"/>
    <w:rsid w:val="00C9591E"/>
    <w:rsid w:val="00C95C24"/>
    <w:rsid w:val="00C95D28"/>
    <w:rsid w:val="00C9607D"/>
    <w:rsid w:val="00C96599"/>
    <w:rsid w:val="00C96675"/>
    <w:rsid w:val="00C96A24"/>
    <w:rsid w:val="00C96BDB"/>
    <w:rsid w:val="00C96F99"/>
    <w:rsid w:val="00C97085"/>
    <w:rsid w:val="00C97149"/>
    <w:rsid w:val="00C9792D"/>
    <w:rsid w:val="00C97D7C"/>
    <w:rsid w:val="00CA447D"/>
    <w:rsid w:val="00CA4834"/>
    <w:rsid w:val="00CA54D5"/>
    <w:rsid w:val="00CA6C2E"/>
    <w:rsid w:val="00CA7514"/>
    <w:rsid w:val="00CA78F8"/>
    <w:rsid w:val="00CB06B3"/>
    <w:rsid w:val="00CB074C"/>
    <w:rsid w:val="00CB0A69"/>
    <w:rsid w:val="00CB1289"/>
    <w:rsid w:val="00CB192A"/>
    <w:rsid w:val="00CB21E3"/>
    <w:rsid w:val="00CB2997"/>
    <w:rsid w:val="00CB2F7E"/>
    <w:rsid w:val="00CB4BB4"/>
    <w:rsid w:val="00CB5638"/>
    <w:rsid w:val="00CB567D"/>
    <w:rsid w:val="00CB5966"/>
    <w:rsid w:val="00CB5BC9"/>
    <w:rsid w:val="00CB5DA6"/>
    <w:rsid w:val="00CB64DF"/>
    <w:rsid w:val="00CB776E"/>
    <w:rsid w:val="00CB7FF5"/>
    <w:rsid w:val="00CC045C"/>
    <w:rsid w:val="00CC0DAE"/>
    <w:rsid w:val="00CC12EB"/>
    <w:rsid w:val="00CC1387"/>
    <w:rsid w:val="00CC1E28"/>
    <w:rsid w:val="00CC229A"/>
    <w:rsid w:val="00CC308E"/>
    <w:rsid w:val="00CC3101"/>
    <w:rsid w:val="00CC32F9"/>
    <w:rsid w:val="00CC34BF"/>
    <w:rsid w:val="00CC4422"/>
    <w:rsid w:val="00CC4424"/>
    <w:rsid w:val="00CC4D2A"/>
    <w:rsid w:val="00CC5070"/>
    <w:rsid w:val="00CC5DEB"/>
    <w:rsid w:val="00CC60D3"/>
    <w:rsid w:val="00CC7251"/>
    <w:rsid w:val="00CC7CB3"/>
    <w:rsid w:val="00CC7F64"/>
    <w:rsid w:val="00CD1470"/>
    <w:rsid w:val="00CD20D7"/>
    <w:rsid w:val="00CD28A2"/>
    <w:rsid w:val="00CD2C94"/>
    <w:rsid w:val="00CD2E2B"/>
    <w:rsid w:val="00CD3027"/>
    <w:rsid w:val="00CD31AD"/>
    <w:rsid w:val="00CD3599"/>
    <w:rsid w:val="00CD4407"/>
    <w:rsid w:val="00CD4602"/>
    <w:rsid w:val="00CD4AB2"/>
    <w:rsid w:val="00CD4DCD"/>
    <w:rsid w:val="00CD67F2"/>
    <w:rsid w:val="00CD71F4"/>
    <w:rsid w:val="00CE1AAE"/>
    <w:rsid w:val="00CE1E32"/>
    <w:rsid w:val="00CE2967"/>
    <w:rsid w:val="00CE3B60"/>
    <w:rsid w:val="00CE469B"/>
    <w:rsid w:val="00CE5994"/>
    <w:rsid w:val="00CE7120"/>
    <w:rsid w:val="00CE796F"/>
    <w:rsid w:val="00CF0664"/>
    <w:rsid w:val="00CF0723"/>
    <w:rsid w:val="00CF080A"/>
    <w:rsid w:val="00CF12A0"/>
    <w:rsid w:val="00CF1768"/>
    <w:rsid w:val="00CF18E8"/>
    <w:rsid w:val="00CF335E"/>
    <w:rsid w:val="00CF383B"/>
    <w:rsid w:val="00CF3A05"/>
    <w:rsid w:val="00CF3CEF"/>
    <w:rsid w:val="00CF467D"/>
    <w:rsid w:val="00CF4A55"/>
    <w:rsid w:val="00CF52F2"/>
    <w:rsid w:val="00CF7B52"/>
    <w:rsid w:val="00D01168"/>
    <w:rsid w:val="00D01927"/>
    <w:rsid w:val="00D019F2"/>
    <w:rsid w:val="00D0288C"/>
    <w:rsid w:val="00D02C58"/>
    <w:rsid w:val="00D02CD7"/>
    <w:rsid w:val="00D030E5"/>
    <w:rsid w:val="00D030E6"/>
    <w:rsid w:val="00D03B8F"/>
    <w:rsid w:val="00D03D75"/>
    <w:rsid w:val="00D04608"/>
    <w:rsid w:val="00D04874"/>
    <w:rsid w:val="00D055FB"/>
    <w:rsid w:val="00D05BAF"/>
    <w:rsid w:val="00D06052"/>
    <w:rsid w:val="00D069C3"/>
    <w:rsid w:val="00D06F6E"/>
    <w:rsid w:val="00D071A4"/>
    <w:rsid w:val="00D072FC"/>
    <w:rsid w:val="00D072FD"/>
    <w:rsid w:val="00D0766A"/>
    <w:rsid w:val="00D07E02"/>
    <w:rsid w:val="00D102BE"/>
    <w:rsid w:val="00D1045F"/>
    <w:rsid w:val="00D10C63"/>
    <w:rsid w:val="00D10CAF"/>
    <w:rsid w:val="00D11189"/>
    <w:rsid w:val="00D11221"/>
    <w:rsid w:val="00D11ABC"/>
    <w:rsid w:val="00D11F34"/>
    <w:rsid w:val="00D120E8"/>
    <w:rsid w:val="00D12703"/>
    <w:rsid w:val="00D12846"/>
    <w:rsid w:val="00D1373A"/>
    <w:rsid w:val="00D137C6"/>
    <w:rsid w:val="00D139A6"/>
    <w:rsid w:val="00D13DF6"/>
    <w:rsid w:val="00D14016"/>
    <w:rsid w:val="00D148C4"/>
    <w:rsid w:val="00D14E38"/>
    <w:rsid w:val="00D15515"/>
    <w:rsid w:val="00D15923"/>
    <w:rsid w:val="00D159A5"/>
    <w:rsid w:val="00D15D79"/>
    <w:rsid w:val="00D15F53"/>
    <w:rsid w:val="00D166E3"/>
    <w:rsid w:val="00D16C5F"/>
    <w:rsid w:val="00D16DC1"/>
    <w:rsid w:val="00D173E8"/>
    <w:rsid w:val="00D17A94"/>
    <w:rsid w:val="00D17F12"/>
    <w:rsid w:val="00D20EAC"/>
    <w:rsid w:val="00D21008"/>
    <w:rsid w:val="00D2115E"/>
    <w:rsid w:val="00D21AB3"/>
    <w:rsid w:val="00D21D53"/>
    <w:rsid w:val="00D2265E"/>
    <w:rsid w:val="00D22D33"/>
    <w:rsid w:val="00D238B0"/>
    <w:rsid w:val="00D2449D"/>
    <w:rsid w:val="00D246D1"/>
    <w:rsid w:val="00D2477E"/>
    <w:rsid w:val="00D24B03"/>
    <w:rsid w:val="00D24DA0"/>
    <w:rsid w:val="00D24F6A"/>
    <w:rsid w:val="00D25901"/>
    <w:rsid w:val="00D26074"/>
    <w:rsid w:val="00D27073"/>
    <w:rsid w:val="00D27A34"/>
    <w:rsid w:val="00D27C20"/>
    <w:rsid w:val="00D30197"/>
    <w:rsid w:val="00D303CC"/>
    <w:rsid w:val="00D30B42"/>
    <w:rsid w:val="00D30B52"/>
    <w:rsid w:val="00D30DB0"/>
    <w:rsid w:val="00D313E5"/>
    <w:rsid w:val="00D31824"/>
    <w:rsid w:val="00D31E3C"/>
    <w:rsid w:val="00D31E43"/>
    <w:rsid w:val="00D32034"/>
    <w:rsid w:val="00D322D9"/>
    <w:rsid w:val="00D334C2"/>
    <w:rsid w:val="00D33C4F"/>
    <w:rsid w:val="00D34460"/>
    <w:rsid w:val="00D34821"/>
    <w:rsid w:val="00D34EE3"/>
    <w:rsid w:val="00D35196"/>
    <w:rsid w:val="00D35E51"/>
    <w:rsid w:val="00D368BF"/>
    <w:rsid w:val="00D37E86"/>
    <w:rsid w:val="00D40998"/>
    <w:rsid w:val="00D40AD9"/>
    <w:rsid w:val="00D40C8E"/>
    <w:rsid w:val="00D40D61"/>
    <w:rsid w:val="00D40E31"/>
    <w:rsid w:val="00D40F13"/>
    <w:rsid w:val="00D4173D"/>
    <w:rsid w:val="00D417A0"/>
    <w:rsid w:val="00D41C4C"/>
    <w:rsid w:val="00D4260B"/>
    <w:rsid w:val="00D42B44"/>
    <w:rsid w:val="00D42CA2"/>
    <w:rsid w:val="00D42F09"/>
    <w:rsid w:val="00D432A4"/>
    <w:rsid w:val="00D43320"/>
    <w:rsid w:val="00D43611"/>
    <w:rsid w:val="00D43998"/>
    <w:rsid w:val="00D43AF0"/>
    <w:rsid w:val="00D45549"/>
    <w:rsid w:val="00D4557A"/>
    <w:rsid w:val="00D463CF"/>
    <w:rsid w:val="00D46E6D"/>
    <w:rsid w:val="00D470EC"/>
    <w:rsid w:val="00D4712F"/>
    <w:rsid w:val="00D503B5"/>
    <w:rsid w:val="00D50680"/>
    <w:rsid w:val="00D50A55"/>
    <w:rsid w:val="00D50AB4"/>
    <w:rsid w:val="00D50BDF"/>
    <w:rsid w:val="00D50D41"/>
    <w:rsid w:val="00D5107D"/>
    <w:rsid w:val="00D51428"/>
    <w:rsid w:val="00D51E71"/>
    <w:rsid w:val="00D52144"/>
    <w:rsid w:val="00D523A1"/>
    <w:rsid w:val="00D52A86"/>
    <w:rsid w:val="00D530BC"/>
    <w:rsid w:val="00D53388"/>
    <w:rsid w:val="00D54655"/>
    <w:rsid w:val="00D5468C"/>
    <w:rsid w:val="00D549B1"/>
    <w:rsid w:val="00D54A2F"/>
    <w:rsid w:val="00D54DBD"/>
    <w:rsid w:val="00D54EC0"/>
    <w:rsid w:val="00D55873"/>
    <w:rsid w:val="00D55AB5"/>
    <w:rsid w:val="00D55CF3"/>
    <w:rsid w:val="00D56116"/>
    <w:rsid w:val="00D573F8"/>
    <w:rsid w:val="00D57919"/>
    <w:rsid w:val="00D57CAF"/>
    <w:rsid w:val="00D6046F"/>
    <w:rsid w:val="00D60675"/>
    <w:rsid w:val="00D6071B"/>
    <w:rsid w:val="00D6078B"/>
    <w:rsid w:val="00D607AC"/>
    <w:rsid w:val="00D60CC4"/>
    <w:rsid w:val="00D60EB3"/>
    <w:rsid w:val="00D61048"/>
    <w:rsid w:val="00D6165F"/>
    <w:rsid w:val="00D62098"/>
    <w:rsid w:val="00D629F8"/>
    <w:rsid w:val="00D62A2F"/>
    <w:rsid w:val="00D62DEF"/>
    <w:rsid w:val="00D6318B"/>
    <w:rsid w:val="00D63196"/>
    <w:rsid w:val="00D64171"/>
    <w:rsid w:val="00D64851"/>
    <w:rsid w:val="00D64A90"/>
    <w:rsid w:val="00D64E2A"/>
    <w:rsid w:val="00D65443"/>
    <w:rsid w:val="00D65DB7"/>
    <w:rsid w:val="00D67D5E"/>
    <w:rsid w:val="00D70B97"/>
    <w:rsid w:val="00D70E38"/>
    <w:rsid w:val="00D71283"/>
    <w:rsid w:val="00D7145B"/>
    <w:rsid w:val="00D719AC"/>
    <w:rsid w:val="00D7215E"/>
    <w:rsid w:val="00D72293"/>
    <w:rsid w:val="00D726E3"/>
    <w:rsid w:val="00D72A80"/>
    <w:rsid w:val="00D72EAE"/>
    <w:rsid w:val="00D7362D"/>
    <w:rsid w:val="00D73D79"/>
    <w:rsid w:val="00D74385"/>
    <w:rsid w:val="00D74584"/>
    <w:rsid w:val="00D75600"/>
    <w:rsid w:val="00D75CBD"/>
    <w:rsid w:val="00D765DE"/>
    <w:rsid w:val="00D7743C"/>
    <w:rsid w:val="00D7798E"/>
    <w:rsid w:val="00D80161"/>
    <w:rsid w:val="00D81009"/>
    <w:rsid w:val="00D821D9"/>
    <w:rsid w:val="00D82A05"/>
    <w:rsid w:val="00D8414F"/>
    <w:rsid w:val="00D84262"/>
    <w:rsid w:val="00D8468A"/>
    <w:rsid w:val="00D85F13"/>
    <w:rsid w:val="00D865FC"/>
    <w:rsid w:val="00D86CE8"/>
    <w:rsid w:val="00D87280"/>
    <w:rsid w:val="00D878E5"/>
    <w:rsid w:val="00D87E58"/>
    <w:rsid w:val="00D91D13"/>
    <w:rsid w:val="00D920DC"/>
    <w:rsid w:val="00D92357"/>
    <w:rsid w:val="00D923EE"/>
    <w:rsid w:val="00D92AC7"/>
    <w:rsid w:val="00D936EA"/>
    <w:rsid w:val="00D938F7"/>
    <w:rsid w:val="00D942E1"/>
    <w:rsid w:val="00D94A47"/>
    <w:rsid w:val="00D94EEF"/>
    <w:rsid w:val="00D95658"/>
    <w:rsid w:val="00D961E1"/>
    <w:rsid w:val="00D9645F"/>
    <w:rsid w:val="00D96FC3"/>
    <w:rsid w:val="00D970DF"/>
    <w:rsid w:val="00D9714A"/>
    <w:rsid w:val="00D9750C"/>
    <w:rsid w:val="00D97BEE"/>
    <w:rsid w:val="00D97C71"/>
    <w:rsid w:val="00D97F89"/>
    <w:rsid w:val="00DA00D2"/>
    <w:rsid w:val="00DA0300"/>
    <w:rsid w:val="00DA03EA"/>
    <w:rsid w:val="00DA229B"/>
    <w:rsid w:val="00DA2EF8"/>
    <w:rsid w:val="00DA2FB8"/>
    <w:rsid w:val="00DA3183"/>
    <w:rsid w:val="00DA35F8"/>
    <w:rsid w:val="00DA36F0"/>
    <w:rsid w:val="00DA4189"/>
    <w:rsid w:val="00DA4339"/>
    <w:rsid w:val="00DA4AE9"/>
    <w:rsid w:val="00DA4FC5"/>
    <w:rsid w:val="00DA511A"/>
    <w:rsid w:val="00DA5887"/>
    <w:rsid w:val="00DA64A3"/>
    <w:rsid w:val="00DA7136"/>
    <w:rsid w:val="00DA75A0"/>
    <w:rsid w:val="00DA7FCD"/>
    <w:rsid w:val="00DB000F"/>
    <w:rsid w:val="00DB0479"/>
    <w:rsid w:val="00DB0DBA"/>
    <w:rsid w:val="00DB157F"/>
    <w:rsid w:val="00DB2643"/>
    <w:rsid w:val="00DB313A"/>
    <w:rsid w:val="00DB3818"/>
    <w:rsid w:val="00DB3947"/>
    <w:rsid w:val="00DB39E8"/>
    <w:rsid w:val="00DB3CBA"/>
    <w:rsid w:val="00DB3D95"/>
    <w:rsid w:val="00DB58C1"/>
    <w:rsid w:val="00DB58EF"/>
    <w:rsid w:val="00DB61F3"/>
    <w:rsid w:val="00DB6710"/>
    <w:rsid w:val="00DB6CB7"/>
    <w:rsid w:val="00DB6E15"/>
    <w:rsid w:val="00DB7BB8"/>
    <w:rsid w:val="00DC0222"/>
    <w:rsid w:val="00DC0F12"/>
    <w:rsid w:val="00DC1058"/>
    <w:rsid w:val="00DC110D"/>
    <w:rsid w:val="00DC11C3"/>
    <w:rsid w:val="00DC142A"/>
    <w:rsid w:val="00DC1CB7"/>
    <w:rsid w:val="00DC367A"/>
    <w:rsid w:val="00DC60B1"/>
    <w:rsid w:val="00DC63AD"/>
    <w:rsid w:val="00DC663A"/>
    <w:rsid w:val="00DD01AB"/>
    <w:rsid w:val="00DD0200"/>
    <w:rsid w:val="00DD03A5"/>
    <w:rsid w:val="00DD0E62"/>
    <w:rsid w:val="00DD0EA7"/>
    <w:rsid w:val="00DD108F"/>
    <w:rsid w:val="00DD1389"/>
    <w:rsid w:val="00DD177D"/>
    <w:rsid w:val="00DD227F"/>
    <w:rsid w:val="00DD2641"/>
    <w:rsid w:val="00DD291C"/>
    <w:rsid w:val="00DD3B61"/>
    <w:rsid w:val="00DD44E6"/>
    <w:rsid w:val="00DD49C6"/>
    <w:rsid w:val="00DD79F5"/>
    <w:rsid w:val="00DD7FCA"/>
    <w:rsid w:val="00DE09F6"/>
    <w:rsid w:val="00DE0ABE"/>
    <w:rsid w:val="00DE2729"/>
    <w:rsid w:val="00DE2B8F"/>
    <w:rsid w:val="00DE3121"/>
    <w:rsid w:val="00DE3586"/>
    <w:rsid w:val="00DE371B"/>
    <w:rsid w:val="00DE3AFB"/>
    <w:rsid w:val="00DE3F0A"/>
    <w:rsid w:val="00DE3FE7"/>
    <w:rsid w:val="00DE4600"/>
    <w:rsid w:val="00DE47A4"/>
    <w:rsid w:val="00DE59D6"/>
    <w:rsid w:val="00DE64D0"/>
    <w:rsid w:val="00DE6596"/>
    <w:rsid w:val="00DE6824"/>
    <w:rsid w:val="00DE6C33"/>
    <w:rsid w:val="00DE76F2"/>
    <w:rsid w:val="00DE7816"/>
    <w:rsid w:val="00DF0487"/>
    <w:rsid w:val="00DF054F"/>
    <w:rsid w:val="00DF1005"/>
    <w:rsid w:val="00DF1031"/>
    <w:rsid w:val="00DF1F0E"/>
    <w:rsid w:val="00DF2049"/>
    <w:rsid w:val="00DF2283"/>
    <w:rsid w:val="00DF2400"/>
    <w:rsid w:val="00DF2A01"/>
    <w:rsid w:val="00DF2F4F"/>
    <w:rsid w:val="00DF317A"/>
    <w:rsid w:val="00DF3BE1"/>
    <w:rsid w:val="00DF3C6A"/>
    <w:rsid w:val="00DF3DED"/>
    <w:rsid w:val="00DF5465"/>
    <w:rsid w:val="00DF6042"/>
    <w:rsid w:val="00DF70D3"/>
    <w:rsid w:val="00DF7305"/>
    <w:rsid w:val="00DF7ABE"/>
    <w:rsid w:val="00E00BCB"/>
    <w:rsid w:val="00E00DC5"/>
    <w:rsid w:val="00E01010"/>
    <w:rsid w:val="00E0197D"/>
    <w:rsid w:val="00E02EE7"/>
    <w:rsid w:val="00E0315B"/>
    <w:rsid w:val="00E03805"/>
    <w:rsid w:val="00E03EAB"/>
    <w:rsid w:val="00E047CF"/>
    <w:rsid w:val="00E0528A"/>
    <w:rsid w:val="00E05D17"/>
    <w:rsid w:val="00E073E9"/>
    <w:rsid w:val="00E0755F"/>
    <w:rsid w:val="00E07DF0"/>
    <w:rsid w:val="00E111C8"/>
    <w:rsid w:val="00E115BC"/>
    <w:rsid w:val="00E11715"/>
    <w:rsid w:val="00E11B35"/>
    <w:rsid w:val="00E14153"/>
    <w:rsid w:val="00E1475C"/>
    <w:rsid w:val="00E15CF6"/>
    <w:rsid w:val="00E15EB5"/>
    <w:rsid w:val="00E169C8"/>
    <w:rsid w:val="00E16A58"/>
    <w:rsid w:val="00E16CBA"/>
    <w:rsid w:val="00E1701C"/>
    <w:rsid w:val="00E17451"/>
    <w:rsid w:val="00E178C1"/>
    <w:rsid w:val="00E17A0F"/>
    <w:rsid w:val="00E17BBB"/>
    <w:rsid w:val="00E17C6E"/>
    <w:rsid w:val="00E17D6C"/>
    <w:rsid w:val="00E22153"/>
    <w:rsid w:val="00E22BD6"/>
    <w:rsid w:val="00E2349B"/>
    <w:rsid w:val="00E2433A"/>
    <w:rsid w:val="00E24D80"/>
    <w:rsid w:val="00E24DCE"/>
    <w:rsid w:val="00E25838"/>
    <w:rsid w:val="00E27371"/>
    <w:rsid w:val="00E2796D"/>
    <w:rsid w:val="00E3106A"/>
    <w:rsid w:val="00E31630"/>
    <w:rsid w:val="00E316B4"/>
    <w:rsid w:val="00E317EB"/>
    <w:rsid w:val="00E317FB"/>
    <w:rsid w:val="00E31BEE"/>
    <w:rsid w:val="00E31F72"/>
    <w:rsid w:val="00E330E0"/>
    <w:rsid w:val="00E335AD"/>
    <w:rsid w:val="00E33B17"/>
    <w:rsid w:val="00E3436A"/>
    <w:rsid w:val="00E3484E"/>
    <w:rsid w:val="00E34EF7"/>
    <w:rsid w:val="00E34FF1"/>
    <w:rsid w:val="00E35459"/>
    <w:rsid w:val="00E35A41"/>
    <w:rsid w:val="00E367F8"/>
    <w:rsid w:val="00E36C09"/>
    <w:rsid w:val="00E37264"/>
    <w:rsid w:val="00E37454"/>
    <w:rsid w:val="00E37AEA"/>
    <w:rsid w:val="00E408A1"/>
    <w:rsid w:val="00E40EE3"/>
    <w:rsid w:val="00E4174F"/>
    <w:rsid w:val="00E41921"/>
    <w:rsid w:val="00E41F59"/>
    <w:rsid w:val="00E42942"/>
    <w:rsid w:val="00E434C0"/>
    <w:rsid w:val="00E43568"/>
    <w:rsid w:val="00E43C51"/>
    <w:rsid w:val="00E43D0E"/>
    <w:rsid w:val="00E442FA"/>
    <w:rsid w:val="00E445C5"/>
    <w:rsid w:val="00E44C36"/>
    <w:rsid w:val="00E44DF6"/>
    <w:rsid w:val="00E45A06"/>
    <w:rsid w:val="00E45C5E"/>
    <w:rsid w:val="00E4713C"/>
    <w:rsid w:val="00E475A8"/>
    <w:rsid w:val="00E50213"/>
    <w:rsid w:val="00E513C0"/>
    <w:rsid w:val="00E51F48"/>
    <w:rsid w:val="00E52684"/>
    <w:rsid w:val="00E52BBD"/>
    <w:rsid w:val="00E536B1"/>
    <w:rsid w:val="00E53B0D"/>
    <w:rsid w:val="00E53F3D"/>
    <w:rsid w:val="00E540AB"/>
    <w:rsid w:val="00E544F5"/>
    <w:rsid w:val="00E551AB"/>
    <w:rsid w:val="00E552F0"/>
    <w:rsid w:val="00E55615"/>
    <w:rsid w:val="00E56585"/>
    <w:rsid w:val="00E56F92"/>
    <w:rsid w:val="00E57B91"/>
    <w:rsid w:val="00E60458"/>
    <w:rsid w:val="00E6055A"/>
    <w:rsid w:val="00E60867"/>
    <w:rsid w:val="00E61112"/>
    <w:rsid w:val="00E61751"/>
    <w:rsid w:val="00E617DB"/>
    <w:rsid w:val="00E6181F"/>
    <w:rsid w:val="00E6223A"/>
    <w:rsid w:val="00E62580"/>
    <w:rsid w:val="00E62C6A"/>
    <w:rsid w:val="00E62CA2"/>
    <w:rsid w:val="00E63075"/>
    <w:rsid w:val="00E63CB8"/>
    <w:rsid w:val="00E63E06"/>
    <w:rsid w:val="00E64A69"/>
    <w:rsid w:val="00E65043"/>
    <w:rsid w:val="00E659D9"/>
    <w:rsid w:val="00E66259"/>
    <w:rsid w:val="00E6677F"/>
    <w:rsid w:val="00E66998"/>
    <w:rsid w:val="00E67093"/>
    <w:rsid w:val="00E6795B"/>
    <w:rsid w:val="00E67A27"/>
    <w:rsid w:val="00E703A9"/>
    <w:rsid w:val="00E70927"/>
    <w:rsid w:val="00E71505"/>
    <w:rsid w:val="00E71D10"/>
    <w:rsid w:val="00E73BE7"/>
    <w:rsid w:val="00E73C71"/>
    <w:rsid w:val="00E73C98"/>
    <w:rsid w:val="00E73DED"/>
    <w:rsid w:val="00E73FB3"/>
    <w:rsid w:val="00E741D3"/>
    <w:rsid w:val="00E741F4"/>
    <w:rsid w:val="00E74320"/>
    <w:rsid w:val="00E7476E"/>
    <w:rsid w:val="00E747B2"/>
    <w:rsid w:val="00E74E22"/>
    <w:rsid w:val="00E75440"/>
    <w:rsid w:val="00E756AC"/>
    <w:rsid w:val="00E764F3"/>
    <w:rsid w:val="00E769F5"/>
    <w:rsid w:val="00E77151"/>
    <w:rsid w:val="00E77D48"/>
    <w:rsid w:val="00E80070"/>
    <w:rsid w:val="00E80942"/>
    <w:rsid w:val="00E81566"/>
    <w:rsid w:val="00E81A82"/>
    <w:rsid w:val="00E8209D"/>
    <w:rsid w:val="00E829B5"/>
    <w:rsid w:val="00E830D7"/>
    <w:rsid w:val="00E834A6"/>
    <w:rsid w:val="00E839D9"/>
    <w:rsid w:val="00E84495"/>
    <w:rsid w:val="00E84DFF"/>
    <w:rsid w:val="00E85295"/>
    <w:rsid w:val="00E85DEC"/>
    <w:rsid w:val="00E86427"/>
    <w:rsid w:val="00E8692B"/>
    <w:rsid w:val="00E86F1B"/>
    <w:rsid w:val="00E87A0B"/>
    <w:rsid w:val="00E87A11"/>
    <w:rsid w:val="00E90E4E"/>
    <w:rsid w:val="00E914BF"/>
    <w:rsid w:val="00E91E80"/>
    <w:rsid w:val="00E91FE1"/>
    <w:rsid w:val="00E92BDD"/>
    <w:rsid w:val="00E93184"/>
    <w:rsid w:val="00E93437"/>
    <w:rsid w:val="00E934CC"/>
    <w:rsid w:val="00E93666"/>
    <w:rsid w:val="00E9371B"/>
    <w:rsid w:val="00E9371E"/>
    <w:rsid w:val="00E946B5"/>
    <w:rsid w:val="00E94950"/>
    <w:rsid w:val="00E94CD6"/>
    <w:rsid w:val="00E94ED0"/>
    <w:rsid w:val="00E95118"/>
    <w:rsid w:val="00E957A5"/>
    <w:rsid w:val="00E97E0C"/>
    <w:rsid w:val="00EA02B2"/>
    <w:rsid w:val="00EA0BBE"/>
    <w:rsid w:val="00EA0BE5"/>
    <w:rsid w:val="00EA1BDE"/>
    <w:rsid w:val="00EA3635"/>
    <w:rsid w:val="00EA3E16"/>
    <w:rsid w:val="00EA44D2"/>
    <w:rsid w:val="00EA464D"/>
    <w:rsid w:val="00EA4D4B"/>
    <w:rsid w:val="00EA549D"/>
    <w:rsid w:val="00EA5BC2"/>
    <w:rsid w:val="00EA5E41"/>
    <w:rsid w:val="00EA6890"/>
    <w:rsid w:val="00EA6B60"/>
    <w:rsid w:val="00EA6DF2"/>
    <w:rsid w:val="00EA76F5"/>
    <w:rsid w:val="00EA79EE"/>
    <w:rsid w:val="00EA7F8E"/>
    <w:rsid w:val="00EB0802"/>
    <w:rsid w:val="00EB0EB2"/>
    <w:rsid w:val="00EB10C0"/>
    <w:rsid w:val="00EB1617"/>
    <w:rsid w:val="00EB1A5D"/>
    <w:rsid w:val="00EB2E38"/>
    <w:rsid w:val="00EB35D7"/>
    <w:rsid w:val="00EB35E7"/>
    <w:rsid w:val="00EB3E9E"/>
    <w:rsid w:val="00EB3F7B"/>
    <w:rsid w:val="00EB4ED5"/>
    <w:rsid w:val="00EB543C"/>
    <w:rsid w:val="00EB5E5F"/>
    <w:rsid w:val="00EB6080"/>
    <w:rsid w:val="00EB6BAB"/>
    <w:rsid w:val="00EB785F"/>
    <w:rsid w:val="00EB7CC8"/>
    <w:rsid w:val="00EB7D1A"/>
    <w:rsid w:val="00EC0266"/>
    <w:rsid w:val="00EC0995"/>
    <w:rsid w:val="00EC0BA3"/>
    <w:rsid w:val="00EC0ECF"/>
    <w:rsid w:val="00EC10A0"/>
    <w:rsid w:val="00EC11E7"/>
    <w:rsid w:val="00EC18C5"/>
    <w:rsid w:val="00EC1908"/>
    <w:rsid w:val="00EC1BD2"/>
    <w:rsid w:val="00EC1F6F"/>
    <w:rsid w:val="00EC46B8"/>
    <w:rsid w:val="00EC595B"/>
    <w:rsid w:val="00EC5DCA"/>
    <w:rsid w:val="00EC665A"/>
    <w:rsid w:val="00EC66E7"/>
    <w:rsid w:val="00EC6977"/>
    <w:rsid w:val="00EC7478"/>
    <w:rsid w:val="00EC79E9"/>
    <w:rsid w:val="00EC7A09"/>
    <w:rsid w:val="00ED151B"/>
    <w:rsid w:val="00ED1B7E"/>
    <w:rsid w:val="00ED2CB9"/>
    <w:rsid w:val="00ED3AB2"/>
    <w:rsid w:val="00ED3FC0"/>
    <w:rsid w:val="00ED40EC"/>
    <w:rsid w:val="00ED4939"/>
    <w:rsid w:val="00ED50EC"/>
    <w:rsid w:val="00ED51BA"/>
    <w:rsid w:val="00ED7A60"/>
    <w:rsid w:val="00EE1306"/>
    <w:rsid w:val="00EE15A4"/>
    <w:rsid w:val="00EE187B"/>
    <w:rsid w:val="00EE26F1"/>
    <w:rsid w:val="00EE332B"/>
    <w:rsid w:val="00EE3513"/>
    <w:rsid w:val="00EE41DB"/>
    <w:rsid w:val="00EE424C"/>
    <w:rsid w:val="00EE4530"/>
    <w:rsid w:val="00EE4EC7"/>
    <w:rsid w:val="00EE5413"/>
    <w:rsid w:val="00EE65C1"/>
    <w:rsid w:val="00EE6D27"/>
    <w:rsid w:val="00EE78B6"/>
    <w:rsid w:val="00EE79E1"/>
    <w:rsid w:val="00EE7BCF"/>
    <w:rsid w:val="00EE7C77"/>
    <w:rsid w:val="00EE7F27"/>
    <w:rsid w:val="00EF03EF"/>
    <w:rsid w:val="00EF066F"/>
    <w:rsid w:val="00EF076A"/>
    <w:rsid w:val="00EF109A"/>
    <w:rsid w:val="00EF1362"/>
    <w:rsid w:val="00EF15AC"/>
    <w:rsid w:val="00EF1C81"/>
    <w:rsid w:val="00EF23CC"/>
    <w:rsid w:val="00EF2C74"/>
    <w:rsid w:val="00EF3615"/>
    <w:rsid w:val="00EF3FE5"/>
    <w:rsid w:val="00EF4AB6"/>
    <w:rsid w:val="00EF4C3B"/>
    <w:rsid w:val="00EF54ED"/>
    <w:rsid w:val="00EF6247"/>
    <w:rsid w:val="00EF636A"/>
    <w:rsid w:val="00EF65A6"/>
    <w:rsid w:val="00EF6B06"/>
    <w:rsid w:val="00EF6CB5"/>
    <w:rsid w:val="00EF6DBB"/>
    <w:rsid w:val="00EF6DD7"/>
    <w:rsid w:val="00EF7A29"/>
    <w:rsid w:val="00EF7C26"/>
    <w:rsid w:val="00F004D3"/>
    <w:rsid w:val="00F006EA"/>
    <w:rsid w:val="00F00B1A"/>
    <w:rsid w:val="00F022E1"/>
    <w:rsid w:val="00F02543"/>
    <w:rsid w:val="00F0256A"/>
    <w:rsid w:val="00F02CE1"/>
    <w:rsid w:val="00F03577"/>
    <w:rsid w:val="00F04DAD"/>
    <w:rsid w:val="00F05B50"/>
    <w:rsid w:val="00F05C4A"/>
    <w:rsid w:val="00F05D1B"/>
    <w:rsid w:val="00F063BB"/>
    <w:rsid w:val="00F069B3"/>
    <w:rsid w:val="00F0727E"/>
    <w:rsid w:val="00F077E9"/>
    <w:rsid w:val="00F078BF"/>
    <w:rsid w:val="00F07AB3"/>
    <w:rsid w:val="00F101FC"/>
    <w:rsid w:val="00F10515"/>
    <w:rsid w:val="00F10642"/>
    <w:rsid w:val="00F10F2C"/>
    <w:rsid w:val="00F11D7D"/>
    <w:rsid w:val="00F120CD"/>
    <w:rsid w:val="00F1234D"/>
    <w:rsid w:val="00F126C9"/>
    <w:rsid w:val="00F127E2"/>
    <w:rsid w:val="00F13C98"/>
    <w:rsid w:val="00F13DB1"/>
    <w:rsid w:val="00F13DF8"/>
    <w:rsid w:val="00F1413A"/>
    <w:rsid w:val="00F1497A"/>
    <w:rsid w:val="00F14FA0"/>
    <w:rsid w:val="00F16CB5"/>
    <w:rsid w:val="00F17AFF"/>
    <w:rsid w:val="00F207BC"/>
    <w:rsid w:val="00F21091"/>
    <w:rsid w:val="00F21240"/>
    <w:rsid w:val="00F21382"/>
    <w:rsid w:val="00F21876"/>
    <w:rsid w:val="00F21A1F"/>
    <w:rsid w:val="00F225A8"/>
    <w:rsid w:val="00F2293B"/>
    <w:rsid w:val="00F2375E"/>
    <w:rsid w:val="00F23F3E"/>
    <w:rsid w:val="00F24F47"/>
    <w:rsid w:val="00F254D1"/>
    <w:rsid w:val="00F25EC3"/>
    <w:rsid w:val="00F26D44"/>
    <w:rsid w:val="00F2793D"/>
    <w:rsid w:val="00F27D1E"/>
    <w:rsid w:val="00F30075"/>
    <w:rsid w:val="00F312FE"/>
    <w:rsid w:val="00F317B8"/>
    <w:rsid w:val="00F31B96"/>
    <w:rsid w:val="00F31F07"/>
    <w:rsid w:val="00F3357E"/>
    <w:rsid w:val="00F33DD9"/>
    <w:rsid w:val="00F35303"/>
    <w:rsid w:val="00F35B00"/>
    <w:rsid w:val="00F35CA0"/>
    <w:rsid w:val="00F35EC1"/>
    <w:rsid w:val="00F3610C"/>
    <w:rsid w:val="00F36BCF"/>
    <w:rsid w:val="00F36C32"/>
    <w:rsid w:val="00F36F41"/>
    <w:rsid w:val="00F36F67"/>
    <w:rsid w:val="00F374D2"/>
    <w:rsid w:val="00F37BA8"/>
    <w:rsid w:val="00F37EA0"/>
    <w:rsid w:val="00F402B0"/>
    <w:rsid w:val="00F403D3"/>
    <w:rsid w:val="00F4065F"/>
    <w:rsid w:val="00F40C08"/>
    <w:rsid w:val="00F416FE"/>
    <w:rsid w:val="00F43677"/>
    <w:rsid w:val="00F44047"/>
    <w:rsid w:val="00F47325"/>
    <w:rsid w:val="00F47333"/>
    <w:rsid w:val="00F47CCD"/>
    <w:rsid w:val="00F47EA3"/>
    <w:rsid w:val="00F500CB"/>
    <w:rsid w:val="00F50D0B"/>
    <w:rsid w:val="00F5169E"/>
    <w:rsid w:val="00F519C0"/>
    <w:rsid w:val="00F51C8A"/>
    <w:rsid w:val="00F51DC3"/>
    <w:rsid w:val="00F52F84"/>
    <w:rsid w:val="00F5346F"/>
    <w:rsid w:val="00F5350E"/>
    <w:rsid w:val="00F54166"/>
    <w:rsid w:val="00F5439E"/>
    <w:rsid w:val="00F54BDB"/>
    <w:rsid w:val="00F54EDB"/>
    <w:rsid w:val="00F5701E"/>
    <w:rsid w:val="00F5718D"/>
    <w:rsid w:val="00F571D3"/>
    <w:rsid w:val="00F57AFF"/>
    <w:rsid w:val="00F601CA"/>
    <w:rsid w:val="00F604CB"/>
    <w:rsid w:val="00F61273"/>
    <w:rsid w:val="00F61C8F"/>
    <w:rsid w:val="00F61E2B"/>
    <w:rsid w:val="00F61E78"/>
    <w:rsid w:val="00F6403F"/>
    <w:rsid w:val="00F64794"/>
    <w:rsid w:val="00F651E8"/>
    <w:rsid w:val="00F65872"/>
    <w:rsid w:val="00F65A69"/>
    <w:rsid w:val="00F65F5C"/>
    <w:rsid w:val="00F65F7A"/>
    <w:rsid w:val="00F66B5D"/>
    <w:rsid w:val="00F66FC6"/>
    <w:rsid w:val="00F67A78"/>
    <w:rsid w:val="00F67B23"/>
    <w:rsid w:val="00F67C0F"/>
    <w:rsid w:val="00F7006C"/>
    <w:rsid w:val="00F7055B"/>
    <w:rsid w:val="00F70D03"/>
    <w:rsid w:val="00F721F5"/>
    <w:rsid w:val="00F7258B"/>
    <w:rsid w:val="00F73317"/>
    <w:rsid w:val="00F74720"/>
    <w:rsid w:val="00F7497A"/>
    <w:rsid w:val="00F749AB"/>
    <w:rsid w:val="00F74B55"/>
    <w:rsid w:val="00F74E9B"/>
    <w:rsid w:val="00F75869"/>
    <w:rsid w:val="00F76083"/>
    <w:rsid w:val="00F7627C"/>
    <w:rsid w:val="00F770CF"/>
    <w:rsid w:val="00F77553"/>
    <w:rsid w:val="00F77647"/>
    <w:rsid w:val="00F7784A"/>
    <w:rsid w:val="00F77C5D"/>
    <w:rsid w:val="00F77EFC"/>
    <w:rsid w:val="00F81C07"/>
    <w:rsid w:val="00F81D0F"/>
    <w:rsid w:val="00F822CD"/>
    <w:rsid w:val="00F824E6"/>
    <w:rsid w:val="00F82832"/>
    <w:rsid w:val="00F828C2"/>
    <w:rsid w:val="00F82FB6"/>
    <w:rsid w:val="00F83398"/>
    <w:rsid w:val="00F83540"/>
    <w:rsid w:val="00F83572"/>
    <w:rsid w:val="00F83723"/>
    <w:rsid w:val="00F83D0D"/>
    <w:rsid w:val="00F849EB"/>
    <w:rsid w:val="00F84C50"/>
    <w:rsid w:val="00F853D7"/>
    <w:rsid w:val="00F856CD"/>
    <w:rsid w:val="00F85C50"/>
    <w:rsid w:val="00F86080"/>
    <w:rsid w:val="00F865AC"/>
    <w:rsid w:val="00F86A27"/>
    <w:rsid w:val="00F901E3"/>
    <w:rsid w:val="00F90FF8"/>
    <w:rsid w:val="00F91213"/>
    <w:rsid w:val="00F91C4D"/>
    <w:rsid w:val="00F92267"/>
    <w:rsid w:val="00F923D3"/>
    <w:rsid w:val="00F92600"/>
    <w:rsid w:val="00F927AE"/>
    <w:rsid w:val="00F93450"/>
    <w:rsid w:val="00F941EA"/>
    <w:rsid w:val="00F94632"/>
    <w:rsid w:val="00F9515A"/>
    <w:rsid w:val="00F95245"/>
    <w:rsid w:val="00F95866"/>
    <w:rsid w:val="00F9691C"/>
    <w:rsid w:val="00F972D3"/>
    <w:rsid w:val="00F97CE1"/>
    <w:rsid w:val="00FA01BA"/>
    <w:rsid w:val="00FA06DF"/>
    <w:rsid w:val="00FA0A4F"/>
    <w:rsid w:val="00FA0C01"/>
    <w:rsid w:val="00FA0DF3"/>
    <w:rsid w:val="00FA1B2C"/>
    <w:rsid w:val="00FA1C9F"/>
    <w:rsid w:val="00FA1E8B"/>
    <w:rsid w:val="00FA1EB3"/>
    <w:rsid w:val="00FA2153"/>
    <w:rsid w:val="00FA21D0"/>
    <w:rsid w:val="00FA2D1A"/>
    <w:rsid w:val="00FA445F"/>
    <w:rsid w:val="00FA50A4"/>
    <w:rsid w:val="00FA51D2"/>
    <w:rsid w:val="00FA5BB0"/>
    <w:rsid w:val="00FA6959"/>
    <w:rsid w:val="00FA73A2"/>
    <w:rsid w:val="00FA7559"/>
    <w:rsid w:val="00FA7684"/>
    <w:rsid w:val="00FA7919"/>
    <w:rsid w:val="00FA7F24"/>
    <w:rsid w:val="00FB082F"/>
    <w:rsid w:val="00FB0AFA"/>
    <w:rsid w:val="00FB0C9B"/>
    <w:rsid w:val="00FB0D11"/>
    <w:rsid w:val="00FB114D"/>
    <w:rsid w:val="00FB297B"/>
    <w:rsid w:val="00FB2BA1"/>
    <w:rsid w:val="00FB30D3"/>
    <w:rsid w:val="00FB3727"/>
    <w:rsid w:val="00FB3E99"/>
    <w:rsid w:val="00FB458B"/>
    <w:rsid w:val="00FB4688"/>
    <w:rsid w:val="00FB4D11"/>
    <w:rsid w:val="00FB5370"/>
    <w:rsid w:val="00FB5516"/>
    <w:rsid w:val="00FB588D"/>
    <w:rsid w:val="00FB5D99"/>
    <w:rsid w:val="00FB5EAA"/>
    <w:rsid w:val="00FB6A50"/>
    <w:rsid w:val="00FB6CFA"/>
    <w:rsid w:val="00FB7AF7"/>
    <w:rsid w:val="00FC0385"/>
    <w:rsid w:val="00FC0438"/>
    <w:rsid w:val="00FC088C"/>
    <w:rsid w:val="00FC0954"/>
    <w:rsid w:val="00FC0965"/>
    <w:rsid w:val="00FC14FE"/>
    <w:rsid w:val="00FC3EA1"/>
    <w:rsid w:val="00FC464A"/>
    <w:rsid w:val="00FC5173"/>
    <w:rsid w:val="00FC59D1"/>
    <w:rsid w:val="00FC6BF1"/>
    <w:rsid w:val="00FC6D97"/>
    <w:rsid w:val="00FC7656"/>
    <w:rsid w:val="00FC772D"/>
    <w:rsid w:val="00FD056F"/>
    <w:rsid w:val="00FD08D8"/>
    <w:rsid w:val="00FD0ED3"/>
    <w:rsid w:val="00FD1BF0"/>
    <w:rsid w:val="00FD1E97"/>
    <w:rsid w:val="00FD1F50"/>
    <w:rsid w:val="00FD1FB9"/>
    <w:rsid w:val="00FD2603"/>
    <w:rsid w:val="00FD2A67"/>
    <w:rsid w:val="00FD2EB9"/>
    <w:rsid w:val="00FD38D6"/>
    <w:rsid w:val="00FD3A1C"/>
    <w:rsid w:val="00FD3D4D"/>
    <w:rsid w:val="00FD4356"/>
    <w:rsid w:val="00FD4804"/>
    <w:rsid w:val="00FD4DD4"/>
    <w:rsid w:val="00FD5167"/>
    <w:rsid w:val="00FD58AC"/>
    <w:rsid w:val="00FD5A5C"/>
    <w:rsid w:val="00FD5C48"/>
    <w:rsid w:val="00FD607D"/>
    <w:rsid w:val="00FD6282"/>
    <w:rsid w:val="00FD6370"/>
    <w:rsid w:val="00FD6D1D"/>
    <w:rsid w:val="00FD787C"/>
    <w:rsid w:val="00FD7EBA"/>
    <w:rsid w:val="00FE068D"/>
    <w:rsid w:val="00FE0DAA"/>
    <w:rsid w:val="00FE125F"/>
    <w:rsid w:val="00FE1ABE"/>
    <w:rsid w:val="00FE1C4A"/>
    <w:rsid w:val="00FE1C5B"/>
    <w:rsid w:val="00FE227F"/>
    <w:rsid w:val="00FE2395"/>
    <w:rsid w:val="00FE245E"/>
    <w:rsid w:val="00FE2476"/>
    <w:rsid w:val="00FE2A49"/>
    <w:rsid w:val="00FE2D2C"/>
    <w:rsid w:val="00FE2F7F"/>
    <w:rsid w:val="00FE3065"/>
    <w:rsid w:val="00FE3645"/>
    <w:rsid w:val="00FE6643"/>
    <w:rsid w:val="00FE67AE"/>
    <w:rsid w:val="00FE6BD0"/>
    <w:rsid w:val="00FE6D49"/>
    <w:rsid w:val="00FE76AE"/>
    <w:rsid w:val="00FF01DD"/>
    <w:rsid w:val="00FF1EF3"/>
    <w:rsid w:val="00FF2329"/>
    <w:rsid w:val="00FF2629"/>
    <w:rsid w:val="00FF2743"/>
    <w:rsid w:val="00FF27A1"/>
    <w:rsid w:val="00FF2E58"/>
    <w:rsid w:val="00FF2E68"/>
    <w:rsid w:val="00FF3032"/>
    <w:rsid w:val="00FF367A"/>
    <w:rsid w:val="00FF38D6"/>
    <w:rsid w:val="00FF39C2"/>
    <w:rsid w:val="00FF3FDC"/>
    <w:rsid w:val="00FF47F6"/>
    <w:rsid w:val="00FF4D3E"/>
    <w:rsid w:val="00FF51B1"/>
    <w:rsid w:val="00FF573F"/>
    <w:rsid w:val="00FF5C71"/>
    <w:rsid w:val="00FF64F4"/>
    <w:rsid w:val="00FF67CA"/>
    <w:rsid w:val="00FF6C98"/>
    <w:rsid w:val="00FF6DEF"/>
    <w:rsid w:val="00FF6EA2"/>
    <w:rsid w:val="00FF6F7A"/>
    <w:rsid w:val="00FF79A8"/>
    <w:rsid w:val="00FF7A6C"/>
    <w:rsid w:val="00FF7C5B"/>
    <w:rsid w:val="00FF7D49"/>
    <w:rsid w:val="0105E5BE"/>
    <w:rsid w:val="01114F48"/>
    <w:rsid w:val="0154C5AC"/>
    <w:rsid w:val="0177F3CA"/>
    <w:rsid w:val="01840605"/>
    <w:rsid w:val="01DC996C"/>
    <w:rsid w:val="01E2BA30"/>
    <w:rsid w:val="0313CF2E"/>
    <w:rsid w:val="03181492"/>
    <w:rsid w:val="03336E7F"/>
    <w:rsid w:val="03E513A0"/>
    <w:rsid w:val="03F6A83C"/>
    <w:rsid w:val="04142AFE"/>
    <w:rsid w:val="046ED753"/>
    <w:rsid w:val="04EEDD6A"/>
    <w:rsid w:val="050AEF56"/>
    <w:rsid w:val="051BC8EE"/>
    <w:rsid w:val="05510ACE"/>
    <w:rsid w:val="0569C38B"/>
    <w:rsid w:val="05E1B3A6"/>
    <w:rsid w:val="05F11D7D"/>
    <w:rsid w:val="06D826C1"/>
    <w:rsid w:val="06FD82E9"/>
    <w:rsid w:val="0795712E"/>
    <w:rsid w:val="079E4292"/>
    <w:rsid w:val="08096C42"/>
    <w:rsid w:val="081661F5"/>
    <w:rsid w:val="086EA54F"/>
    <w:rsid w:val="087DAB0E"/>
    <w:rsid w:val="08F84B77"/>
    <w:rsid w:val="096B9701"/>
    <w:rsid w:val="09742AE1"/>
    <w:rsid w:val="097B1746"/>
    <w:rsid w:val="0A19B80B"/>
    <w:rsid w:val="0A43FBF3"/>
    <w:rsid w:val="0A93349E"/>
    <w:rsid w:val="0A9A44F6"/>
    <w:rsid w:val="0AD19C42"/>
    <w:rsid w:val="0B0A1ADD"/>
    <w:rsid w:val="0B6BDA17"/>
    <w:rsid w:val="0B9E26B5"/>
    <w:rsid w:val="0B9F67F1"/>
    <w:rsid w:val="0BA1226F"/>
    <w:rsid w:val="0BB91B71"/>
    <w:rsid w:val="0BC60DCE"/>
    <w:rsid w:val="0C523695"/>
    <w:rsid w:val="0D6582FB"/>
    <w:rsid w:val="0D723694"/>
    <w:rsid w:val="0DE7D9D3"/>
    <w:rsid w:val="0DEE42CA"/>
    <w:rsid w:val="0E326035"/>
    <w:rsid w:val="0E6BA007"/>
    <w:rsid w:val="0E7C110C"/>
    <w:rsid w:val="0EA721AC"/>
    <w:rsid w:val="0EAD0B7A"/>
    <w:rsid w:val="0EB13A01"/>
    <w:rsid w:val="0ED10E7A"/>
    <w:rsid w:val="0ED708B3"/>
    <w:rsid w:val="0EE5072C"/>
    <w:rsid w:val="0F629519"/>
    <w:rsid w:val="0FA1841B"/>
    <w:rsid w:val="0FE0D76D"/>
    <w:rsid w:val="0FF324E7"/>
    <w:rsid w:val="1061264F"/>
    <w:rsid w:val="1131EEC1"/>
    <w:rsid w:val="11791493"/>
    <w:rsid w:val="11966D39"/>
    <w:rsid w:val="119A73D6"/>
    <w:rsid w:val="11C124CA"/>
    <w:rsid w:val="12B920CD"/>
    <w:rsid w:val="12EBCC8A"/>
    <w:rsid w:val="134460BA"/>
    <w:rsid w:val="1344A031"/>
    <w:rsid w:val="136312BB"/>
    <w:rsid w:val="13641E6E"/>
    <w:rsid w:val="1368A1D4"/>
    <w:rsid w:val="1396EE33"/>
    <w:rsid w:val="13EE9664"/>
    <w:rsid w:val="141FA281"/>
    <w:rsid w:val="14B76526"/>
    <w:rsid w:val="14E5158E"/>
    <w:rsid w:val="14EDAA1D"/>
    <w:rsid w:val="14F5296B"/>
    <w:rsid w:val="1532B129"/>
    <w:rsid w:val="154F4A6D"/>
    <w:rsid w:val="15F0C966"/>
    <w:rsid w:val="1691DFAF"/>
    <w:rsid w:val="169C153E"/>
    <w:rsid w:val="16BD2823"/>
    <w:rsid w:val="170B3182"/>
    <w:rsid w:val="17270B1D"/>
    <w:rsid w:val="17351A70"/>
    <w:rsid w:val="174966CB"/>
    <w:rsid w:val="174EF6AB"/>
    <w:rsid w:val="175501CD"/>
    <w:rsid w:val="17B91EC7"/>
    <w:rsid w:val="17D2E7DC"/>
    <w:rsid w:val="1851DDAC"/>
    <w:rsid w:val="188846D0"/>
    <w:rsid w:val="18A16D58"/>
    <w:rsid w:val="18F9EBFC"/>
    <w:rsid w:val="19719ECE"/>
    <w:rsid w:val="199EDE3C"/>
    <w:rsid w:val="1A5199C5"/>
    <w:rsid w:val="1AB58B1E"/>
    <w:rsid w:val="1AD92A4B"/>
    <w:rsid w:val="1B0D7E4D"/>
    <w:rsid w:val="1B44C63A"/>
    <w:rsid w:val="1B75DF55"/>
    <w:rsid w:val="1BEAD8C6"/>
    <w:rsid w:val="1BF3BADF"/>
    <w:rsid w:val="1C07685B"/>
    <w:rsid w:val="1C29B6CE"/>
    <w:rsid w:val="1CFE913F"/>
    <w:rsid w:val="1DF13384"/>
    <w:rsid w:val="1E82BA9F"/>
    <w:rsid w:val="1EE97FB5"/>
    <w:rsid w:val="1F106D53"/>
    <w:rsid w:val="1F1B30A3"/>
    <w:rsid w:val="1F50AF19"/>
    <w:rsid w:val="1F6F78A8"/>
    <w:rsid w:val="1F9840AF"/>
    <w:rsid w:val="20048827"/>
    <w:rsid w:val="2092D6B8"/>
    <w:rsid w:val="209358B5"/>
    <w:rsid w:val="209A9C5E"/>
    <w:rsid w:val="21103408"/>
    <w:rsid w:val="21370493"/>
    <w:rsid w:val="2137866A"/>
    <w:rsid w:val="21448ED0"/>
    <w:rsid w:val="215281A3"/>
    <w:rsid w:val="2167E2E6"/>
    <w:rsid w:val="21753172"/>
    <w:rsid w:val="218CE6E0"/>
    <w:rsid w:val="21C15219"/>
    <w:rsid w:val="21E90CF2"/>
    <w:rsid w:val="21F0F4C6"/>
    <w:rsid w:val="2247E817"/>
    <w:rsid w:val="2275A30F"/>
    <w:rsid w:val="2295ADFE"/>
    <w:rsid w:val="2304D29E"/>
    <w:rsid w:val="23276389"/>
    <w:rsid w:val="23671967"/>
    <w:rsid w:val="23A0EA79"/>
    <w:rsid w:val="23B11997"/>
    <w:rsid w:val="23E0F42B"/>
    <w:rsid w:val="23EB3E3A"/>
    <w:rsid w:val="24091675"/>
    <w:rsid w:val="243CF7A3"/>
    <w:rsid w:val="245A8E1D"/>
    <w:rsid w:val="24716129"/>
    <w:rsid w:val="248B1EBF"/>
    <w:rsid w:val="24B850BB"/>
    <w:rsid w:val="24D8DF11"/>
    <w:rsid w:val="24EFA48C"/>
    <w:rsid w:val="254543AA"/>
    <w:rsid w:val="25CC2233"/>
    <w:rsid w:val="26284DCB"/>
    <w:rsid w:val="266078B4"/>
    <w:rsid w:val="269AC221"/>
    <w:rsid w:val="26AFADDB"/>
    <w:rsid w:val="270F1E54"/>
    <w:rsid w:val="271DEFA0"/>
    <w:rsid w:val="27456419"/>
    <w:rsid w:val="2750BD60"/>
    <w:rsid w:val="27A77FE2"/>
    <w:rsid w:val="2801A3BC"/>
    <w:rsid w:val="28420145"/>
    <w:rsid w:val="28A10451"/>
    <w:rsid w:val="28D840D8"/>
    <w:rsid w:val="291CFF95"/>
    <w:rsid w:val="292A529D"/>
    <w:rsid w:val="2940003D"/>
    <w:rsid w:val="2949A58C"/>
    <w:rsid w:val="29682133"/>
    <w:rsid w:val="29952110"/>
    <w:rsid w:val="29BB1EEB"/>
    <w:rsid w:val="29C75426"/>
    <w:rsid w:val="29E375C6"/>
    <w:rsid w:val="2A6F95FA"/>
    <w:rsid w:val="2A8F5782"/>
    <w:rsid w:val="2AF667F5"/>
    <w:rsid w:val="2B7BA4DA"/>
    <w:rsid w:val="2B80CF3A"/>
    <w:rsid w:val="2B82B486"/>
    <w:rsid w:val="2B9D66C0"/>
    <w:rsid w:val="2BB54CB9"/>
    <w:rsid w:val="2BE90EF0"/>
    <w:rsid w:val="2C050D73"/>
    <w:rsid w:val="2C1F5BC7"/>
    <w:rsid w:val="2C8290D3"/>
    <w:rsid w:val="2CB19C91"/>
    <w:rsid w:val="2CC731F8"/>
    <w:rsid w:val="2CEDD836"/>
    <w:rsid w:val="2CFE5644"/>
    <w:rsid w:val="2D4B82B6"/>
    <w:rsid w:val="2D746C0D"/>
    <w:rsid w:val="2D7DA701"/>
    <w:rsid w:val="2DA3649B"/>
    <w:rsid w:val="2DECB848"/>
    <w:rsid w:val="2E145E44"/>
    <w:rsid w:val="2E2C4D19"/>
    <w:rsid w:val="2E332CED"/>
    <w:rsid w:val="2E6698FA"/>
    <w:rsid w:val="2F52BEAC"/>
    <w:rsid w:val="2F5CE879"/>
    <w:rsid w:val="2F7199CD"/>
    <w:rsid w:val="2F7DF136"/>
    <w:rsid w:val="3034C183"/>
    <w:rsid w:val="30487827"/>
    <w:rsid w:val="30540E87"/>
    <w:rsid w:val="3112CAF9"/>
    <w:rsid w:val="314AF84C"/>
    <w:rsid w:val="31767463"/>
    <w:rsid w:val="317CD2E8"/>
    <w:rsid w:val="31A6E3B2"/>
    <w:rsid w:val="31B12BEA"/>
    <w:rsid w:val="31CFAE23"/>
    <w:rsid w:val="32134472"/>
    <w:rsid w:val="3214030C"/>
    <w:rsid w:val="333083AA"/>
    <w:rsid w:val="33727E3F"/>
    <w:rsid w:val="3388AF00"/>
    <w:rsid w:val="33D3B1AD"/>
    <w:rsid w:val="33E67ACE"/>
    <w:rsid w:val="34B641E2"/>
    <w:rsid w:val="34D25401"/>
    <w:rsid w:val="3641092B"/>
    <w:rsid w:val="36D2F6EF"/>
    <w:rsid w:val="36EA02E0"/>
    <w:rsid w:val="376471B3"/>
    <w:rsid w:val="377022D6"/>
    <w:rsid w:val="37BAC038"/>
    <w:rsid w:val="37BB4B57"/>
    <w:rsid w:val="3801C40B"/>
    <w:rsid w:val="386CD5A6"/>
    <w:rsid w:val="39D8B0E6"/>
    <w:rsid w:val="39E84FBF"/>
    <w:rsid w:val="3A2FDF80"/>
    <w:rsid w:val="3A5A187E"/>
    <w:rsid w:val="3B650B2F"/>
    <w:rsid w:val="3BBC320B"/>
    <w:rsid w:val="3C730A9C"/>
    <w:rsid w:val="3CD1CFD8"/>
    <w:rsid w:val="3CF30144"/>
    <w:rsid w:val="3D5F100C"/>
    <w:rsid w:val="3D6D543E"/>
    <w:rsid w:val="3DA80592"/>
    <w:rsid w:val="3DAC71DB"/>
    <w:rsid w:val="3DD3B337"/>
    <w:rsid w:val="3E99EF9A"/>
    <w:rsid w:val="3F7312E6"/>
    <w:rsid w:val="3F9E686F"/>
    <w:rsid w:val="3FA0E362"/>
    <w:rsid w:val="3FBA9CA9"/>
    <w:rsid w:val="3FC50F36"/>
    <w:rsid w:val="401E6A27"/>
    <w:rsid w:val="404ACFD6"/>
    <w:rsid w:val="404B288D"/>
    <w:rsid w:val="406D0882"/>
    <w:rsid w:val="40D470C8"/>
    <w:rsid w:val="4116CED0"/>
    <w:rsid w:val="411D374F"/>
    <w:rsid w:val="4138233D"/>
    <w:rsid w:val="419C6012"/>
    <w:rsid w:val="4206B95B"/>
    <w:rsid w:val="422026D5"/>
    <w:rsid w:val="42203B4F"/>
    <w:rsid w:val="42422F2D"/>
    <w:rsid w:val="4276638C"/>
    <w:rsid w:val="42FF721E"/>
    <w:rsid w:val="430C6DAF"/>
    <w:rsid w:val="435BC92A"/>
    <w:rsid w:val="439DF0A1"/>
    <w:rsid w:val="43B205F5"/>
    <w:rsid w:val="44C201B4"/>
    <w:rsid w:val="450EFEBB"/>
    <w:rsid w:val="4525A11D"/>
    <w:rsid w:val="453A9632"/>
    <w:rsid w:val="45916CD0"/>
    <w:rsid w:val="45A3F566"/>
    <w:rsid w:val="45BDFD6B"/>
    <w:rsid w:val="460C2145"/>
    <w:rsid w:val="46268CC3"/>
    <w:rsid w:val="463854B5"/>
    <w:rsid w:val="4695BB02"/>
    <w:rsid w:val="46B7E415"/>
    <w:rsid w:val="47183994"/>
    <w:rsid w:val="4748F907"/>
    <w:rsid w:val="478CBB8A"/>
    <w:rsid w:val="47B03B7C"/>
    <w:rsid w:val="489B83C1"/>
    <w:rsid w:val="48CACE91"/>
    <w:rsid w:val="4912A292"/>
    <w:rsid w:val="495B7291"/>
    <w:rsid w:val="49AE1080"/>
    <w:rsid w:val="4A90665C"/>
    <w:rsid w:val="4AA3531A"/>
    <w:rsid w:val="4AD490E1"/>
    <w:rsid w:val="4B2886C0"/>
    <w:rsid w:val="4B3E8CD8"/>
    <w:rsid w:val="4B4284A6"/>
    <w:rsid w:val="4B56A429"/>
    <w:rsid w:val="4B5D32B4"/>
    <w:rsid w:val="4B7151A9"/>
    <w:rsid w:val="4BAB0865"/>
    <w:rsid w:val="4C33EFF0"/>
    <w:rsid w:val="4C46CECA"/>
    <w:rsid w:val="4C5BD02D"/>
    <w:rsid w:val="4C5CFF1D"/>
    <w:rsid w:val="4D0F8AAA"/>
    <w:rsid w:val="4D0FD0B9"/>
    <w:rsid w:val="4D8778E7"/>
    <w:rsid w:val="4D93284E"/>
    <w:rsid w:val="4DBF6F27"/>
    <w:rsid w:val="4DC8BD17"/>
    <w:rsid w:val="4DE09269"/>
    <w:rsid w:val="4E6ABEA6"/>
    <w:rsid w:val="4E77DDA9"/>
    <w:rsid w:val="4EAC1324"/>
    <w:rsid w:val="4F536DF8"/>
    <w:rsid w:val="4F60EA29"/>
    <w:rsid w:val="4F66EB58"/>
    <w:rsid w:val="4F6DE6B8"/>
    <w:rsid w:val="4FCB4F0D"/>
    <w:rsid w:val="5094D101"/>
    <w:rsid w:val="50EA2023"/>
    <w:rsid w:val="5133E77C"/>
    <w:rsid w:val="515606DF"/>
    <w:rsid w:val="5196B54A"/>
    <w:rsid w:val="51C68A83"/>
    <w:rsid w:val="51DE8FCB"/>
    <w:rsid w:val="520D1894"/>
    <w:rsid w:val="521621E2"/>
    <w:rsid w:val="522D4FA0"/>
    <w:rsid w:val="525C18FA"/>
    <w:rsid w:val="5285F916"/>
    <w:rsid w:val="52864D93"/>
    <w:rsid w:val="52E9E6F1"/>
    <w:rsid w:val="53050DC4"/>
    <w:rsid w:val="5333B7D6"/>
    <w:rsid w:val="53756D4F"/>
    <w:rsid w:val="5375FF85"/>
    <w:rsid w:val="53F2572D"/>
    <w:rsid w:val="541A7534"/>
    <w:rsid w:val="5423996F"/>
    <w:rsid w:val="5497F480"/>
    <w:rsid w:val="54B7A0BF"/>
    <w:rsid w:val="54BFFACF"/>
    <w:rsid w:val="5507EDF9"/>
    <w:rsid w:val="5536C4E0"/>
    <w:rsid w:val="55777CEF"/>
    <w:rsid w:val="557F5095"/>
    <w:rsid w:val="559264DD"/>
    <w:rsid w:val="55B7B245"/>
    <w:rsid w:val="55D5A305"/>
    <w:rsid w:val="55E1B541"/>
    <w:rsid w:val="55E84628"/>
    <w:rsid w:val="568B7E6D"/>
    <w:rsid w:val="56A360FC"/>
    <w:rsid w:val="56AFE75A"/>
    <w:rsid w:val="57410E44"/>
    <w:rsid w:val="574DF3FB"/>
    <w:rsid w:val="57B5385F"/>
    <w:rsid w:val="57EA319B"/>
    <w:rsid w:val="57F7CB10"/>
    <w:rsid w:val="58648434"/>
    <w:rsid w:val="587162B5"/>
    <w:rsid w:val="58FEDDFA"/>
    <w:rsid w:val="595D3337"/>
    <w:rsid w:val="59CAE607"/>
    <w:rsid w:val="5A19AB17"/>
    <w:rsid w:val="5A9AC733"/>
    <w:rsid w:val="5AD06521"/>
    <w:rsid w:val="5BC282C7"/>
    <w:rsid w:val="5C1B540C"/>
    <w:rsid w:val="5D30D336"/>
    <w:rsid w:val="5D418C41"/>
    <w:rsid w:val="5DE7DACD"/>
    <w:rsid w:val="5DECA2E3"/>
    <w:rsid w:val="5E197A21"/>
    <w:rsid w:val="5E70BAF6"/>
    <w:rsid w:val="5E7B3889"/>
    <w:rsid w:val="5E9AE84A"/>
    <w:rsid w:val="5F179FC6"/>
    <w:rsid w:val="5FEF683D"/>
    <w:rsid w:val="5FF5024E"/>
    <w:rsid w:val="6036818C"/>
    <w:rsid w:val="6064C81A"/>
    <w:rsid w:val="607A2A5A"/>
    <w:rsid w:val="60FE4BCB"/>
    <w:rsid w:val="6114A234"/>
    <w:rsid w:val="615E6DEA"/>
    <w:rsid w:val="61A6684B"/>
    <w:rsid w:val="6299C621"/>
    <w:rsid w:val="62DD24D3"/>
    <w:rsid w:val="62E1DBD5"/>
    <w:rsid w:val="6347E201"/>
    <w:rsid w:val="636BD80E"/>
    <w:rsid w:val="63798701"/>
    <w:rsid w:val="637D3301"/>
    <w:rsid w:val="63818696"/>
    <w:rsid w:val="638CE0B3"/>
    <w:rsid w:val="63A8E09D"/>
    <w:rsid w:val="63BF6D0C"/>
    <w:rsid w:val="63D9402B"/>
    <w:rsid w:val="644DF20B"/>
    <w:rsid w:val="645C5E2E"/>
    <w:rsid w:val="64B06069"/>
    <w:rsid w:val="64CC5982"/>
    <w:rsid w:val="6587470E"/>
    <w:rsid w:val="65F132F9"/>
    <w:rsid w:val="65F2F914"/>
    <w:rsid w:val="662214D9"/>
    <w:rsid w:val="663C013F"/>
    <w:rsid w:val="66CCC5E2"/>
    <w:rsid w:val="670EA4B2"/>
    <w:rsid w:val="671BAF5A"/>
    <w:rsid w:val="675A142E"/>
    <w:rsid w:val="67A1EF9D"/>
    <w:rsid w:val="6838D962"/>
    <w:rsid w:val="685060E4"/>
    <w:rsid w:val="6902737D"/>
    <w:rsid w:val="691E0E47"/>
    <w:rsid w:val="6924BBFF"/>
    <w:rsid w:val="69FD8E90"/>
    <w:rsid w:val="6A090EFE"/>
    <w:rsid w:val="6A3DE195"/>
    <w:rsid w:val="6A99A301"/>
    <w:rsid w:val="6A9EF4B2"/>
    <w:rsid w:val="6AB70AF8"/>
    <w:rsid w:val="6ACFC066"/>
    <w:rsid w:val="6B58B3DF"/>
    <w:rsid w:val="6B6275F6"/>
    <w:rsid w:val="6BB610BC"/>
    <w:rsid w:val="6C1401BD"/>
    <w:rsid w:val="6C89D65A"/>
    <w:rsid w:val="6CA34B02"/>
    <w:rsid w:val="6D05772C"/>
    <w:rsid w:val="6D895AF9"/>
    <w:rsid w:val="6DC01115"/>
    <w:rsid w:val="6DD7D6FE"/>
    <w:rsid w:val="6DFE63FC"/>
    <w:rsid w:val="6E511591"/>
    <w:rsid w:val="6E524DC7"/>
    <w:rsid w:val="6E70484B"/>
    <w:rsid w:val="6ECAAEAD"/>
    <w:rsid w:val="6F5943A1"/>
    <w:rsid w:val="6FB3A7B0"/>
    <w:rsid w:val="6FBD3226"/>
    <w:rsid w:val="6FD7D95E"/>
    <w:rsid w:val="704CB262"/>
    <w:rsid w:val="705693FA"/>
    <w:rsid w:val="705D6A31"/>
    <w:rsid w:val="70A7BD72"/>
    <w:rsid w:val="711A5475"/>
    <w:rsid w:val="716F0211"/>
    <w:rsid w:val="71CD1F10"/>
    <w:rsid w:val="71F95978"/>
    <w:rsid w:val="72165F37"/>
    <w:rsid w:val="72497D2A"/>
    <w:rsid w:val="72B22BFF"/>
    <w:rsid w:val="72DEDA74"/>
    <w:rsid w:val="730D6DD3"/>
    <w:rsid w:val="730E26DE"/>
    <w:rsid w:val="7414C060"/>
    <w:rsid w:val="7428781D"/>
    <w:rsid w:val="743E38C5"/>
    <w:rsid w:val="745EC17D"/>
    <w:rsid w:val="75322C3C"/>
    <w:rsid w:val="75786B61"/>
    <w:rsid w:val="758B457F"/>
    <w:rsid w:val="75A76B9B"/>
    <w:rsid w:val="75E45247"/>
    <w:rsid w:val="7607B75C"/>
    <w:rsid w:val="764B5F13"/>
    <w:rsid w:val="767951E1"/>
    <w:rsid w:val="769FEF75"/>
    <w:rsid w:val="76A69BFD"/>
    <w:rsid w:val="76A824F9"/>
    <w:rsid w:val="76D74D13"/>
    <w:rsid w:val="76FD2D9A"/>
    <w:rsid w:val="7725E802"/>
    <w:rsid w:val="77359600"/>
    <w:rsid w:val="77BA113F"/>
    <w:rsid w:val="77CF6518"/>
    <w:rsid w:val="77E350F3"/>
    <w:rsid w:val="782703C2"/>
    <w:rsid w:val="782C1371"/>
    <w:rsid w:val="783DC3C1"/>
    <w:rsid w:val="78B55253"/>
    <w:rsid w:val="78C1B863"/>
    <w:rsid w:val="78C2E41E"/>
    <w:rsid w:val="7903B9CD"/>
    <w:rsid w:val="79A792DB"/>
    <w:rsid w:val="7A003179"/>
    <w:rsid w:val="7A0256CD"/>
    <w:rsid w:val="7A2AB0F7"/>
    <w:rsid w:val="7A5D88C4"/>
    <w:rsid w:val="7A63A1FC"/>
    <w:rsid w:val="7AD7B616"/>
    <w:rsid w:val="7AD9AA81"/>
    <w:rsid w:val="7B27F885"/>
    <w:rsid w:val="7B34F852"/>
    <w:rsid w:val="7B356456"/>
    <w:rsid w:val="7B7E459E"/>
    <w:rsid w:val="7BA886BC"/>
    <w:rsid w:val="7BEF12C3"/>
    <w:rsid w:val="7C014C6E"/>
    <w:rsid w:val="7C42C034"/>
    <w:rsid w:val="7C6D9AA9"/>
    <w:rsid w:val="7CC589DD"/>
    <w:rsid w:val="7D57C139"/>
    <w:rsid w:val="7D80D5F0"/>
    <w:rsid w:val="7D9D8417"/>
    <w:rsid w:val="7E0DF5F0"/>
    <w:rsid w:val="7E47197E"/>
    <w:rsid w:val="7F0FB523"/>
    <w:rsid w:val="7F128F13"/>
    <w:rsid w:val="7F2FE8E0"/>
    <w:rsid w:val="7F3AE669"/>
    <w:rsid w:val="7F73C84F"/>
    <w:rsid w:val="7F81ABB6"/>
    <w:rsid w:val="7FF08D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8B6407"/>
  <w15:docId w15:val="{E7F4329A-3B83-491B-94C7-9DE10574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BEE"/>
    <w:pPr>
      <w:spacing w:after="200" w:line="276" w:lineRule="auto"/>
    </w:pPr>
  </w:style>
  <w:style w:type="paragraph" w:styleId="Heading1">
    <w:name w:val="heading 1"/>
    <w:basedOn w:val="Normal"/>
    <w:next w:val="Normal"/>
    <w:link w:val="Heading1Char"/>
    <w:uiPriority w:val="9"/>
    <w:qFormat/>
    <w:rsid w:val="00E31BEE"/>
    <w:pPr>
      <w:keepNext/>
      <w:numPr>
        <w:numId w:val="3"/>
      </w:numPr>
      <w:spacing w:before="360" w:after="160"/>
      <w:outlineLvl w:val="0"/>
    </w:pPr>
    <w:rPr>
      <w:rFonts w:asciiTheme="majorHAnsi" w:eastAsiaTheme="majorEastAsia" w:hAnsiTheme="majorHAnsi" w:cstheme="majorBidi"/>
      <w:b/>
      <w:smallCaps/>
      <w:color w:val="000000" w:themeColor="text1"/>
      <w:sz w:val="36"/>
    </w:rPr>
  </w:style>
  <w:style w:type="paragraph" w:styleId="Heading2">
    <w:name w:val="heading 2"/>
    <w:basedOn w:val="Normal"/>
    <w:next w:val="Normal"/>
    <w:link w:val="Heading2Char"/>
    <w:uiPriority w:val="9"/>
    <w:unhideWhenUsed/>
    <w:qFormat/>
    <w:rsid w:val="00E31BEE"/>
    <w:pPr>
      <w:keepNext/>
      <w:spacing w:before="360" w:after="0"/>
      <w:ind w:left="718" w:hanging="576"/>
      <w:outlineLvl w:val="1"/>
    </w:pPr>
    <w:rPr>
      <w:rFonts w:asciiTheme="majorHAnsi" w:eastAsiaTheme="majorEastAsia" w:hAnsiTheme="majorHAnsi" w:cstheme="majorBidi"/>
      <w:b/>
      <w:smallCaps/>
      <w:color w:val="000000" w:themeColor="text1"/>
      <w:sz w:val="28"/>
    </w:rPr>
  </w:style>
  <w:style w:type="paragraph" w:styleId="Heading3">
    <w:name w:val="heading 3"/>
    <w:basedOn w:val="Normal"/>
    <w:next w:val="Normal"/>
    <w:link w:val="Heading3Char"/>
    <w:uiPriority w:val="9"/>
    <w:unhideWhenUsed/>
    <w:qFormat/>
    <w:rsid w:val="00E31BEE"/>
    <w:pPr>
      <w:keepNext/>
      <w:spacing w:before="200" w:after="0"/>
      <w:ind w:left="720" w:hanging="72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E31BEE"/>
    <w:pPr>
      <w:keepNext/>
      <w:spacing w:before="200" w:after="0"/>
      <w:ind w:left="864" w:hanging="864"/>
      <w:outlineLvl w:val="3"/>
    </w:pPr>
    <w:rPr>
      <w:rFonts w:asciiTheme="majorHAnsi" w:eastAsiaTheme="majorEastAsia" w:hAnsiTheme="majorHAnsi" w:cstheme="majorBidi"/>
      <w:b/>
      <w:i/>
      <w:color w:val="000000" w:themeColor="text1"/>
    </w:rPr>
  </w:style>
  <w:style w:type="paragraph" w:styleId="Heading5">
    <w:name w:val="heading 5"/>
    <w:basedOn w:val="Normal"/>
    <w:next w:val="Normal"/>
    <w:link w:val="Heading5Char"/>
    <w:uiPriority w:val="9"/>
    <w:unhideWhenUsed/>
    <w:qFormat/>
    <w:rsid w:val="00E31BEE"/>
    <w:pPr>
      <w:keepNext/>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31BEE"/>
    <w:pPr>
      <w:keepNext/>
      <w:spacing w:before="200" w:after="0"/>
      <w:ind w:left="1152" w:hanging="1152"/>
      <w:outlineLvl w:val="5"/>
    </w:pPr>
    <w:rPr>
      <w:rFonts w:asciiTheme="majorHAnsi" w:eastAsiaTheme="majorEastAsia" w:hAnsiTheme="majorHAnsi" w:cstheme="majorBidi"/>
      <w:i/>
      <w:color w:val="323E4F" w:themeColor="text2" w:themeShade="BF"/>
    </w:rPr>
  </w:style>
  <w:style w:type="paragraph" w:styleId="Heading7">
    <w:name w:val="heading 7"/>
    <w:basedOn w:val="Normal"/>
    <w:next w:val="Normal"/>
    <w:link w:val="Heading7Char"/>
    <w:uiPriority w:val="9"/>
    <w:semiHidden/>
    <w:unhideWhenUsed/>
    <w:qFormat/>
    <w:rsid w:val="00E31BEE"/>
    <w:pPr>
      <w:keepNext/>
      <w:spacing w:before="200" w:after="0"/>
      <w:ind w:left="1296" w:hanging="1296"/>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rsid w:val="00E31BEE"/>
    <w:pPr>
      <w:keepNext/>
      <w:spacing w:before="200" w:after="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31BEE"/>
    <w:pPr>
      <w:keepNext/>
      <w:spacing w:before="200" w:after="0"/>
      <w:ind w:left="1584" w:hanging="1584"/>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BEE"/>
    <w:rPr>
      <w:rFonts w:asciiTheme="majorHAnsi" w:eastAsiaTheme="majorEastAsia" w:hAnsiTheme="majorHAnsi" w:cstheme="majorBidi"/>
      <w:b/>
      <w:smallCaps/>
      <w:color w:val="000000" w:themeColor="text1"/>
      <w:sz w:val="36"/>
    </w:rPr>
  </w:style>
  <w:style w:type="character" w:customStyle="1" w:styleId="Heading2Char">
    <w:name w:val="Heading 2 Char"/>
    <w:basedOn w:val="DefaultParagraphFont"/>
    <w:link w:val="Heading2"/>
    <w:uiPriority w:val="9"/>
    <w:rsid w:val="00E31BEE"/>
    <w:rPr>
      <w:rFonts w:asciiTheme="majorHAnsi" w:eastAsiaTheme="majorEastAsia" w:hAnsiTheme="majorHAnsi" w:cstheme="majorBidi"/>
      <w:b/>
      <w:smallCaps/>
      <w:color w:val="000000" w:themeColor="text1"/>
      <w:sz w:val="28"/>
    </w:rPr>
  </w:style>
  <w:style w:type="character" w:customStyle="1" w:styleId="Heading3Char">
    <w:name w:val="Heading 3 Char"/>
    <w:basedOn w:val="DefaultParagraphFont"/>
    <w:link w:val="Heading3"/>
    <w:uiPriority w:val="9"/>
    <w:rsid w:val="00E31BEE"/>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E31BEE"/>
    <w:rPr>
      <w:rFonts w:asciiTheme="majorHAnsi" w:eastAsiaTheme="majorEastAsia" w:hAnsiTheme="majorHAnsi" w:cstheme="majorBidi"/>
      <w:b/>
      <w:i/>
      <w:color w:val="000000" w:themeColor="text1"/>
    </w:rPr>
  </w:style>
  <w:style w:type="character" w:customStyle="1" w:styleId="Heading5Char">
    <w:name w:val="Heading 5 Char"/>
    <w:basedOn w:val="DefaultParagraphFont"/>
    <w:link w:val="Heading5"/>
    <w:uiPriority w:val="9"/>
    <w:rsid w:val="00E31BEE"/>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31BEE"/>
    <w:rPr>
      <w:rFonts w:asciiTheme="majorHAnsi" w:eastAsiaTheme="majorEastAsia" w:hAnsiTheme="majorHAnsi" w:cstheme="majorBidi"/>
      <w:i/>
      <w:color w:val="323E4F" w:themeColor="text2" w:themeShade="BF"/>
    </w:rPr>
  </w:style>
  <w:style w:type="character" w:customStyle="1" w:styleId="Heading7Char">
    <w:name w:val="Heading 7 Char"/>
    <w:basedOn w:val="DefaultParagraphFont"/>
    <w:link w:val="Heading7"/>
    <w:uiPriority w:val="9"/>
    <w:semiHidden/>
    <w:rsid w:val="00E31BEE"/>
    <w:rPr>
      <w:rFonts w:asciiTheme="majorHAnsi" w:eastAsiaTheme="majorEastAsia" w:hAnsiTheme="majorHAnsi" w:cstheme="majorBidi"/>
      <w:i/>
      <w:color w:val="404040" w:themeColor="text1" w:themeTint="BF"/>
    </w:rPr>
  </w:style>
  <w:style w:type="character" w:customStyle="1" w:styleId="Heading8Char">
    <w:name w:val="Heading 8 Char"/>
    <w:basedOn w:val="DefaultParagraphFont"/>
    <w:link w:val="Heading8"/>
    <w:uiPriority w:val="9"/>
    <w:semiHidden/>
    <w:rsid w:val="00E31BEE"/>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E31BEE"/>
    <w:rPr>
      <w:rFonts w:asciiTheme="majorHAnsi" w:eastAsiaTheme="majorEastAsia" w:hAnsiTheme="majorHAnsi" w:cstheme="majorBidi"/>
      <w:i/>
      <w:color w:val="404040" w:themeColor="text1" w:themeTint="BF"/>
      <w:sz w:val="20"/>
    </w:rPr>
  </w:style>
  <w:style w:type="paragraph" w:styleId="BalloonText">
    <w:name w:val="Balloon Text"/>
    <w:basedOn w:val="Normal"/>
    <w:link w:val="BalloonTextChar"/>
    <w:uiPriority w:val="99"/>
    <w:semiHidden/>
    <w:unhideWhenUsed/>
    <w:rsid w:val="00E31BEE"/>
    <w:pPr>
      <w:spacing w:after="0"/>
    </w:pPr>
    <w:rPr>
      <w:rFonts w:ascii="Tahoma" w:eastAsiaTheme="minorEastAsia" w:hAnsi="Tahoma" w:cs="Tahoma"/>
      <w:sz w:val="16"/>
    </w:rPr>
  </w:style>
  <w:style w:type="character" w:customStyle="1" w:styleId="BalloonTextChar">
    <w:name w:val="Balloon Text Char"/>
    <w:basedOn w:val="DefaultParagraphFont"/>
    <w:link w:val="BalloonText"/>
    <w:uiPriority w:val="99"/>
    <w:semiHidden/>
    <w:rsid w:val="00E31BEE"/>
    <w:rPr>
      <w:rFonts w:ascii="Tahoma" w:eastAsiaTheme="minorEastAsia" w:hAnsi="Tahoma" w:cs="Tahoma"/>
      <w:sz w:val="16"/>
    </w:rPr>
  </w:style>
  <w:style w:type="paragraph" w:styleId="Header">
    <w:name w:val="header"/>
    <w:basedOn w:val="Normal"/>
    <w:link w:val="HeaderChar"/>
    <w:uiPriority w:val="99"/>
    <w:unhideWhenUsed/>
    <w:rsid w:val="00E31BEE"/>
    <w:pPr>
      <w:tabs>
        <w:tab w:val="center" w:pos="4513"/>
        <w:tab w:val="right" w:pos="9026"/>
      </w:tabs>
      <w:spacing w:after="0"/>
    </w:pPr>
  </w:style>
  <w:style w:type="character" w:customStyle="1" w:styleId="HeaderChar">
    <w:name w:val="Header Char"/>
    <w:basedOn w:val="DefaultParagraphFont"/>
    <w:link w:val="Header"/>
    <w:uiPriority w:val="99"/>
    <w:rsid w:val="00E31BEE"/>
  </w:style>
  <w:style w:type="paragraph" w:styleId="Footer">
    <w:name w:val="footer"/>
    <w:basedOn w:val="Normal"/>
    <w:link w:val="FooterChar"/>
    <w:uiPriority w:val="99"/>
    <w:unhideWhenUsed/>
    <w:rsid w:val="00E31BEE"/>
    <w:pPr>
      <w:tabs>
        <w:tab w:val="center" w:pos="4513"/>
        <w:tab w:val="right" w:pos="9026"/>
      </w:tabs>
      <w:spacing w:after="0"/>
    </w:pPr>
  </w:style>
  <w:style w:type="character" w:customStyle="1" w:styleId="FooterChar">
    <w:name w:val="Footer Char"/>
    <w:basedOn w:val="DefaultParagraphFont"/>
    <w:link w:val="Footer"/>
    <w:uiPriority w:val="99"/>
    <w:rsid w:val="00E31BEE"/>
  </w:style>
  <w:style w:type="paragraph" w:styleId="ListParagraph">
    <w:name w:val="List Paragraph"/>
    <w:basedOn w:val="Normal"/>
    <w:link w:val="ListParagraphChar"/>
    <w:uiPriority w:val="34"/>
    <w:qFormat/>
    <w:rsid w:val="00E31BEE"/>
    <w:pPr>
      <w:spacing w:after="160"/>
      <w:ind w:left="720"/>
      <w:contextualSpacing/>
    </w:pPr>
    <w:rPr>
      <w:rFonts w:eastAsiaTheme="minorEastAsia"/>
    </w:rPr>
  </w:style>
  <w:style w:type="paragraph" w:styleId="CommentText">
    <w:name w:val="annotation text"/>
    <w:basedOn w:val="Normal"/>
    <w:link w:val="CommentTextChar"/>
    <w:uiPriority w:val="99"/>
    <w:unhideWhenUsed/>
    <w:qFormat/>
    <w:rsid w:val="00E31BEE"/>
    <w:pPr>
      <w:spacing w:after="0"/>
    </w:pPr>
    <w:rPr>
      <w:rFonts w:ascii="Calibri" w:eastAsiaTheme="minorEastAsia" w:hAnsi="Calibri" w:cs="Calibri"/>
      <w:sz w:val="20"/>
    </w:rPr>
  </w:style>
  <w:style w:type="character" w:customStyle="1" w:styleId="CommentTextChar">
    <w:name w:val="Comment Text Char"/>
    <w:basedOn w:val="DefaultParagraphFont"/>
    <w:link w:val="CommentText"/>
    <w:uiPriority w:val="99"/>
    <w:qFormat/>
    <w:rsid w:val="00E31BEE"/>
    <w:rPr>
      <w:rFonts w:ascii="Calibri" w:eastAsiaTheme="minorEastAsia" w:hAnsi="Calibri" w:cs="Calibri"/>
      <w:sz w:val="20"/>
    </w:rPr>
  </w:style>
  <w:style w:type="character" w:styleId="Hyperlink">
    <w:name w:val="Hyperlink"/>
    <w:basedOn w:val="DefaultParagraphFont"/>
    <w:uiPriority w:val="99"/>
    <w:unhideWhenUsed/>
    <w:rsid w:val="00E31BEE"/>
    <w:rPr>
      <w:color w:val="0563C1" w:themeColor="hyperlink"/>
      <w:u w:val="single"/>
    </w:rPr>
  </w:style>
  <w:style w:type="paragraph" w:styleId="Caption">
    <w:name w:val="caption"/>
    <w:basedOn w:val="Normal"/>
    <w:next w:val="Normal"/>
    <w:uiPriority w:val="35"/>
    <w:unhideWhenUsed/>
    <w:qFormat/>
    <w:rsid w:val="00E31BEE"/>
    <w:pPr>
      <w:jc w:val="both"/>
    </w:pPr>
    <w:rPr>
      <w:rFonts w:ascii="Times New Roman" w:eastAsiaTheme="minorEastAsia" w:hAnsi="Times New Roman"/>
      <w:b/>
      <w:color w:val="44546A" w:themeColor="text2"/>
      <w:sz w:val="20"/>
    </w:rPr>
  </w:style>
  <w:style w:type="character" w:styleId="SubtleEmphasis">
    <w:name w:val="Subtle Emphasis"/>
    <w:basedOn w:val="DefaultParagraphFont"/>
    <w:uiPriority w:val="19"/>
    <w:qFormat/>
    <w:rsid w:val="00E31BEE"/>
    <w:rPr>
      <w:i/>
      <w:color w:val="404040" w:themeColor="text1" w:themeTint="BF"/>
    </w:rPr>
  </w:style>
  <w:style w:type="character" w:styleId="FootnoteReference">
    <w:name w:val="footnote reference"/>
    <w:basedOn w:val="DefaultParagraphFont"/>
    <w:link w:val="FootnoteReferenceCharCarCharCharCarCharCarCharCarCharCarCharCharCarCarCharCharCharCharCharCarCharCarCharCharCarCharCar"/>
    <w:uiPriority w:val="99"/>
    <w:unhideWhenUsed/>
    <w:qFormat/>
    <w:rsid w:val="00E31BEE"/>
    <w:rPr>
      <w:vertAlign w:val="superscript"/>
    </w:rPr>
  </w:style>
  <w:style w:type="character" w:customStyle="1" w:styleId="FootnoteTextChar">
    <w:name w:val="Footnote Text Char"/>
    <w:basedOn w:val="DefaultParagraphFont"/>
    <w:link w:val="FootnoteText"/>
    <w:uiPriority w:val="99"/>
    <w:qFormat/>
    <w:rsid w:val="00E31BEE"/>
    <w:rPr>
      <w:sz w:val="20"/>
    </w:rPr>
  </w:style>
  <w:style w:type="paragraph" w:styleId="FootnoteText">
    <w:name w:val="footnote text"/>
    <w:basedOn w:val="Normal"/>
    <w:link w:val="FootnoteTextChar"/>
    <w:uiPriority w:val="99"/>
    <w:unhideWhenUsed/>
    <w:qFormat/>
    <w:rsid w:val="00E31BEE"/>
    <w:pPr>
      <w:spacing w:after="0"/>
    </w:pPr>
    <w:rPr>
      <w:sz w:val="20"/>
    </w:rPr>
  </w:style>
  <w:style w:type="character" w:customStyle="1" w:styleId="FootnoteTextChar1">
    <w:name w:val="Footnote Text Char1"/>
    <w:basedOn w:val="DefaultParagraphFont"/>
    <w:uiPriority w:val="99"/>
    <w:semiHidden/>
    <w:rsid w:val="00E31BEE"/>
    <w:rPr>
      <w:sz w:val="20"/>
    </w:rPr>
  </w:style>
  <w:style w:type="character" w:customStyle="1" w:styleId="ListParagraphChar">
    <w:name w:val="List Paragraph Char"/>
    <w:basedOn w:val="DefaultParagraphFont"/>
    <w:link w:val="ListParagraph"/>
    <w:uiPriority w:val="34"/>
    <w:qFormat/>
    <w:rsid w:val="00E31BEE"/>
    <w:rPr>
      <w:rFonts w:eastAsiaTheme="minorEastAsia"/>
    </w:rPr>
  </w:style>
  <w:style w:type="table" w:styleId="TableGrid">
    <w:name w:val="Table Grid"/>
    <w:basedOn w:val="TableNormal"/>
    <w:uiPriority w:val="59"/>
    <w:rsid w:val="00E31BE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FootnoteText"/>
    <w:link w:val="footnotetextChar0"/>
    <w:uiPriority w:val="1"/>
    <w:qFormat/>
    <w:rsid w:val="00E31BEE"/>
    <w:pPr>
      <w:jc w:val="both"/>
    </w:pPr>
    <w:rPr>
      <w:rFonts w:ascii="Times New Roman" w:eastAsiaTheme="minorEastAsia" w:hAnsi="Times New Roman"/>
      <w:sz w:val="18"/>
    </w:rPr>
  </w:style>
  <w:style w:type="character" w:customStyle="1" w:styleId="UnresolvedMention1">
    <w:name w:val="Unresolved Mention1"/>
    <w:basedOn w:val="DefaultParagraphFont"/>
    <w:uiPriority w:val="99"/>
    <w:semiHidden/>
    <w:unhideWhenUsed/>
    <w:rsid w:val="00E31BEE"/>
    <w:rPr>
      <w:color w:val="605E5C"/>
      <w:shd w:val="clear" w:color="auto" w:fill="E1DFDD"/>
    </w:rPr>
  </w:style>
  <w:style w:type="character" w:customStyle="1" w:styleId="footnotetextChar0">
    <w:name w:val="footnote text Char"/>
    <w:basedOn w:val="FootnoteTextChar"/>
    <w:link w:val="FootnoteText1"/>
    <w:uiPriority w:val="1"/>
    <w:rsid w:val="00E31BEE"/>
    <w:rPr>
      <w:rFonts w:ascii="Times New Roman" w:eastAsiaTheme="minorEastAsia" w:hAnsi="Times New Roman"/>
      <w:sz w:val="18"/>
    </w:rPr>
  </w:style>
  <w:style w:type="paragraph" w:customStyle="1" w:styleId="Style1">
    <w:name w:val="Style1"/>
    <w:basedOn w:val="TableofFigures"/>
    <w:uiPriority w:val="1"/>
    <w:qFormat/>
    <w:rsid w:val="00E31BEE"/>
    <w:pPr>
      <w:jc w:val="both"/>
    </w:pPr>
    <w:rPr>
      <w:rFonts w:ascii="Times New Roman" w:eastAsiaTheme="minorEastAsia" w:hAnsi="Times New Roman" w:cs="Times New Roman"/>
      <w:b/>
      <w:color w:val="000000" w:themeColor="text1"/>
      <w:sz w:val="20"/>
    </w:rPr>
  </w:style>
  <w:style w:type="paragraph" w:customStyle="1" w:styleId="FiguresandTables">
    <w:name w:val="Figures and Tables"/>
    <w:basedOn w:val="Style1"/>
    <w:uiPriority w:val="1"/>
    <w:qFormat/>
    <w:rsid w:val="00E31BEE"/>
    <w:rPr>
      <w:sz w:val="18"/>
    </w:rPr>
  </w:style>
  <w:style w:type="paragraph" w:styleId="TableofFigures">
    <w:name w:val="table of figures"/>
    <w:basedOn w:val="Normal"/>
    <w:next w:val="Normal"/>
    <w:uiPriority w:val="99"/>
    <w:semiHidden/>
    <w:unhideWhenUsed/>
    <w:rsid w:val="00E31BEE"/>
    <w:pPr>
      <w:spacing w:after="0"/>
    </w:pPr>
  </w:style>
  <w:style w:type="paragraph" w:customStyle="1" w:styleId="Figures">
    <w:name w:val="Figures"/>
    <w:basedOn w:val="FiguresandTables"/>
    <w:uiPriority w:val="1"/>
    <w:qFormat/>
    <w:rsid w:val="00E31BEE"/>
    <w:rPr>
      <w:sz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basedOn w:val="Normal"/>
    <w:link w:val="FootnoteReference"/>
    <w:uiPriority w:val="99"/>
    <w:rsid w:val="00E31BEE"/>
    <w:pPr>
      <w:spacing w:before="120" w:after="160" w:line="240" w:lineRule="exact"/>
    </w:pPr>
    <w:rPr>
      <w:vertAlign w:val="superscript"/>
    </w:rPr>
  </w:style>
  <w:style w:type="paragraph" w:customStyle="1" w:styleId="Body">
    <w:name w:val="Body"/>
    <w:rsid w:val="00E31BEE"/>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sz w:val="24"/>
      <w:u w:color="000000"/>
      <w:bdr w:val="nil"/>
    </w:rPr>
  </w:style>
  <w:style w:type="character" w:customStyle="1" w:styleId="A4">
    <w:name w:val="A4"/>
    <w:uiPriority w:val="99"/>
    <w:rsid w:val="00E31BEE"/>
    <w:rPr>
      <w:rFonts w:cs="Avenir Book"/>
      <w:sz w:val="14"/>
    </w:rPr>
  </w:style>
  <w:style w:type="paragraph" w:customStyle="1" w:styleId="Pa0">
    <w:name w:val="Pa0"/>
    <w:basedOn w:val="Normal"/>
    <w:next w:val="Normal"/>
    <w:uiPriority w:val="99"/>
    <w:rsid w:val="00E31BEE"/>
    <w:pPr>
      <w:spacing w:after="0" w:line="241" w:lineRule="atLeast"/>
    </w:pPr>
    <w:rPr>
      <w:rFonts w:ascii="Avenir Book" w:eastAsiaTheme="minorEastAsia" w:hAnsi="Avenir Book"/>
      <w:sz w:val="24"/>
    </w:rPr>
  </w:style>
  <w:style w:type="character" w:customStyle="1" w:styleId="normaltextrun">
    <w:name w:val="normaltextrun"/>
    <w:basedOn w:val="DefaultParagraphFont"/>
    <w:rsid w:val="00E31BEE"/>
  </w:style>
  <w:style w:type="character" w:styleId="CommentReference">
    <w:name w:val="annotation reference"/>
    <w:basedOn w:val="DefaultParagraphFont"/>
    <w:uiPriority w:val="99"/>
    <w:semiHidden/>
    <w:unhideWhenUsed/>
    <w:qFormat/>
    <w:rsid w:val="00E31BEE"/>
    <w:rPr>
      <w:sz w:val="16"/>
    </w:rPr>
  </w:style>
  <w:style w:type="paragraph" w:styleId="CommentSubject">
    <w:name w:val="annotation subject"/>
    <w:basedOn w:val="CommentText"/>
    <w:next w:val="CommentText"/>
    <w:link w:val="CommentSubjectChar"/>
    <w:uiPriority w:val="99"/>
    <w:semiHidden/>
    <w:unhideWhenUsed/>
    <w:rsid w:val="00E31BEE"/>
    <w:pPr>
      <w:spacing w:after="200"/>
    </w:pPr>
    <w:rPr>
      <w:b/>
    </w:rPr>
  </w:style>
  <w:style w:type="character" w:customStyle="1" w:styleId="CommentSubjectChar">
    <w:name w:val="Comment Subject Char"/>
    <w:basedOn w:val="CommentTextChar"/>
    <w:link w:val="CommentSubject"/>
    <w:uiPriority w:val="99"/>
    <w:semiHidden/>
    <w:rsid w:val="00E31BEE"/>
    <w:rPr>
      <w:rFonts w:ascii="Calibri" w:eastAsiaTheme="minorEastAsia" w:hAnsi="Calibri" w:cs="Calibri"/>
      <w:b/>
      <w:sz w:val="20"/>
    </w:rPr>
  </w:style>
  <w:style w:type="paragraph" w:styleId="Title">
    <w:name w:val="Title"/>
    <w:basedOn w:val="Normal"/>
    <w:next w:val="Normal"/>
    <w:link w:val="TitleChar"/>
    <w:uiPriority w:val="10"/>
    <w:qFormat/>
    <w:rsid w:val="00E31BEE"/>
    <w:pPr>
      <w:spacing w:after="0"/>
      <w:contextualSpacing/>
    </w:pPr>
    <w:rPr>
      <w:rFonts w:asciiTheme="majorHAnsi" w:eastAsiaTheme="majorEastAsia" w:hAnsiTheme="majorHAnsi" w:cstheme="majorBidi"/>
      <w:sz w:val="56"/>
    </w:rPr>
  </w:style>
  <w:style w:type="character" w:customStyle="1" w:styleId="TitleChar">
    <w:name w:val="Title Char"/>
    <w:basedOn w:val="DefaultParagraphFont"/>
    <w:link w:val="Title"/>
    <w:uiPriority w:val="10"/>
    <w:rsid w:val="00E31BEE"/>
    <w:rPr>
      <w:rFonts w:asciiTheme="majorHAnsi" w:eastAsiaTheme="majorEastAsia" w:hAnsiTheme="majorHAnsi" w:cstheme="majorBidi"/>
      <w:sz w:val="56"/>
    </w:rPr>
  </w:style>
  <w:style w:type="paragraph" w:styleId="Subtitle">
    <w:name w:val="Subtitle"/>
    <w:basedOn w:val="Normal"/>
    <w:next w:val="Normal"/>
    <w:link w:val="SubtitleChar"/>
    <w:uiPriority w:val="11"/>
    <w:qFormat/>
    <w:rsid w:val="00E31BEE"/>
    <w:rPr>
      <w:rFonts w:eastAsiaTheme="minorEastAsia"/>
      <w:color w:val="5A5A5A"/>
    </w:rPr>
  </w:style>
  <w:style w:type="character" w:customStyle="1" w:styleId="SubtitleChar">
    <w:name w:val="Subtitle Char"/>
    <w:basedOn w:val="DefaultParagraphFont"/>
    <w:link w:val="Subtitle"/>
    <w:uiPriority w:val="11"/>
    <w:rsid w:val="00E31BEE"/>
    <w:rPr>
      <w:rFonts w:eastAsiaTheme="minorEastAsia"/>
      <w:color w:val="5A5A5A"/>
    </w:rPr>
  </w:style>
  <w:style w:type="paragraph" w:styleId="Quote">
    <w:name w:val="Quote"/>
    <w:basedOn w:val="Normal"/>
    <w:next w:val="Normal"/>
    <w:link w:val="QuoteChar"/>
    <w:uiPriority w:val="29"/>
    <w:qFormat/>
    <w:rsid w:val="00E31BEE"/>
    <w:pPr>
      <w:spacing w:before="200"/>
      <w:ind w:left="864" w:right="864"/>
      <w:jc w:val="center"/>
    </w:pPr>
    <w:rPr>
      <w:i/>
      <w:color w:val="404040" w:themeColor="text1" w:themeTint="BF"/>
    </w:rPr>
  </w:style>
  <w:style w:type="character" w:customStyle="1" w:styleId="QuoteChar">
    <w:name w:val="Quote Char"/>
    <w:basedOn w:val="DefaultParagraphFont"/>
    <w:link w:val="Quote"/>
    <w:uiPriority w:val="29"/>
    <w:rsid w:val="00E31BEE"/>
    <w:rPr>
      <w:i/>
      <w:color w:val="404040" w:themeColor="text1" w:themeTint="BF"/>
    </w:rPr>
  </w:style>
  <w:style w:type="paragraph" w:styleId="IntenseQuote">
    <w:name w:val="Intense Quote"/>
    <w:basedOn w:val="Normal"/>
    <w:next w:val="Normal"/>
    <w:link w:val="IntenseQuoteChar"/>
    <w:uiPriority w:val="30"/>
    <w:qFormat/>
    <w:rsid w:val="00E31BEE"/>
    <w:pPr>
      <w:spacing w:before="360" w:after="360"/>
      <w:ind w:left="864" w:right="864"/>
      <w:jc w:val="center"/>
    </w:pPr>
    <w:rPr>
      <w:i/>
      <w:color w:val="4472C4" w:themeColor="accent1"/>
    </w:rPr>
  </w:style>
  <w:style w:type="character" w:customStyle="1" w:styleId="IntenseQuoteChar">
    <w:name w:val="Intense Quote Char"/>
    <w:basedOn w:val="DefaultParagraphFont"/>
    <w:link w:val="IntenseQuote"/>
    <w:uiPriority w:val="30"/>
    <w:rsid w:val="00E31BEE"/>
    <w:rPr>
      <w:i/>
      <w:color w:val="4472C4" w:themeColor="accent1"/>
    </w:rPr>
  </w:style>
  <w:style w:type="paragraph" w:styleId="TOC1">
    <w:name w:val="toc 1"/>
    <w:basedOn w:val="Normal"/>
    <w:next w:val="Normal"/>
    <w:uiPriority w:val="39"/>
    <w:unhideWhenUsed/>
    <w:rsid w:val="00E31BEE"/>
    <w:pPr>
      <w:spacing w:after="100"/>
    </w:pPr>
  </w:style>
  <w:style w:type="paragraph" w:styleId="TOC2">
    <w:name w:val="toc 2"/>
    <w:basedOn w:val="Normal"/>
    <w:next w:val="Normal"/>
    <w:uiPriority w:val="39"/>
    <w:unhideWhenUsed/>
    <w:rsid w:val="00E31BEE"/>
    <w:pPr>
      <w:spacing w:after="100"/>
      <w:ind w:left="220"/>
    </w:pPr>
  </w:style>
  <w:style w:type="paragraph" w:styleId="TOC3">
    <w:name w:val="toc 3"/>
    <w:basedOn w:val="Normal"/>
    <w:next w:val="Normal"/>
    <w:uiPriority w:val="39"/>
    <w:unhideWhenUsed/>
    <w:rsid w:val="00E31BEE"/>
    <w:pPr>
      <w:spacing w:after="100"/>
      <w:ind w:left="440"/>
    </w:pPr>
  </w:style>
  <w:style w:type="paragraph" w:styleId="TOC4">
    <w:name w:val="toc 4"/>
    <w:basedOn w:val="Normal"/>
    <w:next w:val="Normal"/>
    <w:uiPriority w:val="39"/>
    <w:unhideWhenUsed/>
    <w:rsid w:val="00E31BEE"/>
    <w:pPr>
      <w:spacing w:after="100"/>
      <w:ind w:left="660"/>
    </w:pPr>
  </w:style>
  <w:style w:type="paragraph" w:styleId="TOC5">
    <w:name w:val="toc 5"/>
    <w:basedOn w:val="Normal"/>
    <w:next w:val="Normal"/>
    <w:uiPriority w:val="39"/>
    <w:unhideWhenUsed/>
    <w:rsid w:val="00E31BEE"/>
    <w:pPr>
      <w:spacing w:after="100"/>
      <w:ind w:left="880"/>
    </w:pPr>
  </w:style>
  <w:style w:type="paragraph" w:styleId="TOC6">
    <w:name w:val="toc 6"/>
    <w:basedOn w:val="Normal"/>
    <w:next w:val="Normal"/>
    <w:uiPriority w:val="39"/>
    <w:unhideWhenUsed/>
    <w:rsid w:val="00E31BEE"/>
    <w:pPr>
      <w:spacing w:after="100"/>
      <w:ind w:left="1100"/>
    </w:pPr>
  </w:style>
  <w:style w:type="paragraph" w:styleId="TOC7">
    <w:name w:val="toc 7"/>
    <w:basedOn w:val="Normal"/>
    <w:next w:val="Normal"/>
    <w:uiPriority w:val="39"/>
    <w:unhideWhenUsed/>
    <w:rsid w:val="00E31BEE"/>
    <w:pPr>
      <w:spacing w:after="100"/>
      <w:ind w:left="1320"/>
    </w:pPr>
  </w:style>
  <w:style w:type="paragraph" w:styleId="TOC8">
    <w:name w:val="toc 8"/>
    <w:basedOn w:val="Normal"/>
    <w:next w:val="Normal"/>
    <w:uiPriority w:val="39"/>
    <w:unhideWhenUsed/>
    <w:rsid w:val="00E31BEE"/>
    <w:pPr>
      <w:spacing w:after="100"/>
      <w:ind w:left="1540"/>
    </w:pPr>
  </w:style>
  <w:style w:type="paragraph" w:styleId="TOC9">
    <w:name w:val="toc 9"/>
    <w:basedOn w:val="Normal"/>
    <w:next w:val="Normal"/>
    <w:uiPriority w:val="39"/>
    <w:unhideWhenUsed/>
    <w:rsid w:val="00E31BEE"/>
    <w:pPr>
      <w:spacing w:after="100"/>
      <w:ind w:left="1760"/>
    </w:pPr>
  </w:style>
  <w:style w:type="paragraph" w:styleId="EndnoteText">
    <w:name w:val="endnote text"/>
    <w:basedOn w:val="Normal"/>
    <w:link w:val="EndnoteTextChar"/>
    <w:uiPriority w:val="99"/>
    <w:semiHidden/>
    <w:unhideWhenUsed/>
    <w:rsid w:val="00E31BEE"/>
    <w:pPr>
      <w:spacing w:after="0"/>
    </w:pPr>
    <w:rPr>
      <w:sz w:val="20"/>
    </w:rPr>
  </w:style>
  <w:style w:type="character" w:customStyle="1" w:styleId="EndnoteTextChar">
    <w:name w:val="Endnote Text Char"/>
    <w:basedOn w:val="DefaultParagraphFont"/>
    <w:link w:val="EndnoteText"/>
    <w:uiPriority w:val="99"/>
    <w:semiHidden/>
    <w:rsid w:val="00E31BEE"/>
    <w:rPr>
      <w:sz w:val="20"/>
    </w:rPr>
  </w:style>
  <w:style w:type="character" w:styleId="FollowedHyperlink">
    <w:name w:val="FollowedHyperlink"/>
    <w:basedOn w:val="DefaultParagraphFont"/>
    <w:uiPriority w:val="99"/>
    <w:semiHidden/>
    <w:unhideWhenUsed/>
    <w:rsid w:val="00E31BEE"/>
    <w:rPr>
      <w:color w:val="954F72" w:themeColor="followedHyperlink"/>
      <w:u w:val="single"/>
    </w:rPr>
  </w:style>
  <w:style w:type="paragraph" w:styleId="Revision">
    <w:name w:val="Revision"/>
    <w:hidden/>
    <w:uiPriority w:val="99"/>
    <w:semiHidden/>
    <w:rsid w:val="00E31BEE"/>
    <w:pPr>
      <w:spacing w:after="0" w:line="240" w:lineRule="auto"/>
    </w:pPr>
  </w:style>
  <w:style w:type="character" w:customStyle="1" w:styleId="Marker">
    <w:name w:val="Marker"/>
    <w:basedOn w:val="DefaultParagraphFont"/>
    <w:rsid w:val="00E31BEE"/>
    <w:rPr>
      <w:color w:val="0000FF"/>
      <w:shd w:val="clear" w:color="auto" w:fill="auto"/>
    </w:rPr>
  </w:style>
  <w:style w:type="paragraph" w:customStyle="1" w:styleId="Pagedecouverture">
    <w:name w:val="Page de couverture"/>
    <w:basedOn w:val="Normal"/>
    <w:next w:val="Normal"/>
    <w:rsid w:val="00E31BEE"/>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E31BE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E31BEE"/>
    <w:rPr>
      <w:rFonts w:ascii="Times New Roman" w:hAnsi="Times New Roman" w:cs="Times New Roman"/>
      <w:sz w:val="24"/>
    </w:rPr>
  </w:style>
  <w:style w:type="paragraph" w:customStyle="1" w:styleId="FooterSensitivity">
    <w:name w:val="Footer Sensitivity"/>
    <w:basedOn w:val="Normal"/>
    <w:link w:val="FooterSensitivityChar"/>
    <w:rsid w:val="00E31BE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E31BEE"/>
    <w:rPr>
      <w:rFonts w:ascii="Times New Roman" w:hAnsi="Times New Roman" w:cs="Times New Roman"/>
      <w:b/>
      <w:sz w:val="32"/>
    </w:rPr>
  </w:style>
  <w:style w:type="paragraph" w:customStyle="1" w:styleId="HeaderCoverPage">
    <w:name w:val="Header Cover Page"/>
    <w:basedOn w:val="Normal"/>
    <w:link w:val="HeaderCoverPageChar"/>
    <w:rsid w:val="00E31BE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E31BEE"/>
    <w:rPr>
      <w:rFonts w:ascii="Times New Roman" w:hAnsi="Times New Roman" w:cs="Times New Roman"/>
      <w:sz w:val="24"/>
    </w:rPr>
  </w:style>
  <w:style w:type="paragraph" w:customStyle="1" w:styleId="HeaderSensitivity">
    <w:name w:val="Header Sensitivity"/>
    <w:basedOn w:val="Normal"/>
    <w:link w:val="HeaderSensitivityChar"/>
    <w:rsid w:val="00E31BE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E31BEE"/>
    <w:rPr>
      <w:rFonts w:ascii="Times New Roman" w:hAnsi="Times New Roman" w:cs="Times New Roman"/>
      <w:b/>
      <w:sz w:val="32"/>
    </w:rPr>
  </w:style>
  <w:style w:type="paragraph" w:customStyle="1" w:styleId="HeaderSensitivityRight">
    <w:name w:val="Header Sensitivity Right"/>
    <w:basedOn w:val="Normal"/>
    <w:link w:val="HeaderSensitivityRightChar"/>
    <w:rsid w:val="00E31BE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E31BEE"/>
    <w:rPr>
      <w:rFonts w:ascii="Times New Roman" w:hAnsi="Times New Roman" w:cs="Times New Roman"/>
      <w:sz w:val="28"/>
    </w:rPr>
  </w:style>
  <w:style w:type="character" w:customStyle="1" w:styleId="UnresolvedMention2">
    <w:name w:val="Unresolved Mention2"/>
    <w:basedOn w:val="DefaultParagraphFont"/>
    <w:uiPriority w:val="99"/>
    <w:semiHidden/>
    <w:unhideWhenUsed/>
    <w:rsid w:val="00E31BEE"/>
    <w:rPr>
      <w:color w:val="605E5C"/>
      <w:shd w:val="clear" w:color="auto" w:fill="E1DFDD"/>
    </w:rPr>
  </w:style>
  <w:style w:type="paragraph" w:customStyle="1" w:styleId="footnote1">
    <w:name w:val="footnote1"/>
    <w:basedOn w:val="Normal"/>
    <w:qFormat/>
    <w:rsid w:val="00E31BEE"/>
    <w:pPr>
      <w:spacing w:after="0" w:line="240" w:lineRule="auto"/>
      <w:ind w:left="720" w:hanging="720"/>
      <w:jc w:val="both"/>
    </w:pPr>
    <w:rPr>
      <w:rFonts w:ascii="Times New Roman" w:eastAsiaTheme="minorEastAsia" w:hAnsi="Times New Roman"/>
      <w:sz w:val="20"/>
    </w:rPr>
  </w:style>
  <w:style w:type="paragraph" w:customStyle="1" w:styleId="paragraph">
    <w:name w:val="paragraph"/>
    <w:basedOn w:val="Normal"/>
    <w:rsid w:val="00E31BEE"/>
    <w:pPr>
      <w:spacing w:before="100" w:beforeAutospacing="1" w:after="100" w:afterAutospacing="1" w:line="240" w:lineRule="auto"/>
    </w:pPr>
    <w:rPr>
      <w:rFonts w:ascii="Times New Roman" w:hAnsi="Times New Roman" w:cs="Times New Roman"/>
      <w:sz w:val="24"/>
    </w:rPr>
  </w:style>
  <w:style w:type="character" w:customStyle="1" w:styleId="eop">
    <w:name w:val="eop"/>
    <w:basedOn w:val="DefaultParagraphFont"/>
    <w:rsid w:val="00E31BEE"/>
  </w:style>
  <w:style w:type="character" w:customStyle="1" w:styleId="superscript">
    <w:name w:val="superscript"/>
    <w:basedOn w:val="DefaultParagraphFont"/>
    <w:rsid w:val="00E31BEE"/>
  </w:style>
  <w:style w:type="character" w:customStyle="1" w:styleId="UnresolvedMention3">
    <w:name w:val="Unresolved Mention3"/>
    <w:basedOn w:val="DefaultParagraphFont"/>
    <w:uiPriority w:val="99"/>
    <w:semiHidden/>
    <w:unhideWhenUsed/>
    <w:rsid w:val="00E31BEE"/>
    <w:rPr>
      <w:color w:val="605E5C"/>
      <w:shd w:val="clear" w:color="auto" w:fill="E1DFDD"/>
    </w:rPr>
  </w:style>
  <w:style w:type="character" w:styleId="Strong">
    <w:name w:val="Strong"/>
    <w:basedOn w:val="DefaultParagraphFont"/>
    <w:uiPriority w:val="22"/>
    <w:qFormat/>
    <w:rsid w:val="00E31BEE"/>
    <w:rPr>
      <w:b/>
      <w:color w:val="000000" w:themeColor="text1"/>
    </w:rPr>
  </w:style>
  <w:style w:type="paragraph" w:styleId="NormalWeb">
    <w:name w:val="Normal (Web)"/>
    <w:basedOn w:val="Normal"/>
    <w:uiPriority w:val="99"/>
    <w:unhideWhenUsed/>
    <w:rsid w:val="00E31BEE"/>
    <w:pPr>
      <w:spacing w:before="100" w:beforeAutospacing="1" w:after="100" w:afterAutospacing="1" w:line="240" w:lineRule="auto"/>
    </w:pPr>
    <w:rPr>
      <w:rFonts w:ascii="Times New Roman" w:eastAsia="Times New Roman" w:hAnsi="Times New Roman" w:cs="Times New Roman"/>
      <w:sz w:val="24"/>
    </w:rPr>
  </w:style>
  <w:style w:type="paragraph" w:customStyle="1" w:styleId="erplproduct-description">
    <w:name w:val="erpl_product-description"/>
    <w:basedOn w:val="Normal"/>
    <w:rsid w:val="00E31BEE"/>
    <w:pPr>
      <w:spacing w:before="100" w:beforeAutospacing="1" w:after="100" w:afterAutospacing="1" w:line="240" w:lineRule="auto"/>
    </w:pPr>
    <w:rPr>
      <w:rFonts w:ascii="Times New Roman" w:eastAsia="Times New Roman" w:hAnsi="Times New Roman" w:cs="Times New Roman"/>
      <w:sz w:val="24"/>
    </w:rPr>
  </w:style>
  <w:style w:type="character" w:customStyle="1" w:styleId="UnresolvedMention">
    <w:name w:val="Unresolved Mention"/>
    <w:basedOn w:val="DefaultParagraphFont"/>
    <w:uiPriority w:val="99"/>
    <w:unhideWhenUsed/>
    <w:rsid w:val="00E31BEE"/>
    <w:rPr>
      <w:color w:val="605E5C"/>
      <w:shd w:val="clear" w:color="auto" w:fill="E1DFDD"/>
    </w:rPr>
  </w:style>
  <w:style w:type="character" w:customStyle="1" w:styleId="Mention">
    <w:name w:val="Mention"/>
    <w:basedOn w:val="DefaultParagraphFont"/>
    <w:uiPriority w:val="99"/>
    <w:unhideWhenUsed/>
    <w:rsid w:val="00E31BEE"/>
    <w:rPr>
      <w:color w:val="2B579A"/>
      <w:shd w:val="clear" w:color="auto" w:fill="E1DFDD"/>
    </w:rPr>
  </w:style>
  <w:style w:type="character" w:customStyle="1" w:styleId="icon">
    <w:name w:val="icon"/>
    <w:basedOn w:val="DefaultParagraphFont"/>
    <w:rsid w:val="00E31BEE"/>
  </w:style>
  <w:style w:type="paragraph" w:styleId="List2">
    <w:name w:val="List 2"/>
    <w:basedOn w:val="Normal"/>
    <w:uiPriority w:val="99"/>
    <w:unhideWhenUsed/>
    <w:rsid w:val="00E31BEE"/>
    <w:pPr>
      <w:ind w:left="566" w:hanging="283"/>
      <w:contextualSpacing/>
    </w:pPr>
  </w:style>
  <w:style w:type="paragraph" w:styleId="BodyText">
    <w:name w:val="Body Text"/>
    <w:basedOn w:val="Normal"/>
    <w:link w:val="BodyTextChar"/>
    <w:uiPriority w:val="99"/>
    <w:unhideWhenUsed/>
    <w:rsid w:val="00E31BEE"/>
    <w:pPr>
      <w:spacing w:after="120"/>
    </w:pPr>
  </w:style>
  <w:style w:type="character" w:customStyle="1" w:styleId="BodyTextChar">
    <w:name w:val="Body Text Char"/>
    <w:basedOn w:val="DefaultParagraphFont"/>
    <w:link w:val="BodyText"/>
    <w:uiPriority w:val="99"/>
    <w:rsid w:val="00E31BEE"/>
  </w:style>
  <w:style w:type="paragraph" w:styleId="BodyTextFirstIndent">
    <w:name w:val="Body Text First Indent"/>
    <w:basedOn w:val="BodyText"/>
    <w:link w:val="BodyTextFirstIndentChar"/>
    <w:uiPriority w:val="99"/>
    <w:unhideWhenUsed/>
    <w:rsid w:val="00E31BEE"/>
    <w:pPr>
      <w:spacing w:after="200"/>
      <w:ind w:firstLine="360"/>
    </w:pPr>
  </w:style>
  <w:style w:type="character" w:customStyle="1" w:styleId="BodyTextFirstIndentChar">
    <w:name w:val="Body Text First Indent Char"/>
    <w:basedOn w:val="BodyTextChar"/>
    <w:link w:val="BodyTextFirstIndent"/>
    <w:uiPriority w:val="99"/>
    <w:rsid w:val="00E31BEE"/>
  </w:style>
  <w:style w:type="paragraph" w:styleId="BodyTextIndent">
    <w:name w:val="Body Text Indent"/>
    <w:basedOn w:val="Normal"/>
    <w:link w:val="BodyTextIndentChar"/>
    <w:uiPriority w:val="99"/>
    <w:semiHidden/>
    <w:unhideWhenUsed/>
    <w:rsid w:val="00E31BEE"/>
    <w:pPr>
      <w:spacing w:after="120"/>
      <w:ind w:left="283"/>
    </w:pPr>
  </w:style>
  <w:style w:type="character" w:customStyle="1" w:styleId="BodyTextIndentChar">
    <w:name w:val="Body Text Indent Char"/>
    <w:basedOn w:val="DefaultParagraphFont"/>
    <w:link w:val="BodyTextIndent"/>
    <w:uiPriority w:val="99"/>
    <w:semiHidden/>
    <w:rsid w:val="00E31BEE"/>
  </w:style>
  <w:style w:type="paragraph" w:styleId="BodyTextFirstIndent2">
    <w:name w:val="Body Text First Indent 2"/>
    <w:basedOn w:val="BodyTextIndent"/>
    <w:link w:val="BodyTextFirstIndent2Char"/>
    <w:uiPriority w:val="99"/>
    <w:unhideWhenUsed/>
    <w:rsid w:val="00E31BEE"/>
    <w:pPr>
      <w:spacing w:after="200"/>
      <w:ind w:left="360" w:firstLine="360"/>
    </w:pPr>
  </w:style>
  <w:style w:type="character" w:customStyle="1" w:styleId="BodyTextFirstIndent2Char">
    <w:name w:val="Body Text First Indent 2 Char"/>
    <w:basedOn w:val="BodyTextIndentChar"/>
    <w:link w:val="BodyTextFirstIndent2"/>
    <w:uiPriority w:val="99"/>
    <w:rsid w:val="00E31BEE"/>
  </w:style>
  <w:style w:type="character" w:styleId="LineNumber">
    <w:name w:val="line number"/>
    <w:basedOn w:val="DefaultParagraphFont"/>
    <w:uiPriority w:val="99"/>
    <w:semiHidden/>
    <w:unhideWhenUsed/>
    <w:rsid w:val="00E31BEE"/>
  </w:style>
  <w:style w:type="paragraph" w:customStyle="1" w:styleId="Typedudocument">
    <w:name w:val="Type du document"/>
    <w:basedOn w:val="Normal"/>
    <w:next w:val="Normal"/>
    <w:rsid w:val="009C37EE"/>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9C37EE"/>
    <w:pPr>
      <w:spacing w:before="360" w:after="360" w:line="240" w:lineRule="auto"/>
      <w:jc w:val="center"/>
    </w:pPr>
    <w:rPr>
      <w:rFonts w:ascii="Times New Roman" w:hAnsi="Times New Roman" w:cs="Times New Roman"/>
      <w:b/>
      <w:sz w:val="24"/>
    </w:rPr>
  </w:style>
  <w:style w:type="character" w:customStyle="1" w:styleId="cf01">
    <w:name w:val="cf01"/>
    <w:basedOn w:val="DefaultParagraphFont"/>
    <w:rsid w:val="00BF58B1"/>
    <w:rPr>
      <w:rFonts w:ascii="Segoe UI" w:hAnsi="Segoe UI" w:cs="Segoe UI" w:hint="default"/>
      <w:sz w:val="18"/>
    </w:rPr>
  </w:style>
  <w:style w:type="character" w:customStyle="1" w:styleId="None">
    <w:name w:val="None"/>
    <w:rsid w:val="00E43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5522">
      <w:bodyDiv w:val="1"/>
      <w:marLeft w:val="0"/>
      <w:marRight w:val="0"/>
      <w:marTop w:val="0"/>
      <w:marBottom w:val="0"/>
      <w:divBdr>
        <w:top w:val="none" w:sz="0" w:space="0" w:color="auto"/>
        <w:left w:val="none" w:sz="0" w:space="0" w:color="auto"/>
        <w:bottom w:val="none" w:sz="0" w:space="0" w:color="auto"/>
        <w:right w:val="none" w:sz="0" w:space="0" w:color="auto"/>
      </w:divBdr>
    </w:div>
    <w:div w:id="353382611">
      <w:bodyDiv w:val="1"/>
      <w:marLeft w:val="0"/>
      <w:marRight w:val="0"/>
      <w:marTop w:val="0"/>
      <w:marBottom w:val="0"/>
      <w:divBdr>
        <w:top w:val="none" w:sz="0" w:space="0" w:color="auto"/>
        <w:left w:val="none" w:sz="0" w:space="0" w:color="auto"/>
        <w:bottom w:val="none" w:sz="0" w:space="0" w:color="auto"/>
        <w:right w:val="none" w:sz="0" w:space="0" w:color="auto"/>
      </w:divBdr>
    </w:div>
    <w:div w:id="1145581013">
      <w:bodyDiv w:val="1"/>
      <w:marLeft w:val="0"/>
      <w:marRight w:val="0"/>
      <w:marTop w:val="0"/>
      <w:marBottom w:val="0"/>
      <w:divBdr>
        <w:top w:val="none" w:sz="0" w:space="0" w:color="auto"/>
        <w:left w:val="none" w:sz="0" w:space="0" w:color="auto"/>
        <w:bottom w:val="none" w:sz="0" w:space="0" w:color="auto"/>
        <w:right w:val="none" w:sz="0" w:space="0" w:color="auto"/>
      </w:divBdr>
      <w:divsChild>
        <w:div w:id="733889232">
          <w:marLeft w:val="0"/>
          <w:marRight w:val="0"/>
          <w:marTop w:val="0"/>
          <w:marBottom w:val="0"/>
          <w:divBdr>
            <w:top w:val="none" w:sz="0" w:space="0" w:color="auto"/>
            <w:left w:val="none" w:sz="0" w:space="0" w:color="auto"/>
            <w:bottom w:val="none" w:sz="0" w:space="0" w:color="auto"/>
            <w:right w:val="none" w:sz="0" w:space="0" w:color="auto"/>
          </w:divBdr>
        </w:div>
        <w:div w:id="2027825775">
          <w:marLeft w:val="0"/>
          <w:marRight w:val="0"/>
          <w:marTop w:val="0"/>
          <w:marBottom w:val="0"/>
          <w:divBdr>
            <w:top w:val="none" w:sz="0" w:space="0" w:color="auto"/>
            <w:left w:val="none" w:sz="0" w:space="0" w:color="auto"/>
            <w:bottom w:val="none" w:sz="0" w:space="0" w:color="auto"/>
            <w:right w:val="none" w:sz="0" w:space="0" w:color="auto"/>
          </w:divBdr>
        </w:div>
        <w:div w:id="2069454821">
          <w:marLeft w:val="0"/>
          <w:marRight w:val="0"/>
          <w:marTop w:val="0"/>
          <w:marBottom w:val="0"/>
          <w:divBdr>
            <w:top w:val="none" w:sz="0" w:space="0" w:color="auto"/>
            <w:left w:val="none" w:sz="0" w:space="0" w:color="auto"/>
            <w:bottom w:val="none" w:sz="0" w:space="0" w:color="auto"/>
            <w:right w:val="none" w:sz="0" w:space="0" w:color="auto"/>
          </w:divBdr>
        </w:div>
      </w:divsChild>
    </w:div>
    <w:div w:id="1449011511">
      <w:bodyDiv w:val="1"/>
      <w:marLeft w:val="0"/>
      <w:marRight w:val="0"/>
      <w:marTop w:val="0"/>
      <w:marBottom w:val="0"/>
      <w:divBdr>
        <w:top w:val="none" w:sz="0" w:space="0" w:color="auto"/>
        <w:left w:val="none" w:sz="0" w:space="0" w:color="auto"/>
        <w:bottom w:val="none" w:sz="0" w:space="0" w:color="auto"/>
        <w:right w:val="none" w:sz="0" w:space="0" w:color="auto"/>
      </w:divBdr>
    </w:div>
    <w:div w:id="1892157731">
      <w:bodyDiv w:val="1"/>
      <w:marLeft w:val="0"/>
      <w:marRight w:val="0"/>
      <w:marTop w:val="0"/>
      <w:marBottom w:val="0"/>
      <w:divBdr>
        <w:top w:val="none" w:sz="0" w:space="0" w:color="auto"/>
        <w:left w:val="none" w:sz="0" w:space="0" w:color="auto"/>
        <w:bottom w:val="none" w:sz="0" w:space="0" w:color="auto"/>
        <w:right w:val="none" w:sz="0" w:space="0" w:color="auto"/>
      </w:divBdr>
    </w:div>
    <w:div w:id="1977559775">
      <w:bodyDiv w:val="1"/>
      <w:marLeft w:val="0"/>
      <w:marRight w:val="0"/>
      <w:marTop w:val="0"/>
      <w:marBottom w:val="0"/>
      <w:divBdr>
        <w:top w:val="none" w:sz="0" w:space="0" w:color="auto"/>
        <w:left w:val="none" w:sz="0" w:space="0" w:color="auto"/>
        <w:bottom w:val="none" w:sz="0" w:space="0" w:color="auto"/>
        <w:right w:val="none" w:sz="0" w:space="0" w:color="auto"/>
      </w:divBdr>
    </w:div>
    <w:div w:id="2098861459">
      <w:bodyDiv w:val="1"/>
      <w:marLeft w:val="0"/>
      <w:marRight w:val="0"/>
      <w:marTop w:val="0"/>
      <w:marBottom w:val="0"/>
      <w:divBdr>
        <w:top w:val="none" w:sz="0" w:space="0" w:color="auto"/>
        <w:left w:val="none" w:sz="0" w:space="0" w:color="auto"/>
        <w:bottom w:val="none" w:sz="0" w:space="0" w:color="auto"/>
        <w:right w:val="none" w:sz="0" w:space="0" w:color="auto"/>
      </w:divBdr>
      <w:divsChild>
        <w:div w:id="17571724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5.emf"/><Relationship Id="rId47" Type="http://schemas.openxmlformats.org/officeDocument/2006/relationships/hyperlink" Target="https://agriculture.ec.europa.eu/cap-my-country/cap-strategic-plans_en" TargetMode="External"/><Relationship Id="rId50" Type="http://schemas.openxmlformats.org/officeDocument/2006/relationships/image" Target="media/image32.emf"/><Relationship Id="rId55" Type="http://schemas.openxmlformats.org/officeDocument/2006/relationships/hyperlink" Target="https://ec.europa.eu/commission/presscorner/detail/sk/IP_23_1665"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4.emf"/><Relationship Id="rId54" Type="http://schemas.openxmlformats.org/officeDocument/2006/relationships/hyperlink" Target="https://ec.europa.eu/commission/presscorner/detail/sk/ip_23_510"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yperlink" Target="https://energy.ec.europa.eu/topics/energy-efficiency/energy-efficient-buildings/energy-performance-buildings-directive_sk" TargetMode="External"/><Relationship Id="rId45" Type="http://schemas.openxmlformats.org/officeDocument/2006/relationships/image" Target="media/image28.emf"/><Relationship Id="rId53" Type="http://schemas.openxmlformats.org/officeDocument/2006/relationships/hyperlink" Target="https://eur-lex.europa.eu/legal-content/SK/TXT/?uri=CELEX%3A52023DC0156&amp;qid=1682349760946" TargetMode="External"/><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1.emf"/><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7.emf"/><Relationship Id="rId52" Type="http://schemas.openxmlformats.org/officeDocument/2006/relationships/image" Target="media/image34.emf"/><Relationship Id="rId60" Type="http://schemas.openxmlformats.org/officeDocument/2006/relationships/footer" Target="footer5.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6.emf"/><Relationship Id="rId48" Type="http://schemas.openxmlformats.org/officeDocument/2006/relationships/image" Target="media/image30.emf"/><Relationship Id="rId56" Type="http://schemas.openxmlformats.org/officeDocument/2006/relationships/image" Target="media/image35.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9.emf"/><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copernicus.eu/en/news/news/observer-global-wildfire-watch-copernicus-ems-and-cams-monitor-wildfires-2023" TargetMode="External"/><Relationship Id="rId13" Type="http://schemas.openxmlformats.org/officeDocument/2006/relationships/hyperlink" Target="https://windeurope.org/newsroom/press-releases/the-eu-built-only-16-gw-new-wind-in-2022-must-restore-investor-confidence-and-ramp-up-supply-chain/" TargetMode="External"/><Relationship Id="rId18" Type="http://schemas.openxmlformats.org/officeDocument/2006/relationships/hyperlink" Target="https://energy.ec.europa.eu/data-and-analysis/energy-modelling/policy-scenarios-delivering-european-green-deal_en" TargetMode="External"/><Relationship Id="rId26" Type="http://schemas.openxmlformats.org/officeDocument/2006/relationships/hyperlink" Target="https://environment.ec.europa.eu/publications/proposal-directive-green-claims_en" TargetMode="External"/><Relationship Id="rId39" Type="http://schemas.openxmlformats.org/officeDocument/2006/relationships/hyperlink" Target="https://eur-lex.europa.eu/legal-content/SK/TXT/?uri=CELEX:32023H1425" TargetMode="External"/><Relationship Id="rId3" Type="http://schemas.openxmlformats.org/officeDocument/2006/relationships/hyperlink" Target="https://climate.copernicus.eu/sites/default/files/custom-uploads/ESOTC2022/PR/ESOTCsummary2022_final.pdf" TargetMode="External"/><Relationship Id="rId21" Type="http://schemas.openxmlformats.org/officeDocument/2006/relationships/hyperlink" Target="https://environment.ec.europa.eu/publications/proposal-directive-soil-monitoring-and-resilience_en" TargetMode="External"/><Relationship Id="rId34" Type="http://schemas.openxmlformats.org/officeDocument/2006/relationships/hyperlink" Target="https://climate-pact.europa.eu/index_en" TargetMode="External"/><Relationship Id="rId42" Type="http://schemas.openxmlformats.org/officeDocument/2006/relationships/hyperlink" Target="https://cohesiondata.ec.europa.eu/cohesion_overview/21-27" TargetMode="External"/><Relationship Id="rId7" Type="http://schemas.openxmlformats.org/officeDocument/2006/relationships/hyperlink" Target="https://www.copernicus.eu/en/news/news/observer-global-wildfire-watch-copernicus-ems-and-cams-monitor-wildfires-2023" TargetMode="External"/><Relationship Id="rId12" Type="http://schemas.openxmlformats.org/officeDocument/2006/relationships/hyperlink" Target="https://www.solarpowereurope.org/press-releases/new-report-reveals-eu-solar-power-soars-by-almost-50-in-2022" TargetMode="External"/><Relationship Id="rId17" Type="http://schemas.openxmlformats.org/officeDocument/2006/relationships/hyperlink" Target="https://climate-advisory-board.europa.eu/reports-and-publications/scientific-advice-for-the-determination-of-an-eu-wide-2040" TargetMode="External"/><Relationship Id="rId25" Type="http://schemas.openxmlformats.org/officeDocument/2006/relationships/hyperlink" Target="https://finance.ec.europa.eu/capital-markets-union-and-financial-markets/company-reporting-and-auditing/company-reporting/corporate-sustainability-reporting_en" TargetMode="External"/><Relationship Id="rId33" Type="http://schemas.openxmlformats.org/officeDocument/2006/relationships/hyperlink" Target="https://environment.ec.europa.eu/topics/water/water-reuse_en" TargetMode="External"/><Relationship Id="rId38" Type="http://schemas.openxmlformats.org/officeDocument/2006/relationships/hyperlink" Target="https://impact-investor.com/article-9-funds-underreporting-exposure-to-fossil-fuels-research/" TargetMode="External"/><Relationship Id="rId2" Type="http://schemas.openxmlformats.org/officeDocument/2006/relationships/hyperlink" Target="https://www.nature.com/articles/s41591-023-02419-z" TargetMode="External"/><Relationship Id="rId16" Type="http://schemas.openxmlformats.org/officeDocument/2006/relationships/hyperlink" Target="https://www.ehpa.org/market-data/" TargetMode="External"/><Relationship Id="rId20" Type="http://schemas.openxmlformats.org/officeDocument/2006/relationships/hyperlink" Target="https://energy.ec.europa.eu/data-and-analysis/energy-modelling/policy-scenarios-delivering-european-green-deal_sk" TargetMode="External"/><Relationship Id="rId29" Type="http://schemas.openxmlformats.org/officeDocument/2006/relationships/hyperlink" Target="https://www.nature.com/articles/s41591-023-02419-z" TargetMode="External"/><Relationship Id="rId41" Type="http://schemas.openxmlformats.org/officeDocument/2006/relationships/hyperlink" Target="https://cohesiondata.ec.europa.eu/cohesion_overview/21-27" TargetMode="External"/><Relationship Id="rId1" Type="http://schemas.openxmlformats.org/officeDocument/2006/relationships/hyperlink" Target="https://www.nature.com/articles/s41591-023-02419-z" TargetMode="External"/><Relationship Id="rId6" Type="http://schemas.openxmlformats.org/officeDocument/2006/relationships/hyperlink" Target="https://www.copernicus.eu/en/news/news/observer-global-wildfire-watch-copernicus-ems-and-cams-monitor-wildfires-2023" TargetMode="External"/><Relationship Id="rId11" Type="http://schemas.openxmlformats.org/officeDocument/2006/relationships/hyperlink" Target="https://edgar.jrc.ec.europa.eu/report_2023" TargetMode="External"/><Relationship Id="rId24" Type="http://schemas.openxmlformats.org/officeDocument/2006/relationships/hyperlink" Target="https://climate.ec.europa.eu/system/files/2022-11/Proposal_for_a_Regulation_establishing_a_Union_certification_framework_for_carbon_removals.pdf" TargetMode="External"/><Relationship Id="rId32" Type="http://schemas.openxmlformats.org/officeDocument/2006/relationships/hyperlink" Target="https://climate.ec.europa.eu/eu-action/adaptation-climate-change/climate-resilience-dialogue_en" TargetMode="External"/><Relationship Id="rId37" Type="http://schemas.openxmlformats.org/officeDocument/2006/relationships/hyperlink" Target="https://eur-lex.europa.eu/legal-content/SK/TXT/?uri=CELEX:32019R2089" TargetMode="External"/><Relationship Id="rId40" Type="http://schemas.openxmlformats.org/officeDocument/2006/relationships/hyperlink" Target="https://ec.europa.eu/economy_finance/recovery-and-resilience-scoreboard/index.html" TargetMode="External"/><Relationship Id="rId5" Type="http://schemas.openxmlformats.org/officeDocument/2006/relationships/hyperlink" Target="https://www.eea.europa.eu/en/topics/in-depth/extreme-weather-floods-droughts-and-heatwaves" TargetMode="External"/><Relationship Id="rId15" Type="http://schemas.openxmlformats.org/officeDocument/2006/relationships/hyperlink" Target="https://windeurope.org/newsroom/press-releases/the-eu-built-only-16-gw-new-wind-in-2022-must-restore-investor-confidence-and-ramp-up-supply-chain/" TargetMode="External"/><Relationship Id="rId23" Type="http://schemas.openxmlformats.org/officeDocument/2006/relationships/hyperlink" Target="https://agriculture.ec.europa.eu/system/files/2023-07/guidance-dev-public-private-payment-schemes-forest_en.pdf" TargetMode="External"/><Relationship Id="rId28" Type="http://schemas.openxmlformats.org/officeDocument/2006/relationships/hyperlink" Target="https://www.nature.com/articles/s41591-023-02419-z" TargetMode="External"/><Relationship Id="rId36" Type="http://schemas.openxmlformats.org/officeDocument/2006/relationships/hyperlink" Target="https://www.icmagroup.org/assets/documents/Regulatory/Green-Bonds/LMA_Green_Loan_Principles_Booklet-220318.pdf" TargetMode="External"/><Relationship Id="rId10" Type="http://schemas.openxmlformats.org/officeDocument/2006/relationships/hyperlink" Target="https://emergency.copernicus.eu/" TargetMode="External"/><Relationship Id="rId19" Type="http://schemas.openxmlformats.org/officeDocument/2006/relationships/hyperlink" Target="https://ec.europa.eu/economy_finance/recovery-and-resilience-scoreboard/index.html" TargetMode="External"/><Relationship Id="rId31" Type="http://schemas.openxmlformats.org/officeDocument/2006/relationships/hyperlink" Target="https://www.ipcc.ch/assessment-report/ar6/" TargetMode="External"/><Relationship Id="rId44" Type="http://schemas.openxmlformats.org/officeDocument/2006/relationships/hyperlink" Target="https://ec.europa.eu/economy_finance/recovery-and-resilience-scoreboard/assets/methodology/Methodology%20for%20climate%20tracking%20under%20the%20RRF.pdf" TargetMode="External"/><Relationship Id="rId4" Type="http://schemas.openxmlformats.org/officeDocument/2006/relationships/hyperlink" Target="https://www.eea.europa.eu/en/topics/in-depth/extreme-weather-floods-droughts-and-heatwaves" TargetMode="External"/><Relationship Id="rId9" Type="http://schemas.openxmlformats.org/officeDocument/2006/relationships/hyperlink" Target="https://www.copernicus.eu/en/news/news/observer-global-wildfire-watch-copernicus-ems-and-cams-monitor-wildfires-2023" TargetMode="External"/><Relationship Id="rId14" Type="http://schemas.openxmlformats.org/officeDocument/2006/relationships/hyperlink" Target="https://windeurope.org/newsroom/press-releases/the-eu-built-only-16-gw-new-wind-in-2022-must-restore-investor-confidence-and-ramp-up-supply-chain/" TargetMode="External"/><Relationship Id="rId22" Type="http://schemas.openxmlformats.org/officeDocument/2006/relationships/hyperlink" Target="https://environment.ec.europa.eu/system/files/2023-07/Guidance%20on%20EU%20Funding%20Opportunities%20for%20Healthy%20Soils_SWD_2023_423.pdf" TargetMode="External"/><Relationship Id="rId27" Type="http://schemas.openxmlformats.org/officeDocument/2006/relationships/hyperlink" Target="https://climate.ec.europa.eu/eu-action/sustainable-carbon-cycles/expert-group-carbon-removals_en" TargetMode="External"/><Relationship Id="rId30" Type="http://schemas.openxmlformats.org/officeDocument/2006/relationships/hyperlink" Target="https://www.eea.europa.eu/ims/economic-losses-from-climate-related" TargetMode="External"/><Relationship Id="rId35" Type="http://schemas.openxmlformats.org/officeDocument/2006/relationships/hyperlink" Target="https://finance.ec.europa.eu/sustainable-finance/tools-and-standards/european-green-bond-standard_en" TargetMode="External"/><Relationship Id="rId43" Type="http://schemas.openxmlformats.org/officeDocument/2006/relationships/hyperlink" Target="https://cohesiondata.ec.europa.eu/cohesion_overview/2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e4c1d7a-e683-4948-9734-36f99d5e1dd9">
      <UserInfo>
        <DisplayName>MICELLI Chiara (CLIMA)</DisplayName>
        <AccountId>58</AccountId>
        <AccountType/>
      </UserInfo>
      <UserInfo>
        <DisplayName>LOFFLER Peter (CLIMA)</DisplayName>
        <AccountId>100</AccountId>
        <AccountType/>
      </UserInfo>
      <UserInfo>
        <DisplayName>HOLZLEITNER Christian (CLIMA)</DisplayName>
        <AccountId>61</AccountId>
        <AccountType/>
      </UserInfo>
    </SharedWithUser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B06DECA5663C46A25228468530AF33" ma:contentTypeVersion="5" ma:contentTypeDescription="Create a new document." ma:contentTypeScope="" ma:versionID="abd3b214a0216f4e67c570099a82d51f">
  <xsd:schema xmlns:xsd="http://www.w3.org/2001/XMLSchema" xmlns:xs="http://www.w3.org/2001/XMLSchema" xmlns:p="http://schemas.microsoft.com/office/2006/metadata/properties" xmlns:ns2="b4f06535-9e84-4b34-be76-e3d4f4c5c0a5" xmlns:ns3="6e4c1d7a-e683-4948-9734-36f99d5e1dd9" targetNamespace="http://schemas.microsoft.com/office/2006/metadata/properties" ma:root="true" ma:fieldsID="d99b722a394fcb4b7266578c20d836b9" ns2:_="" ns3:_="">
    <xsd:import namespace="b4f06535-9e84-4b34-be76-e3d4f4c5c0a5"/>
    <xsd:import namespace="6e4c1d7a-e683-4948-9734-36f99d5e1d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06535-9e84-4b34-be76-e3d4f4c5c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c1d7a-e683-4948-9734-36f99d5e1d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B9203-49E7-4E02-A79A-28154C7CAC7A}">
  <ds:schemaRefs>
    <ds:schemaRef ds:uri="http://schemas.microsoft.com/office/2006/metadata/properties"/>
    <ds:schemaRef ds:uri="http://schemas.microsoft.com/office/infopath/2007/PartnerControls"/>
    <ds:schemaRef ds:uri="6e4c1d7a-e683-4948-9734-36f99d5e1dd9"/>
  </ds:schemaRefs>
</ds:datastoreItem>
</file>

<file path=customXml/itemProps2.xml><?xml version="1.0" encoding="utf-8"?>
<ds:datastoreItem xmlns:ds="http://schemas.openxmlformats.org/officeDocument/2006/customXml" ds:itemID="{CDDD5718-4E2B-4BF7-9F50-8493A178FE55}">
  <ds:schemaRefs>
    <ds:schemaRef ds:uri="http://schemas.microsoft.com/sharepoint/v3/contenttype/forms"/>
  </ds:schemaRefs>
</ds:datastoreItem>
</file>

<file path=customXml/itemProps3.xml><?xml version="1.0" encoding="utf-8"?>
<ds:datastoreItem xmlns:ds="http://schemas.openxmlformats.org/officeDocument/2006/customXml" ds:itemID="{025E51E5-4712-4366-B60B-CA61D02FE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06535-9e84-4b34-be76-e3d4f4c5c0a5"/>
    <ds:schemaRef ds:uri="6e4c1d7a-e683-4948-9734-36f99d5e1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1A555B-0057-4F0D-8D32-EE6753BC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25</Pages>
  <Words>16761</Words>
  <Characters>96711</Characters>
  <Application>Microsoft Office Word</Application>
  <DocSecurity>0</DocSecurity>
  <Lines>1535</Lines>
  <Paragraphs>316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113156</CharactersWithSpaces>
  <SharedDoc>false</SharedDoc>
  <HLinks>
    <vt:vector size="252" baseType="variant">
      <vt:variant>
        <vt:i4>8126563</vt:i4>
      </vt:variant>
      <vt:variant>
        <vt:i4>189</vt:i4>
      </vt:variant>
      <vt:variant>
        <vt:i4>0</vt:i4>
      </vt:variant>
      <vt:variant>
        <vt:i4>5</vt:i4>
      </vt:variant>
      <vt:variant>
        <vt:lpwstr>https://ec.europa.eu/commission/presscorner/detail/en/IP_23_1665</vt:lpwstr>
      </vt:variant>
      <vt:variant>
        <vt:lpwstr/>
      </vt:variant>
      <vt:variant>
        <vt:i4>5111889</vt:i4>
      </vt:variant>
      <vt:variant>
        <vt:i4>186</vt:i4>
      </vt:variant>
      <vt:variant>
        <vt:i4>0</vt:i4>
      </vt:variant>
      <vt:variant>
        <vt:i4>5</vt:i4>
      </vt:variant>
      <vt:variant>
        <vt:lpwstr>https://ec.europa.eu/commission/presscorner/detail/en/ip_23_510</vt:lpwstr>
      </vt:variant>
      <vt:variant>
        <vt:lpwstr/>
      </vt:variant>
      <vt:variant>
        <vt:i4>655370</vt:i4>
      </vt:variant>
      <vt:variant>
        <vt:i4>183</vt:i4>
      </vt:variant>
      <vt:variant>
        <vt:i4>0</vt:i4>
      </vt:variant>
      <vt:variant>
        <vt:i4>5</vt:i4>
      </vt:variant>
      <vt:variant>
        <vt:lpwstr>https://eur-lex.europa.eu/legal-content/EN/TXT/?uri=CELEX%3A52023DC0156&amp;qid=1682349760946</vt:lpwstr>
      </vt:variant>
      <vt:variant>
        <vt:lpwstr/>
      </vt:variant>
      <vt:variant>
        <vt:i4>5832829</vt:i4>
      </vt:variant>
      <vt:variant>
        <vt:i4>150</vt:i4>
      </vt:variant>
      <vt:variant>
        <vt:i4>0</vt:i4>
      </vt:variant>
      <vt:variant>
        <vt:i4>5</vt:i4>
      </vt:variant>
      <vt:variant>
        <vt:lpwstr>https://agriculture.ec.europa.eu/cap-my-country/cap-strategic-plans_en)</vt:lpwstr>
      </vt:variant>
      <vt:variant>
        <vt:lpwstr/>
      </vt:variant>
      <vt:variant>
        <vt:i4>1507371</vt:i4>
      </vt:variant>
      <vt:variant>
        <vt:i4>108</vt:i4>
      </vt:variant>
      <vt:variant>
        <vt:i4>0</vt:i4>
      </vt:variant>
      <vt:variant>
        <vt:i4>5</vt:i4>
      </vt:variant>
      <vt:variant>
        <vt:lpwstr>https://energy.ec.europa.eu/topics/energy-efficiency/energy-efficient-buildings/energy-performance-buildings-directive_en</vt:lpwstr>
      </vt:variant>
      <vt:variant>
        <vt:lpwstr/>
      </vt:variant>
      <vt:variant>
        <vt:i4>1769527</vt:i4>
      </vt:variant>
      <vt:variant>
        <vt:i4>105</vt:i4>
      </vt:variant>
      <vt:variant>
        <vt:i4>0</vt:i4>
      </vt:variant>
      <vt:variant>
        <vt:i4>5</vt:i4>
      </vt:variant>
      <vt:variant>
        <vt:lpwstr>https://ec.europa.eu/economy_finance/recovery-and-resilience-scoreboard/assets/methodology/Methodology for climate tracking under the RRF.pdf</vt:lpwstr>
      </vt:variant>
      <vt:variant>
        <vt:lpwstr/>
      </vt:variant>
      <vt:variant>
        <vt:i4>6160507</vt:i4>
      </vt:variant>
      <vt:variant>
        <vt:i4>102</vt:i4>
      </vt:variant>
      <vt:variant>
        <vt:i4>0</vt:i4>
      </vt:variant>
      <vt:variant>
        <vt:i4>5</vt:i4>
      </vt:variant>
      <vt:variant>
        <vt:lpwstr>https://cohesiondata.ec.europa.eu/cohesion_overview/21-27</vt:lpwstr>
      </vt:variant>
      <vt:variant>
        <vt:lpwstr/>
      </vt:variant>
      <vt:variant>
        <vt:i4>3276818</vt:i4>
      </vt:variant>
      <vt:variant>
        <vt:i4>99</vt:i4>
      </vt:variant>
      <vt:variant>
        <vt:i4>0</vt:i4>
      </vt:variant>
      <vt:variant>
        <vt:i4>5</vt:i4>
      </vt:variant>
      <vt:variant>
        <vt:lpwstr>https://ec.europa.eu/economy_finance/recovery-and-resilience-scoreboard/index.html</vt:lpwstr>
      </vt:variant>
      <vt:variant>
        <vt:lpwstr/>
      </vt:variant>
      <vt:variant>
        <vt:i4>852033</vt:i4>
      </vt:variant>
      <vt:variant>
        <vt:i4>96</vt:i4>
      </vt:variant>
      <vt:variant>
        <vt:i4>0</vt:i4>
      </vt:variant>
      <vt:variant>
        <vt:i4>5</vt:i4>
      </vt:variant>
      <vt:variant>
        <vt:lpwstr>https://eur-lex.europa.eu/legal-content/EN/TXT/?uri=CELEX:32023H1425</vt:lpwstr>
      </vt:variant>
      <vt:variant>
        <vt:lpwstr/>
      </vt:variant>
      <vt:variant>
        <vt:i4>1245254</vt:i4>
      </vt:variant>
      <vt:variant>
        <vt:i4>93</vt:i4>
      </vt:variant>
      <vt:variant>
        <vt:i4>0</vt:i4>
      </vt:variant>
      <vt:variant>
        <vt:i4>5</vt:i4>
      </vt:variant>
      <vt:variant>
        <vt:lpwstr>https://impact-investor.com/article-9-funds-underreporting-exposure-to-fossil-fuels-research/</vt:lpwstr>
      </vt:variant>
      <vt:variant>
        <vt:lpwstr/>
      </vt:variant>
      <vt:variant>
        <vt:i4>1835074</vt:i4>
      </vt:variant>
      <vt:variant>
        <vt:i4>90</vt:i4>
      </vt:variant>
      <vt:variant>
        <vt:i4>0</vt:i4>
      </vt:variant>
      <vt:variant>
        <vt:i4>5</vt:i4>
      </vt:variant>
      <vt:variant>
        <vt:lpwstr>https://eur-lex.europa.eu/legal-content/EN/TXT/?uri=CELEX:32019R2089</vt:lpwstr>
      </vt:variant>
      <vt:variant>
        <vt:lpwstr/>
      </vt:variant>
      <vt:variant>
        <vt:i4>4849688</vt:i4>
      </vt:variant>
      <vt:variant>
        <vt:i4>87</vt:i4>
      </vt:variant>
      <vt:variant>
        <vt:i4>0</vt:i4>
      </vt:variant>
      <vt:variant>
        <vt:i4>5</vt:i4>
      </vt:variant>
      <vt:variant>
        <vt:lpwstr>https://www.icmagroup.org/assets/documents/Regulatory/Green-Bonds/LMA_Green_Loan_Principles_Booklet-220318.pdf</vt:lpwstr>
      </vt:variant>
      <vt:variant>
        <vt:lpwstr/>
      </vt:variant>
      <vt:variant>
        <vt:i4>3473486</vt:i4>
      </vt:variant>
      <vt:variant>
        <vt:i4>84</vt:i4>
      </vt:variant>
      <vt:variant>
        <vt:i4>0</vt:i4>
      </vt:variant>
      <vt:variant>
        <vt:i4>5</vt:i4>
      </vt:variant>
      <vt:variant>
        <vt:lpwstr>https://finance.ec.europa.eu/sustainable-finance/tools-and-standards/european-green-bond-standard_en</vt:lpwstr>
      </vt:variant>
      <vt:variant>
        <vt:lpwstr/>
      </vt:variant>
      <vt:variant>
        <vt:i4>7340054</vt:i4>
      </vt:variant>
      <vt:variant>
        <vt:i4>81</vt:i4>
      </vt:variant>
      <vt:variant>
        <vt:i4>0</vt:i4>
      </vt:variant>
      <vt:variant>
        <vt:i4>5</vt:i4>
      </vt:variant>
      <vt:variant>
        <vt:lpwstr>https://climate-pact.europa.eu/index_en</vt:lpwstr>
      </vt:variant>
      <vt:variant>
        <vt:lpwstr/>
      </vt:variant>
      <vt:variant>
        <vt:i4>6684758</vt:i4>
      </vt:variant>
      <vt:variant>
        <vt:i4>78</vt:i4>
      </vt:variant>
      <vt:variant>
        <vt:i4>0</vt:i4>
      </vt:variant>
      <vt:variant>
        <vt:i4>5</vt:i4>
      </vt:variant>
      <vt:variant>
        <vt:lpwstr>https://environment.ec.europa.eu/topics/water/water-reuse_en</vt:lpwstr>
      </vt:variant>
      <vt:variant>
        <vt:lpwstr/>
      </vt:variant>
      <vt:variant>
        <vt:i4>6946900</vt:i4>
      </vt:variant>
      <vt:variant>
        <vt:i4>75</vt:i4>
      </vt:variant>
      <vt:variant>
        <vt:i4>0</vt:i4>
      </vt:variant>
      <vt:variant>
        <vt:i4>5</vt:i4>
      </vt:variant>
      <vt:variant>
        <vt:lpwstr>https://climate.ec.europa.eu/eu-action/adaptation-climate-change/climate-resilience-dialogue_en</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3866673</vt:i4>
      </vt:variant>
      <vt:variant>
        <vt:i4>66</vt:i4>
      </vt:variant>
      <vt:variant>
        <vt:i4>0</vt:i4>
      </vt:variant>
      <vt:variant>
        <vt:i4>5</vt:i4>
      </vt:variant>
      <vt:variant>
        <vt:lpwstr>https://www.eea.europa.eu/ims/economic-losses-from-climate-related</vt:lpwstr>
      </vt:variant>
      <vt:variant>
        <vt:lpwstr/>
      </vt:variant>
      <vt:variant>
        <vt:i4>8323109</vt:i4>
      </vt:variant>
      <vt:variant>
        <vt:i4>63</vt:i4>
      </vt:variant>
      <vt:variant>
        <vt:i4>0</vt:i4>
      </vt:variant>
      <vt:variant>
        <vt:i4>5</vt:i4>
      </vt:variant>
      <vt:variant>
        <vt:lpwstr>https://www.nature.com/articles/s41591-023-02419-z</vt:lpwstr>
      </vt:variant>
      <vt:variant>
        <vt:lpwstr/>
      </vt:variant>
      <vt:variant>
        <vt:i4>3997764</vt:i4>
      </vt:variant>
      <vt:variant>
        <vt:i4>60</vt:i4>
      </vt:variant>
      <vt:variant>
        <vt:i4>0</vt:i4>
      </vt:variant>
      <vt:variant>
        <vt:i4>5</vt:i4>
      </vt:variant>
      <vt:variant>
        <vt:lpwstr>https://climate.ec.europa.eu/eu-action/sustainable-carbon-cycles/expert-group-carbon-removals_en</vt:lpwstr>
      </vt:variant>
      <vt:variant>
        <vt:lpwstr/>
      </vt:variant>
      <vt:variant>
        <vt:i4>7274496</vt:i4>
      </vt:variant>
      <vt:variant>
        <vt:i4>57</vt:i4>
      </vt:variant>
      <vt:variant>
        <vt:i4>0</vt:i4>
      </vt:variant>
      <vt:variant>
        <vt:i4>5</vt:i4>
      </vt:variant>
      <vt:variant>
        <vt:lpwstr>https://environment.ec.europa.eu/publications/proposal-directive-green-claims_en</vt:lpwstr>
      </vt:variant>
      <vt:variant>
        <vt:lpwstr/>
      </vt:variant>
      <vt:variant>
        <vt:i4>7667714</vt:i4>
      </vt:variant>
      <vt:variant>
        <vt:i4>54</vt:i4>
      </vt:variant>
      <vt:variant>
        <vt:i4>0</vt:i4>
      </vt:variant>
      <vt:variant>
        <vt:i4>5</vt:i4>
      </vt:variant>
      <vt:variant>
        <vt:lpwstr>https://finance.ec.europa.eu/capital-markets-union-and-financial-markets/company-reporting-and-auditing/company-reporting/corporate-sustainability-reporting_en</vt:lpwstr>
      </vt:variant>
      <vt:variant>
        <vt:lpwstr/>
      </vt:variant>
      <vt:variant>
        <vt:i4>983075</vt:i4>
      </vt:variant>
      <vt:variant>
        <vt:i4>51</vt:i4>
      </vt:variant>
      <vt:variant>
        <vt:i4>0</vt:i4>
      </vt:variant>
      <vt:variant>
        <vt:i4>5</vt:i4>
      </vt:variant>
      <vt:variant>
        <vt:lpwstr>https://climate.ec.europa.eu/system/files/2022-11/Proposal_for_a_Regulation_establishing_a_Union_certification_framework_for_carbon_removals.pdf</vt:lpwstr>
      </vt:variant>
      <vt:variant>
        <vt:lpwstr/>
      </vt:variant>
      <vt:variant>
        <vt:i4>3866624</vt:i4>
      </vt:variant>
      <vt:variant>
        <vt:i4>48</vt:i4>
      </vt:variant>
      <vt:variant>
        <vt:i4>0</vt:i4>
      </vt:variant>
      <vt:variant>
        <vt:i4>5</vt:i4>
      </vt:variant>
      <vt:variant>
        <vt:lpwstr>https://agriculture.ec.europa.eu/system/files/2023-07/guidance-dev-public-private-payment-schemes-forest_en.pdf</vt:lpwstr>
      </vt:variant>
      <vt:variant>
        <vt:lpwstr/>
      </vt:variant>
      <vt:variant>
        <vt:i4>7995461</vt:i4>
      </vt:variant>
      <vt:variant>
        <vt:i4>45</vt:i4>
      </vt:variant>
      <vt:variant>
        <vt:i4>0</vt:i4>
      </vt:variant>
      <vt:variant>
        <vt:i4>5</vt:i4>
      </vt:variant>
      <vt:variant>
        <vt:lpwstr>https://environment.ec.europa.eu/system/files/2023-07/Guidance on EU Funding Opportunities for Healthy Soils_SWD_2023_423.pdf</vt:lpwstr>
      </vt:variant>
      <vt:variant>
        <vt:lpwstr/>
      </vt:variant>
      <vt:variant>
        <vt:i4>5373988</vt:i4>
      </vt:variant>
      <vt:variant>
        <vt:i4>42</vt:i4>
      </vt:variant>
      <vt:variant>
        <vt:i4>0</vt:i4>
      </vt:variant>
      <vt:variant>
        <vt:i4>5</vt:i4>
      </vt:variant>
      <vt:variant>
        <vt:lpwstr>https://environment.ec.europa.eu/publications/proposal-directive-soil-monitoring-and-resilience_en</vt:lpwstr>
      </vt:variant>
      <vt:variant>
        <vt:lpwstr/>
      </vt:variant>
      <vt:variant>
        <vt:i4>5177405</vt:i4>
      </vt:variant>
      <vt:variant>
        <vt:i4>39</vt:i4>
      </vt:variant>
      <vt:variant>
        <vt:i4>0</vt:i4>
      </vt:variant>
      <vt:variant>
        <vt:i4>5</vt:i4>
      </vt:variant>
      <vt:variant>
        <vt:lpwstr>https://energy.ec.europa.eu/data-and-analysis/energy-modelling/policy-scenarios-delivering-european-green-deal_en</vt:lpwstr>
      </vt:variant>
      <vt:variant>
        <vt:lpwstr/>
      </vt:variant>
      <vt:variant>
        <vt:i4>3276818</vt:i4>
      </vt:variant>
      <vt:variant>
        <vt:i4>36</vt:i4>
      </vt:variant>
      <vt:variant>
        <vt:i4>0</vt:i4>
      </vt:variant>
      <vt:variant>
        <vt:i4>5</vt:i4>
      </vt:variant>
      <vt:variant>
        <vt:lpwstr>https://ec.europa.eu/economy_finance/recovery-and-resilience-scoreboard/index.html</vt:lpwstr>
      </vt:variant>
      <vt:variant>
        <vt:lpwstr/>
      </vt:variant>
      <vt:variant>
        <vt:i4>5177405</vt:i4>
      </vt:variant>
      <vt:variant>
        <vt:i4>30</vt:i4>
      </vt:variant>
      <vt:variant>
        <vt:i4>0</vt:i4>
      </vt:variant>
      <vt:variant>
        <vt:i4>5</vt:i4>
      </vt:variant>
      <vt:variant>
        <vt:lpwstr>https://energy.ec.europa.eu/data-and-analysis/energy-modelling/policy-scenarios-delivering-european-green-deal_en</vt:lpwstr>
      </vt:variant>
      <vt:variant>
        <vt:lpwstr/>
      </vt:variant>
      <vt:variant>
        <vt:i4>4194370</vt:i4>
      </vt:variant>
      <vt:variant>
        <vt:i4>27</vt:i4>
      </vt:variant>
      <vt:variant>
        <vt:i4>0</vt:i4>
      </vt:variant>
      <vt:variant>
        <vt:i4>5</vt:i4>
      </vt:variant>
      <vt:variant>
        <vt:lpwstr>https://climate-advisory-board.europa.eu/reports-and-publications/scientific-advice-for-the-determination-of-an-eu-wide-2040</vt:lpwstr>
      </vt:variant>
      <vt:variant>
        <vt:lpwstr/>
      </vt:variant>
      <vt:variant>
        <vt:i4>1966152</vt:i4>
      </vt:variant>
      <vt:variant>
        <vt:i4>24</vt:i4>
      </vt:variant>
      <vt:variant>
        <vt:i4>0</vt:i4>
      </vt:variant>
      <vt:variant>
        <vt:i4>5</vt:i4>
      </vt:variant>
      <vt:variant>
        <vt:lpwstr>https://www.ehpa.org/market-data/</vt:lpwstr>
      </vt:variant>
      <vt:variant>
        <vt:lpwstr/>
      </vt:variant>
      <vt:variant>
        <vt:i4>1900628</vt:i4>
      </vt:variant>
      <vt:variant>
        <vt:i4>21</vt:i4>
      </vt:variant>
      <vt:variant>
        <vt:i4>0</vt:i4>
      </vt:variant>
      <vt:variant>
        <vt:i4>5</vt:i4>
      </vt:variant>
      <vt:variant>
        <vt:lpwstr>https://windeurope.org/newsroom/press-releases/the-eu-built-only-16-gw-new-wind-in-2022-must-restore-investor-confidence-and-ramp-up-supply-chain/</vt:lpwstr>
      </vt:variant>
      <vt:variant>
        <vt:lpwstr>:~:text=Europe%20built%2019%20GW%20of,for%20the%20EU's%202030%20goals.</vt:lpwstr>
      </vt:variant>
      <vt:variant>
        <vt:i4>1441880</vt:i4>
      </vt:variant>
      <vt:variant>
        <vt:i4>18</vt:i4>
      </vt:variant>
      <vt:variant>
        <vt:i4>0</vt:i4>
      </vt:variant>
      <vt:variant>
        <vt:i4>5</vt:i4>
      </vt:variant>
      <vt:variant>
        <vt:lpwstr>https://www.solarpowereurope.org/press-releases/new-report-reveals-eu-solar-power-soars-by-almost-50-in-2022</vt:lpwstr>
      </vt:variant>
      <vt:variant>
        <vt:lpwstr/>
      </vt:variant>
      <vt:variant>
        <vt:i4>1376317</vt:i4>
      </vt:variant>
      <vt:variant>
        <vt:i4>15</vt:i4>
      </vt:variant>
      <vt:variant>
        <vt:i4>0</vt:i4>
      </vt:variant>
      <vt:variant>
        <vt:i4>5</vt:i4>
      </vt:variant>
      <vt:variant>
        <vt:lpwstr>https://edgar.jrc.ec.europa.eu/report_2023</vt:lpwstr>
      </vt:variant>
      <vt:variant>
        <vt:lpwstr/>
      </vt:variant>
      <vt:variant>
        <vt:i4>1572886</vt:i4>
      </vt:variant>
      <vt:variant>
        <vt:i4>12</vt:i4>
      </vt:variant>
      <vt:variant>
        <vt:i4>0</vt:i4>
      </vt:variant>
      <vt:variant>
        <vt:i4>5</vt:i4>
      </vt:variant>
      <vt:variant>
        <vt:lpwstr>https://emergency.copernicus.eu/</vt:lpwstr>
      </vt:variant>
      <vt:variant>
        <vt:lpwstr/>
      </vt:variant>
      <vt:variant>
        <vt:i4>6160409</vt:i4>
      </vt:variant>
      <vt:variant>
        <vt:i4>9</vt:i4>
      </vt:variant>
      <vt:variant>
        <vt:i4>0</vt:i4>
      </vt:variant>
      <vt:variant>
        <vt:i4>5</vt:i4>
      </vt:variant>
      <vt:variant>
        <vt:lpwstr>https://www.copernicus.eu/en/news/news/observer-global-wildfire-watch-copernicus-ems-and-cams-monitor-wildfires-2023</vt:lpwstr>
      </vt:variant>
      <vt:variant>
        <vt:lpwstr/>
      </vt:variant>
      <vt:variant>
        <vt:i4>3735613</vt:i4>
      </vt:variant>
      <vt:variant>
        <vt:i4>6</vt:i4>
      </vt:variant>
      <vt:variant>
        <vt:i4>0</vt:i4>
      </vt:variant>
      <vt:variant>
        <vt:i4>5</vt:i4>
      </vt:variant>
      <vt:variant>
        <vt:lpwstr>https://www.eea.europa.eu/en/topics/in-depth/extreme-weather-floods-droughts-and-heatwaves</vt:lpwstr>
      </vt:variant>
      <vt:variant>
        <vt:lpwstr/>
      </vt:variant>
      <vt:variant>
        <vt:i4>1114148</vt:i4>
      </vt:variant>
      <vt:variant>
        <vt:i4>3</vt:i4>
      </vt:variant>
      <vt:variant>
        <vt:i4>0</vt:i4>
      </vt:variant>
      <vt:variant>
        <vt:i4>5</vt:i4>
      </vt:variant>
      <vt:variant>
        <vt:lpwstr>https://climate.copernicus.eu/sites/default/files/custom-uploads/ESOTC2022/PR/ESOTCsummary2022_final.pdf</vt:lpwstr>
      </vt:variant>
      <vt:variant>
        <vt:lpwstr/>
      </vt:variant>
      <vt:variant>
        <vt:i4>8323109</vt:i4>
      </vt:variant>
      <vt:variant>
        <vt:i4>0</vt:i4>
      </vt:variant>
      <vt:variant>
        <vt:i4>0</vt:i4>
      </vt:variant>
      <vt:variant>
        <vt:i4>5</vt:i4>
      </vt:variant>
      <vt:variant>
        <vt:lpwstr>https://www.nature.com/articles/s41591-023-02419-z</vt:lpwstr>
      </vt:variant>
      <vt:variant>
        <vt:lpwstr/>
      </vt:variant>
      <vt:variant>
        <vt:i4>7077904</vt:i4>
      </vt:variant>
      <vt:variant>
        <vt:i4>6</vt:i4>
      </vt:variant>
      <vt:variant>
        <vt:i4>0</vt:i4>
      </vt:variant>
      <vt:variant>
        <vt:i4>5</vt:i4>
      </vt:variant>
      <vt:variant>
        <vt:lpwstr>mailto:melvin.van-velthoven@ec.europa.eu</vt:lpwstr>
      </vt:variant>
      <vt:variant>
        <vt:lpwstr/>
      </vt:variant>
      <vt:variant>
        <vt:i4>5767294</vt:i4>
      </vt:variant>
      <vt:variant>
        <vt:i4>3</vt:i4>
      </vt:variant>
      <vt:variant>
        <vt:i4>0</vt:i4>
      </vt:variant>
      <vt:variant>
        <vt:i4>5</vt:i4>
      </vt:variant>
      <vt:variant>
        <vt:lpwstr>mailto:Ronald.VAN-DE-VEN@ec.europa.eu</vt:lpwstr>
      </vt:variant>
      <vt:variant>
        <vt:lpwstr/>
      </vt:variant>
      <vt:variant>
        <vt:i4>524337</vt:i4>
      </vt:variant>
      <vt:variant>
        <vt:i4>0</vt:i4>
      </vt:variant>
      <vt:variant>
        <vt:i4>0</vt:i4>
      </vt:variant>
      <vt:variant>
        <vt:i4>5</vt:i4>
      </vt:variant>
      <vt:variant>
        <vt:lpwstr>mailto:Stefano.SANTACROCE@ec.europa.eu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62</cp:revision>
  <cp:lastPrinted>2023-10-03T21:46:00Z</cp:lastPrinted>
  <dcterms:created xsi:type="dcterms:W3CDTF">2023-10-16T11:04:00Z</dcterms:created>
  <dcterms:modified xsi:type="dcterms:W3CDTF">2023-12-13T20:08:00Z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2023-08-31T15:44:04Z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849c2043-f8ce-4271-be85-673773c05990</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CPTemplateID">
    <vt:lpwstr>CP-006</vt:lpwstr>
  </property>
  <property fmtid="{D5CDD505-2E9C-101B-9397-08002B2CF9AE}" pid="13" name="Last edited using">
    <vt:lpwstr>LW 9.0, Build 20230317</vt:lpwstr>
  </property>
  <property fmtid="{D5CDD505-2E9C-101B-9397-08002B2CF9AE}" pid="14" name="Created using">
    <vt:lpwstr>LW 9.0, Build 20230317</vt:lpwstr>
  </property>
  <property fmtid="{D5CDD505-2E9C-101B-9397-08002B2CF9AE}" pid="15" name="ContentTypeId">
    <vt:lpwstr>0x0101002EB06DECA5663C46A25228468530AF33</vt:lpwstr>
  </property>
  <property fmtid="{D5CDD505-2E9C-101B-9397-08002B2CF9AE}" pid="16" name="DocStatus">
    <vt:lpwstr>Green</vt:lpwstr>
  </property>
  <property name="OP_sanitized" fmtid="{D5CDD505-2E9C-101B-9397-08002B2CF9AE}" pid="17">
    <vt:lpwstr>True</vt:lpwstr>
  </property>
</Properties>
</file>