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318D0" w14:textId="7FC28C49" w:rsidR="00F16A2C" w:rsidRDefault="003A0828" w:rsidP="003A0828">
      <w:pPr>
        <w:pStyle w:val="Pagedecouverture"/>
        <w:rPr>
          <w:noProof/>
        </w:rPr>
      </w:pPr>
      <w:bookmarkStart w:id="0" w:name="LW_BM_COVERPAGE"/>
      <w:r>
        <w:rPr>
          <w:noProof/>
        </w:rPr>
        <w:pict w14:anchorId="61751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7274606-286E-43F8-9691-8D5B77245DA1" style="width:455.25pt;height:410.25pt">
            <v:imagedata r:id="rId11" o:title=""/>
          </v:shape>
        </w:pict>
      </w:r>
    </w:p>
    <w:bookmarkEnd w:id="0"/>
    <w:p w14:paraId="4E8B9637" w14:textId="77777777" w:rsidR="00F16A2C" w:rsidRDefault="00F16A2C">
      <w:pPr>
        <w:rPr>
          <w:noProof/>
        </w:rPr>
        <w:sectPr w:rsidR="00F16A2C" w:rsidSect="003A082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C0E8DBA" w14:textId="77777777" w:rsidR="00F16A2C" w:rsidRDefault="006836D1">
      <w:pPr>
        <w:rPr>
          <w:noProof/>
        </w:rPr>
      </w:pPr>
      <w:bookmarkStart w:id="1" w:name="_GoBack"/>
      <w:bookmarkEnd w:id="1"/>
      <w:r>
        <w:rPr>
          <w:noProof/>
        </w:rPr>
        <w:lastRenderedPageBreak/>
        <w:t>So zreteľom na</w:t>
      </w:r>
    </w:p>
    <w:p w14:paraId="355FF8EE" w14:textId="77777777" w:rsidR="00F16A2C" w:rsidRDefault="006836D1">
      <w:pPr>
        <w:pStyle w:val="Tiret0"/>
        <w:tabs>
          <w:tab w:val="clear" w:pos="850"/>
          <w:tab w:val="num" w:pos="1004"/>
        </w:tabs>
        <w:rPr>
          <w:noProof/>
        </w:rPr>
      </w:pPr>
      <w:r>
        <w:rPr>
          <w:noProof/>
        </w:rPr>
        <w:t>Zmluvu o fungovaní Európskej únie, a najmä na jej článok 314, v spojení so Zmluvou o založení Európskeho spoločenstva pre atómovú energiu, a najmä s jej článkom 106a,</w:t>
      </w:r>
    </w:p>
    <w:p w14:paraId="3DDD8C91" w14:textId="77777777" w:rsidR="00F16A2C" w:rsidRDefault="006836D1">
      <w:pPr>
        <w:pStyle w:val="Tiret0"/>
        <w:rPr>
          <w:noProof/>
        </w:rPr>
      </w:pPr>
      <w:r>
        <w:rPr>
          <w:noProof/>
        </w:rPr>
        <w:t>rozhodnutie Rady (EÚ, Euratom) 2020/2053 zo 14. decembra 2020 o systéme vlastných zdrojov Európskej únie</w:t>
      </w:r>
      <w:r>
        <w:rPr>
          <w:rStyle w:val="FootnoteReference"/>
          <w:noProof/>
        </w:rPr>
        <w:footnoteReference w:id="2"/>
      </w:r>
      <w:r>
        <w:rPr>
          <w:noProof/>
        </w:rPr>
        <w:t>, ktoré nadobudlo účinnosť 1. júna 2021,</w:t>
      </w:r>
    </w:p>
    <w:p w14:paraId="776662CD" w14:textId="77777777" w:rsidR="00F16A2C" w:rsidRDefault="006836D1">
      <w:pPr>
        <w:pStyle w:val="Tiret0"/>
        <w:tabs>
          <w:tab w:val="clear" w:pos="850"/>
          <w:tab w:val="num" w:pos="927"/>
        </w:tabs>
        <w:rPr>
          <w:rFonts w:cs="Arial"/>
          <w:noProof/>
        </w:rPr>
      </w:pPr>
      <w:r>
        <w:rPr>
          <w:noProof/>
        </w:rPr>
        <w:t>nariadenie Európskeho parlamentu a Rady (EÚ, Euratom) 2018/1046 z 18. júla 2018 o rozpočtových pravidlách, ktoré sa vzťahujú na všeobecný rozpočet Únie (…)</w:t>
      </w:r>
      <w:r>
        <w:rPr>
          <w:rStyle w:val="FootnoteReference"/>
          <w:noProof/>
        </w:rPr>
        <w:footnoteReference w:id="3"/>
      </w:r>
      <w:r>
        <w:rPr>
          <w:noProof/>
        </w:rPr>
        <w:t>, a najmä na jeho článok 42,</w:t>
      </w:r>
    </w:p>
    <w:p w14:paraId="2DE9414B" w14:textId="720E506D" w:rsidR="00F16A2C" w:rsidRDefault="006836D1">
      <w:pPr>
        <w:pStyle w:val="Tiret0"/>
        <w:tabs>
          <w:tab w:val="clear" w:pos="850"/>
          <w:tab w:val="num" w:pos="927"/>
        </w:tabs>
        <w:rPr>
          <w:noProof/>
        </w:rPr>
      </w:pPr>
      <w:r>
        <w:rPr>
          <w:noProof/>
        </w:rPr>
        <w:t>návrh všeobecného rozpočtu Európskej únie na rozpočtový rok 2024 prijatý Komisiou 5. júla 2023</w:t>
      </w:r>
      <w:r>
        <w:rPr>
          <w:rStyle w:val="FootnoteReference"/>
          <w:noProof/>
        </w:rPr>
        <w:footnoteReference w:id="4"/>
      </w:r>
      <w:r>
        <w:rPr>
          <w:noProof/>
        </w:rPr>
        <w:t>,</w:t>
      </w:r>
    </w:p>
    <w:p w14:paraId="687AA699" w14:textId="2A30528C" w:rsidR="00F16A2C" w:rsidRDefault="006836D1">
      <w:pPr>
        <w:spacing w:after="600"/>
        <w:jc w:val="both"/>
        <w:rPr>
          <w:noProof/>
        </w:rPr>
      </w:pPr>
      <w:r>
        <w:rPr>
          <w:noProof/>
        </w:rPr>
        <w:t>Európska komisia týmto predkladá Európskemu parlamentu a Rade opravný list č. 1 k návrhu všeobecného rozpočtu Európskej únie na rozpočtový rok 2024 z dôvodov uvedených v dôvodovej správe.</w:t>
      </w:r>
    </w:p>
    <w:p w14:paraId="445618F1" w14:textId="77777777" w:rsidR="00F16A2C" w:rsidRDefault="006836D1">
      <w:pPr>
        <w:spacing w:after="240"/>
        <w:jc w:val="both"/>
        <w:rPr>
          <w:b/>
          <w:noProof/>
          <w:u w:val="single"/>
        </w:rPr>
      </w:pPr>
      <w:r>
        <w:rPr>
          <w:b/>
          <w:noProof/>
          <w:u w:val="single"/>
        </w:rPr>
        <w:t>ZMENY VO VÝKAZE PRÍJMOV A VÝDAVKOV PODĽA ODDIELOV</w:t>
      </w:r>
    </w:p>
    <w:p w14:paraId="3607BBD4" w14:textId="77777777" w:rsidR="00F16A2C" w:rsidRDefault="006836D1">
      <w:pPr>
        <w:jc w:val="both"/>
        <w:rPr>
          <w:noProof/>
        </w:rPr>
      </w:pPr>
      <w:r>
        <w:rPr>
          <w:noProof/>
        </w:rPr>
        <w:t>Zmeny vo všeobecnom výkaze príjmov a výdavkov a vo výkazoch príjmov a výdavkov podľa oddielov sú k dispozícii v databáze EUR-Lex (</w:t>
      </w:r>
      <w:hyperlink r:id="rId18" w:history="1">
        <w:r>
          <w:rPr>
            <w:rStyle w:val="Hyperlink"/>
            <w:noProof/>
            <w:color w:val="auto"/>
          </w:rPr>
          <w:t>https://eur-lex.europa.eu/budget/www/index-sk.htm</w:t>
        </w:r>
      </w:hyperlink>
      <w:r>
        <w:rPr>
          <w:noProof/>
        </w:rPr>
        <w:t>). Anglické znenie zmien v týchto výkazoch je pripojené na informačné účely ako príloha k rozpočtu.</w:t>
      </w:r>
    </w:p>
    <w:p w14:paraId="61BD8B88" w14:textId="77777777" w:rsidR="00F16A2C" w:rsidRDefault="00F16A2C">
      <w:pPr>
        <w:rPr>
          <w:noProof/>
        </w:rPr>
        <w:sectPr w:rsidR="00F16A2C" w:rsidSect="00BD4680">
          <w:headerReference w:type="even" r:id="rId19"/>
          <w:headerReference w:type="default" r:id="rId20"/>
          <w:footerReference w:type="even" r:id="rId21"/>
          <w:footerReference w:type="default" r:id="rId22"/>
          <w:headerReference w:type="first" r:id="rId23"/>
          <w:footerReference w:type="first" r:id="rId24"/>
          <w:pgSz w:w="11907" w:h="16839"/>
          <w:pgMar w:top="1418" w:right="1418" w:bottom="1418" w:left="1418" w:header="709" w:footer="709" w:gutter="0"/>
          <w:cols w:space="720"/>
          <w:docGrid w:linePitch="360"/>
        </w:sectPr>
      </w:pPr>
    </w:p>
    <w:p w14:paraId="2F2DF879" w14:textId="77777777" w:rsidR="00F16A2C" w:rsidRDefault="006836D1">
      <w:pPr>
        <w:pStyle w:val="ManualHeading1"/>
        <w:spacing w:before="240"/>
        <w:ind w:left="0" w:firstLine="0"/>
        <w:rPr>
          <w:noProof/>
        </w:rPr>
      </w:pPr>
      <w:bookmarkStart w:id="2" w:name="_Toc462410042"/>
      <w:bookmarkStart w:id="3" w:name="_Toc526753779"/>
      <w:bookmarkStart w:id="4" w:name="_Toc54770308"/>
      <w:bookmarkStart w:id="5" w:name="_Toc55807118"/>
      <w:bookmarkStart w:id="6" w:name="_Toc114838626"/>
      <w:bookmarkStart w:id="7" w:name="_Toc145922819"/>
      <w:bookmarkStart w:id="8" w:name="_Toc294675429"/>
      <w:bookmarkStart w:id="9" w:name="_Toc272133653"/>
      <w:bookmarkStart w:id="10" w:name="_Toc294673202"/>
      <w:bookmarkStart w:id="11" w:name="_Toc318365572"/>
      <w:bookmarkStart w:id="12" w:name="_Toc361649893"/>
      <w:bookmarkStart w:id="13" w:name="_Toc387301589"/>
      <w:bookmarkStart w:id="14" w:name="_Toc385506031"/>
      <w:bookmarkStart w:id="15" w:name="_Toc430865946"/>
      <w:bookmarkStart w:id="16" w:name="_Toc430867524"/>
      <w:bookmarkStart w:id="17" w:name="_Toc463264162"/>
      <w:bookmarkStart w:id="18" w:name="_Toc351469332"/>
      <w:bookmarkStart w:id="19" w:name="_Toc361649879"/>
      <w:r>
        <w:rPr>
          <w:noProof/>
        </w:rPr>
        <w:t>1.</w:t>
      </w:r>
      <w:r>
        <w:rPr>
          <w:noProof/>
        </w:rPr>
        <w:tab/>
      </w:r>
      <w:bookmarkEnd w:id="2"/>
      <w:bookmarkEnd w:id="3"/>
      <w:bookmarkEnd w:id="4"/>
      <w:bookmarkEnd w:id="5"/>
      <w:r>
        <w:rPr>
          <w:noProof/>
        </w:rPr>
        <w:t>Úvod</w:t>
      </w:r>
      <w:bookmarkEnd w:id="6"/>
      <w:bookmarkEnd w:id="7"/>
    </w:p>
    <w:bookmarkEnd w:id="8"/>
    <w:bookmarkEnd w:id="9"/>
    <w:bookmarkEnd w:id="10"/>
    <w:bookmarkEnd w:id="11"/>
    <w:bookmarkEnd w:id="12"/>
    <w:bookmarkEnd w:id="13"/>
    <w:bookmarkEnd w:id="14"/>
    <w:bookmarkEnd w:id="15"/>
    <w:bookmarkEnd w:id="16"/>
    <w:bookmarkEnd w:id="17"/>
    <w:bookmarkEnd w:id="18"/>
    <w:bookmarkEnd w:id="19"/>
    <w:p w14:paraId="11A20902" w14:textId="4EA3D4BB" w:rsidR="00F16A2C" w:rsidRDefault="006836D1">
      <w:pPr>
        <w:spacing w:before="120" w:after="120"/>
        <w:jc w:val="both"/>
        <w:rPr>
          <w:noProof/>
        </w:rPr>
      </w:pPr>
      <w:r>
        <w:rPr>
          <w:noProof/>
        </w:rPr>
        <w:t>Opravný list č. 1 (ďalej len „OL č. 1/2024“) k návrhu rozpočtu na rok 2024 (ďalej len „NR 2024“) sa vzťahuje na tieto prvky:</w:t>
      </w:r>
    </w:p>
    <w:p w14:paraId="11C87FAA" w14:textId="3500AAE4" w:rsidR="000C3D34" w:rsidRPr="00E40411" w:rsidRDefault="00B0407D"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revízia potrieb riadku týkajúceho sa úrokov v prípade nástroja NextGenerationEU smerom nadol vzhľadom na nižšiu úroveň vyplácania prostriedkov z nástroja NextGenerationEU v roku 2023, než sa pôvodne odhadovalo,</w:t>
      </w:r>
    </w:p>
    <w:p w14:paraId="5405E163" w14:textId="3C6FCE43" w:rsidR="00F16A2C" w:rsidRPr="00E40411" w:rsidRDefault="00457AD8" w:rsidP="00B77C02">
      <w:pPr>
        <w:numPr>
          <w:ilvl w:val="0"/>
          <w:numId w:val="13"/>
        </w:numPr>
        <w:spacing w:before="120" w:after="120"/>
        <w:jc w:val="both"/>
        <w:rPr>
          <w:noProof/>
          <w:szCs w:val="20"/>
        </w:rPr>
      </w:pPr>
      <w:r>
        <w:rPr>
          <w:noProof/>
        </w:rPr>
        <w:t>aktualizácia odhadovaných potrieb, pripísaných príjmov a rozpočtových prostriedkov na poľnohospodárske výdavky. Okrem meniacich sa trhových faktorov sa v OL č. 1/2024 zohľadňuje aj vplyv rozhodnutí prijatých v odvetví poľnohospodárstva od júla 2023, keď bol prijatý NR 2024, ako aj iných návrhov, od ktorých sa očakáva, že budú mať v priebehu rozpočtového roka výrazný vplyv,</w:t>
      </w:r>
    </w:p>
    <w:p w14:paraId="00A4671D" w14:textId="40326F42" w:rsidR="00F16A2C" w:rsidRPr="00E40411" w:rsidRDefault="47F97539" w:rsidP="42EA40D1">
      <w:pPr>
        <w:numPr>
          <w:ilvl w:val="0"/>
          <w:numId w:val="13"/>
        </w:numPr>
        <w:spacing w:before="120" w:after="120"/>
        <w:jc w:val="both"/>
        <w:rPr>
          <w:noProof/>
        </w:rPr>
      </w:pPr>
      <w:r>
        <w:rPr>
          <w:noProof/>
        </w:rPr>
        <w:t>aktualizácia odhadovaných potrieb v súvislosti s dohodami o partnerstve v odvetví udržateľného rybárstva (SFPA) so zreteľom na nedávno podpísanú dohodu a súvisiaci protokol s Madagaskarskou republikou a nový protokol s Kiribatskou republikou, ktoré sa 2. októbra 2023 začali predbežne vykonávať,</w:t>
      </w:r>
    </w:p>
    <w:p w14:paraId="298687AE" w14:textId="4524A934" w:rsidR="00F16A2C" w:rsidRDefault="00457AD8" w:rsidP="00B77C02">
      <w:pPr>
        <w:numPr>
          <w:ilvl w:val="0"/>
          <w:numId w:val="13"/>
        </w:numPr>
        <w:spacing w:before="120" w:after="120"/>
        <w:jc w:val="both"/>
        <w:rPr>
          <w:noProof/>
        </w:rPr>
      </w:pPr>
      <w:r>
        <w:rPr>
          <w:noProof/>
        </w:rPr>
        <w:t>úpravy úrovne rozpočtových prostriedkov a/alebo zamestnancov viacerých decentralizovaných agentúr, najmä Agentúry Európskej únie pre justičnú spoluprácu v trestných veciach (Eurojust), Agentúry Európskej únie na prevádzkové riadenie rozsiahlych informačných systémov v priestore slobody, bezpečnosti a spravodlivosti (eu-LISA) a Európskej prokuratúry (EPPO), pričom sa zohľadňuje najnovší legislatívny alebo politický vývoj ich operácií v roku 2024 a sumy, ktoré sa majú presunúť z riadkov rezerv do operačných riadkov po prijatí právnych návrhov,</w:t>
      </w:r>
    </w:p>
    <w:p w14:paraId="1374AC54" w14:textId="3D0E2971" w:rsidR="00855868" w:rsidRPr="00855868" w:rsidRDefault="00855868"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prevod zdrojov Európskeho fondu regionálneho rozvoja (EFRR) do programu Horizont Európa v nadväznosti na zodpovedajúcu žiadosť Litvy o zmenu svojho programu EFRR podľa článku 26 nariadenia o spoločných ustanoveniach</w:t>
      </w:r>
      <w:r>
        <w:rPr>
          <w:rStyle w:val="FootnoteReference"/>
          <w:rFonts w:ascii="Times New Roman" w:eastAsia="Times New Roman" w:hAnsi="Times New Roman"/>
          <w:noProof/>
          <w:sz w:val="24"/>
          <w:szCs w:val="24"/>
          <w:lang w:val="en-GB"/>
        </w:rPr>
        <w:footnoteReference w:id="5"/>
      </w:r>
      <w:r>
        <w:rPr>
          <w:rFonts w:ascii="Times New Roman" w:hAnsi="Times New Roman"/>
          <w:noProof/>
          <w:sz w:val="24"/>
        </w:rPr>
        <w:t>,</w:t>
      </w:r>
    </w:p>
    <w:p w14:paraId="09835B50" w14:textId="6FD207B3" w:rsidR="00F16A2C" w:rsidRPr="00E40411" w:rsidRDefault="16DC15BE" w:rsidP="00B77C02">
      <w:pPr>
        <w:numPr>
          <w:ilvl w:val="0"/>
          <w:numId w:val="13"/>
        </w:numPr>
        <w:spacing w:before="120" w:after="120"/>
        <w:jc w:val="both"/>
        <w:rPr>
          <w:noProof/>
        </w:rPr>
      </w:pPr>
      <w:r>
        <w:rPr>
          <w:noProof/>
        </w:rPr>
        <w:t>úpravy okruhu 7 „Európska verejná správa“, najmä v súvislosti s Európskou službou pre vonkajšiu činnosť (ESVČ) s cieľom ďalej posilniť útvar pre plánovanie a vedenie vojenských operácií (MPCC) vrátane zvýšenia počtu zamestnancov a posilnenia komunikačného a informačného systému, ako aj iné menšie úpravy okruhu,</w:t>
      </w:r>
    </w:p>
    <w:p w14:paraId="6721DE34" w14:textId="7509C644" w:rsidR="006932EB" w:rsidRDefault="006932EB" w:rsidP="00B77C02">
      <w:pPr>
        <w:numPr>
          <w:ilvl w:val="0"/>
          <w:numId w:val="13"/>
        </w:numPr>
        <w:spacing w:before="120" w:after="120"/>
        <w:jc w:val="both"/>
        <w:rPr>
          <w:noProof/>
        </w:rPr>
      </w:pPr>
      <w:r>
        <w:rPr>
          <w:noProof/>
        </w:rPr>
        <w:t>sumy, ktoré sa po prijatí základných aktov presunú z riadku rezerv do operačného riadku pre akt na podporu výroby munície (ASAP) a akt o posilnení európskeho obranného priemyslu prostredníctvom spoločného obstarávania (EDIRPA).</w:t>
      </w:r>
    </w:p>
    <w:p w14:paraId="6068C61A" w14:textId="0FCA21C1" w:rsidR="00F16A2C" w:rsidRDefault="006836D1">
      <w:pPr>
        <w:spacing w:after="200"/>
        <w:jc w:val="both"/>
        <w:rPr>
          <w:noProof/>
          <w:szCs w:val="20"/>
        </w:rPr>
      </w:pPr>
      <w:bookmarkStart w:id="20" w:name="_Toc463264163"/>
      <w:r>
        <w:rPr>
          <w:noProof/>
        </w:rPr>
        <w:t>Celkový čistý vplyv OL č. 1/2024 na výdavky v rámci NR 2024 predstavuje zníženie o 67,4 mil. EUR vo viazaných a platobných rozpočtových prostriedkoch.</w:t>
      </w:r>
    </w:p>
    <w:p w14:paraId="1434C705" w14:textId="77777777" w:rsidR="00F16A2C" w:rsidRDefault="006836D1" w:rsidP="00295C22">
      <w:pPr>
        <w:spacing w:before="120" w:after="120" w:line="259" w:lineRule="auto"/>
        <w:jc w:val="both"/>
        <w:rPr>
          <w:noProof/>
          <w:szCs w:val="20"/>
        </w:rPr>
      </w:pPr>
      <w:bookmarkStart w:id="21" w:name="_Toc526753780"/>
      <w:r>
        <w:rPr>
          <w:noProof/>
        </w:rPr>
        <w:t xml:space="preserve">Ďalšie informácie o jednotlivých zložkách sú uvedené v nasledujúcich oddieloch. </w:t>
      </w:r>
    </w:p>
    <w:p w14:paraId="47C3D2AC" w14:textId="5A0823CB" w:rsidR="00F16A2C" w:rsidRDefault="006836D1" w:rsidP="00295C22">
      <w:pPr>
        <w:spacing w:before="120" w:after="120" w:line="259" w:lineRule="auto"/>
        <w:jc w:val="both"/>
        <w:rPr>
          <w:noProof/>
          <w:szCs w:val="20"/>
        </w:rPr>
      </w:pPr>
      <w:r>
        <w:rPr>
          <w:noProof/>
        </w:rPr>
        <w:t>Príslušné rozpočtové riadky sú podrobne opísané v prílohe k rozpočtu spolu s aktualizáciou príjmov vyplývajúcou zo zmien vo výdavkoch zahrnutých v tomto opravnom liste.</w:t>
      </w:r>
    </w:p>
    <w:p w14:paraId="4E306BA3" w14:textId="67646DB4" w:rsidR="000C3D34" w:rsidRDefault="00357691" w:rsidP="000C3D34">
      <w:pPr>
        <w:pStyle w:val="ManualHeading1"/>
        <w:ind w:left="0" w:firstLine="0"/>
        <w:rPr>
          <w:noProof/>
        </w:rPr>
      </w:pPr>
      <w:bookmarkStart w:id="22" w:name="_Toc54770319"/>
      <w:bookmarkStart w:id="23" w:name="_Toc55807129"/>
      <w:bookmarkStart w:id="24" w:name="_Toc114838628"/>
      <w:bookmarkStart w:id="25" w:name="_Toc145922820"/>
      <w:bookmarkStart w:id="26" w:name="_Hlk111642919"/>
      <w:bookmarkStart w:id="27" w:name="_Hlk109912676"/>
      <w:r>
        <w:rPr>
          <w:noProof/>
        </w:rPr>
        <w:t>2.</w:t>
      </w:r>
      <w:r>
        <w:rPr>
          <w:noProof/>
        </w:rPr>
        <w:tab/>
      </w:r>
      <w:bookmarkEnd w:id="22"/>
      <w:bookmarkEnd w:id="23"/>
      <w:r>
        <w:rPr>
          <w:noProof/>
        </w:rPr>
        <w:t>Náklady na financovanie nástroja NextGenerationEU</w:t>
      </w:r>
      <w:bookmarkEnd w:id="24"/>
      <w:bookmarkEnd w:id="25"/>
    </w:p>
    <w:p w14:paraId="5413FD53" w14:textId="055214A4" w:rsidR="00192698" w:rsidRDefault="00C40A78" w:rsidP="000C3D34">
      <w:pPr>
        <w:spacing w:before="120" w:after="120" w:line="259" w:lineRule="auto"/>
        <w:jc w:val="both"/>
        <w:rPr>
          <w:noProof/>
        </w:rPr>
      </w:pPr>
      <w:bookmarkStart w:id="28" w:name="_Hlk115359835"/>
      <w:r>
        <w:rPr>
          <w:noProof/>
        </w:rPr>
        <w:t>V kontexte NR 2024 Komisia navrhla posilnenie riadku týkajúceho sa úrokov v rámci nástroja EURI o 1,9 mld. EUR v porovnaní s finančným plánom na rok 2024, a to na základe vtedajších prognóz úrokových sadzieb a vyplácania prostriedkov z NGEU do konca roka 2023.</w:t>
      </w:r>
    </w:p>
    <w:p w14:paraId="63DEF4DB" w14:textId="693F8568" w:rsidR="00551C71" w:rsidRDefault="77D59C42" w:rsidP="000C3D34">
      <w:pPr>
        <w:spacing w:before="120" w:after="120" w:line="259" w:lineRule="auto"/>
        <w:jc w:val="both"/>
        <w:rPr>
          <w:noProof/>
        </w:rPr>
      </w:pPr>
      <w:r>
        <w:rPr>
          <w:noProof/>
        </w:rPr>
        <w:t xml:space="preserve">Najnovšie prognózy týkajúce sa riadku nástroja EURI – stav k 8. októbru 2023 – uvádzajú celkovú sumu vyplácaných prostriedkov v rámci nenávratnej podpory v roku 2023 vo výške 79,9 mld. EUR, čo predstavuje zníženie približne o 3 mld. EUR v porovnaní s plánom vyplácania zohľadneným v NR 2024. Podľa tohto nového scenára, v ktorom sa zohľadňujú aj mierne vyššie úrokové sadzby a zvýšenie sumy, ktorú možno preniesť z roku 2023, o 10 mil. EUR, predstavujú odhadované náklady na riadok týkajúci sa úrokov 3 790 mil. EUR, t. j. zníženie o 74 mil. EUR. Komisia navrhuje zodpovedajúcim spôsobom znížiť úroveň viazaných a platobných rozpočtových prostriedkov v riadku týkajúcom sa úrokov v rámci nástroja EURI.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C3D34" w:rsidRPr="00B31192" w14:paraId="02AEB056"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5651296A" w14:textId="77777777" w:rsidR="000C3D34" w:rsidRPr="00B31192" w:rsidRDefault="000C3D34" w:rsidP="00E40411">
            <w:pPr>
              <w:widowControl w:val="0"/>
              <w:spacing w:before="15" w:after="15"/>
              <w:jc w:val="right"/>
              <w:rPr>
                <w:i/>
                <w:noProof/>
                <w:sz w:val="20"/>
                <w:szCs w:val="20"/>
              </w:rPr>
            </w:pPr>
            <w:bookmarkStart w:id="29" w:name="_Hlk111646182"/>
            <w:bookmarkEnd w:id="28"/>
            <w:r>
              <w:rPr>
                <w:i/>
                <w:noProof/>
                <w:sz w:val="20"/>
              </w:rPr>
              <w:t>v EUR</w:t>
            </w:r>
          </w:p>
        </w:tc>
      </w:tr>
      <w:tr w:rsidR="000C3D34" w:rsidRPr="00B31192" w14:paraId="22730187" w14:textId="77777777" w:rsidTr="42EA40D1">
        <w:trPr>
          <w:jc w:val="center"/>
        </w:trPr>
        <w:tc>
          <w:tcPr>
            <w:tcW w:w="1276" w:type="dxa"/>
            <w:tcBorders>
              <w:top w:val="single" w:sz="4" w:space="0" w:color="auto"/>
            </w:tcBorders>
            <w:shd w:val="clear" w:color="auto" w:fill="D9D9D9" w:themeFill="background1" w:themeFillShade="D9"/>
            <w:vAlign w:val="center"/>
          </w:tcPr>
          <w:p w14:paraId="02AF8B25" w14:textId="77777777" w:rsidR="000C3D34" w:rsidRPr="00B31192" w:rsidRDefault="000C3D34" w:rsidP="00E40411">
            <w:pPr>
              <w:keepNext/>
              <w:spacing w:before="15" w:after="15"/>
              <w:jc w:val="center"/>
              <w:rPr>
                <w:b/>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2379AAE4" w14:textId="77777777" w:rsidR="000C3D34" w:rsidRPr="00B31192" w:rsidRDefault="000C3D34" w:rsidP="00E40411">
            <w:pPr>
              <w:widowControl w:val="0"/>
              <w:spacing w:before="15" w:after="15"/>
              <w:jc w:val="center"/>
              <w:rPr>
                <w:b/>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0D9DA9E5" w14:textId="77777777" w:rsidR="000C3D34" w:rsidRPr="00B31192" w:rsidRDefault="000C3D34" w:rsidP="00E40411">
            <w:pPr>
              <w:widowControl w:val="0"/>
              <w:spacing w:before="15" w:after="15"/>
              <w:jc w:val="center"/>
              <w:rPr>
                <w:b/>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748B6372" w14:textId="77777777" w:rsidR="000C3D34" w:rsidRPr="00B31192" w:rsidRDefault="000C3D34" w:rsidP="00E40411">
            <w:pPr>
              <w:widowControl w:val="0"/>
              <w:spacing w:before="15" w:after="15"/>
              <w:jc w:val="center"/>
              <w:rPr>
                <w:b/>
                <w:noProof/>
                <w:sz w:val="20"/>
                <w:szCs w:val="20"/>
              </w:rPr>
            </w:pPr>
            <w:r>
              <w:rPr>
                <w:b/>
                <w:noProof/>
                <w:sz w:val="20"/>
              </w:rPr>
              <w:t>Platobné rozpočtové prostriedky</w:t>
            </w:r>
          </w:p>
        </w:tc>
      </w:tr>
      <w:tr w:rsidR="000C3D34" w:rsidRPr="00B31192" w14:paraId="11A9C2FC" w14:textId="77777777" w:rsidTr="42EA40D1">
        <w:trPr>
          <w:jc w:val="center"/>
        </w:trPr>
        <w:tc>
          <w:tcPr>
            <w:tcW w:w="9810" w:type="dxa"/>
            <w:gridSpan w:val="4"/>
            <w:shd w:val="clear" w:color="auto" w:fill="F2F2F2" w:themeFill="background1" w:themeFillShade="F2"/>
            <w:vAlign w:val="center"/>
          </w:tcPr>
          <w:p w14:paraId="310E6E49" w14:textId="77777777" w:rsidR="000C3D34" w:rsidRPr="00B31192" w:rsidRDefault="000C3D34" w:rsidP="00E40411">
            <w:pPr>
              <w:widowControl w:val="0"/>
              <w:spacing w:before="15" w:after="15"/>
              <w:rPr>
                <w:i/>
                <w:noProof/>
                <w:sz w:val="20"/>
                <w:szCs w:val="20"/>
              </w:rPr>
            </w:pPr>
            <w:r>
              <w:rPr>
                <w:i/>
                <w:noProof/>
                <w:sz w:val="20"/>
              </w:rPr>
              <w:t>Oddiel III – Komisia</w:t>
            </w:r>
          </w:p>
        </w:tc>
      </w:tr>
      <w:tr w:rsidR="000C3D34" w:rsidRPr="00B31192" w14:paraId="0E946FF2" w14:textId="77777777" w:rsidTr="42EA40D1">
        <w:trPr>
          <w:jc w:val="center"/>
        </w:trPr>
        <w:tc>
          <w:tcPr>
            <w:tcW w:w="1276" w:type="dxa"/>
          </w:tcPr>
          <w:p w14:paraId="539A4087" w14:textId="77777777" w:rsidR="000C3D34" w:rsidRPr="000C3AD9" w:rsidRDefault="000C3D34" w:rsidP="00E40411">
            <w:pPr>
              <w:widowControl w:val="0"/>
              <w:spacing w:before="15" w:after="15"/>
              <w:ind w:right="-113"/>
              <w:jc w:val="both"/>
              <w:rPr>
                <w:noProof/>
                <w:sz w:val="16"/>
                <w:szCs w:val="16"/>
              </w:rPr>
            </w:pPr>
            <w:r>
              <w:rPr>
                <w:noProof/>
                <w:sz w:val="16"/>
              </w:rPr>
              <w:t>06 04 01</w:t>
            </w:r>
          </w:p>
        </w:tc>
        <w:tc>
          <w:tcPr>
            <w:tcW w:w="5132" w:type="dxa"/>
          </w:tcPr>
          <w:p w14:paraId="5FAA4D76" w14:textId="77777777" w:rsidR="000C3D34" w:rsidRPr="000C3AD9" w:rsidRDefault="000C3D34" w:rsidP="00E40411">
            <w:pPr>
              <w:widowControl w:val="0"/>
              <w:tabs>
                <w:tab w:val="left" w:pos="1350"/>
              </w:tabs>
              <w:spacing w:before="15" w:after="15"/>
              <w:jc w:val="both"/>
              <w:rPr>
                <w:i/>
                <w:noProof/>
                <w:sz w:val="16"/>
                <w:szCs w:val="16"/>
              </w:rPr>
            </w:pPr>
            <w:r>
              <w:rPr>
                <w:noProof/>
                <w:sz w:val="16"/>
              </w:rPr>
              <w:t>Nástroj Európskej únie na obnovu (EURI) – pravidelné vyplácanie kupónu a umorenie pri splatnosti</w:t>
            </w:r>
          </w:p>
        </w:tc>
        <w:tc>
          <w:tcPr>
            <w:tcW w:w="1701" w:type="dxa"/>
          </w:tcPr>
          <w:p w14:paraId="236AA094" w14:textId="4D54E8A5" w:rsidR="000C3D34" w:rsidRPr="000C3AD9" w:rsidRDefault="016C03CB" w:rsidP="000C3AD9">
            <w:pPr>
              <w:widowControl w:val="0"/>
              <w:spacing w:before="15" w:after="15"/>
              <w:jc w:val="right"/>
              <w:rPr>
                <w:noProof/>
                <w:sz w:val="16"/>
                <w:szCs w:val="16"/>
              </w:rPr>
            </w:pPr>
            <w:r>
              <w:rPr>
                <w:noProof/>
                <w:sz w:val="16"/>
              </w:rPr>
              <w:t>-74 000 000</w:t>
            </w:r>
          </w:p>
        </w:tc>
        <w:tc>
          <w:tcPr>
            <w:tcW w:w="1701" w:type="dxa"/>
          </w:tcPr>
          <w:p w14:paraId="4C9F1925" w14:textId="092569E3" w:rsidR="000C3D34" w:rsidRPr="000C3AD9" w:rsidRDefault="016C03CB" w:rsidP="000C3AD9">
            <w:pPr>
              <w:widowControl w:val="0"/>
              <w:spacing w:before="15" w:after="15"/>
              <w:jc w:val="right"/>
              <w:rPr>
                <w:noProof/>
                <w:sz w:val="16"/>
                <w:szCs w:val="16"/>
              </w:rPr>
            </w:pPr>
            <w:r>
              <w:rPr>
                <w:noProof/>
                <w:sz w:val="16"/>
              </w:rPr>
              <w:t>-74 000 000</w:t>
            </w:r>
          </w:p>
        </w:tc>
      </w:tr>
      <w:tr w:rsidR="000C3D34" w:rsidRPr="00B31192" w14:paraId="5F0DE26D" w14:textId="77777777" w:rsidTr="42EA40D1">
        <w:trPr>
          <w:jc w:val="center"/>
        </w:trPr>
        <w:tc>
          <w:tcPr>
            <w:tcW w:w="6408" w:type="dxa"/>
            <w:gridSpan w:val="2"/>
            <w:shd w:val="clear" w:color="auto" w:fill="D9D9D9" w:themeFill="background1" w:themeFillShade="D9"/>
          </w:tcPr>
          <w:p w14:paraId="6F973FAC" w14:textId="77777777" w:rsidR="000C3D34" w:rsidRPr="000C3AD9" w:rsidRDefault="000C3D34" w:rsidP="00E40411">
            <w:pPr>
              <w:widowControl w:val="0"/>
              <w:spacing w:before="15" w:after="15"/>
              <w:ind w:right="-113"/>
              <w:jc w:val="both"/>
              <w:rPr>
                <w:b/>
                <w:noProof/>
                <w:sz w:val="20"/>
                <w:szCs w:val="20"/>
              </w:rPr>
            </w:pPr>
            <w:r>
              <w:rPr>
                <w:b/>
                <w:noProof/>
                <w:sz w:val="20"/>
              </w:rPr>
              <w:t>Spolu</w:t>
            </w:r>
            <w:r>
              <w:rPr>
                <w:noProof/>
              </w:rPr>
              <w:tab/>
            </w:r>
          </w:p>
        </w:tc>
        <w:tc>
          <w:tcPr>
            <w:tcW w:w="1701" w:type="dxa"/>
            <w:shd w:val="clear" w:color="auto" w:fill="D9D9D9" w:themeFill="background1" w:themeFillShade="D9"/>
          </w:tcPr>
          <w:p w14:paraId="1872A27F" w14:textId="0CB6AC8E" w:rsidR="000C3D34" w:rsidRPr="000C3AD9" w:rsidRDefault="0D726D17" w:rsidP="42EA40D1">
            <w:pPr>
              <w:widowControl w:val="0"/>
              <w:spacing w:before="15" w:after="15"/>
              <w:jc w:val="right"/>
              <w:rPr>
                <w:b/>
                <w:bCs/>
                <w:noProof/>
                <w:sz w:val="20"/>
                <w:szCs w:val="20"/>
              </w:rPr>
            </w:pPr>
            <w:r>
              <w:rPr>
                <w:b/>
                <w:noProof/>
                <w:sz w:val="20"/>
              </w:rPr>
              <w:t>-74 000 000</w:t>
            </w:r>
          </w:p>
        </w:tc>
        <w:tc>
          <w:tcPr>
            <w:tcW w:w="1701" w:type="dxa"/>
            <w:shd w:val="clear" w:color="auto" w:fill="D9D9D9" w:themeFill="background1" w:themeFillShade="D9"/>
          </w:tcPr>
          <w:p w14:paraId="00D0A31B" w14:textId="3045D923" w:rsidR="000C3D34" w:rsidRPr="000C3AD9" w:rsidRDefault="0D726D17" w:rsidP="42EA40D1">
            <w:pPr>
              <w:widowControl w:val="0"/>
              <w:spacing w:before="15" w:after="15"/>
              <w:jc w:val="right"/>
              <w:rPr>
                <w:b/>
                <w:bCs/>
                <w:noProof/>
                <w:sz w:val="20"/>
                <w:szCs w:val="20"/>
              </w:rPr>
            </w:pPr>
            <w:r>
              <w:rPr>
                <w:b/>
                <w:noProof/>
                <w:sz w:val="20"/>
              </w:rPr>
              <w:t>-74 000 000</w:t>
            </w:r>
          </w:p>
        </w:tc>
      </w:tr>
      <w:bookmarkEnd w:id="29"/>
    </w:tbl>
    <w:p w14:paraId="74B3A691" w14:textId="77777777" w:rsidR="004C6BAD" w:rsidRDefault="004C6BAD" w:rsidP="008A03CD">
      <w:pPr>
        <w:spacing w:before="120" w:after="120"/>
        <w:jc w:val="both"/>
        <w:rPr>
          <w:noProof/>
          <w:lang w:eastAsia="de-DE"/>
        </w:rPr>
      </w:pPr>
    </w:p>
    <w:p w14:paraId="15ED44CB" w14:textId="43A7D716" w:rsidR="000C3D34" w:rsidRDefault="53747F01" w:rsidP="008A03CD">
      <w:pPr>
        <w:spacing w:before="120" w:after="120"/>
        <w:jc w:val="both"/>
        <w:rPr>
          <w:noProof/>
        </w:rPr>
      </w:pPr>
      <w:r>
        <w:rPr>
          <w:noProof/>
        </w:rPr>
        <w:t>Navrhovaným znížením by sa využitie nástroja jednotnej rezervy v rámci podokruhu 2b znížilo o 72,0 mil. EUR na 300,8 mil. EUR.</w:t>
      </w:r>
    </w:p>
    <w:p w14:paraId="1B01474F" w14:textId="607E85E6" w:rsidR="00FF1D72" w:rsidRPr="00FF1D72" w:rsidRDefault="00692727" w:rsidP="00FF1D72">
      <w:pPr>
        <w:pStyle w:val="ManualHeading1"/>
        <w:ind w:left="0" w:firstLine="0"/>
        <w:rPr>
          <w:noProof/>
        </w:rPr>
      </w:pPr>
      <w:bookmarkStart w:id="30" w:name="_Toc54770320"/>
      <w:bookmarkStart w:id="31" w:name="_Toc55807130"/>
      <w:bookmarkStart w:id="32" w:name="_Toc114838631"/>
      <w:bookmarkStart w:id="33" w:name="_Toc145922821"/>
      <w:bookmarkEnd w:id="26"/>
      <w:bookmarkEnd w:id="27"/>
      <w:r>
        <w:rPr>
          <w:noProof/>
        </w:rPr>
        <w:t>3.</w:t>
      </w:r>
      <w:r>
        <w:rPr>
          <w:noProof/>
        </w:rPr>
        <w:tab/>
        <w:t>Európsky poľnohospodársky záručný fond (EPZF)</w:t>
      </w:r>
      <w:bookmarkEnd w:id="30"/>
      <w:bookmarkEnd w:id="31"/>
      <w:bookmarkEnd w:id="32"/>
      <w:bookmarkEnd w:id="33"/>
    </w:p>
    <w:p w14:paraId="6623D8AC" w14:textId="6B76F37D" w:rsidR="00F16A2C" w:rsidRDefault="006836D1" w:rsidP="00B77C02">
      <w:pPr>
        <w:autoSpaceDE w:val="0"/>
        <w:autoSpaceDN w:val="0"/>
        <w:adjustRightInd w:val="0"/>
        <w:spacing w:before="120" w:after="120" w:line="259" w:lineRule="auto"/>
        <w:jc w:val="both"/>
        <w:rPr>
          <w:noProof/>
        </w:rPr>
      </w:pPr>
      <w:bookmarkStart w:id="34" w:name="_Toc462933829"/>
      <w:bookmarkStart w:id="35" w:name="_Toc462935190"/>
      <w:bookmarkStart w:id="36" w:name="_Toc462935292"/>
      <w:bookmarkStart w:id="37" w:name="_Toc462935340"/>
      <w:bookmarkStart w:id="38" w:name="_Toc462935497"/>
      <w:bookmarkStart w:id="39" w:name="_Toc463004731"/>
      <w:bookmarkStart w:id="40" w:name="_Toc463264164"/>
      <w:bookmarkStart w:id="41" w:name="_Toc463376628"/>
      <w:bookmarkStart w:id="42" w:name="_Toc463438680"/>
      <w:bookmarkStart w:id="43" w:name="_Toc463438848"/>
      <w:bookmarkStart w:id="44" w:name="_Toc463462765"/>
      <w:bookmarkStart w:id="45" w:name="_Toc463974150"/>
      <w:bookmarkStart w:id="46" w:name="_Toc464028191"/>
      <w:bookmarkStart w:id="47" w:name="_Toc462933830"/>
      <w:bookmarkStart w:id="48" w:name="_Toc462935191"/>
      <w:bookmarkStart w:id="49" w:name="_Toc462935293"/>
      <w:bookmarkStart w:id="50" w:name="_Toc462935341"/>
      <w:bookmarkStart w:id="51" w:name="_Toc462935498"/>
      <w:bookmarkStart w:id="52" w:name="_Toc463004732"/>
      <w:bookmarkStart w:id="53" w:name="_Toc463264165"/>
      <w:bookmarkStart w:id="54" w:name="_Toc463376629"/>
      <w:bookmarkStart w:id="55" w:name="_Toc463438681"/>
      <w:bookmarkStart w:id="56" w:name="_Toc463438849"/>
      <w:bookmarkStart w:id="57" w:name="_Toc463462766"/>
      <w:bookmarkStart w:id="58" w:name="_Toc463974151"/>
      <w:bookmarkStart w:id="59" w:name="_Toc464028192"/>
      <w:bookmarkStart w:id="60" w:name="_Toc464028333"/>
      <w:bookmarkStart w:id="61" w:name="_Toc526753782"/>
      <w:bookmarkStart w:id="62" w:name="_Toc5267537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noProof/>
        </w:rPr>
        <w:t xml:space="preserve">V OL č. 1/2024 sa aktualizujú odhady poľnohospodárskych výdavkov na základe najnovších hospodárskych údajov a legislatívneho rámca. Komisia mala k septembru 2023 k dispozícii prvé údaje o úrovni produkcie za rok 2023 a o výhľade pre poľnohospodárske trhy a číselné údaje týkajúce sa plnenia väčšiny rozpočtu na rok 2023, pokiaľ ide o zdieľané riadenie EPZF, ktoré boli podkladom pre aktualizované odhady rozpočtových potrieb na rok 2024. </w:t>
      </w:r>
    </w:p>
    <w:p w14:paraId="083C315A" w14:textId="6BEA23E6" w:rsidR="00F16A2C" w:rsidRDefault="461A41E1" w:rsidP="00295C22">
      <w:pPr>
        <w:autoSpaceDE w:val="0"/>
        <w:autoSpaceDN w:val="0"/>
        <w:adjustRightInd w:val="0"/>
        <w:spacing w:before="120" w:after="120" w:line="259" w:lineRule="auto"/>
        <w:jc w:val="both"/>
        <w:rPr>
          <w:noProof/>
        </w:rPr>
      </w:pPr>
      <w:r>
        <w:rPr>
          <w:noProof/>
        </w:rPr>
        <w:t xml:space="preserve">Okrem trhových faktorov zohľadňuje OL č. 1/2024 aj vplyv legislatívnych rozhodnutí týkajúcich sa odvetvia poľnohospodárstva od júla 2023, keď bol prijatý NR 2024. </w:t>
      </w:r>
    </w:p>
    <w:p w14:paraId="4FB6C60E" w14:textId="451919EB" w:rsidR="003D701A" w:rsidRDefault="0A25AB03" w:rsidP="44803770">
      <w:pPr>
        <w:autoSpaceDE w:val="0"/>
        <w:autoSpaceDN w:val="0"/>
        <w:adjustRightInd w:val="0"/>
        <w:spacing w:before="120" w:after="120" w:line="259" w:lineRule="auto"/>
        <w:jc w:val="both"/>
        <w:rPr>
          <w:noProof/>
        </w:rPr>
      </w:pPr>
      <w:r>
        <w:rPr>
          <w:noProof/>
        </w:rPr>
        <w:t>Celkovo sa potreby EPZF na rok 2024 vrátane poľnohospodárskej rezervy (ktorá je financovaná z nevyužitej sumy z poľnohospodárskej rezervy na rok 2023 vo výške 200 mil. EUR, ako aj z dostupných prostriedkov EPZF na rok 2024) v súčasnosti odhadujú na 41 450,6 mil. EUR</w:t>
      </w:r>
      <w:r>
        <w:rPr>
          <w:noProof/>
          <w:vertAlign w:val="superscript"/>
        </w:rPr>
        <w:footnoteReference w:id="6"/>
      </w:r>
      <w:r>
        <w:rPr>
          <w:noProof/>
        </w:rPr>
        <w:t>. V porovnaní s NR 2024 ide o zvýšenie o 343 mil. EUR, čo je spôsobené i) dodatočnými potrebami vo výške 280 mil. EUR v položke 08 02 01 „Poľnohospodárska rezerva“, ii) vyššími potrebami na trhové opatrenia a intervencie členských štátov – o 61 mil. EUR, a to najmä v dôsledku vyšších potrieb v sektore ovocia a zeleniny, a iii) miernym zvýšením – o 2 mil. EUR – v prípade iných výdavkov EPZF.</w:t>
      </w:r>
    </w:p>
    <w:p w14:paraId="74E92990" w14:textId="03C81E31" w:rsidR="022E8991" w:rsidRDefault="022E8991" w:rsidP="42EA40D1">
      <w:pPr>
        <w:spacing w:before="120" w:after="120" w:line="259" w:lineRule="auto"/>
        <w:jc w:val="both"/>
        <w:rPr>
          <w:noProof/>
        </w:rPr>
      </w:pPr>
      <w:r>
        <w:rPr>
          <w:noProof/>
        </w:rPr>
        <w:t>V roku 2023 boli prijaté výnimočné opatrenia s celkovým finančným vplyvom vo výške 530 mil. EUR s cieľom poskytnúť podporu poľnohospodárom postihnutým vtáčou chrípkou, riešiť narušenia trhu spôsobené zvýšeným dovozom ukrajinského obilia do členských štátov hraničiacich s Ukrajinou, ako aj poskytnúť pomoc poľnohospodárom postihnutým extrémnymi poveternostnými javmi a inými osobitnými problémami. Táto celková suma prekročila výšku prostriedkov disponibilných v rámci poľnohospodárskej rezervy na rok 2023 o 80 mil. EUR. Zo 450 mil. EUR, ktoré sú k dispozícii, sa na základe najnovších údajov o vykonávaní a prognóz členských štátov očakáva, že v roku 2023 sa použije 250 mil. EUR. Zostávajúca suma 200 mil. EUR sa prenesie do roku 2024 v súlade s článkom 16 ods. 2 horizontálneho nariadenia SPP</w:t>
      </w:r>
      <w:r>
        <w:rPr>
          <w:rStyle w:val="FootnoteReference"/>
          <w:noProof/>
        </w:rPr>
        <w:footnoteReference w:id="7"/>
      </w:r>
      <w:r>
        <w:rPr>
          <w:noProof/>
        </w:rPr>
        <w:t xml:space="preserve"> a použije sa na úhradu výdavkov členských štátov súvisiacich s týmito výnimočnými opatreniami, ktoré boli prijaté v roku 2023, ale vyplatené po 15. októbri, a ktoré teda patria do poľnohospodárskeho roka 2024. Aby Komisia mohla v plnej miere pokryť výnimočné opatrenia prijaté v roku 2023, navrhuje v súlade s článkom 16 ods. 2 prvým pododsekom horizontálneho nariadenia SPP zvýšiť nové rozpočtové prostriedky z poľnohospodárskej rezervy na rok 2024 o 80 mil. EUR v porovnaní s NR 2024, t. j. na 530 mil. EUR. To umožní ponechať 450 mil. EUR na nové výnimočné opatrenia, ktoré môže byť potrebné prijať na budúci rok s cieľom reagovať na možné narušenia trhu spôsobené trvalo nestabilným geopolitickým kontextom a čoraz viac nepriaznivými klimatickými udalosťami v celej EÚ.</w:t>
      </w:r>
    </w:p>
    <w:p w14:paraId="7FC6C90E" w14:textId="70CAE328" w:rsidR="00E573FF" w:rsidRPr="00EC7DDD" w:rsidRDefault="124CBAEA" w:rsidP="42EA40D1">
      <w:pPr>
        <w:autoSpaceDE w:val="0"/>
        <w:autoSpaceDN w:val="0"/>
        <w:adjustRightInd w:val="0"/>
        <w:spacing w:before="120" w:after="120" w:line="259" w:lineRule="auto"/>
        <w:jc w:val="both"/>
        <w:rPr>
          <w:noProof/>
          <w:highlight w:val="yellow"/>
        </w:rPr>
      </w:pPr>
      <w:r>
        <w:rPr>
          <w:noProof/>
        </w:rPr>
        <w:t>Suma pripísaných príjmov, ktorá by mala byť v roku 2024 k dispozícii, sa zvyšuje z 505,5 mil. EUR uvedených v NR 2024 na 848,5 mil. EUR, čím plne pokrýva dodatočné potreby. Očakávané zvýšenie pripísaných príjmov pochádza z očakávaného prebytku za rok 2023, ktorý sa prenesie do roku 2024 v súlade s článkom 12 ods. 2 písm. d) nariadenia o rozpočtových pravidlách. Prebytok pochádza z nedostatočného čerpania poľnohospodárskej rezervy na rok 2023, ako už bolo vysvetlené vyššie, a z relatívne malého nedostatočného čerpania priamych platieb, ako aj z vyšších pripísaných príjmov vyplývajúcich zo schválenia účtov EPZF, než sa očakávalo.</w:t>
      </w:r>
    </w:p>
    <w:p w14:paraId="613510DC" w14:textId="6AB56624" w:rsidR="00130CFB" w:rsidRDefault="00BD054A" w:rsidP="00295C22">
      <w:pPr>
        <w:autoSpaceDE w:val="0"/>
        <w:autoSpaceDN w:val="0"/>
        <w:adjustRightInd w:val="0"/>
        <w:spacing w:before="120" w:after="120" w:line="259" w:lineRule="auto"/>
        <w:jc w:val="both"/>
        <w:rPr>
          <w:noProof/>
        </w:rPr>
      </w:pPr>
      <w:r>
        <w:rPr>
          <w:noProof/>
        </w:rPr>
        <w:t xml:space="preserve">V dôsledku toho zostáva celková výška viazaných rozpočtových prostriedkov nezmenená, a to na úrovni 40 602,1 mil. EUR, pričom táto suma zahŕňa 530 mil. EUR pre poľnohospodársku rezervu. Táto celková suma zodpovedá čistému zostatku, ktorý je k dispozícii pre EPZF, vrátane vplyvu oznámení členských štátov o presunoch medzi priamymi platbami a rozvojom vidieka a neponecháva žiadnu rezervu v rámci čiastkového stropu. </w:t>
      </w:r>
    </w:p>
    <w:p w14:paraId="6C45491B" w14:textId="24EDA332" w:rsidR="00F16A2C" w:rsidRDefault="00692727" w:rsidP="00295C22">
      <w:pPr>
        <w:pStyle w:val="ManualHeading1"/>
        <w:ind w:left="0" w:firstLine="0"/>
        <w:rPr>
          <w:noProof/>
        </w:rPr>
      </w:pPr>
      <w:bookmarkStart w:id="63" w:name="_Toc55807155"/>
      <w:bookmarkStart w:id="64" w:name="_Toc114838632"/>
      <w:bookmarkStart w:id="65" w:name="_Toc145922822"/>
      <w:bookmarkStart w:id="66" w:name="_Toc54770344"/>
      <w:bookmarkEnd w:id="61"/>
      <w:bookmarkEnd w:id="62"/>
      <w:r>
        <w:rPr>
          <w:noProof/>
        </w:rPr>
        <w:t xml:space="preserve">4. </w:t>
      </w:r>
      <w:r>
        <w:rPr>
          <w:noProof/>
        </w:rPr>
        <w:tab/>
      </w:r>
      <w:bookmarkEnd w:id="63"/>
      <w:r>
        <w:rPr>
          <w:noProof/>
        </w:rPr>
        <w:t>Aktualizácia dohôd o partnerstve v odvetví udržateľného rybárstva</w:t>
      </w:r>
      <w:bookmarkEnd w:id="64"/>
      <w:bookmarkEnd w:id="65"/>
    </w:p>
    <w:p w14:paraId="27477F8A" w14:textId="25796E6F" w:rsidR="00BD054A" w:rsidRDefault="125CD364" w:rsidP="42EA40D1">
      <w:pPr>
        <w:autoSpaceDE w:val="0"/>
        <w:autoSpaceDN w:val="0"/>
        <w:adjustRightInd w:val="0"/>
        <w:spacing w:before="120" w:after="120" w:line="259" w:lineRule="auto"/>
        <w:jc w:val="both"/>
        <w:rPr>
          <w:noProof/>
        </w:rPr>
      </w:pPr>
      <w:r>
        <w:rPr>
          <w:noProof/>
        </w:rPr>
        <w:t>Ako sa stanovuje v časti II bode C medziinštitucionálnej dohody (IIA), Komisia preskúmala najnovšie dostupné informácie týkajúce sa dohôd o partnerstve v odvetví udržateľného rybárstva a na základe vývoja rokovaní so zúčastnenými tretími krajinami posúdila očakávané potreby na rok 2024</w:t>
      </w:r>
      <w:r>
        <w:rPr>
          <w:noProof/>
          <w:vertAlign w:val="superscript"/>
        </w:rPr>
        <w:footnoteReference w:id="8"/>
      </w:r>
      <w:r>
        <w:rPr>
          <w:noProof/>
        </w:rPr>
        <w:t xml:space="preserve">. Na základe tohto preskúmania Komisia navrhuje presunúť viazané a platobné rozpočtové prostriedky vo výške 2 560 000 EUR z rezervy (rozpočtový článok 30 02 02) do operačného článku (08 05 01 </w:t>
      </w:r>
      <w:r>
        <w:rPr>
          <w:i/>
          <w:iCs/>
          <w:noProof/>
        </w:rPr>
        <w:t>Vytvorenie rámca pre riadenie rybolovných činností rybárskych plavidiel Únie vo vodách tretích krajín</w:t>
      </w:r>
      <w:r>
        <w:rPr>
          <w:noProof/>
        </w:rPr>
        <w:t xml:space="preserve">). Tento rozpočtovo neutrálny presun sa týka dohody o partnerstve v odvetví udržateľného rybárstva s Madagaskarskou republikou, ktorá sa predbežne vykonáva od 1. júla 2023, a dohody o partnerstve v odvetví udržateľného rybárstva s Kiribatskou republikou, ktorá sa predbežne vykonáva od 2. októbra 2023. </w:t>
      </w:r>
    </w:p>
    <w:p w14:paraId="57B26DA5" w14:textId="78AA9358" w:rsidR="00A83110" w:rsidRDefault="00BD054A" w:rsidP="42EA40D1">
      <w:pPr>
        <w:autoSpaceDE w:val="0"/>
        <w:autoSpaceDN w:val="0"/>
        <w:adjustRightInd w:val="0"/>
        <w:spacing w:before="120" w:after="120" w:line="259" w:lineRule="auto"/>
        <w:jc w:val="both"/>
        <w:rPr>
          <w:noProof/>
        </w:rPr>
      </w:pPr>
      <w:r>
        <w:rPr>
          <w:noProof/>
        </w:rPr>
        <w:t>Celkové disponibilné viazané rozpočtové prostriedky na dohody o partnerstve v odvetví udržateľného rybárstva zostávajú nezmenené na úrovni 156,7 mil. EUR, z toho 66,9 mil. EUR v rezerve a 89,9 mil. EUR v hlavnom operačnom riadku.</w:t>
      </w:r>
    </w:p>
    <w:p w14:paraId="122F1BDB" w14:textId="74F3DF78" w:rsidR="00BD054A" w:rsidRPr="00BD054A" w:rsidRDefault="00BD054A" w:rsidP="00BD054A">
      <w:pPr>
        <w:autoSpaceDE w:val="0"/>
        <w:autoSpaceDN w:val="0"/>
        <w:adjustRightInd w:val="0"/>
        <w:spacing w:before="120" w:line="259" w:lineRule="auto"/>
        <w:jc w:val="right"/>
        <w:rPr>
          <w:i/>
          <w:iCs/>
          <w:noProof/>
          <w:sz w:val="20"/>
          <w:szCs w:val="20"/>
        </w:rPr>
      </w:pPr>
      <w:r>
        <w:rPr>
          <w:i/>
          <w:noProof/>
          <w:sz w:val="20"/>
        </w:rPr>
        <w:t>v EUR</w:t>
      </w:r>
    </w:p>
    <w:tbl>
      <w:tblPr>
        <w:tblW w:w="996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577"/>
        <w:gridCol w:w="1909"/>
        <w:gridCol w:w="2161"/>
      </w:tblGrid>
      <w:tr w:rsidR="00F16A2C" w14:paraId="4E411A56" w14:textId="77777777" w:rsidTr="00F250EB">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AE5E6" w14:textId="77777777" w:rsidR="00F16A2C" w:rsidRDefault="006836D1">
            <w:pPr>
              <w:widowControl w:val="0"/>
              <w:spacing w:before="15" w:after="15"/>
              <w:jc w:val="center"/>
              <w:rPr>
                <w:b/>
                <w:noProof/>
                <w:sz w:val="20"/>
                <w:szCs w:val="20"/>
              </w:rPr>
            </w:pPr>
            <w:bookmarkStart w:id="67" w:name="_Hlk111108294"/>
            <w:r>
              <w:rPr>
                <w:b/>
                <w:noProof/>
                <w:sz w:val="20"/>
              </w:rPr>
              <w:t>Rozpočtový riadok</w:t>
            </w:r>
          </w:p>
        </w:tc>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24B40" w14:textId="77777777" w:rsidR="00F16A2C" w:rsidRDefault="006836D1">
            <w:pPr>
              <w:widowControl w:val="0"/>
              <w:spacing w:before="15" w:after="15"/>
              <w:jc w:val="center"/>
              <w:rPr>
                <w:b/>
                <w:noProof/>
                <w:sz w:val="20"/>
                <w:szCs w:val="20"/>
              </w:rPr>
            </w:pPr>
            <w:r>
              <w:rPr>
                <w:b/>
                <w:noProof/>
                <w:sz w:val="20"/>
              </w:rPr>
              <w:t>Názov</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D8D8C" w14:textId="77777777" w:rsidR="00F16A2C" w:rsidRDefault="006836D1">
            <w:pPr>
              <w:widowControl w:val="0"/>
              <w:spacing w:before="15" w:after="15"/>
              <w:jc w:val="center"/>
              <w:rPr>
                <w:b/>
                <w:noProof/>
                <w:sz w:val="20"/>
                <w:szCs w:val="20"/>
              </w:rPr>
            </w:pPr>
            <w:r>
              <w:rPr>
                <w:b/>
                <w:noProof/>
                <w:sz w:val="20"/>
              </w:rPr>
              <w:t>Viazané rozpočtové prostriedky</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C0FA6" w14:textId="77777777" w:rsidR="00F16A2C" w:rsidRDefault="006836D1">
            <w:pPr>
              <w:widowControl w:val="0"/>
              <w:spacing w:before="15" w:after="15"/>
              <w:jc w:val="center"/>
              <w:rPr>
                <w:b/>
                <w:noProof/>
                <w:sz w:val="20"/>
                <w:szCs w:val="20"/>
              </w:rPr>
            </w:pPr>
            <w:r>
              <w:rPr>
                <w:b/>
                <w:noProof/>
                <w:sz w:val="20"/>
              </w:rPr>
              <w:t>Platobné rozpočtové prostriedky</w:t>
            </w:r>
          </w:p>
        </w:tc>
      </w:tr>
      <w:tr w:rsidR="00C94B68" w14:paraId="0CBFB1DC" w14:textId="77777777" w:rsidTr="00BD054A">
        <w:tc>
          <w:tcPr>
            <w:tcW w:w="9963" w:type="dxa"/>
            <w:gridSpan w:val="4"/>
            <w:tcBorders>
              <w:top w:val="single" w:sz="4" w:space="0" w:color="auto"/>
              <w:left w:val="single" w:sz="4" w:space="0" w:color="auto"/>
              <w:bottom w:val="single" w:sz="4" w:space="0" w:color="auto"/>
              <w:right w:val="single" w:sz="4" w:space="0" w:color="auto"/>
            </w:tcBorders>
            <w:vAlign w:val="center"/>
          </w:tcPr>
          <w:p w14:paraId="4B399656" w14:textId="649779C5" w:rsidR="0081068A" w:rsidRPr="008D3404" w:rsidRDefault="0081068A" w:rsidP="008D3404">
            <w:pPr>
              <w:widowControl w:val="0"/>
              <w:spacing w:before="15" w:after="15"/>
              <w:rPr>
                <w:i/>
                <w:iCs/>
                <w:noProof/>
                <w:sz w:val="20"/>
                <w:szCs w:val="20"/>
              </w:rPr>
            </w:pPr>
            <w:r>
              <w:rPr>
                <w:i/>
                <w:noProof/>
                <w:sz w:val="20"/>
              </w:rPr>
              <w:t>Oddiel III – Komisia</w:t>
            </w:r>
          </w:p>
        </w:tc>
      </w:tr>
      <w:tr w:rsidR="00F16A2C" w14:paraId="44BC52BE"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329C3693" w14:textId="77777777" w:rsidR="00F16A2C" w:rsidRPr="008D3404" w:rsidRDefault="006836D1">
            <w:pPr>
              <w:jc w:val="center"/>
              <w:rPr>
                <w:noProof/>
                <w:sz w:val="16"/>
                <w:szCs w:val="16"/>
              </w:rPr>
            </w:pPr>
            <w:r>
              <w:rPr>
                <w:noProof/>
                <w:sz w:val="16"/>
              </w:rPr>
              <w:t>08 05 01</w:t>
            </w:r>
          </w:p>
        </w:tc>
        <w:tc>
          <w:tcPr>
            <w:tcW w:w="4577" w:type="dxa"/>
            <w:tcBorders>
              <w:top w:val="single" w:sz="4" w:space="0" w:color="auto"/>
              <w:left w:val="single" w:sz="4" w:space="0" w:color="auto"/>
              <w:bottom w:val="single" w:sz="4" w:space="0" w:color="auto"/>
              <w:right w:val="single" w:sz="4" w:space="0" w:color="auto"/>
            </w:tcBorders>
          </w:tcPr>
          <w:p w14:paraId="2DE67D5F" w14:textId="77777777" w:rsidR="00F16A2C" w:rsidRPr="008D3404" w:rsidRDefault="006836D1">
            <w:pPr>
              <w:widowControl w:val="0"/>
              <w:tabs>
                <w:tab w:val="left" w:pos="1350"/>
              </w:tabs>
              <w:spacing w:before="15" w:after="15"/>
              <w:jc w:val="both"/>
              <w:rPr>
                <w:noProof/>
                <w:sz w:val="16"/>
                <w:szCs w:val="16"/>
              </w:rPr>
            </w:pPr>
            <w:r>
              <w:rPr>
                <w:noProof/>
                <w:sz w:val="16"/>
              </w:rPr>
              <w:t>Vytvorenie rámca pre riadenie rybolovných činností rybárskych plavidiel Únie vo vodách tretích krajín</w:t>
            </w:r>
          </w:p>
        </w:tc>
        <w:tc>
          <w:tcPr>
            <w:tcW w:w="1909" w:type="dxa"/>
            <w:tcBorders>
              <w:top w:val="single" w:sz="4" w:space="0" w:color="auto"/>
              <w:left w:val="single" w:sz="4" w:space="0" w:color="auto"/>
              <w:bottom w:val="single" w:sz="4" w:space="0" w:color="auto"/>
              <w:right w:val="single" w:sz="4" w:space="0" w:color="auto"/>
            </w:tcBorders>
            <w:vAlign w:val="center"/>
          </w:tcPr>
          <w:p w14:paraId="7E64626D" w14:textId="0FC54AB8" w:rsidR="00F16A2C" w:rsidRPr="008D3404" w:rsidRDefault="46024E10">
            <w:pPr>
              <w:widowControl w:val="0"/>
              <w:spacing w:before="15" w:after="15"/>
              <w:jc w:val="right"/>
              <w:rPr>
                <w:noProof/>
                <w:sz w:val="16"/>
                <w:szCs w:val="16"/>
              </w:rPr>
            </w:pPr>
            <w:r>
              <w:rPr>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6C20E349" w14:textId="1ED02BC5" w:rsidR="00F16A2C" w:rsidRPr="008D3404" w:rsidRDefault="5D09A752" w:rsidP="42EA40D1">
            <w:pPr>
              <w:widowControl w:val="0"/>
              <w:spacing w:before="15" w:after="15"/>
              <w:jc w:val="right"/>
              <w:rPr>
                <w:noProof/>
                <w:sz w:val="16"/>
                <w:szCs w:val="16"/>
              </w:rPr>
            </w:pPr>
            <w:r>
              <w:rPr>
                <w:noProof/>
                <w:sz w:val="16"/>
              </w:rPr>
              <w:t xml:space="preserve"> 2 560 000</w:t>
            </w:r>
          </w:p>
        </w:tc>
      </w:tr>
      <w:tr w:rsidR="00355BA7" w14:paraId="2B7980D7"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07BF1A2B" w14:textId="77777777" w:rsidR="00355BA7" w:rsidRPr="008D3404" w:rsidRDefault="00355BA7" w:rsidP="00355BA7">
            <w:pPr>
              <w:jc w:val="center"/>
              <w:rPr>
                <w:noProof/>
                <w:sz w:val="16"/>
                <w:szCs w:val="16"/>
              </w:rPr>
            </w:pPr>
            <w:r>
              <w:rPr>
                <w:noProof/>
                <w:sz w:val="16"/>
              </w:rPr>
              <w:t>30 02 02</w:t>
            </w:r>
          </w:p>
        </w:tc>
        <w:tc>
          <w:tcPr>
            <w:tcW w:w="4577" w:type="dxa"/>
            <w:tcBorders>
              <w:top w:val="single" w:sz="4" w:space="0" w:color="auto"/>
              <w:left w:val="single" w:sz="4" w:space="0" w:color="auto"/>
              <w:bottom w:val="single" w:sz="4" w:space="0" w:color="auto"/>
              <w:right w:val="single" w:sz="4" w:space="0" w:color="auto"/>
            </w:tcBorders>
          </w:tcPr>
          <w:p w14:paraId="495BA09D" w14:textId="77777777" w:rsidR="00355BA7" w:rsidRPr="008D3404" w:rsidRDefault="00355BA7" w:rsidP="00355BA7">
            <w:pPr>
              <w:widowControl w:val="0"/>
              <w:tabs>
                <w:tab w:val="left" w:pos="1350"/>
              </w:tabs>
              <w:spacing w:before="15" w:after="15"/>
              <w:jc w:val="both"/>
              <w:rPr>
                <w:noProof/>
                <w:sz w:val="16"/>
                <w:szCs w:val="16"/>
              </w:rPr>
            </w:pPr>
            <w:r>
              <w:rPr>
                <w:noProof/>
                <w:sz w:val="16"/>
              </w:rPr>
              <w:t>Diferencované rozpočtové prostriedky (</w:t>
            </w:r>
            <w:r>
              <w:rPr>
                <w:i/>
                <w:iCs/>
                <w:noProof/>
                <w:sz w:val="16"/>
              </w:rPr>
              <w:t>Rezerva pre rozpočtový článok 08 05 01</w:t>
            </w:r>
            <w:r>
              <w:rPr>
                <w:noProof/>
                <w:sz w:val="16"/>
              </w:rPr>
              <w:t>)</w:t>
            </w:r>
          </w:p>
        </w:tc>
        <w:tc>
          <w:tcPr>
            <w:tcW w:w="1909" w:type="dxa"/>
            <w:tcBorders>
              <w:top w:val="single" w:sz="4" w:space="0" w:color="auto"/>
              <w:left w:val="single" w:sz="4" w:space="0" w:color="auto"/>
              <w:bottom w:val="single" w:sz="4" w:space="0" w:color="auto"/>
              <w:right w:val="single" w:sz="4" w:space="0" w:color="auto"/>
            </w:tcBorders>
            <w:vAlign w:val="center"/>
          </w:tcPr>
          <w:p w14:paraId="5B2D7B54" w14:textId="332BDD83" w:rsidR="00355BA7" w:rsidRPr="00355BA7" w:rsidRDefault="69B17A07"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7AE12C9D" w14:textId="6E7045BA" w:rsidR="00355BA7" w:rsidRPr="00355BA7" w:rsidRDefault="76D20290"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- 2 560 000</w:t>
            </w:r>
          </w:p>
        </w:tc>
      </w:tr>
      <w:tr w:rsidR="00F16A2C" w14:paraId="6FAD22A2" w14:textId="77777777" w:rsidTr="00BD054A">
        <w:tc>
          <w:tcPr>
            <w:tcW w:w="58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0910B" w14:textId="77777777" w:rsidR="00F16A2C" w:rsidRDefault="006836D1">
            <w:pPr>
              <w:widowControl w:val="0"/>
              <w:tabs>
                <w:tab w:val="left" w:pos="975"/>
              </w:tabs>
              <w:spacing w:before="15" w:after="15"/>
              <w:jc w:val="both"/>
              <w:rPr>
                <w:b/>
                <w:noProof/>
                <w:sz w:val="20"/>
                <w:szCs w:val="20"/>
              </w:rPr>
            </w:pPr>
            <w:r>
              <w:rPr>
                <w:b/>
                <w:noProof/>
                <w:sz w:val="20"/>
              </w:rPr>
              <w:t>Spolu</w:t>
            </w:r>
            <w:r>
              <w:rPr>
                <w:noProof/>
              </w:rPr>
              <w:tab/>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94424" w14:textId="2C3B7394" w:rsidR="00F16A2C" w:rsidRDefault="00F057ED">
            <w:pPr>
              <w:widowControl w:val="0"/>
              <w:spacing w:before="15" w:after="15"/>
              <w:jc w:val="right"/>
              <w:rPr>
                <w:b/>
                <w:noProof/>
                <w:sz w:val="20"/>
                <w:szCs w:val="20"/>
              </w:rPr>
            </w:pPr>
            <w:r>
              <w:rPr>
                <w:b/>
                <w:noProof/>
                <w:sz w:val="20"/>
              </w:rPr>
              <w:t>0</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7D758" w14:textId="156D82A1" w:rsidR="00F16A2C" w:rsidRDefault="00F057ED">
            <w:pPr>
              <w:widowControl w:val="0"/>
              <w:spacing w:before="15" w:after="15"/>
              <w:jc w:val="right"/>
              <w:rPr>
                <w:b/>
                <w:noProof/>
                <w:sz w:val="20"/>
                <w:szCs w:val="20"/>
              </w:rPr>
            </w:pPr>
            <w:r>
              <w:rPr>
                <w:b/>
                <w:noProof/>
                <w:sz w:val="20"/>
              </w:rPr>
              <w:t>0</w:t>
            </w:r>
          </w:p>
        </w:tc>
      </w:tr>
    </w:tbl>
    <w:p w14:paraId="15DD15C1" w14:textId="01DA7D25" w:rsidR="00F16A2C" w:rsidRDefault="00692727" w:rsidP="00E21EFB">
      <w:pPr>
        <w:pStyle w:val="ManualHeading1"/>
        <w:ind w:left="0" w:firstLine="0"/>
        <w:rPr>
          <w:noProof/>
        </w:rPr>
      </w:pPr>
      <w:bookmarkStart w:id="68" w:name="_Toc462933859"/>
      <w:bookmarkStart w:id="69" w:name="_Toc462935220"/>
      <w:bookmarkStart w:id="70" w:name="_Toc462935322"/>
      <w:bookmarkStart w:id="71" w:name="_Toc462935370"/>
      <w:bookmarkStart w:id="72" w:name="_Toc462935527"/>
      <w:bookmarkStart w:id="73" w:name="_Toc463004747"/>
      <w:bookmarkStart w:id="74" w:name="_Toc463974174"/>
      <w:bookmarkStart w:id="75" w:name="_Toc464028219"/>
      <w:bookmarkStart w:id="76" w:name="_Toc464028351"/>
      <w:bookmarkStart w:id="77" w:name="_Toc463974178"/>
      <w:bookmarkStart w:id="78" w:name="_Toc464028223"/>
      <w:bookmarkStart w:id="79" w:name="_Toc464028355"/>
      <w:bookmarkStart w:id="80" w:name="_Toc54770327"/>
      <w:bookmarkStart w:id="81" w:name="_Toc55807137"/>
      <w:bookmarkStart w:id="82" w:name="_Toc114838635"/>
      <w:bookmarkStart w:id="83" w:name="_Toc145922823"/>
      <w:bookmarkStart w:id="84" w:name="_Toc526753785"/>
      <w:bookmarkEnd w:id="20"/>
      <w:bookmarkEnd w:id="21"/>
      <w:bookmarkEnd w:id="66"/>
      <w:bookmarkEnd w:id="67"/>
      <w:bookmarkEnd w:id="68"/>
      <w:bookmarkEnd w:id="69"/>
      <w:bookmarkEnd w:id="70"/>
      <w:bookmarkEnd w:id="71"/>
      <w:bookmarkEnd w:id="72"/>
      <w:bookmarkEnd w:id="73"/>
      <w:bookmarkEnd w:id="74"/>
      <w:bookmarkEnd w:id="75"/>
      <w:bookmarkEnd w:id="76"/>
      <w:bookmarkEnd w:id="77"/>
      <w:bookmarkEnd w:id="78"/>
      <w:bookmarkEnd w:id="79"/>
      <w:r>
        <w:rPr>
          <w:noProof/>
        </w:rPr>
        <w:t>5.</w:t>
      </w:r>
      <w:r>
        <w:rPr>
          <w:noProof/>
        </w:rPr>
        <w:tab/>
        <w:t>Decentralizované agentúry</w:t>
      </w:r>
      <w:bookmarkEnd w:id="80"/>
      <w:bookmarkEnd w:id="81"/>
      <w:r>
        <w:rPr>
          <w:noProof/>
        </w:rPr>
        <w:t xml:space="preserve"> a Európska prokuratúra</w:t>
      </w:r>
      <w:bookmarkEnd w:id="82"/>
      <w:bookmarkEnd w:id="83"/>
    </w:p>
    <w:p w14:paraId="7286B648" w14:textId="511D87BD" w:rsidR="00F16A2C" w:rsidRDefault="00692727">
      <w:pPr>
        <w:keepNext/>
        <w:tabs>
          <w:tab w:val="left" w:pos="850"/>
        </w:tabs>
        <w:spacing w:before="360" w:after="120"/>
        <w:ind w:left="357" w:hanging="357"/>
        <w:jc w:val="both"/>
        <w:outlineLvl w:val="1"/>
        <w:rPr>
          <w:rFonts w:eastAsia="Calibri"/>
          <w:b/>
          <w:noProof/>
        </w:rPr>
      </w:pPr>
      <w:bookmarkStart w:id="85" w:name="_Toc114838639"/>
      <w:bookmarkStart w:id="86" w:name="_Toc145922824"/>
      <w:r>
        <w:rPr>
          <w:b/>
          <w:noProof/>
        </w:rPr>
        <w:t>5.1.</w:t>
      </w:r>
      <w:r>
        <w:rPr>
          <w:noProof/>
        </w:rPr>
        <w:tab/>
      </w:r>
      <w:r>
        <w:rPr>
          <w:b/>
          <w:noProof/>
        </w:rPr>
        <w:t>Európska prokuratúra (EPPO)</w:t>
      </w:r>
      <w:bookmarkEnd w:id="85"/>
      <w:bookmarkEnd w:id="86"/>
    </w:p>
    <w:p w14:paraId="217420DB" w14:textId="33A5ABC5" w:rsidR="006C27D4" w:rsidRDefault="00C84646" w:rsidP="006C27D4">
      <w:pPr>
        <w:spacing w:before="240"/>
        <w:jc w:val="both"/>
        <w:rPr>
          <w:rFonts w:eastAsia="Calibri"/>
          <w:noProof/>
        </w:rPr>
      </w:pPr>
      <w:r>
        <w:rPr>
          <w:noProof/>
        </w:rPr>
        <w:t>V NOR č. 4/2023</w:t>
      </w:r>
      <w:r>
        <w:rPr>
          <w:rStyle w:val="FootnoteReference"/>
          <w:noProof/>
          <w:lang w:val="en-IE"/>
        </w:rPr>
        <w:footnoteReference w:id="9"/>
      </w:r>
      <w:r>
        <w:rPr>
          <w:noProof/>
        </w:rPr>
        <w:t xml:space="preserve"> Komisia navrhla zvýšiť príspevok EÚ pre Európsku prokuratúru na bezpečnosť budovy a informačných systémov a zároveň jej prideliť osem dodatočných pracovných miest dočasných zamestnancov. Navrhuje sa, aby sa rozpočet Európskej prokuratúry na rok 2024 zvýšil o 2 mil. EUR s cieľom pokryť jednorazové posilnenie bezpečnosti IT a budovy, ako aj platy nových zamestnancov, ktorých nábor je naplánovaný na rok 2023, a to na celoročnom základe.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6C27D4" w:rsidRPr="007E687E" w14:paraId="1DFCE69B" w14:textId="77777777">
        <w:trPr>
          <w:jc w:val="center"/>
        </w:trPr>
        <w:tc>
          <w:tcPr>
            <w:tcW w:w="9810" w:type="dxa"/>
            <w:gridSpan w:val="4"/>
            <w:tcBorders>
              <w:top w:val="nil"/>
              <w:left w:val="nil"/>
              <w:bottom w:val="single" w:sz="4" w:space="0" w:color="auto"/>
              <w:right w:val="nil"/>
            </w:tcBorders>
            <w:shd w:val="clear" w:color="auto" w:fill="auto"/>
            <w:vAlign w:val="center"/>
          </w:tcPr>
          <w:p w14:paraId="7F1D3165" w14:textId="77777777" w:rsidR="006C27D4" w:rsidRPr="007E687E" w:rsidRDefault="006C27D4">
            <w:pPr>
              <w:widowControl w:val="0"/>
              <w:spacing w:before="15" w:after="15"/>
              <w:jc w:val="right"/>
              <w:rPr>
                <w:rFonts w:eastAsia="Calibri"/>
                <w:i/>
                <w:noProof/>
                <w:sz w:val="20"/>
                <w:szCs w:val="20"/>
              </w:rPr>
            </w:pPr>
            <w:r>
              <w:rPr>
                <w:i/>
                <w:noProof/>
                <w:sz w:val="20"/>
              </w:rPr>
              <w:t>v EUR</w:t>
            </w:r>
          </w:p>
        </w:tc>
      </w:tr>
      <w:tr w:rsidR="006C27D4" w:rsidRPr="007E687E" w14:paraId="0870A6FC" w14:textId="77777777">
        <w:trPr>
          <w:jc w:val="center"/>
        </w:trPr>
        <w:tc>
          <w:tcPr>
            <w:tcW w:w="1276" w:type="dxa"/>
            <w:tcBorders>
              <w:top w:val="single" w:sz="4" w:space="0" w:color="auto"/>
            </w:tcBorders>
            <w:shd w:val="clear" w:color="auto" w:fill="D9D9D9"/>
            <w:vAlign w:val="center"/>
          </w:tcPr>
          <w:p w14:paraId="0A2785FA" w14:textId="77777777" w:rsidR="006C27D4" w:rsidRPr="007E687E" w:rsidRDefault="006C27D4">
            <w:pPr>
              <w:keepNext/>
              <w:spacing w:before="15" w:after="15"/>
              <w:jc w:val="center"/>
              <w:rPr>
                <w:rFonts w:eastAsia="Calibri"/>
                <w:b/>
                <w:noProof/>
                <w:sz w:val="20"/>
                <w:szCs w:val="20"/>
              </w:rPr>
            </w:pPr>
            <w:r>
              <w:rPr>
                <w:b/>
                <w:noProof/>
                <w:sz w:val="20"/>
              </w:rPr>
              <w:t>Rozpočtový riadok</w:t>
            </w:r>
          </w:p>
        </w:tc>
        <w:tc>
          <w:tcPr>
            <w:tcW w:w="5132" w:type="dxa"/>
            <w:tcBorders>
              <w:top w:val="single" w:sz="4" w:space="0" w:color="auto"/>
            </w:tcBorders>
            <w:shd w:val="clear" w:color="auto" w:fill="D9D9D9"/>
            <w:vAlign w:val="center"/>
          </w:tcPr>
          <w:p w14:paraId="294B8E1B" w14:textId="77777777" w:rsidR="006C27D4" w:rsidRPr="007E687E" w:rsidRDefault="006C27D4">
            <w:pPr>
              <w:widowControl w:val="0"/>
              <w:spacing w:before="15" w:after="15"/>
              <w:jc w:val="center"/>
              <w:rPr>
                <w:rFonts w:eastAsia="Calibri"/>
                <w:b/>
                <w:noProof/>
                <w:sz w:val="20"/>
                <w:szCs w:val="20"/>
              </w:rPr>
            </w:pPr>
            <w:r>
              <w:rPr>
                <w:b/>
                <w:noProof/>
                <w:sz w:val="20"/>
              </w:rPr>
              <w:t>Názov</w:t>
            </w:r>
          </w:p>
        </w:tc>
        <w:tc>
          <w:tcPr>
            <w:tcW w:w="1701" w:type="dxa"/>
            <w:tcBorders>
              <w:top w:val="single" w:sz="4" w:space="0" w:color="auto"/>
            </w:tcBorders>
            <w:shd w:val="clear" w:color="auto" w:fill="D9D9D9"/>
            <w:vAlign w:val="center"/>
          </w:tcPr>
          <w:p w14:paraId="529763D2" w14:textId="77777777" w:rsidR="006C27D4" w:rsidRPr="007E687E" w:rsidRDefault="006C27D4">
            <w:pPr>
              <w:widowControl w:val="0"/>
              <w:spacing w:before="15" w:after="15"/>
              <w:jc w:val="center"/>
              <w:rPr>
                <w:rFonts w:eastAsia="Calibri"/>
                <w:b/>
                <w:noProof/>
                <w:sz w:val="20"/>
                <w:szCs w:val="20"/>
              </w:rPr>
            </w:pPr>
            <w:r>
              <w:rPr>
                <w:b/>
                <w:noProof/>
                <w:sz w:val="20"/>
              </w:rPr>
              <w:t>Viazané rozpočtové prostriedky</w:t>
            </w:r>
          </w:p>
        </w:tc>
        <w:tc>
          <w:tcPr>
            <w:tcW w:w="1701" w:type="dxa"/>
            <w:tcBorders>
              <w:top w:val="single" w:sz="4" w:space="0" w:color="auto"/>
            </w:tcBorders>
            <w:shd w:val="clear" w:color="auto" w:fill="D9D9D9"/>
            <w:vAlign w:val="center"/>
          </w:tcPr>
          <w:p w14:paraId="14DD4A1B" w14:textId="77777777" w:rsidR="006C27D4" w:rsidRPr="007E687E" w:rsidRDefault="006C27D4">
            <w:pPr>
              <w:widowControl w:val="0"/>
              <w:spacing w:before="15" w:after="15"/>
              <w:jc w:val="center"/>
              <w:rPr>
                <w:rFonts w:eastAsia="Calibri"/>
                <w:b/>
                <w:noProof/>
                <w:sz w:val="20"/>
                <w:szCs w:val="20"/>
              </w:rPr>
            </w:pPr>
            <w:r>
              <w:rPr>
                <w:b/>
                <w:noProof/>
                <w:sz w:val="20"/>
              </w:rPr>
              <w:t>Platobné rozpočtové prostriedky</w:t>
            </w:r>
          </w:p>
        </w:tc>
      </w:tr>
      <w:tr w:rsidR="006C27D4" w:rsidRPr="007E687E" w14:paraId="1CB483E2" w14:textId="77777777">
        <w:trPr>
          <w:jc w:val="center"/>
        </w:trPr>
        <w:tc>
          <w:tcPr>
            <w:tcW w:w="9810" w:type="dxa"/>
            <w:gridSpan w:val="4"/>
            <w:tcBorders>
              <w:bottom w:val="single" w:sz="4" w:space="0" w:color="auto"/>
            </w:tcBorders>
            <w:shd w:val="clear" w:color="auto" w:fill="F2F2F2"/>
            <w:vAlign w:val="center"/>
          </w:tcPr>
          <w:p w14:paraId="64C2B55C" w14:textId="77777777" w:rsidR="006C27D4" w:rsidRPr="007E687E" w:rsidRDefault="006C27D4">
            <w:pPr>
              <w:widowControl w:val="0"/>
              <w:spacing w:before="15" w:after="15"/>
              <w:rPr>
                <w:rFonts w:eastAsia="Calibri"/>
                <w:i/>
                <w:noProof/>
                <w:sz w:val="20"/>
                <w:szCs w:val="20"/>
              </w:rPr>
            </w:pPr>
            <w:r>
              <w:rPr>
                <w:i/>
                <w:noProof/>
                <w:sz w:val="20"/>
              </w:rPr>
              <w:t>Oddiel III – Komisia</w:t>
            </w:r>
          </w:p>
        </w:tc>
      </w:tr>
      <w:tr w:rsidR="006C27D4" w:rsidRPr="007E687E" w14:paraId="6B20054A" w14:textId="77777777">
        <w:trPr>
          <w:jc w:val="center"/>
        </w:trPr>
        <w:tc>
          <w:tcPr>
            <w:tcW w:w="1276" w:type="dxa"/>
          </w:tcPr>
          <w:p w14:paraId="5434396F" w14:textId="77777777" w:rsidR="006C27D4" w:rsidRPr="00885900" w:rsidRDefault="006C27D4" w:rsidP="0068221C">
            <w:pPr>
              <w:widowControl w:val="0"/>
              <w:tabs>
                <w:tab w:val="left" w:pos="1350"/>
              </w:tabs>
              <w:spacing w:before="15" w:after="15"/>
              <w:jc w:val="both"/>
              <w:rPr>
                <w:rFonts w:eastAsia="Calibri"/>
                <w:noProof/>
                <w:sz w:val="16"/>
                <w:szCs w:val="16"/>
              </w:rPr>
            </w:pPr>
            <w:r>
              <w:rPr>
                <w:noProof/>
                <w:sz w:val="16"/>
              </w:rPr>
              <w:t>07 10 08</w:t>
            </w:r>
          </w:p>
        </w:tc>
        <w:tc>
          <w:tcPr>
            <w:tcW w:w="5132" w:type="dxa"/>
          </w:tcPr>
          <w:p w14:paraId="728C4A56" w14:textId="77777777" w:rsidR="006C27D4" w:rsidRPr="00885900" w:rsidRDefault="006C27D4">
            <w:pPr>
              <w:widowControl w:val="0"/>
              <w:tabs>
                <w:tab w:val="left" w:pos="1350"/>
              </w:tabs>
              <w:spacing w:before="15" w:after="15"/>
              <w:jc w:val="both"/>
              <w:rPr>
                <w:rFonts w:eastAsia="Calibri"/>
                <w:noProof/>
                <w:sz w:val="16"/>
                <w:szCs w:val="16"/>
              </w:rPr>
            </w:pPr>
            <w:r>
              <w:rPr>
                <w:noProof/>
                <w:sz w:val="16"/>
              </w:rPr>
              <w:t>Európska prokuratúra</w:t>
            </w:r>
          </w:p>
        </w:tc>
        <w:tc>
          <w:tcPr>
            <w:tcW w:w="1701" w:type="dxa"/>
          </w:tcPr>
          <w:p w14:paraId="0B0CBE7B" w14:textId="561175B9" w:rsidR="006C27D4" w:rsidRPr="00885900" w:rsidRDefault="006C27D4">
            <w:pPr>
              <w:widowControl w:val="0"/>
              <w:spacing w:before="15" w:after="15"/>
              <w:jc w:val="right"/>
              <w:rPr>
                <w:rFonts w:eastAsia="Calibri"/>
                <w:noProof/>
                <w:sz w:val="16"/>
                <w:szCs w:val="16"/>
              </w:rPr>
            </w:pPr>
            <w:r>
              <w:rPr>
                <w:noProof/>
                <w:sz w:val="16"/>
              </w:rPr>
              <w:t>2 000 000</w:t>
            </w:r>
          </w:p>
        </w:tc>
        <w:tc>
          <w:tcPr>
            <w:tcW w:w="1701" w:type="dxa"/>
          </w:tcPr>
          <w:p w14:paraId="02F42444" w14:textId="59B2B8E3" w:rsidR="006C27D4" w:rsidRPr="00885900" w:rsidRDefault="006C27D4">
            <w:pPr>
              <w:widowControl w:val="0"/>
              <w:spacing w:before="15" w:after="15"/>
              <w:jc w:val="right"/>
              <w:rPr>
                <w:rFonts w:eastAsia="Calibri"/>
                <w:noProof/>
                <w:sz w:val="16"/>
                <w:szCs w:val="16"/>
              </w:rPr>
            </w:pPr>
            <w:r>
              <w:rPr>
                <w:noProof/>
                <w:sz w:val="16"/>
              </w:rPr>
              <w:t>2 000 000</w:t>
            </w:r>
          </w:p>
        </w:tc>
      </w:tr>
      <w:tr w:rsidR="006C27D4" w:rsidRPr="007E687E" w14:paraId="256CA46A" w14:textId="77777777">
        <w:trPr>
          <w:jc w:val="center"/>
        </w:trPr>
        <w:tc>
          <w:tcPr>
            <w:tcW w:w="6408" w:type="dxa"/>
            <w:gridSpan w:val="2"/>
            <w:shd w:val="clear" w:color="auto" w:fill="D9D9D9"/>
          </w:tcPr>
          <w:p w14:paraId="4677D7C1" w14:textId="77777777" w:rsidR="006C27D4" w:rsidRPr="007E687E" w:rsidRDefault="006C27D4">
            <w:pPr>
              <w:widowControl w:val="0"/>
              <w:spacing w:before="15" w:after="15"/>
              <w:ind w:right="-113"/>
              <w:jc w:val="both"/>
              <w:rPr>
                <w:rFonts w:eastAsia="Calibri"/>
                <w:noProof/>
                <w:sz w:val="20"/>
                <w:szCs w:val="20"/>
              </w:rPr>
            </w:pPr>
            <w:r>
              <w:rPr>
                <w:b/>
                <w:noProof/>
                <w:sz w:val="20"/>
              </w:rPr>
              <w:t>Spolu</w:t>
            </w:r>
            <w:r>
              <w:rPr>
                <w:noProof/>
              </w:rPr>
              <w:tab/>
            </w:r>
          </w:p>
        </w:tc>
        <w:tc>
          <w:tcPr>
            <w:tcW w:w="1701" w:type="dxa"/>
            <w:shd w:val="clear" w:color="auto" w:fill="D9D9D9"/>
          </w:tcPr>
          <w:p w14:paraId="7E9CD8DB" w14:textId="07908C87" w:rsidR="006C27D4" w:rsidRPr="00DC3D08" w:rsidRDefault="006C27D4">
            <w:pPr>
              <w:widowControl w:val="0"/>
              <w:spacing w:before="15" w:after="15"/>
              <w:jc w:val="right"/>
              <w:rPr>
                <w:rFonts w:eastAsia="Calibri"/>
                <w:b/>
                <w:bCs/>
                <w:noProof/>
                <w:sz w:val="20"/>
                <w:szCs w:val="20"/>
              </w:rPr>
            </w:pPr>
            <w:r>
              <w:rPr>
                <w:b/>
                <w:noProof/>
                <w:sz w:val="20"/>
              </w:rPr>
              <w:t>2 000 000</w:t>
            </w:r>
          </w:p>
        </w:tc>
        <w:tc>
          <w:tcPr>
            <w:tcW w:w="1701" w:type="dxa"/>
            <w:shd w:val="clear" w:color="auto" w:fill="D9D9D9"/>
          </w:tcPr>
          <w:p w14:paraId="62385047" w14:textId="54E8C0D6" w:rsidR="006C27D4" w:rsidRPr="00DC3D08" w:rsidRDefault="006C27D4">
            <w:pPr>
              <w:widowControl w:val="0"/>
              <w:spacing w:before="15" w:after="15"/>
              <w:jc w:val="right"/>
              <w:rPr>
                <w:rFonts w:eastAsia="Calibri"/>
                <w:b/>
                <w:bCs/>
                <w:noProof/>
                <w:sz w:val="20"/>
                <w:szCs w:val="20"/>
              </w:rPr>
            </w:pPr>
            <w:r>
              <w:rPr>
                <w:b/>
                <w:noProof/>
                <w:sz w:val="20"/>
              </w:rPr>
              <w:t>2 000 000</w:t>
            </w:r>
          </w:p>
        </w:tc>
      </w:tr>
    </w:tbl>
    <w:p w14:paraId="54F30E4E" w14:textId="206A2567" w:rsidR="00667956" w:rsidRPr="00667956" w:rsidRDefault="00667956" w:rsidP="00CD35E9">
      <w:pPr>
        <w:keepNext/>
        <w:tabs>
          <w:tab w:val="left" w:pos="850"/>
        </w:tabs>
        <w:spacing w:before="360" w:after="120"/>
        <w:ind w:left="357" w:hanging="357"/>
        <w:jc w:val="both"/>
        <w:outlineLvl w:val="1"/>
        <w:rPr>
          <w:rFonts w:eastAsia="Calibri"/>
          <w:noProof/>
        </w:rPr>
      </w:pPr>
      <w:bookmarkStart w:id="87" w:name="_Toc145922825"/>
      <w:r>
        <w:rPr>
          <w:noProof/>
        </w:rPr>
        <w:t>Súvisiace zmeny plánu pracovných miest sú uvedené v prílohe k rozpočtu.</w:t>
      </w:r>
    </w:p>
    <w:p w14:paraId="545C2AF4" w14:textId="5364969E" w:rsidR="00CD35E9" w:rsidRDefault="00692727" w:rsidP="00CD35E9">
      <w:pPr>
        <w:keepNext/>
        <w:tabs>
          <w:tab w:val="left" w:pos="850"/>
        </w:tabs>
        <w:spacing w:before="360" w:after="120"/>
        <w:ind w:left="357" w:hanging="357"/>
        <w:jc w:val="both"/>
        <w:outlineLvl w:val="1"/>
        <w:rPr>
          <w:rFonts w:eastAsia="Calibri"/>
          <w:b/>
          <w:noProof/>
        </w:rPr>
      </w:pPr>
      <w:r>
        <w:rPr>
          <w:b/>
          <w:noProof/>
        </w:rPr>
        <w:t xml:space="preserve">5.2. </w:t>
      </w:r>
      <w:r>
        <w:rPr>
          <w:noProof/>
        </w:rPr>
        <w:tab/>
      </w:r>
      <w:r>
        <w:rPr>
          <w:b/>
          <w:noProof/>
        </w:rPr>
        <w:t>Agentúra Európskej únie pre justičnú spoluprácu v trestných veciach (Eurojust)</w:t>
      </w:r>
      <w:bookmarkEnd w:id="87"/>
    </w:p>
    <w:p w14:paraId="5501FDC5" w14:textId="10FDB7CC" w:rsidR="00994278" w:rsidRDefault="00D063D3" w:rsidP="00994278">
      <w:pPr>
        <w:autoSpaceDE w:val="0"/>
        <w:autoSpaceDN w:val="0"/>
        <w:adjustRightInd w:val="0"/>
        <w:spacing w:before="120" w:after="120" w:line="259" w:lineRule="auto"/>
        <w:jc w:val="both"/>
        <w:rPr>
          <w:noProof/>
        </w:rPr>
      </w:pPr>
      <w:r>
        <w:rPr>
          <w:noProof/>
        </w:rPr>
        <w:t>Eurojust bude v nadväznosti na zriadenie Medzinárodného centra pre stíhanie zločinu agresie voči Ukrajine (ICPA) poskytovať operačnú, právnu, finančnú a logistickú podporu, a to aj na účely zachovania, uchovávania a analýzy dôkazov. Je to dôležité pre prípravu budúcich súdnych konaní pred vnútroštátnymi alebo medzinárodnými súdmi vrátane prípadného tribunálu pre zločin agresie alebo Medzinárodného trestného súdu (ICC) pre trestné činy patriace do jeho jurisdikcie. Zodpovedajúce dodatočné úlohy ICPA pre Eurojust si vyžadujú posilnenie plánu pracovných miest agentúry o štyroch dočasných zamestnancov v roku 2024. Súvisiace zvýšenie príspevku EÚ pre Eurojust sa bude vyplácať z nástrojov zahraničnej politiky (FPI) prostredníctvom dohôd o príspevku na úlohy ICPA, a nebudú teda potrebné žiadne dodatočné rozpočtové prostriedky z rozpočtu EÚ.</w:t>
      </w:r>
    </w:p>
    <w:p w14:paraId="44BD26F1" w14:textId="487163E7" w:rsidR="000643FD" w:rsidRPr="00994278" w:rsidRDefault="000643FD" w:rsidP="00994278">
      <w:pPr>
        <w:autoSpaceDE w:val="0"/>
        <w:autoSpaceDN w:val="0"/>
        <w:adjustRightInd w:val="0"/>
        <w:spacing w:before="120" w:after="120" w:line="259" w:lineRule="auto"/>
        <w:jc w:val="both"/>
        <w:rPr>
          <w:noProof/>
        </w:rPr>
      </w:pPr>
      <w:r>
        <w:rPr>
          <w:noProof/>
        </w:rPr>
        <w:t>Súvisiace zmeny plánu pracovných miest sú uvedené v prílohe k rozpočtu.</w:t>
      </w:r>
    </w:p>
    <w:p w14:paraId="2B30B71C" w14:textId="79657E8D" w:rsidR="009D3DD6" w:rsidRDefault="11A19F37" w:rsidP="42EA40D1">
      <w:pPr>
        <w:keepNext/>
        <w:tabs>
          <w:tab w:val="left" w:pos="850"/>
        </w:tabs>
        <w:spacing w:before="360" w:after="120"/>
        <w:ind w:left="357" w:hanging="357"/>
        <w:jc w:val="both"/>
        <w:outlineLvl w:val="1"/>
        <w:rPr>
          <w:rFonts w:eastAsia="Calibri"/>
          <w:b/>
          <w:bCs/>
          <w:noProof/>
        </w:rPr>
      </w:pPr>
      <w:bookmarkStart w:id="88" w:name="_Toc145922826"/>
      <w:r>
        <w:rPr>
          <w:b/>
          <w:noProof/>
        </w:rPr>
        <w:t>5.3. Agentúra Európskej únie na prevádzkové riadenie rozsiahlych informačných systémov v priestore slobody, bezpečnosti a spravodlivosti (eu-LISA)</w:t>
      </w:r>
      <w:bookmarkEnd w:id="88"/>
    </w:p>
    <w:p w14:paraId="6D9EE2E9" w14:textId="78EC89A6" w:rsidR="000643FD" w:rsidRDefault="09F3D1C8" w:rsidP="44803770">
      <w:pPr>
        <w:spacing w:before="120" w:after="120" w:line="259" w:lineRule="auto"/>
        <w:jc w:val="both"/>
        <w:rPr>
          <w:rFonts w:eastAsiaTheme="minorEastAsia"/>
          <w:noProof/>
        </w:rPr>
      </w:pPr>
      <w:bookmarkStart w:id="89" w:name="_Toc114838640"/>
      <w:r>
        <w:rPr>
          <w:noProof/>
        </w:rPr>
        <w:t>V nadväznosti na ukončenie politických rokovaní o nariadení o digitalizácii konania o udelení víza</w:t>
      </w:r>
      <w:r>
        <w:rPr>
          <w:rStyle w:val="FootnoteReference"/>
          <w:noProof/>
        </w:rPr>
        <w:footnoteReference w:id="10"/>
      </w:r>
      <w:r>
        <w:rPr>
          <w:noProof/>
        </w:rPr>
        <w:t xml:space="preserve"> je potrebné aktualizovať rozpočet agentúry eu-LISA na rok 2024 v súlade s aktualizovaným legislatívnym finančným výkazom. To zahŕňa zníženie počtu dočasných zamestnancov (z piatich na jedného) a zmluvných zamestnancov (z troch na nulu). Dosiahnutá politická dohoda znamená aj zníženie rozpočtových prostriedkov potrebných v roku 2024. Z plánovanej sumy 19 945 000 EUR v rezerve na toto nariadenie, ktorá bola kompenzovaná z Nástroja finančnej podpory na riadenie hraníc a vízovú politiku (BMVI), sa navrhuje presunúť 86 000 EUR do operačného riadku a 19 859 000 EUR späť do BMVI. </w:t>
      </w:r>
    </w:p>
    <w:p w14:paraId="6CA5D366" w14:textId="77777777" w:rsidR="000643FD" w:rsidRPr="007E687E" w:rsidRDefault="000643FD" w:rsidP="000643FD">
      <w:pPr>
        <w:spacing w:before="240"/>
        <w:jc w:val="both"/>
        <w:rPr>
          <w:rFonts w:eastAsia="Calibri"/>
          <w:noProof/>
        </w:rPr>
      </w:pPr>
      <w:r>
        <w:rPr>
          <w:noProof/>
        </w:rPr>
        <w:t>Súvisiace zmeny plánu pracovných miest sú uvedené v prílohe k rozpočtu.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643FD" w:rsidRPr="007E687E" w14:paraId="4CF69F46" w14:textId="77777777">
        <w:trPr>
          <w:jc w:val="center"/>
        </w:trPr>
        <w:tc>
          <w:tcPr>
            <w:tcW w:w="9810" w:type="dxa"/>
            <w:gridSpan w:val="4"/>
            <w:tcBorders>
              <w:top w:val="nil"/>
              <w:left w:val="nil"/>
              <w:bottom w:val="single" w:sz="4" w:space="0" w:color="auto"/>
              <w:right w:val="nil"/>
            </w:tcBorders>
            <w:shd w:val="clear" w:color="auto" w:fill="auto"/>
            <w:vAlign w:val="center"/>
          </w:tcPr>
          <w:p w14:paraId="30ABE17F" w14:textId="77777777" w:rsidR="000643FD" w:rsidRPr="007E687E" w:rsidRDefault="000643FD">
            <w:pPr>
              <w:widowControl w:val="0"/>
              <w:spacing w:before="15" w:after="15"/>
              <w:jc w:val="right"/>
              <w:rPr>
                <w:rFonts w:eastAsia="Calibri"/>
                <w:i/>
                <w:noProof/>
                <w:sz w:val="20"/>
                <w:szCs w:val="20"/>
              </w:rPr>
            </w:pPr>
            <w:r>
              <w:rPr>
                <w:i/>
                <w:noProof/>
                <w:sz w:val="20"/>
              </w:rPr>
              <w:t>v EUR</w:t>
            </w:r>
          </w:p>
        </w:tc>
      </w:tr>
      <w:tr w:rsidR="000643FD" w:rsidRPr="007E687E" w14:paraId="63F1C613" w14:textId="77777777">
        <w:trPr>
          <w:jc w:val="center"/>
        </w:trPr>
        <w:tc>
          <w:tcPr>
            <w:tcW w:w="1276" w:type="dxa"/>
            <w:tcBorders>
              <w:top w:val="single" w:sz="4" w:space="0" w:color="auto"/>
            </w:tcBorders>
            <w:shd w:val="clear" w:color="auto" w:fill="D9D9D9"/>
            <w:vAlign w:val="center"/>
          </w:tcPr>
          <w:p w14:paraId="2C492DFA" w14:textId="77777777" w:rsidR="000643FD" w:rsidRPr="007E687E" w:rsidRDefault="000643FD">
            <w:pPr>
              <w:keepNext/>
              <w:spacing w:before="15" w:after="15"/>
              <w:jc w:val="center"/>
              <w:rPr>
                <w:rFonts w:eastAsia="Calibri"/>
                <w:b/>
                <w:noProof/>
                <w:sz w:val="20"/>
                <w:szCs w:val="20"/>
              </w:rPr>
            </w:pPr>
            <w:r>
              <w:rPr>
                <w:b/>
                <w:noProof/>
                <w:sz w:val="20"/>
              </w:rPr>
              <w:t>Rozpočtový riadok</w:t>
            </w:r>
          </w:p>
        </w:tc>
        <w:tc>
          <w:tcPr>
            <w:tcW w:w="5132" w:type="dxa"/>
            <w:tcBorders>
              <w:top w:val="single" w:sz="4" w:space="0" w:color="auto"/>
            </w:tcBorders>
            <w:shd w:val="clear" w:color="auto" w:fill="D9D9D9"/>
            <w:vAlign w:val="center"/>
          </w:tcPr>
          <w:p w14:paraId="0E7598BB" w14:textId="77777777" w:rsidR="000643FD" w:rsidRPr="007E687E" w:rsidRDefault="000643FD">
            <w:pPr>
              <w:widowControl w:val="0"/>
              <w:spacing w:before="15" w:after="15"/>
              <w:jc w:val="center"/>
              <w:rPr>
                <w:rFonts w:eastAsia="Calibri"/>
                <w:b/>
                <w:noProof/>
                <w:sz w:val="20"/>
                <w:szCs w:val="20"/>
              </w:rPr>
            </w:pPr>
            <w:r>
              <w:rPr>
                <w:b/>
                <w:noProof/>
                <w:sz w:val="20"/>
              </w:rPr>
              <w:t>Názov</w:t>
            </w:r>
          </w:p>
        </w:tc>
        <w:tc>
          <w:tcPr>
            <w:tcW w:w="1701" w:type="dxa"/>
            <w:tcBorders>
              <w:top w:val="single" w:sz="4" w:space="0" w:color="auto"/>
            </w:tcBorders>
            <w:shd w:val="clear" w:color="auto" w:fill="D9D9D9"/>
            <w:vAlign w:val="center"/>
          </w:tcPr>
          <w:p w14:paraId="5070E74B" w14:textId="77777777" w:rsidR="000643FD" w:rsidRPr="007E687E" w:rsidRDefault="000643FD">
            <w:pPr>
              <w:widowControl w:val="0"/>
              <w:spacing w:before="15" w:after="15"/>
              <w:jc w:val="center"/>
              <w:rPr>
                <w:rFonts w:eastAsia="Calibri"/>
                <w:b/>
                <w:noProof/>
                <w:sz w:val="20"/>
                <w:szCs w:val="20"/>
              </w:rPr>
            </w:pPr>
            <w:r>
              <w:rPr>
                <w:b/>
                <w:noProof/>
                <w:sz w:val="20"/>
              </w:rPr>
              <w:t>Viazané rozpočtové prostriedky</w:t>
            </w:r>
          </w:p>
        </w:tc>
        <w:tc>
          <w:tcPr>
            <w:tcW w:w="1701" w:type="dxa"/>
            <w:tcBorders>
              <w:top w:val="single" w:sz="4" w:space="0" w:color="auto"/>
            </w:tcBorders>
            <w:shd w:val="clear" w:color="auto" w:fill="D9D9D9"/>
            <w:vAlign w:val="center"/>
          </w:tcPr>
          <w:p w14:paraId="16660C47" w14:textId="77777777" w:rsidR="000643FD" w:rsidRPr="007E687E" w:rsidRDefault="000643FD">
            <w:pPr>
              <w:widowControl w:val="0"/>
              <w:spacing w:before="15" w:after="15"/>
              <w:jc w:val="center"/>
              <w:rPr>
                <w:rFonts w:eastAsia="Calibri"/>
                <w:b/>
                <w:noProof/>
                <w:sz w:val="20"/>
                <w:szCs w:val="20"/>
              </w:rPr>
            </w:pPr>
            <w:r>
              <w:rPr>
                <w:b/>
                <w:noProof/>
                <w:sz w:val="20"/>
              </w:rPr>
              <w:t>Platobné rozpočtové prostriedky</w:t>
            </w:r>
          </w:p>
        </w:tc>
      </w:tr>
      <w:tr w:rsidR="000643FD" w:rsidRPr="007E687E" w14:paraId="7879119A" w14:textId="77777777">
        <w:trPr>
          <w:jc w:val="center"/>
        </w:trPr>
        <w:tc>
          <w:tcPr>
            <w:tcW w:w="9810" w:type="dxa"/>
            <w:gridSpan w:val="4"/>
            <w:tcBorders>
              <w:bottom w:val="single" w:sz="4" w:space="0" w:color="auto"/>
            </w:tcBorders>
            <w:shd w:val="clear" w:color="auto" w:fill="F2F2F2"/>
            <w:vAlign w:val="center"/>
          </w:tcPr>
          <w:p w14:paraId="4D48AF47" w14:textId="77777777" w:rsidR="000643FD" w:rsidRPr="007E687E" w:rsidRDefault="000643FD">
            <w:pPr>
              <w:widowControl w:val="0"/>
              <w:spacing w:before="15" w:after="15"/>
              <w:rPr>
                <w:rFonts w:eastAsia="Calibri"/>
                <w:i/>
                <w:noProof/>
                <w:sz w:val="20"/>
                <w:szCs w:val="20"/>
              </w:rPr>
            </w:pPr>
            <w:r>
              <w:rPr>
                <w:i/>
                <w:noProof/>
                <w:sz w:val="20"/>
              </w:rPr>
              <w:t>Oddiel III – Komisia</w:t>
            </w:r>
          </w:p>
        </w:tc>
      </w:tr>
      <w:tr w:rsidR="001D42D1" w:rsidRPr="007E687E" w14:paraId="18C0A36D" w14:textId="77777777" w:rsidTr="00667956">
        <w:trPr>
          <w:jc w:val="center"/>
        </w:trPr>
        <w:tc>
          <w:tcPr>
            <w:tcW w:w="1276" w:type="dxa"/>
            <w:vAlign w:val="center"/>
          </w:tcPr>
          <w:p w14:paraId="0EA6B246" w14:textId="09C3E1EE" w:rsidR="001D42D1" w:rsidRPr="00BB59FE" w:rsidRDefault="001D42D1" w:rsidP="001D42D1">
            <w:pPr>
              <w:widowControl w:val="0"/>
              <w:tabs>
                <w:tab w:val="left" w:pos="1350"/>
              </w:tabs>
              <w:spacing w:before="15" w:after="15"/>
              <w:jc w:val="both"/>
              <w:rPr>
                <w:noProof/>
                <w:sz w:val="16"/>
                <w:szCs w:val="16"/>
              </w:rPr>
            </w:pPr>
            <w:r>
              <w:rPr>
                <w:noProof/>
                <w:sz w:val="16"/>
              </w:rPr>
              <w:t>30 02 02</w:t>
            </w:r>
          </w:p>
        </w:tc>
        <w:tc>
          <w:tcPr>
            <w:tcW w:w="5132" w:type="dxa"/>
          </w:tcPr>
          <w:p w14:paraId="2C11F309" w14:textId="2EEDA5FF" w:rsidR="001D42D1" w:rsidRPr="00BB59FE" w:rsidRDefault="001D42D1" w:rsidP="001D42D1">
            <w:pPr>
              <w:widowControl w:val="0"/>
              <w:tabs>
                <w:tab w:val="left" w:pos="1350"/>
              </w:tabs>
              <w:spacing w:before="15" w:after="15"/>
              <w:jc w:val="both"/>
              <w:rPr>
                <w:noProof/>
                <w:sz w:val="16"/>
                <w:szCs w:val="16"/>
              </w:rPr>
            </w:pPr>
            <w:r>
              <w:rPr>
                <w:noProof/>
                <w:sz w:val="16"/>
              </w:rPr>
              <w:t>Diferencované rozpočtové prostriedky (</w:t>
            </w:r>
            <w:r>
              <w:rPr>
                <w:i/>
                <w:iCs/>
                <w:noProof/>
                <w:sz w:val="16"/>
              </w:rPr>
              <w:t>Rezerva pre rozpočtový článok 11 10 02</w:t>
            </w:r>
            <w:r>
              <w:rPr>
                <w:noProof/>
                <w:sz w:val="16"/>
              </w:rPr>
              <w:t>)</w:t>
            </w:r>
          </w:p>
        </w:tc>
        <w:tc>
          <w:tcPr>
            <w:tcW w:w="1701" w:type="dxa"/>
            <w:vAlign w:val="center"/>
          </w:tcPr>
          <w:p w14:paraId="47A55E4F" w14:textId="7A66C39D" w:rsidR="001D42D1" w:rsidDel="00ED1745" w:rsidRDefault="001D42D1" w:rsidP="001D42D1">
            <w:pPr>
              <w:widowControl w:val="0"/>
              <w:spacing w:before="15" w:after="15"/>
              <w:jc w:val="right"/>
              <w:rPr>
                <w:rFonts w:eastAsia="Calibri"/>
                <w:noProof/>
                <w:sz w:val="16"/>
                <w:szCs w:val="16"/>
              </w:rPr>
            </w:pPr>
            <w:r>
              <w:rPr>
                <w:noProof/>
                <w:sz w:val="16"/>
              </w:rPr>
              <w:t>-19 945 000</w:t>
            </w:r>
          </w:p>
        </w:tc>
        <w:tc>
          <w:tcPr>
            <w:tcW w:w="1701" w:type="dxa"/>
            <w:vAlign w:val="center"/>
          </w:tcPr>
          <w:p w14:paraId="2E1FE5D3" w14:textId="536B491B" w:rsidR="001D42D1" w:rsidRDefault="001D42D1" w:rsidP="001D42D1">
            <w:pPr>
              <w:widowControl w:val="0"/>
              <w:spacing w:before="15" w:after="15"/>
              <w:jc w:val="right"/>
              <w:rPr>
                <w:rFonts w:eastAsia="Calibri"/>
                <w:noProof/>
                <w:sz w:val="16"/>
                <w:szCs w:val="16"/>
              </w:rPr>
            </w:pPr>
            <w:r>
              <w:rPr>
                <w:noProof/>
                <w:sz w:val="16"/>
              </w:rPr>
              <w:t>-19 945 000</w:t>
            </w:r>
          </w:p>
        </w:tc>
      </w:tr>
      <w:tr w:rsidR="001D42D1" w:rsidRPr="007E687E" w14:paraId="6E46C8B5" w14:textId="77777777" w:rsidTr="00667956">
        <w:trPr>
          <w:jc w:val="center"/>
        </w:trPr>
        <w:tc>
          <w:tcPr>
            <w:tcW w:w="1276" w:type="dxa"/>
          </w:tcPr>
          <w:p w14:paraId="57A546D7" w14:textId="4C011A99" w:rsidR="001D42D1" w:rsidRPr="00885900" w:rsidRDefault="001D42D1" w:rsidP="001D42D1">
            <w:pPr>
              <w:widowControl w:val="0"/>
              <w:tabs>
                <w:tab w:val="left" w:pos="1350"/>
              </w:tabs>
              <w:spacing w:before="15" w:after="15"/>
              <w:jc w:val="both"/>
              <w:rPr>
                <w:rFonts w:eastAsia="Calibri"/>
                <w:noProof/>
                <w:sz w:val="16"/>
                <w:szCs w:val="16"/>
              </w:rPr>
            </w:pPr>
            <w:r>
              <w:rPr>
                <w:noProof/>
                <w:sz w:val="16"/>
              </w:rPr>
              <w:t>11 10 02</w:t>
            </w:r>
          </w:p>
        </w:tc>
        <w:tc>
          <w:tcPr>
            <w:tcW w:w="5132" w:type="dxa"/>
          </w:tcPr>
          <w:p w14:paraId="7A9B96B8" w14:textId="4F59FD87" w:rsidR="001D42D1" w:rsidRPr="00885900" w:rsidRDefault="001D42D1" w:rsidP="001D42D1">
            <w:pPr>
              <w:widowControl w:val="0"/>
              <w:tabs>
                <w:tab w:val="left" w:pos="1350"/>
              </w:tabs>
              <w:spacing w:before="15" w:after="15"/>
              <w:jc w:val="both"/>
              <w:rPr>
                <w:rFonts w:eastAsia="Calibri"/>
                <w:noProof/>
                <w:sz w:val="16"/>
                <w:szCs w:val="16"/>
              </w:rPr>
            </w:pPr>
            <w:r>
              <w:rPr>
                <w:noProof/>
                <w:sz w:val="16"/>
              </w:rPr>
              <w:t>Agentúra Európskej únie na prevádzkové riadenie rozsiahlych informačných systémov v priestore slobody, bezpečnosti a spravodlivosti (eu-LISA)</w:t>
            </w:r>
          </w:p>
        </w:tc>
        <w:tc>
          <w:tcPr>
            <w:tcW w:w="1701" w:type="dxa"/>
            <w:vAlign w:val="center"/>
          </w:tcPr>
          <w:p w14:paraId="3DF21145" w14:textId="079D6C02" w:rsidR="001D42D1" w:rsidRPr="00885900" w:rsidRDefault="001D42D1" w:rsidP="001D42D1">
            <w:pPr>
              <w:widowControl w:val="0"/>
              <w:spacing w:before="15" w:after="15"/>
              <w:jc w:val="right"/>
              <w:rPr>
                <w:rFonts w:eastAsia="Calibri"/>
                <w:noProof/>
                <w:sz w:val="16"/>
                <w:szCs w:val="16"/>
              </w:rPr>
            </w:pPr>
            <w:r>
              <w:rPr>
                <w:noProof/>
                <w:sz w:val="16"/>
              </w:rPr>
              <w:t>86 000</w:t>
            </w:r>
          </w:p>
        </w:tc>
        <w:tc>
          <w:tcPr>
            <w:tcW w:w="1701" w:type="dxa"/>
            <w:vAlign w:val="center"/>
          </w:tcPr>
          <w:p w14:paraId="0A8D6ACC" w14:textId="3D4530BD" w:rsidR="001D42D1" w:rsidRPr="00885900" w:rsidRDefault="001D42D1" w:rsidP="001D42D1">
            <w:pPr>
              <w:widowControl w:val="0"/>
              <w:spacing w:before="15" w:after="15"/>
              <w:jc w:val="right"/>
              <w:rPr>
                <w:rFonts w:eastAsia="Calibri"/>
                <w:noProof/>
                <w:sz w:val="16"/>
                <w:szCs w:val="16"/>
              </w:rPr>
            </w:pPr>
            <w:r>
              <w:rPr>
                <w:noProof/>
                <w:sz w:val="16"/>
              </w:rPr>
              <w:t>86 000</w:t>
            </w:r>
          </w:p>
        </w:tc>
      </w:tr>
      <w:tr w:rsidR="001D42D1" w:rsidRPr="007E687E" w14:paraId="7E647C2F" w14:textId="77777777" w:rsidTr="00667956">
        <w:trPr>
          <w:jc w:val="center"/>
        </w:trPr>
        <w:tc>
          <w:tcPr>
            <w:tcW w:w="1276" w:type="dxa"/>
          </w:tcPr>
          <w:p w14:paraId="0F2EA5BB" w14:textId="603775A8" w:rsidR="001D42D1" w:rsidRPr="00BB59FE" w:rsidRDefault="001D42D1" w:rsidP="001D42D1">
            <w:pPr>
              <w:widowControl w:val="0"/>
              <w:tabs>
                <w:tab w:val="left" w:pos="1350"/>
              </w:tabs>
              <w:spacing w:before="15" w:after="15"/>
              <w:jc w:val="both"/>
              <w:rPr>
                <w:noProof/>
                <w:sz w:val="16"/>
                <w:szCs w:val="16"/>
              </w:rPr>
            </w:pPr>
            <w:r>
              <w:rPr>
                <w:noProof/>
                <w:sz w:val="16"/>
              </w:rPr>
              <w:t>11 02 01</w:t>
            </w:r>
          </w:p>
        </w:tc>
        <w:tc>
          <w:tcPr>
            <w:tcW w:w="5132" w:type="dxa"/>
          </w:tcPr>
          <w:p w14:paraId="0B98AC10" w14:textId="40B3487B" w:rsidR="001D42D1" w:rsidRPr="00BB59FE" w:rsidRDefault="001D42D1" w:rsidP="001D42D1">
            <w:pPr>
              <w:widowControl w:val="0"/>
              <w:tabs>
                <w:tab w:val="left" w:pos="1350"/>
              </w:tabs>
              <w:spacing w:before="15" w:after="15"/>
              <w:jc w:val="both"/>
              <w:rPr>
                <w:noProof/>
                <w:sz w:val="16"/>
                <w:szCs w:val="16"/>
              </w:rPr>
            </w:pPr>
            <w:r>
              <w:rPr>
                <w:noProof/>
                <w:sz w:val="16"/>
              </w:rPr>
              <w:t>Nástroj finančnej podpory na riadenie hraníc a vízovú politiku</w:t>
            </w:r>
          </w:p>
        </w:tc>
        <w:tc>
          <w:tcPr>
            <w:tcW w:w="1701" w:type="dxa"/>
            <w:vAlign w:val="center"/>
          </w:tcPr>
          <w:p w14:paraId="7B0D8CF8" w14:textId="5562FD61" w:rsidR="001D42D1" w:rsidRDefault="001D42D1" w:rsidP="001D42D1">
            <w:pPr>
              <w:widowControl w:val="0"/>
              <w:spacing w:before="15" w:after="15"/>
              <w:jc w:val="right"/>
              <w:rPr>
                <w:rFonts w:eastAsia="Calibri"/>
                <w:noProof/>
                <w:sz w:val="16"/>
                <w:szCs w:val="16"/>
              </w:rPr>
            </w:pPr>
            <w:r>
              <w:rPr>
                <w:noProof/>
                <w:sz w:val="16"/>
              </w:rPr>
              <w:t>19 859 000</w:t>
            </w:r>
          </w:p>
        </w:tc>
        <w:tc>
          <w:tcPr>
            <w:tcW w:w="1701" w:type="dxa"/>
            <w:vAlign w:val="center"/>
          </w:tcPr>
          <w:p w14:paraId="51E5F7E9" w14:textId="4996983D" w:rsidR="001D42D1" w:rsidRDefault="001D42D1" w:rsidP="001D42D1">
            <w:pPr>
              <w:widowControl w:val="0"/>
              <w:spacing w:before="15" w:after="15"/>
              <w:jc w:val="right"/>
              <w:rPr>
                <w:rFonts w:eastAsia="Calibri"/>
                <w:noProof/>
                <w:sz w:val="16"/>
                <w:szCs w:val="16"/>
              </w:rPr>
            </w:pPr>
            <w:r>
              <w:rPr>
                <w:noProof/>
                <w:sz w:val="16"/>
              </w:rPr>
              <w:t>19 859 000</w:t>
            </w:r>
          </w:p>
        </w:tc>
      </w:tr>
      <w:tr w:rsidR="001D42D1" w:rsidRPr="007E687E" w14:paraId="41DDA296" w14:textId="77777777">
        <w:trPr>
          <w:jc w:val="center"/>
        </w:trPr>
        <w:tc>
          <w:tcPr>
            <w:tcW w:w="6408" w:type="dxa"/>
            <w:gridSpan w:val="2"/>
            <w:shd w:val="clear" w:color="auto" w:fill="D9D9D9"/>
          </w:tcPr>
          <w:p w14:paraId="2C8EB53A" w14:textId="77777777" w:rsidR="001D42D1" w:rsidRPr="007E687E" w:rsidRDefault="001D42D1" w:rsidP="001D42D1">
            <w:pPr>
              <w:widowControl w:val="0"/>
              <w:spacing w:before="15" w:after="15"/>
              <w:ind w:right="-113"/>
              <w:jc w:val="both"/>
              <w:rPr>
                <w:rFonts w:eastAsia="Calibri"/>
                <w:noProof/>
                <w:sz w:val="20"/>
                <w:szCs w:val="20"/>
              </w:rPr>
            </w:pPr>
            <w:r>
              <w:rPr>
                <w:b/>
                <w:noProof/>
                <w:sz w:val="20"/>
              </w:rPr>
              <w:t>Spolu</w:t>
            </w:r>
            <w:r>
              <w:rPr>
                <w:noProof/>
              </w:rPr>
              <w:tab/>
            </w:r>
          </w:p>
        </w:tc>
        <w:tc>
          <w:tcPr>
            <w:tcW w:w="1701" w:type="dxa"/>
            <w:shd w:val="clear" w:color="auto" w:fill="D9D9D9"/>
          </w:tcPr>
          <w:p w14:paraId="79CB3414" w14:textId="226B9C5A" w:rsidR="001D42D1" w:rsidRPr="00DC3D08" w:rsidRDefault="001D42D1" w:rsidP="001D42D1">
            <w:pPr>
              <w:widowControl w:val="0"/>
              <w:spacing w:before="15" w:after="15"/>
              <w:jc w:val="right"/>
              <w:rPr>
                <w:rFonts w:eastAsia="Calibri"/>
                <w:b/>
                <w:bCs/>
                <w:noProof/>
                <w:sz w:val="20"/>
                <w:szCs w:val="20"/>
              </w:rPr>
            </w:pPr>
            <w:r>
              <w:rPr>
                <w:b/>
                <w:noProof/>
                <w:sz w:val="20"/>
              </w:rPr>
              <w:t>0</w:t>
            </w:r>
          </w:p>
        </w:tc>
        <w:tc>
          <w:tcPr>
            <w:tcW w:w="1701" w:type="dxa"/>
            <w:shd w:val="clear" w:color="auto" w:fill="D9D9D9"/>
          </w:tcPr>
          <w:p w14:paraId="0399E472" w14:textId="1559EC6F" w:rsidR="001D42D1" w:rsidRPr="00DC3D08" w:rsidRDefault="001D42D1" w:rsidP="001D42D1">
            <w:pPr>
              <w:widowControl w:val="0"/>
              <w:spacing w:before="15" w:after="15"/>
              <w:jc w:val="right"/>
              <w:rPr>
                <w:rFonts w:eastAsia="Calibri"/>
                <w:b/>
                <w:bCs/>
                <w:noProof/>
                <w:sz w:val="20"/>
                <w:szCs w:val="20"/>
              </w:rPr>
            </w:pPr>
            <w:r>
              <w:rPr>
                <w:b/>
                <w:noProof/>
                <w:sz w:val="20"/>
              </w:rPr>
              <w:t>0</w:t>
            </w:r>
          </w:p>
        </w:tc>
      </w:tr>
    </w:tbl>
    <w:p w14:paraId="3DB0482D" w14:textId="2C0FA9CA" w:rsidR="00606BE2" w:rsidRPr="00A16167" w:rsidRDefault="00692727" w:rsidP="00AA6580">
      <w:pPr>
        <w:keepNext/>
        <w:tabs>
          <w:tab w:val="left" w:pos="850"/>
        </w:tabs>
        <w:spacing w:before="360" w:after="120"/>
        <w:ind w:left="357" w:hanging="357"/>
        <w:jc w:val="both"/>
        <w:outlineLvl w:val="1"/>
        <w:rPr>
          <w:rFonts w:eastAsia="Calibri"/>
          <w:b/>
          <w:noProof/>
        </w:rPr>
      </w:pPr>
      <w:bookmarkStart w:id="90" w:name="_Toc145922827"/>
      <w:r>
        <w:rPr>
          <w:b/>
          <w:noProof/>
        </w:rPr>
        <w:t xml:space="preserve">5.4. </w:t>
      </w:r>
      <w:r>
        <w:rPr>
          <w:noProof/>
        </w:rPr>
        <w:tab/>
      </w:r>
      <w:r>
        <w:rPr>
          <w:b/>
          <w:noProof/>
        </w:rPr>
        <w:t>Presuny z rezerv do operačných riadkov decentralizovaných agentúr z dôvodu prijatia právnych aktov</w:t>
      </w:r>
      <w:bookmarkEnd w:id="89"/>
      <w:bookmarkEnd w:id="90"/>
      <w:r>
        <w:rPr>
          <w:b/>
          <w:noProof/>
        </w:rPr>
        <w:t xml:space="preserve"> </w:t>
      </w:r>
    </w:p>
    <w:p w14:paraId="2ECDB77F" w14:textId="26E6EB87" w:rsidR="00606BE2" w:rsidRPr="009D7190" w:rsidRDefault="00606BE2" w:rsidP="00606BE2">
      <w:pPr>
        <w:jc w:val="both"/>
        <w:rPr>
          <w:noProof/>
        </w:rPr>
      </w:pPr>
      <w:r>
        <w:rPr>
          <w:noProof/>
        </w:rPr>
        <w:t xml:space="preserve">Vzhľadom na to, že spoluzákonodarcovia sa chystajú prijať alebo už prijali nasledujúce právne akty, Komisia navrhuje presunúť sumy, ktoré sa v súčasnosti nachádzajú v rezervách na vykonávanie týchto právnych aktov, do operačných riadkov príslušných decentralizovaných agentúr: </w:t>
      </w:r>
    </w:p>
    <w:p w14:paraId="3C75318A" w14:textId="03AF9918" w:rsidR="00606BE2" w:rsidRDefault="00606BE2" w:rsidP="00606BE2">
      <w:pPr>
        <w:jc w:val="both"/>
        <w:rPr>
          <w:rFonts w:eastAsiaTheme="minorHAnsi"/>
          <w:noProof/>
          <w:lang w:eastAsia="en-US"/>
        </w:rPr>
      </w:pPr>
    </w:p>
    <w:p w14:paraId="0290E8EB" w14:textId="19A6BD5A" w:rsidR="00642EB5" w:rsidRPr="00642EB5" w:rsidRDefault="1F1B1A32" w:rsidP="42EA40D1">
      <w:pPr>
        <w:pStyle w:val="ListParagraph"/>
        <w:numPr>
          <w:ilvl w:val="0"/>
          <w:numId w:val="45"/>
        </w:numPr>
        <w:ind w:left="360"/>
        <w:jc w:val="both"/>
        <w:rPr>
          <w:rFonts w:ascii="Times New Roman" w:eastAsia="Times New Roman" w:hAnsi="Times New Roman"/>
          <w:noProof/>
          <w:sz w:val="24"/>
          <w:szCs w:val="24"/>
        </w:rPr>
      </w:pPr>
      <w:r>
        <w:rPr>
          <w:rFonts w:ascii="Times New Roman" w:hAnsi="Times New Roman"/>
          <w:b/>
          <w:i/>
          <w:noProof/>
          <w:sz w:val="24"/>
        </w:rPr>
        <w:t>Agentúra Európskej únie pre bezpečnosť letectva (EASA) (02 10 01)</w:t>
      </w:r>
      <w:r>
        <w:rPr>
          <w:rFonts w:ascii="Times New Roman" w:hAnsi="Times New Roman"/>
          <w:noProof/>
          <w:sz w:val="24"/>
        </w:rPr>
        <w:t>: V nadväznosti na politickú dohodu o návrhu Komisie o zaistení rovnakých podmienok pre udržateľnú leteckú dopravu</w:t>
      </w:r>
      <w:r>
        <w:rPr>
          <w:rStyle w:val="FootnoteReference"/>
          <w:rFonts w:ascii="Times New Roman" w:eastAsiaTheme="minorEastAsia" w:hAnsi="Times New Roman"/>
          <w:noProof/>
          <w:sz w:val="24"/>
          <w:szCs w:val="24"/>
          <w:lang w:val="en-GB"/>
        </w:rPr>
        <w:footnoteReference w:id="11"/>
      </w:r>
      <w:r>
        <w:rPr>
          <w:rFonts w:ascii="Times New Roman" w:hAnsi="Times New Roman"/>
          <w:noProof/>
          <w:sz w:val="24"/>
        </w:rPr>
        <w:t xml:space="preserve"> sa z riadku rezerv do operačného riadku presunie suma 2 774 000 EUR vo viazaných a platobných rozpočtových prostriedkoch.</w:t>
      </w:r>
    </w:p>
    <w:p w14:paraId="0F51B298" w14:textId="6223D6E5" w:rsidR="00950AAE" w:rsidRPr="00950AAE" w:rsidRDefault="237F037D" w:rsidP="42EA40D1">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Európska námorná bezpečnostná agentúra (EMSA) (02 10 02)</w:t>
      </w:r>
      <w:r>
        <w:rPr>
          <w:rFonts w:ascii="Times New Roman" w:hAnsi="Times New Roman"/>
          <w:noProof/>
          <w:sz w:val="24"/>
        </w:rPr>
        <w:t>: V nadväznosti na prijatie nariadenia Európskeho parlamentu a Rady 2023/1805 z 22. septembra 2023 o využívaní palív z obnoviteľných zdrojov a nízkouhlíkových palív v námornej doprave a o zmene smernice 2009/16/ES</w:t>
      </w:r>
      <w:r>
        <w:rPr>
          <w:rStyle w:val="FootnoteReference"/>
          <w:rFonts w:ascii="Times New Roman" w:eastAsiaTheme="minorEastAsia" w:hAnsi="Times New Roman"/>
          <w:noProof/>
          <w:sz w:val="24"/>
          <w:szCs w:val="24"/>
          <w:lang w:val="en-GB"/>
        </w:rPr>
        <w:footnoteReference w:id="12"/>
      </w:r>
      <w:r>
        <w:rPr>
          <w:rFonts w:ascii="Times New Roman" w:hAnsi="Times New Roman"/>
          <w:noProof/>
          <w:sz w:val="24"/>
        </w:rPr>
        <w:t xml:space="preserve"> sa z riadku rezerv do operačného riadku presunie suma 1 191 000 EUR vo viazaných a platobných rozpočtových prostriedkoch.</w:t>
      </w:r>
    </w:p>
    <w:p w14:paraId="5F0AA8A5" w14:textId="1841121D" w:rsidR="00950AAE" w:rsidRDefault="007E358B" w:rsidP="007E358B">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Európsky orgán pre cenné papiere a trhy (ESMA) (03 10 04)</w:t>
      </w:r>
      <w:r>
        <w:rPr>
          <w:rFonts w:ascii="Times New Roman" w:hAnsi="Times New Roman"/>
          <w:noProof/>
          <w:sz w:val="24"/>
        </w:rPr>
        <w:t>: V nadväznosti na politickú dohodu o návrhu Komisie o jednotnom európskom mieste prístupu</w:t>
      </w:r>
      <w:r>
        <w:rPr>
          <w:rStyle w:val="FootnoteReference"/>
          <w:rFonts w:ascii="Times New Roman" w:eastAsiaTheme="minorEastAsia" w:hAnsi="Times New Roman"/>
          <w:noProof/>
          <w:sz w:val="24"/>
          <w:szCs w:val="24"/>
          <w:lang w:val="en-GB"/>
        </w:rPr>
        <w:footnoteReference w:id="13"/>
      </w:r>
      <w:r>
        <w:rPr>
          <w:rFonts w:ascii="Times New Roman" w:hAnsi="Times New Roman"/>
          <w:noProof/>
          <w:sz w:val="24"/>
        </w:rPr>
        <w:t xml:space="preserve"> sa z riadku rezerv do operačného riadku presunie suma 1 007 000 EUR vo viazaných a platobných rozpočtových prostriedkoch.</w:t>
      </w:r>
    </w:p>
    <w:p w14:paraId="22D94C27" w14:textId="3ABAB503" w:rsidR="009241D9" w:rsidRPr="00295C22" w:rsidRDefault="009241D9">
      <w:pPr>
        <w:jc w:val="both"/>
        <w:rPr>
          <w:rFonts w:eastAsiaTheme="minorEastAsia"/>
          <w:noProof/>
        </w:rPr>
      </w:pPr>
      <w:bookmarkStart w:id="91" w:name="_Hlk114245085"/>
      <w:r>
        <w:rPr>
          <w:noProof/>
        </w:rPr>
        <w:t>V nasledujúcej tabuľke sa uvádza prehľad súm navrhnutých na uvoľnenie z rezervy po prijatí príslušných základných aktov:</w:t>
      </w:r>
    </w:p>
    <w:bookmarkEnd w:id="91"/>
    <w:p w14:paraId="34755A7A" w14:textId="77777777" w:rsidR="009241D9" w:rsidRPr="00EE5FA8" w:rsidRDefault="009241D9" w:rsidP="00EE5FA8">
      <w:pPr>
        <w:jc w:val="both"/>
        <w:rPr>
          <w:rFonts w:eastAsiaTheme="minorEastAsia"/>
          <w:noProo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843"/>
        <w:gridCol w:w="1843"/>
      </w:tblGrid>
      <w:tr w:rsidR="00D6716A" w14:paraId="4108208D" w14:textId="77777777" w:rsidTr="007B3725">
        <w:tc>
          <w:tcPr>
            <w:tcW w:w="1276" w:type="dxa"/>
            <w:tcBorders>
              <w:top w:val="single" w:sz="4" w:space="0" w:color="auto"/>
            </w:tcBorders>
            <w:shd w:val="clear" w:color="auto" w:fill="D9D9D9" w:themeFill="background1" w:themeFillShade="D9"/>
            <w:vAlign w:val="center"/>
          </w:tcPr>
          <w:p w14:paraId="0CBCFCA2" w14:textId="77777777" w:rsidR="00D6716A" w:rsidRDefault="00D6716A" w:rsidP="007B3725">
            <w:pPr>
              <w:widowControl w:val="0"/>
              <w:spacing w:before="15" w:after="15"/>
              <w:jc w:val="center"/>
              <w:rPr>
                <w:b/>
                <w:noProof/>
                <w:sz w:val="20"/>
                <w:szCs w:val="20"/>
              </w:rPr>
            </w:pPr>
            <w:r>
              <w:rPr>
                <w:b/>
                <w:noProof/>
                <w:sz w:val="20"/>
              </w:rPr>
              <w:t>Rozpočtový riadok</w:t>
            </w:r>
          </w:p>
        </w:tc>
        <w:tc>
          <w:tcPr>
            <w:tcW w:w="4961" w:type="dxa"/>
            <w:tcBorders>
              <w:top w:val="single" w:sz="4" w:space="0" w:color="auto"/>
            </w:tcBorders>
            <w:shd w:val="clear" w:color="auto" w:fill="D9D9D9" w:themeFill="background1" w:themeFillShade="D9"/>
            <w:vAlign w:val="center"/>
          </w:tcPr>
          <w:p w14:paraId="49347C70" w14:textId="77777777" w:rsidR="00D6716A" w:rsidRDefault="00D6716A" w:rsidP="007B3725">
            <w:pPr>
              <w:widowControl w:val="0"/>
              <w:spacing w:before="15" w:after="15"/>
              <w:ind w:right="176"/>
              <w:jc w:val="center"/>
              <w:rPr>
                <w:b/>
                <w:noProof/>
                <w:sz w:val="20"/>
                <w:szCs w:val="20"/>
              </w:rPr>
            </w:pPr>
            <w:r>
              <w:rPr>
                <w:b/>
                <w:noProof/>
                <w:sz w:val="20"/>
              </w:rPr>
              <w:t>Názov</w:t>
            </w:r>
          </w:p>
        </w:tc>
        <w:tc>
          <w:tcPr>
            <w:tcW w:w="1843" w:type="dxa"/>
            <w:tcBorders>
              <w:top w:val="single" w:sz="4" w:space="0" w:color="auto"/>
            </w:tcBorders>
            <w:shd w:val="clear" w:color="auto" w:fill="D9D9D9" w:themeFill="background1" w:themeFillShade="D9"/>
          </w:tcPr>
          <w:p w14:paraId="7D96A741" w14:textId="77777777" w:rsidR="00D6716A" w:rsidRDefault="00D6716A" w:rsidP="007B3725">
            <w:pPr>
              <w:widowControl w:val="0"/>
              <w:spacing w:before="15" w:after="15"/>
              <w:jc w:val="center"/>
              <w:rPr>
                <w:b/>
                <w:noProof/>
                <w:sz w:val="20"/>
                <w:szCs w:val="20"/>
              </w:rPr>
            </w:pPr>
            <w:r>
              <w:rPr>
                <w:b/>
                <w:noProof/>
                <w:sz w:val="20"/>
              </w:rPr>
              <w:t>Viazané rozpočtové prostriedky</w:t>
            </w:r>
          </w:p>
        </w:tc>
        <w:tc>
          <w:tcPr>
            <w:tcW w:w="1843" w:type="dxa"/>
            <w:tcBorders>
              <w:top w:val="single" w:sz="4" w:space="0" w:color="auto"/>
            </w:tcBorders>
            <w:shd w:val="clear" w:color="auto" w:fill="D9D9D9" w:themeFill="background1" w:themeFillShade="D9"/>
            <w:vAlign w:val="center"/>
          </w:tcPr>
          <w:p w14:paraId="179B6F43" w14:textId="77777777" w:rsidR="00D6716A" w:rsidRDefault="00D6716A" w:rsidP="007B3725">
            <w:pPr>
              <w:widowControl w:val="0"/>
              <w:spacing w:before="15" w:after="15"/>
              <w:jc w:val="center"/>
              <w:rPr>
                <w:b/>
                <w:noProof/>
                <w:sz w:val="20"/>
                <w:szCs w:val="20"/>
              </w:rPr>
            </w:pPr>
            <w:r>
              <w:rPr>
                <w:b/>
                <w:noProof/>
                <w:sz w:val="20"/>
              </w:rPr>
              <w:t>Platobné rozpočtové prostriedky</w:t>
            </w:r>
          </w:p>
        </w:tc>
      </w:tr>
      <w:tr w:rsidR="009241D9" w14:paraId="0910728B" w14:textId="77777777" w:rsidTr="007B3725">
        <w:tc>
          <w:tcPr>
            <w:tcW w:w="1276" w:type="dxa"/>
          </w:tcPr>
          <w:p w14:paraId="61CAA0CF" w14:textId="243E4FDF" w:rsidR="009241D9" w:rsidRPr="00CD5E8A" w:rsidRDefault="00950AAE" w:rsidP="007B3725">
            <w:pPr>
              <w:widowControl w:val="0"/>
              <w:spacing w:before="15" w:after="15"/>
              <w:ind w:right="-113"/>
              <w:jc w:val="both"/>
              <w:rPr>
                <w:noProof/>
                <w:sz w:val="16"/>
                <w:szCs w:val="16"/>
              </w:rPr>
            </w:pPr>
            <w:r>
              <w:rPr>
                <w:noProof/>
                <w:sz w:val="16"/>
              </w:rPr>
              <w:t>02 10 01</w:t>
            </w:r>
          </w:p>
        </w:tc>
        <w:tc>
          <w:tcPr>
            <w:tcW w:w="4961" w:type="dxa"/>
          </w:tcPr>
          <w:p w14:paraId="3587FD77" w14:textId="47FEF3A8" w:rsidR="009241D9" w:rsidRPr="00CD5E8A" w:rsidRDefault="000C0FFA" w:rsidP="007B3725">
            <w:pPr>
              <w:widowControl w:val="0"/>
              <w:spacing w:before="15" w:after="15"/>
              <w:ind w:right="-113"/>
              <w:jc w:val="both"/>
              <w:rPr>
                <w:noProof/>
                <w:sz w:val="16"/>
                <w:szCs w:val="16"/>
              </w:rPr>
            </w:pPr>
            <w:r>
              <w:rPr>
                <w:noProof/>
                <w:sz w:val="16"/>
              </w:rPr>
              <w:t>Agentúra Európskej únie pre bezpečnosť letectva (EASA)</w:t>
            </w:r>
          </w:p>
        </w:tc>
        <w:tc>
          <w:tcPr>
            <w:tcW w:w="1843" w:type="dxa"/>
          </w:tcPr>
          <w:p w14:paraId="3D139705" w14:textId="0F03A638" w:rsidR="009241D9" w:rsidRPr="00CD5E8A" w:rsidRDefault="007C0D4D" w:rsidP="007B3725">
            <w:pPr>
              <w:jc w:val="right"/>
              <w:rPr>
                <w:noProof/>
                <w:color w:val="000000"/>
                <w:sz w:val="16"/>
                <w:szCs w:val="16"/>
              </w:rPr>
            </w:pPr>
            <w:r>
              <w:rPr>
                <w:noProof/>
                <w:color w:val="000000"/>
                <w:sz w:val="16"/>
              </w:rPr>
              <w:t>2 774 000</w:t>
            </w:r>
          </w:p>
        </w:tc>
        <w:tc>
          <w:tcPr>
            <w:tcW w:w="1843" w:type="dxa"/>
          </w:tcPr>
          <w:p w14:paraId="33957E06" w14:textId="1A0C6B24" w:rsidR="009241D9" w:rsidRPr="00CD5E8A" w:rsidRDefault="007C0D4D" w:rsidP="007B3725">
            <w:pPr>
              <w:widowControl w:val="0"/>
              <w:spacing w:before="15" w:after="15"/>
              <w:jc w:val="right"/>
              <w:rPr>
                <w:noProof/>
                <w:sz w:val="16"/>
                <w:szCs w:val="16"/>
              </w:rPr>
            </w:pPr>
            <w:r>
              <w:rPr>
                <w:noProof/>
                <w:sz w:val="16"/>
              </w:rPr>
              <w:t>2 774 000</w:t>
            </w:r>
          </w:p>
        </w:tc>
      </w:tr>
      <w:tr w:rsidR="00D83413" w14:paraId="31884696" w14:textId="77777777" w:rsidTr="007B3725">
        <w:tc>
          <w:tcPr>
            <w:tcW w:w="1276" w:type="dxa"/>
          </w:tcPr>
          <w:p w14:paraId="51CC7B1A" w14:textId="2AEF72EA"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2C9B728F" w14:textId="2B4AEC1D" w:rsidR="00D83413" w:rsidRPr="00CD5E8A" w:rsidRDefault="00D83413" w:rsidP="00D83413">
            <w:pPr>
              <w:widowControl w:val="0"/>
              <w:spacing w:before="15" w:after="15"/>
              <w:ind w:right="-113"/>
              <w:jc w:val="both"/>
              <w:rPr>
                <w:noProof/>
                <w:sz w:val="16"/>
                <w:szCs w:val="16"/>
              </w:rPr>
            </w:pPr>
            <w:r>
              <w:rPr>
                <w:noProof/>
                <w:sz w:val="16"/>
              </w:rPr>
              <w:t>Diferencované rozpočtové prostriedky (</w:t>
            </w:r>
            <w:r>
              <w:rPr>
                <w:i/>
                <w:iCs/>
                <w:noProof/>
                <w:sz w:val="16"/>
              </w:rPr>
              <w:t>Rezerva pre rozpočtový článok 02 10 01</w:t>
            </w:r>
            <w:r>
              <w:rPr>
                <w:noProof/>
                <w:sz w:val="16"/>
              </w:rPr>
              <w:t>)</w:t>
            </w:r>
          </w:p>
        </w:tc>
        <w:tc>
          <w:tcPr>
            <w:tcW w:w="1843" w:type="dxa"/>
          </w:tcPr>
          <w:p w14:paraId="628690D1" w14:textId="697711C7" w:rsidR="00D83413" w:rsidRPr="00CD5E8A" w:rsidRDefault="00D83413" w:rsidP="00D83413">
            <w:pPr>
              <w:jc w:val="right"/>
              <w:rPr>
                <w:noProof/>
                <w:color w:val="000000"/>
                <w:sz w:val="16"/>
                <w:szCs w:val="16"/>
              </w:rPr>
            </w:pPr>
            <w:r>
              <w:rPr>
                <w:noProof/>
                <w:color w:val="000000"/>
                <w:sz w:val="16"/>
              </w:rPr>
              <w:t>-2 774 000</w:t>
            </w:r>
          </w:p>
        </w:tc>
        <w:tc>
          <w:tcPr>
            <w:tcW w:w="1843" w:type="dxa"/>
          </w:tcPr>
          <w:p w14:paraId="5F6E9CF5" w14:textId="17F1E6FF" w:rsidR="00D83413" w:rsidRPr="00CD5E8A" w:rsidRDefault="00D83413" w:rsidP="00D83413">
            <w:pPr>
              <w:widowControl w:val="0"/>
              <w:spacing w:before="15" w:after="15"/>
              <w:jc w:val="right"/>
              <w:rPr>
                <w:noProof/>
                <w:sz w:val="16"/>
                <w:szCs w:val="16"/>
              </w:rPr>
            </w:pPr>
            <w:r>
              <w:rPr>
                <w:noProof/>
                <w:sz w:val="16"/>
              </w:rPr>
              <w:t>-2 774 000</w:t>
            </w:r>
          </w:p>
        </w:tc>
      </w:tr>
      <w:tr w:rsidR="000C0FFA" w14:paraId="75DA053F" w14:textId="77777777" w:rsidTr="007B3725">
        <w:tc>
          <w:tcPr>
            <w:tcW w:w="1276" w:type="dxa"/>
          </w:tcPr>
          <w:p w14:paraId="30578454" w14:textId="6F864D9F" w:rsidR="000C0FFA" w:rsidRPr="00CD5E8A" w:rsidRDefault="000C0FFA" w:rsidP="000C0FFA">
            <w:pPr>
              <w:widowControl w:val="0"/>
              <w:spacing w:before="15" w:after="15"/>
              <w:ind w:right="-113"/>
              <w:jc w:val="both"/>
              <w:rPr>
                <w:noProof/>
                <w:sz w:val="16"/>
                <w:szCs w:val="16"/>
              </w:rPr>
            </w:pPr>
            <w:r>
              <w:rPr>
                <w:noProof/>
                <w:sz w:val="16"/>
              </w:rPr>
              <w:t>02 10 02</w:t>
            </w:r>
          </w:p>
        </w:tc>
        <w:tc>
          <w:tcPr>
            <w:tcW w:w="4961" w:type="dxa"/>
          </w:tcPr>
          <w:p w14:paraId="287C4B2E" w14:textId="0C62ED70" w:rsidR="000C0FFA" w:rsidRPr="00CD5E8A" w:rsidRDefault="000C0FFA" w:rsidP="000C0FFA">
            <w:pPr>
              <w:widowControl w:val="0"/>
              <w:spacing w:before="15" w:after="15"/>
              <w:ind w:right="-113"/>
              <w:jc w:val="both"/>
              <w:rPr>
                <w:noProof/>
                <w:sz w:val="16"/>
                <w:szCs w:val="16"/>
              </w:rPr>
            </w:pPr>
            <w:r>
              <w:rPr>
                <w:noProof/>
                <w:sz w:val="16"/>
              </w:rPr>
              <w:t>Európska námorná bezpečnostná agentúra (EMSA)</w:t>
            </w:r>
          </w:p>
        </w:tc>
        <w:tc>
          <w:tcPr>
            <w:tcW w:w="1843" w:type="dxa"/>
          </w:tcPr>
          <w:p w14:paraId="435CF42F" w14:textId="36378719" w:rsidR="000C0FFA" w:rsidRPr="00CD5E8A" w:rsidRDefault="00D83413" w:rsidP="000C0FFA">
            <w:pPr>
              <w:jc w:val="right"/>
              <w:rPr>
                <w:noProof/>
                <w:color w:val="000000"/>
                <w:sz w:val="16"/>
                <w:szCs w:val="16"/>
              </w:rPr>
            </w:pPr>
            <w:r>
              <w:rPr>
                <w:noProof/>
                <w:color w:val="000000"/>
                <w:sz w:val="16"/>
              </w:rPr>
              <w:t>1 191 000</w:t>
            </w:r>
          </w:p>
        </w:tc>
        <w:tc>
          <w:tcPr>
            <w:tcW w:w="1843" w:type="dxa"/>
          </w:tcPr>
          <w:p w14:paraId="60108C0F" w14:textId="0B46A858" w:rsidR="000C0FFA" w:rsidRPr="00CD5E8A" w:rsidRDefault="00D83413" w:rsidP="000C0FFA">
            <w:pPr>
              <w:widowControl w:val="0"/>
              <w:spacing w:before="15" w:after="15"/>
              <w:jc w:val="right"/>
              <w:rPr>
                <w:noProof/>
                <w:sz w:val="16"/>
                <w:szCs w:val="16"/>
              </w:rPr>
            </w:pPr>
            <w:r>
              <w:rPr>
                <w:noProof/>
                <w:sz w:val="16"/>
              </w:rPr>
              <w:t>1 191 000</w:t>
            </w:r>
          </w:p>
        </w:tc>
      </w:tr>
      <w:tr w:rsidR="00D83413" w14:paraId="627E1182" w14:textId="77777777" w:rsidTr="007B3725">
        <w:tc>
          <w:tcPr>
            <w:tcW w:w="1276" w:type="dxa"/>
          </w:tcPr>
          <w:p w14:paraId="389DBFF6" w14:textId="325423AF"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16DA0694" w14:textId="0F235E18" w:rsidR="00D83413" w:rsidRPr="00CD5E8A" w:rsidRDefault="00D83413" w:rsidP="00D83413">
            <w:pPr>
              <w:widowControl w:val="0"/>
              <w:spacing w:before="15" w:after="15"/>
              <w:ind w:right="-113"/>
              <w:jc w:val="both"/>
              <w:rPr>
                <w:noProof/>
                <w:sz w:val="16"/>
                <w:szCs w:val="16"/>
              </w:rPr>
            </w:pPr>
            <w:r>
              <w:rPr>
                <w:noProof/>
                <w:sz w:val="16"/>
              </w:rPr>
              <w:t>Diferencované rozpočtové prostriedky (</w:t>
            </w:r>
            <w:r>
              <w:rPr>
                <w:i/>
                <w:iCs/>
                <w:noProof/>
                <w:sz w:val="16"/>
              </w:rPr>
              <w:t>Rezerva pre rozpočtový článok 02 10 02</w:t>
            </w:r>
            <w:r>
              <w:rPr>
                <w:noProof/>
                <w:sz w:val="16"/>
              </w:rPr>
              <w:t>)</w:t>
            </w:r>
          </w:p>
        </w:tc>
        <w:tc>
          <w:tcPr>
            <w:tcW w:w="1843" w:type="dxa"/>
          </w:tcPr>
          <w:p w14:paraId="453B16CF" w14:textId="30B4FEC7" w:rsidR="00D83413" w:rsidRPr="00CD5E8A" w:rsidRDefault="00FA0837" w:rsidP="00D83413">
            <w:pPr>
              <w:jc w:val="right"/>
              <w:rPr>
                <w:noProof/>
                <w:color w:val="000000"/>
                <w:sz w:val="16"/>
                <w:szCs w:val="16"/>
              </w:rPr>
            </w:pPr>
            <w:r>
              <w:rPr>
                <w:noProof/>
                <w:color w:val="000000"/>
                <w:sz w:val="16"/>
              </w:rPr>
              <w:t>- 1 191 000</w:t>
            </w:r>
          </w:p>
        </w:tc>
        <w:tc>
          <w:tcPr>
            <w:tcW w:w="1843" w:type="dxa"/>
          </w:tcPr>
          <w:p w14:paraId="06E6E223" w14:textId="2A9EE4B9" w:rsidR="00D83413" w:rsidRPr="00CD5E8A" w:rsidRDefault="00FA0837" w:rsidP="00D83413">
            <w:pPr>
              <w:widowControl w:val="0"/>
              <w:spacing w:before="15" w:after="15"/>
              <w:jc w:val="right"/>
              <w:rPr>
                <w:noProof/>
                <w:sz w:val="16"/>
                <w:szCs w:val="16"/>
              </w:rPr>
            </w:pPr>
            <w:r>
              <w:rPr>
                <w:noProof/>
                <w:sz w:val="16"/>
              </w:rPr>
              <w:t>-1 191 000</w:t>
            </w:r>
          </w:p>
        </w:tc>
      </w:tr>
      <w:tr w:rsidR="004B2BDF" w14:paraId="3EC289D6" w14:textId="77777777" w:rsidTr="007B3725">
        <w:tc>
          <w:tcPr>
            <w:tcW w:w="1276" w:type="dxa"/>
          </w:tcPr>
          <w:p w14:paraId="0EE371AE" w14:textId="082DE52C" w:rsidR="004B2BDF" w:rsidRPr="00CD5E8A" w:rsidRDefault="004B2BDF" w:rsidP="004B2BDF">
            <w:pPr>
              <w:widowControl w:val="0"/>
              <w:spacing w:before="15" w:after="15"/>
              <w:ind w:right="-113"/>
              <w:jc w:val="both"/>
              <w:rPr>
                <w:noProof/>
                <w:sz w:val="16"/>
                <w:szCs w:val="16"/>
              </w:rPr>
            </w:pPr>
            <w:r>
              <w:rPr>
                <w:noProof/>
                <w:sz w:val="16"/>
              </w:rPr>
              <w:t>03 10 04</w:t>
            </w:r>
          </w:p>
        </w:tc>
        <w:tc>
          <w:tcPr>
            <w:tcW w:w="4961" w:type="dxa"/>
          </w:tcPr>
          <w:p w14:paraId="468CE3DF" w14:textId="1FAE2AA3" w:rsidR="004B2BDF" w:rsidRPr="00CD5E8A" w:rsidRDefault="004B2BDF" w:rsidP="004B2BDF">
            <w:pPr>
              <w:widowControl w:val="0"/>
              <w:spacing w:before="15" w:after="15"/>
              <w:ind w:right="-113"/>
              <w:jc w:val="both"/>
              <w:rPr>
                <w:noProof/>
                <w:sz w:val="16"/>
                <w:szCs w:val="16"/>
              </w:rPr>
            </w:pPr>
            <w:r>
              <w:rPr>
                <w:noProof/>
                <w:sz w:val="16"/>
              </w:rPr>
              <w:t>Európsky orgán pre cenné papiere a trhy (ESMA)</w:t>
            </w:r>
          </w:p>
        </w:tc>
        <w:tc>
          <w:tcPr>
            <w:tcW w:w="1843" w:type="dxa"/>
          </w:tcPr>
          <w:p w14:paraId="260EBCAD" w14:textId="60F3A4AE" w:rsidR="004B2BDF" w:rsidRPr="00CD5E8A" w:rsidRDefault="004B2BDF" w:rsidP="004B2BDF">
            <w:pPr>
              <w:jc w:val="right"/>
              <w:rPr>
                <w:noProof/>
                <w:color w:val="000000"/>
                <w:sz w:val="16"/>
                <w:szCs w:val="16"/>
              </w:rPr>
            </w:pPr>
            <w:r>
              <w:rPr>
                <w:noProof/>
                <w:color w:val="000000"/>
                <w:sz w:val="16"/>
              </w:rPr>
              <w:t>1 007 000</w:t>
            </w:r>
          </w:p>
        </w:tc>
        <w:tc>
          <w:tcPr>
            <w:tcW w:w="1843" w:type="dxa"/>
          </w:tcPr>
          <w:p w14:paraId="1E690A72" w14:textId="7E019C78" w:rsidR="004B2BDF" w:rsidRPr="00CD5E8A" w:rsidRDefault="004B2BDF" w:rsidP="004B2BDF">
            <w:pPr>
              <w:widowControl w:val="0"/>
              <w:spacing w:before="15" w:after="15"/>
              <w:jc w:val="right"/>
              <w:rPr>
                <w:noProof/>
                <w:sz w:val="16"/>
                <w:szCs w:val="16"/>
              </w:rPr>
            </w:pPr>
            <w:r>
              <w:rPr>
                <w:noProof/>
                <w:sz w:val="16"/>
              </w:rPr>
              <w:t>1 007 000</w:t>
            </w:r>
          </w:p>
        </w:tc>
      </w:tr>
      <w:tr w:rsidR="004B2BDF" w14:paraId="15CA4A72" w14:textId="77777777" w:rsidTr="007B3725">
        <w:tc>
          <w:tcPr>
            <w:tcW w:w="1276" w:type="dxa"/>
          </w:tcPr>
          <w:p w14:paraId="482EA917" w14:textId="7D88D43E" w:rsidR="004B2BDF" w:rsidRPr="00CD5E8A" w:rsidRDefault="004B2BDF" w:rsidP="004B2BDF">
            <w:pPr>
              <w:widowControl w:val="0"/>
              <w:spacing w:before="15" w:after="15"/>
              <w:ind w:right="-113"/>
              <w:jc w:val="both"/>
              <w:rPr>
                <w:noProof/>
                <w:sz w:val="16"/>
                <w:szCs w:val="16"/>
              </w:rPr>
            </w:pPr>
            <w:r>
              <w:rPr>
                <w:noProof/>
                <w:sz w:val="16"/>
              </w:rPr>
              <w:t>30 02 02</w:t>
            </w:r>
          </w:p>
        </w:tc>
        <w:tc>
          <w:tcPr>
            <w:tcW w:w="4961" w:type="dxa"/>
          </w:tcPr>
          <w:p w14:paraId="4119A2BC" w14:textId="3CDB3B4D" w:rsidR="004B2BDF" w:rsidRPr="00CD5E8A" w:rsidRDefault="004B2BDF" w:rsidP="004B2BDF">
            <w:pPr>
              <w:widowControl w:val="0"/>
              <w:spacing w:before="15" w:after="15"/>
              <w:ind w:right="-113"/>
              <w:jc w:val="both"/>
              <w:rPr>
                <w:noProof/>
                <w:sz w:val="16"/>
                <w:szCs w:val="16"/>
              </w:rPr>
            </w:pPr>
            <w:r>
              <w:rPr>
                <w:noProof/>
                <w:sz w:val="16"/>
              </w:rPr>
              <w:t>Diferencované rozpočtové prostriedky (</w:t>
            </w:r>
            <w:r>
              <w:rPr>
                <w:i/>
                <w:iCs/>
                <w:noProof/>
                <w:sz w:val="16"/>
              </w:rPr>
              <w:t>Rezerva pre rozpočtový článok 03 10 04</w:t>
            </w:r>
            <w:r>
              <w:rPr>
                <w:noProof/>
                <w:sz w:val="16"/>
              </w:rPr>
              <w:t>)</w:t>
            </w:r>
          </w:p>
        </w:tc>
        <w:tc>
          <w:tcPr>
            <w:tcW w:w="1843" w:type="dxa"/>
          </w:tcPr>
          <w:p w14:paraId="0F84D5CD" w14:textId="1EDCB210" w:rsidR="004B2BDF" w:rsidRPr="00CD5E8A" w:rsidRDefault="004B2BDF" w:rsidP="004B2BDF">
            <w:pPr>
              <w:jc w:val="right"/>
              <w:rPr>
                <w:noProof/>
                <w:color w:val="000000"/>
                <w:sz w:val="16"/>
                <w:szCs w:val="16"/>
              </w:rPr>
            </w:pPr>
            <w:r>
              <w:rPr>
                <w:noProof/>
                <w:color w:val="000000"/>
                <w:sz w:val="16"/>
              </w:rPr>
              <w:t>- 1 007 000</w:t>
            </w:r>
          </w:p>
        </w:tc>
        <w:tc>
          <w:tcPr>
            <w:tcW w:w="1843" w:type="dxa"/>
          </w:tcPr>
          <w:p w14:paraId="760AC23B" w14:textId="13A7DD11" w:rsidR="004B2BDF" w:rsidRPr="00CD5E8A" w:rsidRDefault="004B2BDF" w:rsidP="004B2BDF">
            <w:pPr>
              <w:widowControl w:val="0"/>
              <w:spacing w:before="15" w:after="15"/>
              <w:jc w:val="right"/>
              <w:rPr>
                <w:noProof/>
                <w:sz w:val="16"/>
                <w:szCs w:val="16"/>
              </w:rPr>
            </w:pPr>
            <w:r>
              <w:rPr>
                <w:noProof/>
                <w:sz w:val="16"/>
              </w:rPr>
              <w:t>-1 007 000</w:t>
            </w:r>
          </w:p>
        </w:tc>
      </w:tr>
      <w:tr w:rsidR="000C0FFA" w14:paraId="686ECA24" w14:textId="77777777" w:rsidTr="007B3725">
        <w:tc>
          <w:tcPr>
            <w:tcW w:w="6237" w:type="dxa"/>
            <w:gridSpan w:val="2"/>
            <w:shd w:val="clear" w:color="auto" w:fill="D9D9D9" w:themeFill="background1" w:themeFillShade="D9"/>
          </w:tcPr>
          <w:p w14:paraId="7C78335C" w14:textId="77777777" w:rsidR="000C0FFA" w:rsidRDefault="000C0FFA" w:rsidP="000C0FFA">
            <w:pPr>
              <w:widowControl w:val="0"/>
              <w:tabs>
                <w:tab w:val="left" w:pos="975"/>
              </w:tabs>
              <w:spacing w:before="15" w:after="15"/>
              <w:jc w:val="both"/>
              <w:rPr>
                <w:b/>
                <w:noProof/>
                <w:sz w:val="20"/>
                <w:szCs w:val="20"/>
              </w:rPr>
            </w:pPr>
            <w:r>
              <w:rPr>
                <w:b/>
                <w:noProof/>
                <w:sz w:val="20"/>
              </w:rPr>
              <w:t>Spolu</w:t>
            </w:r>
            <w:r>
              <w:rPr>
                <w:noProof/>
              </w:rPr>
              <w:tab/>
            </w:r>
          </w:p>
        </w:tc>
        <w:tc>
          <w:tcPr>
            <w:tcW w:w="1843" w:type="dxa"/>
            <w:shd w:val="clear" w:color="auto" w:fill="D9D9D9" w:themeFill="background1" w:themeFillShade="D9"/>
          </w:tcPr>
          <w:p w14:paraId="2A573D98" w14:textId="480F6833" w:rsidR="000C0FFA" w:rsidRDefault="000C0FFA" w:rsidP="000C0FFA">
            <w:pPr>
              <w:jc w:val="right"/>
              <w:rPr>
                <w:b/>
                <w:noProof/>
                <w:color w:val="000000"/>
                <w:sz w:val="20"/>
                <w:szCs w:val="20"/>
              </w:rPr>
            </w:pPr>
            <w:r>
              <w:rPr>
                <w:b/>
                <w:noProof/>
                <w:color w:val="000000"/>
                <w:sz w:val="20"/>
              </w:rPr>
              <w:t>0</w:t>
            </w:r>
          </w:p>
        </w:tc>
        <w:tc>
          <w:tcPr>
            <w:tcW w:w="1843" w:type="dxa"/>
            <w:shd w:val="clear" w:color="auto" w:fill="D9D9D9" w:themeFill="background1" w:themeFillShade="D9"/>
          </w:tcPr>
          <w:p w14:paraId="6FE2BCB8" w14:textId="0B1DF36C" w:rsidR="000C0FFA" w:rsidRDefault="000C0FFA" w:rsidP="000C0FFA">
            <w:pPr>
              <w:jc w:val="right"/>
              <w:rPr>
                <w:b/>
                <w:noProof/>
                <w:sz w:val="20"/>
                <w:szCs w:val="20"/>
              </w:rPr>
            </w:pPr>
            <w:r>
              <w:rPr>
                <w:b/>
                <w:noProof/>
                <w:sz w:val="20"/>
              </w:rPr>
              <w:t>0</w:t>
            </w:r>
          </w:p>
        </w:tc>
      </w:tr>
    </w:tbl>
    <w:p w14:paraId="7190E912" w14:textId="448001B5" w:rsidR="00BA114A" w:rsidRDefault="00692727" w:rsidP="00BA114A">
      <w:pPr>
        <w:pStyle w:val="ManualHeading1"/>
        <w:ind w:left="0" w:firstLine="0"/>
        <w:rPr>
          <w:noProof/>
        </w:rPr>
      </w:pPr>
      <w:bookmarkStart w:id="92" w:name="_Toc145922828"/>
      <w:bookmarkStart w:id="93" w:name="_Toc54770334"/>
      <w:bookmarkStart w:id="94" w:name="_Toc55807144"/>
      <w:bookmarkStart w:id="95" w:name="_Toc114838641"/>
      <w:bookmarkStart w:id="96" w:name="_Toc526753789"/>
      <w:bookmarkEnd w:id="84"/>
      <w:r>
        <w:rPr>
          <w:noProof/>
        </w:rPr>
        <w:t>6.</w:t>
      </w:r>
      <w:r>
        <w:rPr>
          <w:noProof/>
        </w:rPr>
        <w:tab/>
        <w:t>Prevod zdrojov Európskeho fondu regionálneho rozvoja do programu Horizont Európa pre Litvu</w:t>
      </w:r>
      <w:bookmarkEnd w:id="92"/>
    </w:p>
    <w:p w14:paraId="5F4A4994" w14:textId="27BF06D0" w:rsidR="00BA114A" w:rsidRDefault="00BA114A" w:rsidP="00BA114A">
      <w:pPr>
        <w:pStyle w:val="Text1"/>
        <w:ind w:left="0"/>
        <w:rPr>
          <w:noProof/>
        </w:rPr>
      </w:pPr>
      <w:r>
        <w:rPr>
          <w:noProof/>
        </w:rPr>
        <w:t>Na základe žiadosti Litvy – v rámci zmeny jej programu EFRR</w:t>
      </w:r>
      <w:r>
        <w:rPr>
          <w:rStyle w:val="FootnoteReference"/>
          <w:noProof/>
        </w:rPr>
        <w:footnoteReference w:id="14"/>
      </w:r>
      <w:r>
        <w:rPr>
          <w:noProof/>
        </w:rPr>
        <w:t xml:space="preserve"> – o prevod zdrojov podľa článku 26 nariadenia o spoločných ustanoveniach (NSU) môžu byť v rámci programu Horizont Európa implementované v súlade s pravidlami nástroja dodatočné zdroje v prospech dotknutého členského štátu. Rozpočtové prostriedky sú zapísané v samostatných rozpočtových riadkoch.</w:t>
      </w:r>
    </w:p>
    <w:p w14:paraId="3FF59E4A" w14:textId="54F50E11" w:rsidR="00BA114A" w:rsidRDefault="441B11EA" w:rsidP="00BA114A">
      <w:pPr>
        <w:pStyle w:val="Text1"/>
        <w:ind w:left="0"/>
        <w:rPr>
          <w:noProof/>
        </w:rPr>
      </w:pPr>
      <w:r>
        <w:rPr>
          <w:noProof/>
        </w:rPr>
        <w:t>Na základe toho Komisia navrhuje tieto zmeny v dotknutých rozpočtových riadkoch v NR 2024:</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A114A" w:rsidRPr="00B31192" w14:paraId="6DFCFFC4"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4CC64976" w14:textId="77777777" w:rsidR="00BA114A" w:rsidRPr="00B31192" w:rsidRDefault="00BA114A">
            <w:pPr>
              <w:widowControl w:val="0"/>
              <w:spacing w:before="15" w:after="15"/>
              <w:jc w:val="right"/>
              <w:rPr>
                <w:i/>
                <w:noProof/>
                <w:sz w:val="20"/>
                <w:szCs w:val="20"/>
              </w:rPr>
            </w:pPr>
            <w:r>
              <w:rPr>
                <w:i/>
                <w:noProof/>
                <w:sz w:val="20"/>
              </w:rPr>
              <w:t>v EUR</w:t>
            </w:r>
          </w:p>
        </w:tc>
      </w:tr>
      <w:tr w:rsidR="00BA114A" w:rsidRPr="00B31192" w14:paraId="326BF4F9" w14:textId="77777777" w:rsidTr="42EA40D1">
        <w:trPr>
          <w:jc w:val="center"/>
        </w:trPr>
        <w:tc>
          <w:tcPr>
            <w:tcW w:w="1276" w:type="dxa"/>
            <w:tcBorders>
              <w:top w:val="single" w:sz="4" w:space="0" w:color="auto"/>
            </w:tcBorders>
            <w:shd w:val="clear" w:color="auto" w:fill="D9D9D9" w:themeFill="background1" w:themeFillShade="D9"/>
            <w:vAlign w:val="center"/>
          </w:tcPr>
          <w:p w14:paraId="1DED027C" w14:textId="77777777" w:rsidR="00BA114A" w:rsidRPr="00B31192" w:rsidRDefault="00BA114A">
            <w:pPr>
              <w:keepNext/>
              <w:spacing w:before="15" w:after="15"/>
              <w:jc w:val="center"/>
              <w:rPr>
                <w:b/>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28850153" w14:textId="77777777" w:rsidR="00BA114A" w:rsidRPr="00B31192" w:rsidRDefault="00BA114A">
            <w:pPr>
              <w:widowControl w:val="0"/>
              <w:spacing w:before="15" w:after="15"/>
              <w:jc w:val="center"/>
              <w:rPr>
                <w:b/>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1190A26D" w14:textId="77777777" w:rsidR="00BA114A" w:rsidRPr="00B31192" w:rsidRDefault="00BA114A">
            <w:pPr>
              <w:widowControl w:val="0"/>
              <w:spacing w:before="15" w:after="15"/>
              <w:jc w:val="center"/>
              <w:rPr>
                <w:b/>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74B3D7D5" w14:textId="77777777" w:rsidR="00BA114A" w:rsidRPr="00B31192" w:rsidRDefault="00BA114A">
            <w:pPr>
              <w:widowControl w:val="0"/>
              <w:spacing w:before="15" w:after="15"/>
              <w:jc w:val="center"/>
              <w:rPr>
                <w:b/>
                <w:noProof/>
                <w:sz w:val="20"/>
                <w:szCs w:val="20"/>
              </w:rPr>
            </w:pPr>
            <w:r>
              <w:rPr>
                <w:b/>
                <w:noProof/>
                <w:sz w:val="20"/>
              </w:rPr>
              <w:t>Platobné rozpočtové prostriedky</w:t>
            </w:r>
          </w:p>
        </w:tc>
      </w:tr>
      <w:tr w:rsidR="00BA114A" w:rsidRPr="00B31192" w14:paraId="4509848E" w14:textId="77777777" w:rsidTr="42EA40D1">
        <w:trPr>
          <w:jc w:val="center"/>
        </w:trPr>
        <w:tc>
          <w:tcPr>
            <w:tcW w:w="9810" w:type="dxa"/>
            <w:gridSpan w:val="4"/>
            <w:shd w:val="clear" w:color="auto" w:fill="F2F2F2" w:themeFill="background1" w:themeFillShade="F2"/>
            <w:vAlign w:val="center"/>
          </w:tcPr>
          <w:p w14:paraId="72A1D231" w14:textId="77777777" w:rsidR="00BA114A" w:rsidRPr="00B31192" w:rsidRDefault="00BA114A">
            <w:pPr>
              <w:widowControl w:val="0"/>
              <w:spacing w:before="15" w:after="15"/>
              <w:rPr>
                <w:i/>
                <w:noProof/>
                <w:sz w:val="20"/>
                <w:szCs w:val="20"/>
              </w:rPr>
            </w:pPr>
            <w:r>
              <w:rPr>
                <w:i/>
                <w:noProof/>
                <w:sz w:val="20"/>
              </w:rPr>
              <w:t>Oddiel III – Komisia</w:t>
            </w:r>
          </w:p>
        </w:tc>
      </w:tr>
      <w:tr w:rsidR="00BA114A" w:rsidRPr="00B31192" w14:paraId="2032A471" w14:textId="77777777" w:rsidTr="42EA40D1">
        <w:trPr>
          <w:jc w:val="center"/>
        </w:trPr>
        <w:tc>
          <w:tcPr>
            <w:tcW w:w="1276" w:type="dxa"/>
          </w:tcPr>
          <w:p w14:paraId="192F2503" w14:textId="059F0F7E" w:rsidR="00BA114A" w:rsidRDefault="00BA114A">
            <w:pPr>
              <w:widowControl w:val="0"/>
              <w:spacing w:before="15" w:after="15"/>
              <w:ind w:right="-113"/>
              <w:jc w:val="both"/>
              <w:rPr>
                <w:noProof/>
                <w:sz w:val="16"/>
                <w:szCs w:val="16"/>
              </w:rPr>
            </w:pPr>
            <w:r>
              <w:rPr>
                <w:noProof/>
                <w:sz w:val="16"/>
              </w:rPr>
              <w:t>05 02 01</w:t>
            </w:r>
          </w:p>
        </w:tc>
        <w:tc>
          <w:tcPr>
            <w:tcW w:w="5132" w:type="dxa"/>
          </w:tcPr>
          <w:p w14:paraId="40ABAD5F" w14:textId="5604403B" w:rsidR="00BA114A" w:rsidRDefault="00BA114A">
            <w:pPr>
              <w:widowControl w:val="0"/>
              <w:tabs>
                <w:tab w:val="left" w:pos="1350"/>
              </w:tabs>
              <w:spacing w:before="15" w:after="15"/>
              <w:jc w:val="both"/>
              <w:rPr>
                <w:noProof/>
                <w:sz w:val="16"/>
                <w:szCs w:val="16"/>
              </w:rPr>
            </w:pPr>
            <w:r>
              <w:rPr>
                <w:noProof/>
                <w:sz w:val="16"/>
              </w:rPr>
              <w:t>EFRR — Operačné výdavky</w:t>
            </w:r>
          </w:p>
        </w:tc>
        <w:tc>
          <w:tcPr>
            <w:tcW w:w="1701" w:type="dxa"/>
          </w:tcPr>
          <w:p w14:paraId="1526E1B7" w14:textId="21FDAC66" w:rsidR="00BA114A" w:rsidDel="00DF0FD8" w:rsidRDefault="00BA114A">
            <w:pPr>
              <w:widowControl w:val="0"/>
              <w:spacing w:before="15" w:after="15"/>
              <w:jc w:val="right"/>
              <w:rPr>
                <w:noProof/>
                <w:sz w:val="16"/>
                <w:szCs w:val="16"/>
              </w:rPr>
            </w:pPr>
            <w:r>
              <w:rPr>
                <w:noProof/>
                <w:sz w:val="16"/>
              </w:rPr>
              <w:t>-10 543 750</w:t>
            </w:r>
          </w:p>
        </w:tc>
        <w:tc>
          <w:tcPr>
            <w:tcW w:w="1701" w:type="dxa"/>
          </w:tcPr>
          <w:p w14:paraId="0FADF8E8" w14:textId="582996C3" w:rsidR="00BA114A" w:rsidDel="00DF0FD8" w:rsidRDefault="358B1BB4">
            <w:pPr>
              <w:widowControl w:val="0"/>
              <w:spacing w:before="15" w:after="15"/>
              <w:jc w:val="right"/>
              <w:rPr>
                <w:noProof/>
                <w:sz w:val="16"/>
                <w:szCs w:val="16"/>
              </w:rPr>
            </w:pPr>
            <w:r>
              <w:rPr>
                <w:noProof/>
                <w:sz w:val="16"/>
              </w:rPr>
              <w:t>0</w:t>
            </w:r>
          </w:p>
        </w:tc>
      </w:tr>
      <w:tr w:rsidR="00BA114A" w:rsidRPr="00B31192" w14:paraId="69A5EBC9" w14:textId="77777777" w:rsidTr="42EA40D1">
        <w:trPr>
          <w:jc w:val="center"/>
        </w:trPr>
        <w:tc>
          <w:tcPr>
            <w:tcW w:w="1276" w:type="dxa"/>
          </w:tcPr>
          <w:p w14:paraId="5FB9DCF8" w14:textId="77777777" w:rsidR="00BA114A" w:rsidRDefault="00BA114A">
            <w:pPr>
              <w:widowControl w:val="0"/>
              <w:spacing w:before="15" w:after="15"/>
              <w:ind w:right="-113"/>
              <w:jc w:val="both"/>
              <w:rPr>
                <w:noProof/>
                <w:sz w:val="16"/>
                <w:szCs w:val="16"/>
              </w:rPr>
            </w:pPr>
            <w:r>
              <w:rPr>
                <w:noProof/>
                <w:sz w:val="16"/>
              </w:rPr>
              <w:t>05 02 09</w:t>
            </w:r>
          </w:p>
        </w:tc>
        <w:tc>
          <w:tcPr>
            <w:tcW w:w="5132" w:type="dxa"/>
          </w:tcPr>
          <w:p w14:paraId="785F04D6" w14:textId="77777777" w:rsidR="00BA114A" w:rsidRDefault="00BA114A">
            <w:pPr>
              <w:widowControl w:val="0"/>
              <w:tabs>
                <w:tab w:val="left" w:pos="1350"/>
              </w:tabs>
              <w:spacing w:before="15" w:after="15"/>
              <w:jc w:val="both"/>
              <w:rPr>
                <w:noProof/>
                <w:sz w:val="16"/>
                <w:szCs w:val="16"/>
              </w:rPr>
            </w:pPr>
            <w:r>
              <w:rPr>
                <w:noProof/>
                <w:sz w:val="16"/>
              </w:rPr>
              <w:t>Horizont Európa — Príspevok z EFRR</w:t>
            </w:r>
          </w:p>
        </w:tc>
        <w:tc>
          <w:tcPr>
            <w:tcW w:w="1701" w:type="dxa"/>
          </w:tcPr>
          <w:p w14:paraId="70497169" w14:textId="77777777" w:rsidR="00BA114A" w:rsidRDefault="00BA114A">
            <w:pPr>
              <w:widowControl w:val="0"/>
              <w:spacing w:before="15" w:after="15"/>
              <w:jc w:val="right"/>
              <w:rPr>
                <w:noProof/>
                <w:sz w:val="16"/>
                <w:szCs w:val="16"/>
              </w:rPr>
            </w:pPr>
            <w:r>
              <w:rPr>
                <w:noProof/>
                <w:sz w:val="16"/>
              </w:rPr>
              <w:t>10 543 750</w:t>
            </w:r>
          </w:p>
        </w:tc>
        <w:tc>
          <w:tcPr>
            <w:tcW w:w="1701" w:type="dxa"/>
          </w:tcPr>
          <w:p w14:paraId="4C90CA18" w14:textId="12238AFC" w:rsidR="00BA114A" w:rsidRDefault="5DB92E59">
            <w:pPr>
              <w:widowControl w:val="0"/>
              <w:spacing w:before="15" w:after="15"/>
              <w:jc w:val="right"/>
              <w:rPr>
                <w:noProof/>
                <w:sz w:val="16"/>
                <w:szCs w:val="16"/>
              </w:rPr>
            </w:pPr>
            <w:r>
              <w:rPr>
                <w:noProof/>
                <w:sz w:val="16"/>
              </w:rPr>
              <w:t>0</w:t>
            </w:r>
          </w:p>
        </w:tc>
      </w:tr>
      <w:tr w:rsidR="00BA114A" w:rsidRPr="00B31192" w14:paraId="61612CD5" w14:textId="77777777" w:rsidTr="42EA40D1">
        <w:trPr>
          <w:jc w:val="center"/>
        </w:trPr>
        <w:tc>
          <w:tcPr>
            <w:tcW w:w="6408" w:type="dxa"/>
            <w:gridSpan w:val="2"/>
            <w:shd w:val="clear" w:color="auto" w:fill="D9D9D9" w:themeFill="background1" w:themeFillShade="D9"/>
          </w:tcPr>
          <w:p w14:paraId="1D535B88" w14:textId="77777777" w:rsidR="00BA114A" w:rsidRPr="00B31192" w:rsidRDefault="00BA114A">
            <w:pPr>
              <w:widowControl w:val="0"/>
              <w:spacing w:before="15" w:after="15"/>
              <w:ind w:right="-113"/>
              <w:jc w:val="both"/>
              <w:rPr>
                <w:noProof/>
                <w:sz w:val="20"/>
                <w:szCs w:val="20"/>
              </w:rPr>
            </w:pPr>
            <w:r>
              <w:rPr>
                <w:b/>
                <w:noProof/>
                <w:sz w:val="20"/>
              </w:rPr>
              <w:t>Spolu</w:t>
            </w:r>
            <w:r>
              <w:rPr>
                <w:noProof/>
              </w:rPr>
              <w:tab/>
            </w:r>
          </w:p>
        </w:tc>
        <w:tc>
          <w:tcPr>
            <w:tcW w:w="1701" w:type="dxa"/>
            <w:shd w:val="clear" w:color="auto" w:fill="D9D9D9" w:themeFill="background1" w:themeFillShade="D9"/>
          </w:tcPr>
          <w:p w14:paraId="21EB3E42" w14:textId="77777777" w:rsidR="00BA114A" w:rsidRPr="00CA6CA7" w:rsidRDefault="00BA114A">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58C03940" w14:textId="77777777" w:rsidR="00BA114A" w:rsidRPr="00CA6CA7" w:rsidRDefault="00BA114A">
            <w:pPr>
              <w:widowControl w:val="0"/>
              <w:spacing w:before="15" w:after="15"/>
              <w:jc w:val="right"/>
              <w:rPr>
                <w:b/>
                <w:noProof/>
                <w:sz w:val="20"/>
                <w:szCs w:val="20"/>
              </w:rPr>
            </w:pPr>
            <w:r>
              <w:rPr>
                <w:b/>
                <w:noProof/>
                <w:sz w:val="20"/>
              </w:rPr>
              <w:t>0</w:t>
            </w:r>
          </w:p>
        </w:tc>
      </w:tr>
    </w:tbl>
    <w:p w14:paraId="6801C663" w14:textId="77777777" w:rsidR="00BA114A" w:rsidRPr="00AA6580" w:rsidRDefault="00BA114A" w:rsidP="00BA114A">
      <w:pPr>
        <w:pStyle w:val="Text1"/>
        <w:ind w:left="0"/>
        <w:rPr>
          <w:noProof/>
        </w:rPr>
      </w:pPr>
    </w:p>
    <w:p w14:paraId="0D927A64" w14:textId="71B7218D" w:rsidR="00F16A2C" w:rsidRDefault="00692727" w:rsidP="004822C2">
      <w:pPr>
        <w:pStyle w:val="ManualHeading1"/>
        <w:spacing w:before="240"/>
        <w:ind w:left="0" w:firstLine="0"/>
        <w:rPr>
          <w:noProof/>
        </w:rPr>
      </w:pPr>
      <w:bookmarkStart w:id="97" w:name="_Toc145922829"/>
      <w:r>
        <w:rPr>
          <w:noProof/>
        </w:rPr>
        <w:t>7.</w:t>
      </w:r>
      <w:r>
        <w:rPr>
          <w:noProof/>
        </w:rPr>
        <w:tab/>
        <w:t>Úpravy okruhu 7 „Európska verejná správa“</w:t>
      </w:r>
      <w:bookmarkEnd w:id="93"/>
      <w:bookmarkEnd w:id="94"/>
      <w:bookmarkEnd w:id="95"/>
      <w:bookmarkEnd w:id="97"/>
    </w:p>
    <w:p w14:paraId="53AAB692" w14:textId="2B36CF8E" w:rsidR="002446ED" w:rsidRDefault="6516BD3A" w:rsidP="42EA40D1">
      <w:pPr>
        <w:pStyle w:val="ManualHeading1"/>
        <w:autoSpaceDE w:val="0"/>
        <w:autoSpaceDN w:val="0"/>
        <w:adjustRightInd w:val="0"/>
        <w:spacing w:before="240" w:line="259" w:lineRule="auto"/>
        <w:ind w:left="0" w:firstLine="0"/>
        <w:rPr>
          <w:noProof/>
        </w:rPr>
      </w:pPr>
      <w:bookmarkStart w:id="98" w:name="_Toc145922830"/>
      <w:r>
        <w:rPr>
          <w:noProof/>
        </w:rPr>
        <w:t>7.1. Úpravy výdavkov Európskej služby pre vonkajšiu činnosť (ESVČ) v súvislosti so zvýšením počtu vyslaných národných vojenských expertov</w:t>
      </w:r>
      <w:bookmarkEnd w:id="98"/>
    </w:p>
    <w:p w14:paraId="088D303C" w14:textId="454CFC5E" w:rsidR="0077646D" w:rsidRDefault="0077646D" w:rsidP="0077646D">
      <w:pPr>
        <w:autoSpaceDE w:val="0"/>
        <w:autoSpaceDN w:val="0"/>
        <w:adjustRightInd w:val="0"/>
        <w:spacing w:before="120" w:after="120" w:line="259" w:lineRule="auto"/>
        <w:jc w:val="both"/>
        <w:rPr>
          <w:noProof/>
        </w:rPr>
      </w:pPr>
      <w:r>
        <w:rPr>
          <w:noProof/>
        </w:rPr>
        <w:t>ESVČ vo svojom výkaze odhadov na rok 2024 poukázala na to, že niekoľko prebiehajúcich diskusií ešte nepokročilo dostatočne na to, aby odôvodnili zahrnutie zodpovedajúcich zdrojov do návrhu rozpočtu na rok 2024, ale neskôr by sa mohli stať súčasťou opravného listu.</w:t>
      </w:r>
    </w:p>
    <w:p w14:paraId="2B801237" w14:textId="6AC877B5" w:rsidR="0077646D" w:rsidRDefault="0077646D" w:rsidP="0077646D">
      <w:pPr>
        <w:autoSpaceDE w:val="0"/>
        <w:autoSpaceDN w:val="0"/>
        <w:adjustRightInd w:val="0"/>
        <w:spacing w:before="120" w:after="120" w:line="259" w:lineRule="auto"/>
        <w:jc w:val="both"/>
        <w:rPr>
          <w:noProof/>
        </w:rPr>
      </w:pPr>
      <w:r>
        <w:rPr>
          <w:noProof/>
        </w:rPr>
        <w:t>Pokiaľ ide o tieto akcie, plán útvaru pre plánovanie a vedenie vojenských operácií (MPCC) pokročil dostatočne na to, aby bol zahrnutý do opravného listu. Členské štáty v rámci Strategického kompasu uviedli, že zabezpečia, „aby bol útvar pre plánovanie a vedenie vojenských operácií plne schopný plánovať a kontrolovať nevýkonné a výkonné úlohy a operácie, ako aj taktické cvičenia, a veliť im. V tejto súvislosti zvýšime príspevky, pokiaľ ide o personál, a zabezpečíme, aby sme mali potrebné komunikačné a informačné systémy, ako aj požadované zariadenia.“</w:t>
      </w:r>
    </w:p>
    <w:p w14:paraId="67739936" w14:textId="4CA92022" w:rsidR="0077646D" w:rsidRDefault="0077646D" w:rsidP="0077646D">
      <w:pPr>
        <w:autoSpaceDE w:val="0"/>
        <w:autoSpaceDN w:val="0"/>
        <w:adjustRightInd w:val="0"/>
        <w:spacing w:before="120" w:after="120" w:line="259" w:lineRule="auto"/>
        <w:jc w:val="both"/>
        <w:rPr>
          <w:noProof/>
        </w:rPr>
      </w:pPr>
      <w:r>
        <w:rPr>
          <w:noProof/>
        </w:rPr>
        <w:t xml:space="preserve">Vzhľadom na ambície pre budúci rozvoj MPCC ako preferovanej štruktúry velenia a riadenia, na ktorých sa dohodlo v rámci Strategického kompasu, by sa požadované posilnenie jeho zdrojov uskutočnilo prostredníctvom: </w:t>
      </w:r>
    </w:p>
    <w:p w14:paraId="58C989AD" w14:textId="1028E0FE" w:rsidR="0077646D" w:rsidRPr="00BC6233" w:rsidRDefault="0077646D" w:rsidP="00BC6233">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 xml:space="preserve">financovania 55 vyslaných národných vojenských expertov s rozdelením nákladov, pričom 20 z nich nahradí vyslaných národných expertov, ktorí neboli spojení so žiadnymi nákladmi a boli zahrnutí do NOR č. 4/2023, čím sa počet zamestnancov MPCC zvýši na celkovo 115. To si bude vyžadovať zvýšenie rozpočtových prostriedkov o 3 394 400 EUR, </w:t>
      </w:r>
    </w:p>
    <w:p w14:paraId="74724908" w14:textId="6D74E9F8" w:rsidR="0077646D" w:rsidRPr="00C6472F" w:rsidRDefault="0077646D" w:rsidP="000703D6">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čiastočného financovania akcií potrebných na pokrytie nákladov na to, aby ESVČ pôsobila ako jediný poskytovateľ služieb komunikačného a informačného systému (CIS) pre MPCC (zvyšok bude hradený z Európskeho mierového nástroja). V súvislosti s vojenskou podporou EÚ Ukrajine sa bezpečnostné prostredie dramaticky zmenilo, a preto sa vyplnenie existujúcich medzier CIS stalo nevyhnutnosťou. To si bude vyžadovať zvýšenie rozpočtových prostriedkov o 4 126 000 EUR, ktoré budú pokrývať najmä financovanie služby CIS a štyroch súvisiacich expertov,</w:t>
      </w:r>
    </w:p>
    <w:p w14:paraId="50185429" w14:textId="5A323776" w:rsidR="0077646D" w:rsidRPr="00C6472F" w:rsidRDefault="0077646D" w:rsidP="00BD3288">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financovania štyroch zmluvných zamestnancov pre podporné služby CIS. Navrhuje sa preto zvýšiť rozpočtové prostriedky o 414 700 EUR.</w:t>
      </w:r>
    </w:p>
    <w:p w14:paraId="7757472C" w14:textId="0BD368B3" w:rsidR="002446ED" w:rsidRDefault="0077646D" w:rsidP="0077646D">
      <w:pPr>
        <w:autoSpaceDE w:val="0"/>
        <w:autoSpaceDN w:val="0"/>
        <w:adjustRightInd w:val="0"/>
        <w:spacing w:before="120" w:after="120" w:line="259" w:lineRule="auto"/>
        <w:jc w:val="both"/>
        <w:rPr>
          <w:noProof/>
        </w:rPr>
      </w:pPr>
      <w:r>
        <w:rPr>
          <w:noProof/>
        </w:rPr>
        <w:t>Všetky uvedené prvky zodpovedajú zvýšeniu v oddiele X ESVČ o celkovo</w:t>
      </w:r>
      <w:r w:rsidR="00A029FE">
        <w:rPr>
          <w:noProof/>
        </w:rPr>
        <w:t xml:space="preserve"> </w:t>
      </w:r>
      <w:r w:rsidR="00A029FE">
        <w:rPr>
          <w:noProof/>
        </w:rPr>
        <w:br/>
      </w:r>
      <w:r>
        <w:rPr>
          <w:noProof/>
        </w:rPr>
        <w:t>7 935 100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168"/>
        <w:gridCol w:w="108"/>
        <w:gridCol w:w="5007"/>
        <w:gridCol w:w="96"/>
        <w:gridCol w:w="1605"/>
        <w:gridCol w:w="96"/>
        <w:gridCol w:w="1605"/>
        <w:gridCol w:w="96"/>
      </w:tblGrid>
      <w:tr w:rsidR="42EA40D1" w14:paraId="5F411957" w14:textId="77777777" w:rsidTr="0074715E">
        <w:trPr>
          <w:gridAfter w:val="1"/>
          <w:wAfter w:w="96" w:type="dxa"/>
          <w:trHeight w:val="300"/>
          <w:jc w:val="center"/>
        </w:trPr>
        <w:tc>
          <w:tcPr>
            <w:tcW w:w="9793" w:type="dxa"/>
            <w:gridSpan w:val="8"/>
            <w:tcBorders>
              <w:top w:val="nil"/>
              <w:left w:val="nil"/>
              <w:bottom w:val="single" w:sz="4" w:space="0" w:color="auto"/>
              <w:right w:val="nil"/>
            </w:tcBorders>
            <w:shd w:val="clear" w:color="auto" w:fill="auto"/>
            <w:vAlign w:val="center"/>
          </w:tcPr>
          <w:p w14:paraId="762B538A" w14:textId="77777777" w:rsidR="42EA40D1" w:rsidRDefault="42EA40D1" w:rsidP="42EA40D1">
            <w:pPr>
              <w:widowControl w:val="0"/>
              <w:spacing w:before="15" w:after="15"/>
              <w:jc w:val="right"/>
              <w:rPr>
                <w:rFonts w:eastAsia="Calibri"/>
                <w:i/>
                <w:iCs/>
                <w:noProof/>
                <w:sz w:val="20"/>
                <w:szCs w:val="20"/>
              </w:rPr>
            </w:pPr>
            <w:r>
              <w:rPr>
                <w:i/>
                <w:noProof/>
                <w:sz w:val="20"/>
              </w:rPr>
              <w:t>v EUR</w:t>
            </w:r>
          </w:p>
        </w:tc>
      </w:tr>
      <w:tr w:rsidR="42EA40D1" w14:paraId="1AD08D4E" w14:textId="77777777" w:rsidTr="005E3317">
        <w:trPr>
          <w:gridAfter w:val="1"/>
          <w:wAfter w:w="96" w:type="dxa"/>
          <w:trHeight w:val="300"/>
          <w:jc w:val="center"/>
        </w:trPr>
        <w:tc>
          <w:tcPr>
            <w:tcW w:w="1276" w:type="dxa"/>
            <w:gridSpan w:val="2"/>
            <w:tcBorders>
              <w:top w:val="single" w:sz="4" w:space="0" w:color="auto"/>
            </w:tcBorders>
            <w:shd w:val="clear" w:color="auto" w:fill="D9D9D9" w:themeFill="background1" w:themeFillShade="D9"/>
            <w:vAlign w:val="center"/>
          </w:tcPr>
          <w:p w14:paraId="41A43EBD" w14:textId="77777777" w:rsidR="42EA40D1" w:rsidRDefault="42EA40D1" w:rsidP="42EA40D1">
            <w:pPr>
              <w:keepNext/>
              <w:spacing w:before="15" w:after="15"/>
              <w:jc w:val="center"/>
              <w:rPr>
                <w:rFonts w:eastAsia="Calibri"/>
                <w:b/>
                <w:bCs/>
                <w:noProof/>
                <w:sz w:val="20"/>
                <w:szCs w:val="20"/>
              </w:rPr>
            </w:pPr>
            <w:r>
              <w:rPr>
                <w:b/>
                <w:noProof/>
                <w:sz w:val="20"/>
              </w:rPr>
              <w:t>Rozpočtový riadok</w:t>
            </w:r>
          </w:p>
        </w:tc>
        <w:tc>
          <w:tcPr>
            <w:tcW w:w="5115" w:type="dxa"/>
            <w:gridSpan w:val="2"/>
            <w:tcBorders>
              <w:top w:val="single" w:sz="4" w:space="0" w:color="auto"/>
            </w:tcBorders>
            <w:shd w:val="clear" w:color="auto" w:fill="D9D9D9" w:themeFill="background1" w:themeFillShade="D9"/>
            <w:vAlign w:val="center"/>
          </w:tcPr>
          <w:p w14:paraId="142C370F" w14:textId="77777777" w:rsidR="42EA40D1" w:rsidRDefault="42EA40D1" w:rsidP="42EA40D1">
            <w:pPr>
              <w:widowControl w:val="0"/>
              <w:spacing w:before="15" w:after="15"/>
              <w:jc w:val="center"/>
              <w:rPr>
                <w:rFonts w:eastAsia="Calibri"/>
                <w:b/>
                <w:bCs/>
                <w:noProof/>
                <w:sz w:val="20"/>
                <w:szCs w:val="20"/>
              </w:rPr>
            </w:pPr>
            <w:r>
              <w:rPr>
                <w:b/>
                <w:noProof/>
                <w:sz w:val="20"/>
              </w:rPr>
              <w:t>Názov</w:t>
            </w:r>
          </w:p>
        </w:tc>
        <w:tc>
          <w:tcPr>
            <w:tcW w:w="1701" w:type="dxa"/>
            <w:gridSpan w:val="2"/>
            <w:tcBorders>
              <w:top w:val="single" w:sz="4" w:space="0" w:color="auto"/>
            </w:tcBorders>
            <w:shd w:val="clear" w:color="auto" w:fill="D9D9D9" w:themeFill="background1" w:themeFillShade="D9"/>
            <w:vAlign w:val="center"/>
          </w:tcPr>
          <w:p w14:paraId="66E7760F" w14:textId="77777777" w:rsidR="42EA40D1" w:rsidRDefault="42EA40D1" w:rsidP="42EA40D1">
            <w:pPr>
              <w:widowControl w:val="0"/>
              <w:spacing w:before="15" w:after="15"/>
              <w:jc w:val="center"/>
              <w:rPr>
                <w:rFonts w:eastAsia="Calibri"/>
                <w:b/>
                <w:bCs/>
                <w:noProof/>
                <w:sz w:val="20"/>
                <w:szCs w:val="20"/>
              </w:rPr>
            </w:pPr>
            <w:r>
              <w:rPr>
                <w:b/>
                <w:noProof/>
                <w:sz w:val="20"/>
              </w:rPr>
              <w:t>Viazané rozpočtové prostriedky</w:t>
            </w:r>
          </w:p>
        </w:tc>
        <w:tc>
          <w:tcPr>
            <w:tcW w:w="1701" w:type="dxa"/>
            <w:gridSpan w:val="2"/>
            <w:tcBorders>
              <w:top w:val="single" w:sz="4" w:space="0" w:color="auto"/>
            </w:tcBorders>
            <w:shd w:val="clear" w:color="auto" w:fill="D9D9D9" w:themeFill="background1" w:themeFillShade="D9"/>
            <w:vAlign w:val="center"/>
          </w:tcPr>
          <w:p w14:paraId="22A6E656" w14:textId="77777777" w:rsidR="42EA40D1" w:rsidRDefault="42EA40D1" w:rsidP="42EA40D1">
            <w:pPr>
              <w:widowControl w:val="0"/>
              <w:spacing w:before="15" w:after="15"/>
              <w:jc w:val="center"/>
              <w:rPr>
                <w:rFonts w:eastAsia="Calibri"/>
                <w:b/>
                <w:bCs/>
                <w:noProof/>
                <w:sz w:val="20"/>
                <w:szCs w:val="20"/>
              </w:rPr>
            </w:pPr>
            <w:r>
              <w:rPr>
                <w:b/>
                <w:noProof/>
                <w:sz w:val="20"/>
              </w:rPr>
              <w:t>Platobné rozpočtové prostriedky</w:t>
            </w:r>
          </w:p>
        </w:tc>
      </w:tr>
      <w:tr w:rsidR="42EA40D1" w14:paraId="35FB47E6" w14:textId="77777777" w:rsidTr="0074715E">
        <w:trPr>
          <w:gridAfter w:val="1"/>
          <w:wAfter w:w="96" w:type="dxa"/>
          <w:trHeight w:val="300"/>
          <w:jc w:val="center"/>
        </w:trPr>
        <w:tc>
          <w:tcPr>
            <w:tcW w:w="9793" w:type="dxa"/>
            <w:gridSpan w:val="8"/>
            <w:tcBorders>
              <w:bottom w:val="single" w:sz="4" w:space="0" w:color="auto"/>
            </w:tcBorders>
            <w:shd w:val="clear" w:color="auto" w:fill="F2F2F2" w:themeFill="background1" w:themeFillShade="F2"/>
            <w:vAlign w:val="center"/>
          </w:tcPr>
          <w:p w14:paraId="4E1DCF8E" w14:textId="035D5A2A" w:rsidR="42EA40D1" w:rsidRDefault="42EA40D1" w:rsidP="42EA40D1">
            <w:pPr>
              <w:widowControl w:val="0"/>
              <w:spacing w:before="15" w:after="15"/>
              <w:rPr>
                <w:rFonts w:eastAsia="Calibri"/>
                <w:i/>
                <w:iCs/>
                <w:noProof/>
                <w:sz w:val="20"/>
                <w:szCs w:val="20"/>
              </w:rPr>
            </w:pPr>
            <w:r>
              <w:rPr>
                <w:i/>
                <w:noProof/>
                <w:sz w:val="20"/>
              </w:rPr>
              <w:t xml:space="preserve">Oddiel X – </w:t>
            </w:r>
            <w:bookmarkStart w:id="99" w:name="_Hlk145947102"/>
            <w:r>
              <w:rPr>
                <w:i/>
                <w:noProof/>
                <w:sz w:val="20"/>
              </w:rPr>
              <w:t>Európska služba pre vonkajšiu činnosť</w:t>
            </w:r>
            <w:bookmarkEnd w:id="99"/>
            <w:r>
              <w:rPr>
                <w:i/>
                <w:noProof/>
                <w:sz w:val="20"/>
              </w:rPr>
              <w:t xml:space="preserve"> (ESVČ)</w:t>
            </w:r>
          </w:p>
        </w:tc>
      </w:tr>
      <w:tr w:rsidR="42EA40D1" w14:paraId="6B02142C" w14:textId="77777777" w:rsidTr="005E3317">
        <w:trPr>
          <w:gridAfter w:val="1"/>
          <w:wAfter w:w="96" w:type="dxa"/>
          <w:trHeight w:val="300"/>
          <w:jc w:val="center"/>
        </w:trPr>
        <w:tc>
          <w:tcPr>
            <w:tcW w:w="1276" w:type="dxa"/>
            <w:gridSpan w:val="2"/>
            <w:vAlign w:val="center"/>
          </w:tcPr>
          <w:p w14:paraId="19015DA2" w14:textId="44321270" w:rsidR="6E246B29" w:rsidRDefault="00745F60" w:rsidP="42EA40D1">
            <w:pPr>
              <w:widowControl w:val="0"/>
              <w:tabs>
                <w:tab w:val="left" w:pos="1350"/>
              </w:tabs>
              <w:spacing w:before="15" w:after="15"/>
              <w:jc w:val="both"/>
              <w:rPr>
                <w:noProof/>
                <w:sz w:val="16"/>
                <w:szCs w:val="16"/>
              </w:rPr>
            </w:pPr>
            <w:r>
              <w:rPr>
                <w:noProof/>
                <w:sz w:val="16"/>
              </w:rPr>
              <w:t>1 2 0 0</w:t>
            </w:r>
          </w:p>
        </w:tc>
        <w:tc>
          <w:tcPr>
            <w:tcW w:w="5115" w:type="dxa"/>
            <w:gridSpan w:val="2"/>
            <w:vAlign w:val="center"/>
          </w:tcPr>
          <w:p w14:paraId="03C638A7" w14:textId="29066A67" w:rsidR="42EA40D1" w:rsidRDefault="00E26325" w:rsidP="42EA40D1">
            <w:pPr>
              <w:widowControl w:val="0"/>
              <w:tabs>
                <w:tab w:val="left" w:pos="1350"/>
              </w:tabs>
              <w:spacing w:before="15" w:after="15"/>
              <w:jc w:val="both"/>
              <w:rPr>
                <w:noProof/>
                <w:sz w:val="16"/>
                <w:szCs w:val="16"/>
              </w:rPr>
            </w:pPr>
            <w:r>
              <w:rPr>
                <w:noProof/>
                <w:sz w:val="16"/>
              </w:rPr>
              <w:t>Zmluvní zamestnanci</w:t>
            </w:r>
          </w:p>
        </w:tc>
        <w:tc>
          <w:tcPr>
            <w:tcW w:w="1701" w:type="dxa"/>
            <w:gridSpan w:val="2"/>
            <w:vAlign w:val="center"/>
          </w:tcPr>
          <w:p w14:paraId="2E15A7A1" w14:textId="4FFA1BD1" w:rsidR="0823AC78" w:rsidRDefault="00E26325" w:rsidP="00EC7DDD">
            <w:pPr>
              <w:widowControl w:val="0"/>
              <w:spacing w:before="15" w:after="15"/>
              <w:jc w:val="right"/>
              <w:rPr>
                <w:noProof/>
                <w:sz w:val="16"/>
                <w:szCs w:val="16"/>
              </w:rPr>
            </w:pPr>
            <w:r>
              <w:rPr>
                <w:noProof/>
                <w:sz w:val="16"/>
              </w:rPr>
              <w:t>414 700</w:t>
            </w:r>
          </w:p>
        </w:tc>
        <w:tc>
          <w:tcPr>
            <w:tcW w:w="1701" w:type="dxa"/>
            <w:gridSpan w:val="2"/>
            <w:vAlign w:val="center"/>
          </w:tcPr>
          <w:p w14:paraId="0CEF8229" w14:textId="490A058E" w:rsidR="0823AC78" w:rsidRDefault="00E26325" w:rsidP="42EA40D1">
            <w:pPr>
              <w:widowControl w:val="0"/>
              <w:spacing w:before="15" w:after="15"/>
              <w:jc w:val="right"/>
              <w:rPr>
                <w:rFonts w:eastAsia="Calibri"/>
                <w:noProof/>
                <w:sz w:val="16"/>
                <w:szCs w:val="16"/>
              </w:rPr>
            </w:pPr>
            <w:r>
              <w:rPr>
                <w:noProof/>
                <w:sz w:val="16"/>
              </w:rPr>
              <w:t>414 700</w:t>
            </w:r>
          </w:p>
        </w:tc>
      </w:tr>
      <w:tr w:rsidR="00E26325" w:rsidRPr="003C6FAD" w14:paraId="608FD4CF" w14:textId="77777777" w:rsidTr="005E3317">
        <w:tblPrEx>
          <w:jc w:val="left"/>
        </w:tblPrEx>
        <w:trPr>
          <w:gridBefore w:val="1"/>
          <w:wBefore w:w="108" w:type="dxa"/>
          <w:trHeight w:hRule="exact" w:val="284"/>
        </w:trPr>
        <w:tc>
          <w:tcPr>
            <w:tcW w:w="1276" w:type="dxa"/>
            <w:gridSpan w:val="2"/>
            <w:vAlign w:val="center"/>
          </w:tcPr>
          <w:p w14:paraId="17449A79" w14:textId="77777777" w:rsidR="00E26325" w:rsidRPr="00B37189" w:rsidRDefault="00E26325">
            <w:pPr>
              <w:widowControl w:val="0"/>
              <w:spacing w:after="15"/>
              <w:ind w:right="-113"/>
              <w:rPr>
                <w:noProof/>
                <w:color w:val="000000"/>
                <w:sz w:val="16"/>
                <w:szCs w:val="16"/>
              </w:rPr>
            </w:pPr>
            <w:r>
              <w:rPr>
                <w:noProof/>
                <w:color w:val="000000"/>
                <w:sz w:val="16"/>
              </w:rPr>
              <w:t>1 2 0 5</w:t>
            </w:r>
          </w:p>
        </w:tc>
        <w:tc>
          <w:tcPr>
            <w:tcW w:w="5103" w:type="dxa"/>
            <w:gridSpan w:val="2"/>
            <w:vAlign w:val="center"/>
          </w:tcPr>
          <w:p w14:paraId="3DE6C3FD" w14:textId="77777777" w:rsidR="00E26325" w:rsidRPr="00B37189" w:rsidRDefault="00E26325">
            <w:pPr>
              <w:widowControl w:val="0"/>
              <w:spacing w:after="15"/>
              <w:ind w:right="-113"/>
              <w:rPr>
                <w:noProof/>
                <w:color w:val="000000"/>
                <w:sz w:val="16"/>
                <w:szCs w:val="16"/>
              </w:rPr>
            </w:pPr>
            <w:r>
              <w:rPr>
                <w:noProof/>
                <w:color w:val="000000"/>
                <w:sz w:val="16"/>
              </w:rPr>
              <w:t>Vyslaní národní vojenskí experti</w:t>
            </w:r>
          </w:p>
        </w:tc>
        <w:tc>
          <w:tcPr>
            <w:tcW w:w="1701" w:type="dxa"/>
            <w:gridSpan w:val="2"/>
            <w:vAlign w:val="center"/>
          </w:tcPr>
          <w:p w14:paraId="776E0F0D" w14:textId="70C64671" w:rsidR="00E26325" w:rsidRPr="0074715E" w:rsidRDefault="00E26325" w:rsidP="0074715E">
            <w:pPr>
              <w:widowControl w:val="0"/>
              <w:spacing w:before="15" w:after="15"/>
              <w:jc w:val="right"/>
              <w:rPr>
                <w:rFonts w:eastAsia="Calibri"/>
                <w:noProof/>
                <w:sz w:val="16"/>
                <w:szCs w:val="16"/>
              </w:rPr>
            </w:pPr>
            <w:r>
              <w:rPr>
                <w:noProof/>
                <w:sz w:val="16"/>
              </w:rPr>
              <w:t>3 394 400</w:t>
            </w:r>
          </w:p>
        </w:tc>
        <w:tc>
          <w:tcPr>
            <w:tcW w:w="1701" w:type="dxa"/>
            <w:gridSpan w:val="2"/>
            <w:vAlign w:val="center"/>
          </w:tcPr>
          <w:p w14:paraId="6074167E" w14:textId="01896008" w:rsidR="00E26325" w:rsidRPr="0074715E" w:rsidRDefault="00E26325" w:rsidP="0074715E">
            <w:pPr>
              <w:widowControl w:val="0"/>
              <w:spacing w:before="15" w:after="15"/>
              <w:jc w:val="right"/>
              <w:rPr>
                <w:rFonts w:eastAsia="Calibri"/>
                <w:noProof/>
                <w:sz w:val="16"/>
                <w:szCs w:val="16"/>
              </w:rPr>
            </w:pPr>
            <w:r>
              <w:rPr>
                <w:noProof/>
                <w:sz w:val="16"/>
              </w:rPr>
              <w:t>3 394 400</w:t>
            </w:r>
          </w:p>
        </w:tc>
      </w:tr>
      <w:tr w:rsidR="00E26325" w:rsidRPr="003C6FAD" w14:paraId="7D70F663" w14:textId="77777777" w:rsidTr="005E3317">
        <w:tblPrEx>
          <w:jc w:val="left"/>
        </w:tblPrEx>
        <w:trPr>
          <w:gridBefore w:val="1"/>
          <w:wBefore w:w="108" w:type="dxa"/>
          <w:trHeight w:hRule="exact" w:val="284"/>
        </w:trPr>
        <w:tc>
          <w:tcPr>
            <w:tcW w:w="1276" w:type="dxa"/>
            <w:gridSpan w:val="2"/>
            <w:vAlign w:val="center"/>
          </w:tcPr>
          <w:p w14:paraId="08E3FEC4" w14:textId="77777777" w:rsidR="00E26325" w:rsidRPr="00B37189" w:rsidRDefault="00E26325">
            <w:pPr>
              <w:widowControl w:val="0"/>
              <w:spacing w:after="15"/>
              <w:ind w:right="-113"/>
              <w:rPr>
                <w:noProof/>
                <w:color w:val="000000"/>
                <w:sz w:val="16"/>
                <w:szCs w:val="16"/>
              </w:rPr>
            </w:pPr>
            <w:r>
              <w:rPr>
                <w:noProof/>
                <w:color w:val="000000"/>
                <w:sz w:val="16"/>
              </w:rPr>
              <w:t>2 1 0 0</w:t>
            </w:r>
          </w:p>
        </w:tc>
        <w:tc>
          <w:tcPr>
            <w:tcW w:w="5103" w:type="dxa"/>
            <w:gridSpan w:val="2"/>
            <w:vAlign w:val="center"/>
          </w:tcPr>
          <w:p w14:paraId="2DB15875" w14:textId="77777777" w:rsidR="00E26325" w:rsidRPr="00B37189" w:rsidRDefault="00E26325">
            <w:pPr>
              <w:widowControl w:val="0"/>
              <w:spacing w:after="15"/>
              <w:ind w:right="-113"/>
              <w:rPr>
                <w:noProof/>
                <w:color w:val="000000"/>
                <w:sz w:val="16"/>
                <w:szCs w:val="16"/>
              </w:rPr>
            </w:pPr>
            <w:r>
              <w:rPr>
                <w:noProof/>
                <w:color w:val="000000"/>
                <w:sz w:val="16"/>
              </w:rPr>
              <w:t>Informačné a komunikačné technológie,</w:t>
            </w:r>
          </w:p>
        </w:tc>
        <w:tc>
          <w:tcPr>
            <w:tcW w:w="1701" w:type="dxa"/>
            <w:gridSpan w:val="2"/>
            <w:vAlign w:val="center"/>
          </w:tcPr>
          <w:p w14:paraId="079B3D46" w14:textId="6006AAD3" w:rsidR="00E26325" w:rsidRPr="0074715E" w:rsidRDefault="00BA4BE0" w:rsidP="0074715E">
            <w:pPr>
              <w:widowControl w:val="0"/>
              <w:spacing w:before="15" w:after="15"/>
              <w:jc w:val="right"/>
              <w:rPr>
                <w:rFonts w:eastAsia="Calibri"/>
                <w:noProof/>
                <w:sz w:val="16"/>
                <w:szCs w:val="16"/>
              </w:rPr>
            </w:pPr>
            <w:r>
              <w:rPr>
                <w:noProof/>
                <w:sz w:val="16"/>
              </w:rPr>
              <w:t>2 271 000</w:t>
            </w:r>
          </w:p>
        </w:tc>
        <w:tc>
          <w:tcPr>
            <w:tcW w:w="1701" w:type="dxa"/>
            <w:gridSpan w:val="2"/>
            <w:vAlign w:val="center"/>
          </w:tcPr>
          <w:p w14:paraId="698A65D1" w14:textId="7AD43A7D" w:rsidR="00E26325" w:rsidRPr="0074715E" w:rsidRDefault="00BA4BE0" w:rsidP="0074715E">
            <w:pPr>
              <w:widowControl w:val="0"/>
              <w:spacing w:before="15" w:after="15"/>
              <w:jc w:val="right"/>
              <w:rPr>
                <w:rFonts w:eastAsia="Calibri"/>
                <w:noProof/>
                <w:sz w:val="16"/>
                <w:szCs w:val="16"/>
              </w:rPr>
            </w:pPr>
            <w:r>
              <w:rPr>
                <w:noProof/>
                <w:sz w:val="16"/>
              </w:rPr>
              <w:t>2 271 000</w:t>
            </w:r>
          </w:p>
        </w:tc>
      </w:tr>
      <w:tr w:rsidR="00E26325" w:rsidRPr="003C6FAD" w14:paraId="59142958" w14:textId="77777777" w:rsidTr="005E3317">
        <w:tblPrEx>
          <w:jc w:val="left"/>
        </w:tblPrEx>
        <w:trPr>
          <w:gridBefore w:val="1"/>
          <w:wBefore w:w="108" w:type="dxa"/>
          <w:trHeight w:hRule="exact" w:val="472"/>
        </w:trPr>
        <w:tc>
          <w:tcPr>
            <w:tcW w:w="1276" w:type="dxa"/>
            <w:gridSpan w:val="2"/>
            <w:vAlign w:val="center"/>
          </w:tcPr>
          <w:p w14:paraId="71A930A5" w14:textId="77777777" w:rsidR="00E26325" w:rsidRPr="00B37189" w:rsidRDefault="00E26325">
            <w:pPr>
              <w:widowControl w:val="0"/>
              <w:spacing w:after="15"/>
              <w:ind w:right="-113"/>
              <w:rPr>
                <w:noProof/>
                <w:color w:val="000000"/>
                <w:sz w:val="16"/>
                <w:szCs w:val="16"/>
              </w:rPr>
            </w:pPr>
            <w:r>
              <w:rPr>
                <w:noProof/>
                <w:color w:val="000000"/>
                <w:sz w:val="16"/>
              </w:rPr>
              <w:t>2 1 0 1</w:t>
            </w:r>
          </w:p>
        </w:tc>
        <w:tc>
          <w:tcPr>
            <w:tcW w:w="5103" w:type="dxa"/>
            <w:gridSpan w:val="2"/>
            <w:vAlign w:val="center"/>
          </w:tcPr>
          <w:p w14:paraId="02BC0D60" w14:textId="77777777" w:rsidR="00E26325" w:rsidRPr="00B37189" w:rsidRDefault="00E26325">
            <w:pPr>
              <w:widowControl w:val="0"/>
              <w:spacing w:after="15"/>
              <w:ind w:right="-113"/>
              <w:rPr>
                <w:noProof/>
                <w:color w:val="000000"/>
                <w:sz w:val="16"/>
                <w:szCs w:val="16"/>
              </w:rPr>
            </w:pPr>
            <w:r>
              <w:rPr>
                <w:noProof/>
                <w:color w:val="000000"/>
                <w:sz w:val="16"/>
              </w:rPr>
              <w:t>Kryptografia a vysoko utajované skutočnosti a komunikačné technológie</w:t>
            </w:r>
          </w:p>
        </w:tc>
        <w:tc>
          <w:tcPr>
            <w:tcW w:w="1701" w:type="dxa"/>
            <w:gridSpan w:val="2"/>
            <w:vAlign w:val="center"/>
          </w:tcPr>
          <w:p w14:paraId="0359D0DA" w14:textId="3AD4C572" w:rsidR="00E26325" w:rsidRPr="0074715E" w:rsidRDefault="00BA4BE0" w:rsidP="0074715E">
            <w:pPr>
              <w:widowControl w:val="0"/>
              <w:spacing w:before="15" w:after="15"/>
              <w:jc w:val="right"/>
              <w:rPr>
                <w:rFonts w:eastAsia="Calibri"/>
                <w:noProof/>
                <w:sz w:val="16"/>
                <w:szCs w:val="16"/>
              </w:rPr>
            </w:pPr>
            <w:r>
              <w:rPr>
                <w:noProof/>
                <w:sz w:val="16"/>
              </w:rPr>
              <w:t>1 855 000</w:t>
            </w:r>
          </w:p>
        </w:tc>
        <w:tc>
          <w:tcPr>
            <w:tcW w:w="1701" w:type="dxa"/>
            <w:gridSpan w:val="2"/>
            <w:vAlign w:val="center"/>
          </w:tcPr>
          <w:p w14:paraId="27ADFEC9" w14:textId="0FA77FF5" w:rsidR="00E26325" w:rsidRPr="0074715E" w:rsidRDefault="00BA4BE0" w:rsidP="0074715E">
            <w:pPr>
              <w:widowControl w:val="0"/>
              <w:spacing w:before="15" w:after="15"/>
              <w:jc w:val="right"/>
              <w:rPr>
                <w:rFonts w:eastAsia="Calibri"/>
                <w:noProof/>
                <w:sz w:val="16"/>
                <w:szCs w:val="16"/>
              </w:rPr>
            </w:pPr>
            <w:r>
              <w:rPr>
                <w:noProof/>
                <w:sz w:val="16"/>
              </w:rPr>
              <w:t>1 855 000</w:t>
            </w:r>
          </w:p>
        </w:tc>
      </w:tr>
      <w:tr w:rsidR="42EA40D1" w14:paraId="793C19A7" w14:textId="77777777" w:rsidTr="005E3317">
        <w:trPr>
          <w:gridAfter w:val="1"/>
          <w:wAfter w:w="96" w:type="dxa"/>
          <w:trHeight w:val="300"/>
          <w:jc w:val="center"/>
        </w:trPr>
        <w:tc>
          <w:tcPr>
            <w:tcW w:w="6391" w:type="dxa"/>
            <w:gridSpan w:val="4"/>
            <w:shd w:val="clear" w:color="auto" w:fill="D9D9D9" w:themeFill="background1" w:themeFillShade="D9"/>
          </w:tcPr>
          <w:p w14:paraId="44836FCE" w14:textId="77777777" w:rsidR="42EA40D1" w:rsidRDefault="42EA40D1" w:rsidP="42EA40D1">
            <w:pPr>
              <w:widowControl w:val="0"/>
              <w:spacing w:before="15" w:after="15"/>
              <w:ind w:right="-113"/>
              <w:jc w:val="both"/>
              <w:rPr>
                <w:rFonts w:eastAsia="Calibri"/>
                <w:noProof/>
                <w:sz w:val="20"/>
                <w:szCs w:val="20"/>
              </w:rPr>
            </w:pPr>
            <w:r>
              <w:rPr>
                <w:b/>
                <w:noProof/>
                <w:sz w:val="20"/>
              </w:rPr>
              <w:t>Spolu</w:t>
            </w:r>
            <w:r>
              <w:rPr>
                <w:noProof/>
              </w:rPr>
              <w:tab/>
            </w:r>
          </w:p>
        </w:tc>
        <w:tc>
          <w:tcPr>
            <w:tcW w:w="1701" w:type="dxa"/>
            <w:gridSpan w:val="2"/>
            <w:shd w:val="clear" w:color="auto" w:fill="D9D9D9" w:themeFill="background1" w:themeFillShade="D9"/>
          </w:tcPr>
          <w:p w14:paraId="5816706B" w14:textId="27E48FCE" w:rsidR="5BAE9245" w:rsidRDefault="00BA4BE0" w:rsidP="42EA40D1">
            <w:pPr>
              <w:widowControl w:val="0"/>
              <w:spacing w:before="15" w:after="15"/>
              <w:jc w:val="right"/>
              <w:rPr>
                <w:noProof/>
                <w:sz w:val="20"/>
                <w:szCs w:val="20"/>
              </w:rPr>
            </w:pPr>
            <w:r>
              <w:rPr>
                <w:b/>
                <w:noProof/>
                <w:sz w:val="20"/>
              </w:rPr>
              <w:t>7 935 100</w:t>
            </w:r>
          </w:p>
        </w:tc>
        <w:tc>
          <w:tcPr>
            <w:tcW w:w="1701" w:type="dxa"/>
            <w:gridSpan w:val="2"/>
            <w:shd w:val="clear" w:color="auto" w:fill="D9D9D9" w:themeFill="background1" w:themeFillShade="D9"/>
          </w:tcPr>
          <w:p w14:paraId="1FECF46E" w14:textId="066D955A" w:rsidR="5BAE9245" w:rsidRDefault="00BA4BE0" w:rsidP="00EC7DDD">
            <w:pPr>
              <w:widowControl w:val="0"/>
              <w:spacing w:before="15" w:after="15"/>
              <w:jc w:val="right"/>
              <w:rPr>
                <w:noProof/>
                <w:sz w:val="20"/>
                <w:szCs w:val="20"/>
              </w:rPr>
            </w:pPr>
            <w:r>
              <w:rPr>
                <w:b/>
                <w:noProof/>
                <w:sz w:val="20"/>
              </w:rPr>
              <w:t>7 935 100</w:t>
            </w:r>
          </w:p>
        </w:tc>
      </w:tr>
    </w:tbl>
    <w:p w14:paraId="6FB6F7B4" w14:textId="56F1D423" w:rsidR="002446ED" w:rsidRDefault="4779BA60" w:rsidP="42EA40D1">
      <w:pPr>
        <w:pStyle w:val="ManualHeading1"/>
        <w:autoSpaceDE w:val="0"/>
        <w:autoSpaceDN w:val="0"/>
        <w:adjustRightInd w:val="0"/>
        <w:spacing w:before="240" w:line="259" w:lineRule="auto"/>
        <w:ind w:left="0" w:firstLine="0"/>
        <w:rPr>
          <w:noProof/>
        </w:rPr>
      </w:pPr>
      <w:bookmarkStart w:id="100" w:name="_Toc145922831"/>
      <w:r>
        <w:rPr>
          <w:noProof/>
        </w:rPr>
        <w:t>7.2. Úpravy výdavkov Európskeho dvora audítorov (EDA)</w:t>
      </w:r>
      <w:bookmarkEnd w:id="100"/>
      <w:r>
        <w:rPr>
          <w:noProof/>
        </w:rPr>
        <w:t xml:space="preserve"> </w:t>
      </w:r>
    </w:p>
    <w:p w14:paraId="2D91624D" w14:textId="5541D95D" w:rsidR="002446ED" w:rsidRDefault="00230883" w:rsidP="00EC7DDD">
      <w:pPr>
        <w:pStyle w:val="Text1"/>
        <w:ind w:left="0"/>
        <w:rPr>
          <w:noProof/>
        </w:rPr>
      </w:pPr>
      <w:r>
        <w:rPr>
          <w:noProof/>
        </w:rPr>
        <w:t xml:space="preserve">V nadväznosti na administratívnu chybu nezahrnul Európsky dvor audítorov do svojej žiadosti o rozpočet na rok 2024 sumu 330 000 EUR týkajúcu sa ročných poplatkov, ktoré Komisia účtuje za používanie platobnej aplikácie (NAP) a Sysper-u. Navrhuje sa preto zodpovedajúcim spôsobom zvýšiť prostriedky príslušného rozpočtového riadku.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1D613E4C"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7EAB75A1" w14:textId="77777777" w:rsidR="42EA40D1" w:rsidRDefault="42EA40D1" w:rsidP="42EA40D1">
            <w:pPr>
              <w:widowControl w:val="0"/>
              <w:spacing w:before="15" w:after="15"/>
              <w:jc w:val="right"/>
              <w:rPr>
                <w:rFonts w:eastAsia="Calibri"/>
                <w:i/>
                <w:iCs/>
                <w:noProof/>
                <w:sz w:val="20"/>
                <w:szCs w:val="20"/>
              </w:rPr>
            </w:pPr>
            <w:r>
              <w:rPr>
                <w:i/>
                <w:noProof/>
                <w:sz w:val="20"/>
              </w:rPr>
              <w:t>v EUR</w:t>
            </w:r>
          </w:p>
        </w:tc>
      </w:tr>
      <w:tr w:rsidR="42EA40D1" w14:paraId="542E4DEB"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02575880" w14:textId="77777777" w:rsidR="42EA40D1" w:rsidRDefault="42EA40D1" w:rsidP="42EA40D1">
            <w:pPr>
              <w:keepNext/>
              <w:spacing w:before="15" w:after="15"/>
              <w:jc w:val="center"/>
              <w:rPr>
                <w:rFonts w:eastAsia="Calibri"/>
                <w:b/>
                <w:bCs/>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442E2341" w14:textId="77777777" w:rsidR="42EA40D1" w:rsidRDefault="42EA40D1" w:rsidP="42EA40D1">
            <w:pPr>
              <w:widowControl w:val="0"/>
              <w:spacing w:before="15" w:after="15"/>
              <w:jc w:val="center"/>
              <w:rPr>
                <w:rFonts w:eastAsia="Calibri"/>
                <w:b/>
                <w:bCs/>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0C1F6A56" w14:textId="77777777" w:rsidR="42EA40D1" w:rsidRDefault="42EA40D1" w:rsidP="42EA40D1">
            <w:pPr>
              <w:widowControl w:val="0"/>
              <w:spacing w:before="15" w:after="15"/>
              <w:jc w:val="center"/>
              <w:rPr>
                <w:rFonts w:eastAsia="Calibri"/>
                <w:b/>
                <w:bCs/>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4482095F" w14:textId="77777777" w:rsidR="42EA40D1" w:rsidRDefault="42EA40D1" w:rsidP="42EA40D1">
            <w:pPr>
              <w:widowControl w:val="0"/>
              <w:spacing w:before="15" w:after="15"/>
              <w:jc w:val="center"/>
              <w:rPr>
                <w:rFonts w:eastAsia="Calibri"/>
                <w:b/>
                <w:bCs/>
                <w:noProof/>
                <w:sz w:val="20"/>
                <w:szCs w:val="20"/>
              </w:rPr>
            </w:pPr>
            <w:r>
              <w:rPr>
                <w:b/>
                <w:noProof/>
                <w:sz w:val="20"/>
              </w:rPr>
              <w:t>Platobné rozpočtové prostriedky</w:t>
            </w:r>
          </w:p>
        </w:tc>
      </w:tr>
      <w:tr w:rsidR="42EA40D1" w14:paraId="3A7D959C"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06BD514D" w14:textId="3B5F289D" w:rsidR="42EA40D1" w:rsidRDefault="42EA40D1" w:rsidP="42EA40D1">
            <w:pPr>
              <w:widowControl w:val="0"/>
              <w:spacing w:before="15" w:after="15"/>
              <w:rPr>
                <w:rFonts w:eastAsia="Calibri"/>
                <w:i/>
                <w:iCs/>
                <w:noProof/>
                <w:sz w:val="20"/>
                <w:szCs w:val="20"/>
              </w:rPr>
            </w:pPr>
            <w:r>
              <w:rPr>
                <w:i/>
                <w:noProof/>
                <w:sz w:val="20"/>
              </w:rPr>
              <w:t>Oddiel V – Európsky dvor audítorov</w:t>
            </w:r>
          </w:p>
        </w:tc>
      </w:tr>
      <w:tr w:rsidR="42EA40D1" w14:paraId="075299CC" w14:textId="77777777" w:rsidTr="0074715E">
        <w:trPr>
          <w:trHeight w:val="300"/>
          <w:jc w:val="center"/>
        </w:trPr>
        <w:tc>
          <w:tcPr>
            <w:tcW w:w="1276" w:type="dxa"/>
            <w:vAlign w:val="center"/>
          </w:tcPr>
          <w:p w14:paraId="0F20F764" w14:textId="3E7EBA73" w:rsidR="76DBD801" w:rsidRDefault="00BB3ECD" w:rsidP="42EA40D1">
            <w:pPr>
              <w:widowControl w:val="0"/>
              <w:tabs>
                <w:tab w:val="left" w:pos="1350"/>
              </w:tabs>
              <w:spacing w:before="15" w:after="15"/>
              <w:jc w:val="both"/>
              <w:rPr>
                <w:noProof/>
                <w:sz w:val="16"/>
                <w:szCs w:val="16"/>
              </w:rPr>
            </w:pPr>
            <w:r>
              <w:rPr>
                <w:noProof/>
                <w:sz w:val="16"/>
              </w:rPr>
              <w:t>2 1 0 2</w:t>
            </w:r>
          </w:p>
        </w:tc>
        <w:tc>
          <w:tcPr>
            <w:tcW w:w="5132" w:type="dxa"/>
            <w:vAlign w:val="center"/>
          </w:tcPr>
          <w:p w14:paraId="24FD589F" w14:textId="1BADC239" w:rsidR="42EA40D1" w:rsidRDefault="007B766F" w:rsidP="42EA40D1">
            <w:pPr>
              <w:widowControl w:val="0"/>
              <w:tabs>
                <w:tab w:val="left" w:pos="1350"/>
              </w:tabs>
              <w:spacing w:before="15" w:after="15"/>
              <w:jc w:val="both"/>
              <w:rPr>
                <w:noProof/>
                <w:sz w:val="16"/>
                <w:szCs w:val="16"/>
              </w:rPr>
            </w:pPr>
            <w:r>
              <w:rPr>
                <w:noProof/>
                <w:sz w:val="16"/>
              </w:rPr>
              <w:t>Externé služby v oblasti prevádzky, vývoja a údržby softvéru a systémov</w:t>
            </w:r>
          </w:p>
        </w:tc>
        <w:tc>
          <w:tcPr>
            <w:tcW w:w="1701" w:type="dxa"/>
            <w:vAlign w:val="center"/>
          </w:tcPr>
          <w:p w14:paraId="0BEF080F" w14:textId="4FBFFE23" w:rsidR="127BAF31" w:rsidRDefault="127BAF31" w:rsidP="42EA40D1">
            <w:pPr>
              <w:widowControl w:val="0"/>
              <w:spacing w:before="15" w:after="15"/>
              <w:jc w:val="right"/>
              <w:rPr>
                <w:rFonts w:eastAsia="Calibri"/>
                <w:noProof/>
                <w:sz w:val="16"/>
                <w:szCs w:val="16"/>
              </w:rPr>
            </w:pPr>
            <w:r>
              <w:rPr>
                <w:noProof/>
                <w:sz w:val="16"/>
              </w:rPr>
              <w:t>330 000</w:t>
            </w:r>
          </w:p>
        </w:tc>
        <w:tc>
          <w:tcPr>
            <w:tcW w:w="1701" w:type="dxa"/>
            <w:vAlign w:val="center"/>
          </w:tcPr>
          <w:p w14:paraId="07C8B1F1" w14:textId="046203A9" w:rsidR="127BAF31" w:rsidRDefault="127BAF31" w:rsidP="00EC7DDD">
            <w:pPr>
              <w:widowControl w:val="0"/>
              <w:spacing w:before="15" w:after="15"/>
              <w:jc w:val="right"/>
              <w:rPr>
                <w:rFonts w:eastAsia="Calibri"/>
                <w:noProof/>
                <w:sz w:val="16"/>
                <w:szCs w:val="16"/>
              </w:rPr>
            </w:pPr>
            <w:r>
              <w:rPr>
                <w:noProof/>
                <w:sz w:val="16"/>
              </w:rPr>
              <w:t>330 000</w:t>
            </w:r>
          </w:p>
        </w:tc>
      </w:tr>
      <w:tr w:rsidR="42EA40D1" w14:paraId="0E63D20E" w14:textId="77777777" w:rsidTr="42EA40D1">
        <w:trPr>
          <w:trHeight w:val="300"/>
          <w:jc w:val="center"/>
        </w:trPr>
        <w:tc>
          <w:tcPr>
            <w:tcW w:w="6408" w:type="dxa"/>
            <w:gridSpan w:val="2"/>
            <w:shd w:val="clear" w:color="auto" w:fill="D9D9D9" w:themeFill="background1" w:themeFillShade="D9"/>
          </w:tcPr>
          <w:p w14:paraId="33B26478" w14:textId="77777777" w:rsidR="42EA40D1" w:rsidRDefault="42EA40D1" w:rsidP="42EA40D1">
            <w:pPr>
              <w:widowControl w:val="0"/>
              <w:spacing w:before="15" w:after="15"/>
              <w:ind w:right="-113"/>
              <w:jc w:val="both"/>
              <w:rPr>
                <w:rFonts w:eastAsia="Calibri"/>
                <w:noProof/>
                <w:sz w:val="20"/>
                <w:szCs w:val="20"/>
              </w:rPr>
            </w:pPr>
            <w:r>
              <w:rPr>
                <w:b/>
                <w:noProof/>
                <w:sz w:val="20"/>
              </w:rPr>
              <w:t>Spolu</w:t>
            </w:r>
            <w:r>
              <w:rPr>
                <w:noProof/>
              </w:rPr>
              <w:tab/>
            </w:r>
          </w:p>
        </w:tc>
        <w:tc>
          <w:tcPr>
            <w:tcW w:w="1701" w:type="dxa"/>
            <w:shd w:val="clear" w:color="auto" w:fill="D9D9D9" w:themeFill="background1" w:themeFillShade="D9"/>
          </w:tcPr>
          <w:p w14:paraId="1FA8B858" w14:textId="679F2295" w:rsidR="73BF19B6" w:rsidRDefault="73BF19B6" w:rsidP="42EA40D1">
            <w:pPr>
              <w:widowControl w:val="0"/>
              <w:spacing w:before="15" w:after="15"/>
              <w:jc w:val="right"/>
              <w:rPr>
                <w:rFonts w:eastAsia="Calibri"/>
                <w:b/>
                <w:bCs/>
                <w:noProof/>
                <w:sz w:val="20"/>
                <w:szCs w:val="20"/>
              </w:rPr>
            </w:pPr>
            <w:r>
              <w:rPr>
                <w:b/>
                <w:noProof/>
                <w:sz w:val="20"/>
              </w:rPr>
              <w:t>330 000</w:t>
            </w:r>
          </w:p>
        </w:tc>
        <w:tc>
          <w:tcPr>
            <w:tcW w:w="1701" w:type="dxa"/>
            <w:shd w:val="clear" w:color="auto" w:fill="D9D9D9" w:themeFill="background1" w:themeFillShade="D9"/>
          </w:tcPr>
          <w:p w14:paraId="41ACB5CA" w14:textId="0966774E" w:rsidR="73BF19B6" w:rsidRDefault="73BF19B6" w:rsidP="00EC7DDD">
            <w:pPr>
              <w:widowControl w:val="0"/>
              <w:spacing w:before="15" w:after="15"/>
              <w:jc w:val="right"/>
              <w:rPr>
                <w:noProof/>
                <w:sz w:val="20"/>
                <w:szCs w:val="20"/>
              </w:rPr>
            </w:pPr>
            <w:r>
              <w:rPr>
                <w:b/>
                <w:noProof/>
                <w:sz w:val="20"/>
              </w:rPr>
              <w:t>330 000</w:t>
            </w:r>
          </w:p>
        </w:tc>
      </w:tr>
    </w:tbl>
    <w:p w14:paraId="33EA781E" w14:textId="49D2B745" w:rsidR="002446ED" w:rsidRDefault="0199877D" w:rsidP="42EA40D1">
      <w:pPr>
        <w:pStyle w:val="ManualHeading1"/>
        <w:autoSpaceDE w:val="0"/>
        <w:autoSpaceDN w:val="0"/>
        <w:adjustRightInd w:val="0"/>
        <w:spacing w:before="240" w:line="259" w:lineRule="auto"/>
        <w:ind w:left="0" w:firstLine="0"/>
        <w:rPr>
          <w:noProof/>
        </w:rPr>
      </w:pPr>
      <w:bookmarkStart w:id="101" w:name="_Toc145922832"/>
      <w:r>
        <w:rPr>
          <w:noProof/>
        </w:rPr>
        <w:t>7.3. Úpravy výdavkov Európskeho parlamentu (EP)</w:t>
      </w:r>
      <w:bookmarkEnd w:id="101"/>
      <w:r>
        <w:rPr>
          <w:noProof/>
        </w:rPr>
        <w:t xml:space="preserve"> </w:t>
      </w:r>
    </w:p>
    <w:p w14:paraId="179D259A" w14:textId="4E2F58AD" w:rsidR="00FA1FA4" w:rsidRPr="001F43F8" w:rsidRDefault="00FA1FA4">
      <w:pPr>
        <w:pStyle w:val="Text1"/>
        <w:spacing w:before="240" w:after="0"/>
        <w:ind w:left="0"/>
        <w:rPr>
          <w:noProof/>
        </w:rPr>
      </w:pPr>
      <w:r>
        <w:rPr>
          <w:noProof/>
        </w:rPr>
        <w:t>V súvislosti so spracovaním spisov o nezamestnanosti bývalých asistentov poslancov fakturuje v súčasnosti Úrad pre správu a úhradu individuálnych nárokov (PMO) Európskemu parlamentu (EP) náklady vyplývajúce zo súvisiaceho pracovného zaťaženia. Vzhľadom na opakujúci sa charakter tejto služby, s osobitným vyťažením po voľbách do Európskeho parlamentu, sa PMO a EP dohodli, že časť celkového ročného rozpočtu by sa mala prideliť priamo PMO namiesto EP, čím sa PMO umožní prijať zmluvných zamestnancov potrebných na správu týchto spisov na trvalom základe. Zvyšné náklady, ktoré budú závisieť od skutočného ročného objemu spisov, ktoré sa majú spravovať, budú naďalej fakturované EP.</w:t>
      </w:r>
    </w:p>
    <w:p w14:paraId="02B835B1" w14:textId="3507440F" w:rsidR="00FA1FA4" w:rsidRPr="001F43F8" w:rsidRDefault="00E5131D" w:rsidP="00FA1FA4">
      <w:pPr>
        <w:pStyle w:val="Text1"/>
        <w:spacing w:before="240" w:after="0"/>
        <w:ind w:left="0"/>
        <w:rPr>
          <w:noProof/>
        </w:rPr>
      </w:pPr>
      <w:r>
        <w:rPr>
          <w:noProof/>
        </w:rPr>
        <w:t>Preto sa navrhuje zahrnúť tento rozpočtovo neutrálny presun, ktorý povedie k zníženiu rozpočtovej požiadavky EP na rok 2024 o 300 000 EUR a rovnocennému zvýšeniu rozpočtu PMO.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7C55BC92"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6586177D" w14:textId="77777777" w:rsidR="42EA40D1" w:rsidRDefault="42EA40D1" w:rsidP="42EA40D1">
            <w:pPr>
              <w:widowControl w:val="0"/>
              <w:spacing w:before="15" w:after="15"/>
              <w:jc w:val="right"/>
              <w:rPr>
                <w:rFonts w:eastAsia="Calibri"/>
                <w:i/>
                <w:iCs/>
                <w:noProof/>
                <w:sz w:val="20"/>
                <w:szCs w:val="20"/>
              </w:rPr>
            </w:pPr>
            <w:r>
              <w:rPr>
                <w:i/>
                <w:noProof/>
                <w:sz w:val="20"/>
              </w:rPr>
              <w:t>v EUR</w:t>
            </w:r>
          </w:p>
        </w:tc>
      </w:tr>
      <w:tr w:rsidR="42EA40D1" w14:paraId="321CF8AC"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4770D883" w14:textId="77777777" w:rsidR="42EA40D1" w:rsidRDefault="42EA40D1" w:rsidP="42EA40D1">
            <w:pPr>
              <w:keepNext/>
              <w:spacing w:before="15" w:after="15"/>
              <w:jc w:val="center"/>
              <w:rPr>
                <w:rFonts w:eastAsia="Calibri"/>
                <w:b/>
                <w:bCs/>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7AA97CBF" w14:textId="77777777" w:rsidR="42EA40D1" w:rsidRDefault="42EA40D1" w:rsidP="42EA40D1">
            <w:pPr>
              <w:widowControl w:val="0"/>
              <w:spacing w:before="15" w:after="15"/>
              <w:jc w:val="center"/>
              <w:rPr>
                <w:rFonts w:eastAsia="Calibri"/>
                <w:b/>
                <w:bCs/>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05B9390F" w14:textId="77777777" w:rsidR="42EA40D1" w:rsidRDefault="42EA40D1" w:rsidP="42EA40D1">
            <w:pPr>
              <w:widowControl w:val="0"/>
              <w:spacing w:before="15" w:after="15"/>
              <w:jc w:val="center"/>
              <w:rPr>
                <w:rFonts w:eastAsia="Calibri"/>
                <w:b/>
                <w:bCs/>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72F76182" w14:textId="77777777" w:rsidR="42EA40D1" w:rsidRDefault="42EA40D1" w:rsidP="42EA40D1">
            <w:pPr>
              <w:widowControl w:val="0"/>
              <w:spacing w:before="15" w:after="15"/>
              <w:jc w:val="center"/>
              <w:rPr>
                <w:rFonts w:eastAsia="Calibri"/>
                <w:b/>
                <w:bCs/>
                <w:noProof/>
                <w:sz w:val="20"/>
                <w:szCs w:val="20"/>
              </w:rPr>
            </w:pPr>
            <w:r>
              <w:rPr>
                <w:b/>
                <w:noProof/>
                <w:sz w:val="20"/>
              </w:rPr>
              <w:t>Platobné rozpočtové prostriedky</w:t>
            </w:r>
          </w:p>
        </w:tc>
      </w:tr>
      <w:tr w:rsidR="42EA40D1" w14:paraId="63DC888C" w14:textId="77777777" w:rsidTr="00EC7DDD">
        <w:trPr>
          <w:trHeight w:val="375"/>
          <w:jc w:val="center"/>
        </w:trPr>
        <w:tc>
          <w:tcPr>
            <w:tcW w:w="9810" w:type="dxa"/>
            <w:gridSpan w:val="4"/>
            <w:tcBorders>
              <w:bottom w:val="single" w:sz="4" w:space="0" w:color="auto"/>
            </w:tcBorders>
            <w:shd w:val="clear" w:color="auto" w:fill="F2F2F2" w:themeFill="background1" w:themeFillShade="F2"/>
            <w:vAlign w:val="center"/>
          </w:tcPr>
          <w:p w14:paraId="0CF5C106" w14:textId="6A8A4C1C" w:rsidR="42EA40D1" w:rsidRDefault="42EA40D1" w:rsidP="42EA40D1">
            <w:pPr>
              <w:widowControl w:val="0"/>
              <w:spacing w:before="15" w:after="15"/>
              <w:rPr>
                <w:rFonts w:eastAsia="Calibri"/>
                <w:i/>
                <w:iCs/>
                <w:noProof/>
                <w:sz w:val="20"/>
                <w:szCs w:val="20"/>
              </w:rPr>
            </w:pPr>
            <w:r>
              <w:rPr>
                <w:i/>
                <w:noProof/>
                <w:sz w:val="20"/>
              </w:rPr>
              <w:t>Oddiel I – Európsky parlament</w:t>
            </w:r>
          </w:p>
        </w:tc>
      </w:tr>
      <w:tr w:rsidR="42EA40D1" w14:paraId="3C7833AF" w14:textId="77777777" w:rsidTr="005C47FF">
        <w:trPr>
          <w:trHeight w:val="300"/>
          <w:jc w:val="center"/>
        </w:trPr>
        <w:tc>
          <w:tcPr>
            <w:tcW w:w="1276" w:type="dxa"/>
            <w:tcBorders>
              <w:bottom w:val="single" w:sz="4" w:space="0" w:color="auto"/>
            </w:tcBorders>
            <w:vAlign w:val="center"/>
          </w:tcPr>
          <w:p w14:paraId="64B1F440" w14:textId="143F5CE5" w:rsidR="42EA40D1" w:rsidRDefault="00E8516E" w:rsidP="0074715E">
            <w:pPr>
              <w:widowControl w:val="0"/>
              <w:tabs>
                <w:tab w:val="left" w:pos="1350"/>
              </w:tabs>
              <w:spacing w:before="15" w:after="15"/>
              <w:jc w:val="both"/>
              <w:rPr>
                <w:noProof/>
                <w:sz w:val="16"/>
                <w:szCs w:val="16"/>
              </w:rPr>
            </w:pPr>
            <w:r>
              <w:rPr>
                <w:noProof/>
                <w:sz w:val="16"/>
              </w:rPr>
              <w:t>1 4 0 0</w:t>
            </w:r>
          </w:p>
        </w:tc>
        <w:tc>
          <w:tcPr>
            <w:tcW w:w="5132" w:type="dxa"/>
            <w:tcBorders>
              <w:bottom w:val="single" w:sz="4" w:space="0" w:color="auto"/>
            </w:tcBorders>
            <w:vAlign w:val="center"/>
          </w:tcPr>
          <w:p w14:paraId="4D56D6D3" w14:textId="63E381A8" w:rsidR="42EA40D1" w:rsidRDefault="006C496D" w:rsidP="42EA40D1">
            <w:pPr>
              <w:widowControl w:val="0"/>
              <w:tabs>
                <w:tab w:val="left" w:pos="1350"/>
              </w:tabs>
              <w:spacing w:before="15" w:after="15"/>
              <w:jc w:val="both"/>
              <w:rPr>
                <w:noProof/>
                <w:sz w:val="16"/>
                <w:szCs w:val="16"/>
              </w:rPr>
            </w:pPr>
            <w:r>
              <w:rPr>
                <w:noProof/>
                <w:sz w:val="16"/>
              </w:rPr>
              <w:t>Ostatní zamestnanci — Sekretariát a politické skupiny</w:t>
            </w:r>
          </w:p>
        </w:tc>
        <w:tc>
          <w:tcPr>
            <w:tcW w:w="1701" w:type="dxa"/>
            <w:tcBorders>
              <w:bottom w:val="single" w:sz="4" w:space="0" w:color="auto"/>
            </w:tcBorders>
            <w:vAlign w:val="center"/>
          </w:tcPr>
          <w:p w14:paraId="1C1C9497" w14:textId="0F8D2DFE" w:rsidR="42EA40D1" w:rsidRDefault="42EA40D1" w:rsidP="42EA40D1">
            <w:pPr>
              <w:widowControl w:val="0"/>
              <w:spacing w:before="15" w:after="15"/>
              <w:jc w:val="right"/>
              <w:rPr>
                <w:rFonts w:eastAsia="Calibri"/>
                <w:noProof/>
                <w:sz w:val="16"/>
                <w:szCs w:val="16"/>
              </w:rPr>
            </w:pPr>
            <w:r>
              <w:rPr>
                <w:noProof/>
                <w:sz w:val="16"/>
              </w:rPr>
              <w:t>- 300 000</w:t>
            </w:r>
          </w:p>
        </w:tc>
        <w:tc>
          <w:tcPr>
            <w:tcW w:w="1701" w:type="dxa"/>
            <w:tcBorders>
              <w:bottom w:val="single" w:sz="4" w:space="0" w:color="auto"/>
            </w:tcBorders>
            <w:vAlign w:val="center"/>
          </w:tcPr>
          <w:p w14:paraId="7205FA46" w14:textId="13E3772F" w:rsidR="73C70AF3" w:rsidRDefault="73C70AF3" w:rsidP="00EC7DDD">
            <w:pPr>
              <w:widowControl w:val="0"/>
              <w:spacing w:before="15" w:after="15"/>
              <w:jc w:val="right"/>
              <w:rPr>
                <w:noProof/>
                <w:sz w:val="16"/>
                <w:szCs w:val="16"/>
              </w:rPr>
            </w:pPr>
            <w:r>
              <w:rPr>
                <w:noProof/>
                <w:sz w:val="16"/>
              </w:rPr>
              <w:t>-300 000</w:t>
            </w:r>
          </w:p>
        </w:tc>
      </w:tr>
      <w:tr w:rsidR="0074715E" w14:paraId="25218829" w14:textId="77777777" w:rsidTr="0074715E">
        <w:trPr>
          <w:trHeight w:val="300"/>
          <w:jc w:val="center"/>
        </w:trPr>
        <w:tc>
          <w:tcPr>
            <w:tcW w:w="9810" w:type="dxa"/>
            <w:gridSpan w:val="4"/>
            <w:shd w:val="pct10" w:color="auto" w:fill="auto"/>
          </w:tcPr>
          <w:p w14:paraId="3D2A91A0" w14:textId="5791ED09" w:rsidR="0074715E" w:rsidRPr="42EA40D1" w:rsidRDefault="0074715E" w:rsidP="0074715E">
            <w:pPr>
              <w:widowControl w:val="0"/>
              <w:tabs>
                <w:tab w:val="left" w:pos="1350"/>
              </w:tabs>
              <w:spacing w:before="15" w:after="15"/>
              <w:jc w:val="both"/>
              <w:rPr>
                <w:rFonts w:eastAsia="Calibri"/>
                <w:noProof/>
                <w:sz w:val="16"/>
                <w:szCs w:val="16"/>
              </w:rPr>
            </w:pPr>
            <w:r>
              <w:rPr>
                <w:i/>
                <w:noProof/>
                <w:sz w:val="20"/>
              </w:rPr>
              <w:t>Oddiel III – Európska komisia</w:t>
            </w:r>
          </w:p>
        </w:tc>
      </w:tr>
      <w:tr w:rsidR="0074715E" w14:paraId="5D50D4B0" w14:textId="77777777" w:rsidTr="005C47FF">
        <w:trPr>
          <w:trHeight w:val="300"/>
          <w:jc w:val="center"/>
        </w:trPr>
        <w:tc>
          <w:tcPr>
            <w:tcW w:w="1276" w:type="dxa"/>
            <w:vAlign w:val="center"/>
          </w:tcPr>
          <w:p w14:paraId="127148FD" w14:textId="2ACE7C2E" w:rsidR="0074715E" w:rsidRDefault="00E5131D" w:rsidP="42EA40D1">
            <w:pPr>
              <w:widowControl w:val="0"/>
              <w:tabs>
                <w:tab w:val="left" w:pos="1350"/>
              </w:tabs>
              <w:spacing w:before="15" w:after="15"/>
              <w:jc w:val="both"/>
              <w:rPr>
                <w:noProof/>
                <w:sz w:val="16"/>
                <w:szCs w:val="16"/>
              </w:rPr>
            </w:pPr>
            <w:r>
              <w:rPr>
                <w:noProof/>
                <w:sz w:val="16"/>
              </w:rPr>
              <w:t>O3 01 02</w:t>
            </w:r>
          </w:p>
        </w:tc>
        <w:tc>
          <w:tcPr>
            <w:tcW w:w="5132" w:type="dxa"/>
            <w:vAlign w:val="center"/>
          </w:tcPr>
          <w:p w14:paraId="1F09DF50" w14:textId="3E2D40D0" w:rsidR="0074715E" w:rsidRPr="006C496D" w:rsidRDefault="00E5131D" w:rsidP="42EA40D1">
            <w:pPr>
              <w:widowControl w:val="0"/>
              <w:tabs>
                <w:tab w:val="left" w:pos="1350"/>
              </w:tabs>
              <w:spacing w:before="15" w:after="15"/>
              <w:jc w:val="both"/>
              <w:rPr>
                <w:noProof/>
                <w:sz w:val="16"/>
                <w:szCs w:val="16"/>
              </w:rPr>
            </w:pPr>
            <w:r>
              <w:rPr>
                <w:noProof/>
                <w:sz w:val="16"/>
              </w:rPr>
              <w:t>Externí zamestnanci</w:t>
            </w:r>
          </w:p>
        </w:tc>
        <w:tc>
          <w:tcPr>
            <w:tcW w:w="1701" w:type="dxa"/>
            <w:vAlign w:val="center"/>
          </w:tcPr>
          <w:p w14:paraId="58C8CBE4" w14:textId="109396FA" w:rsidR="0074715E" w:rsidRPr="42EA40D1" w:rsidRDefault="0074715E" w:rsidP="42EA40D1">
            <w:pPr>
              <w:widowControl w:val="0"/>
              <w:spacing w:before="15" w:after="15"/>
              <w:jc w:val="right"/>
              <w:rPr>
                <w:rFonts w:eastAsia="Calibri"/>
                <w:noProof/>
                <w:sz w:val="16"/>
                <w:szCs w:val="16"/>
              </w:rPr>
            </w:pPr>
            <w:r>
              <w:rPr>
                <w:noProof/>
                <w:sz w:val="16"/>
              </w:rPr>
              <w:t>300 000</w:t>
            </w:r>
          </w:p>
        </w:tc>
        <w:tc>
          <w:tcPr>
            <w:tcW w:w="1701" w:type="dxa"/>
            <w:vAlign w:val="center"/>
          </w:tcPr>
          <w:p w14:paraId="2A42BCC7" w14:textId="7E195C1E" w:rsidR="0074715E" w:rsidRPr="42EA40D1" w:rsidRDefault="0074715E" w:rsidP="00EC7DDD">
            <w:pPr>
              <w:widowControl w:val="0"/>
              <w:spacing w:before="15" w:after="15"/>
              <w:jc w:val="right"/>
              <w:rPr>
                <w:rFonts w:eastAsia="Calibri"/>
                <w:noProof/>
                <w:sz w:val="16"/>
                <w:szCs w:val="16"/>
              </w:rPr>
            </w:pPr>
            <w:r>
              <w:rPr>
                <w:noProof/>
                <w:sz w:val="16"/>
              </w:rPr>
              <w:t>300 000</w:t>
            </w:r>
          </w:p>
        </w:tc>
      </w:tr>
      <w:tr w:rsidR="42EA40D1" w14:paraId="0F3B46A0" w14:textId="77777777" w:rsidTr="42EA40D1">
        <w:trPr>
          <w:trHeight w:val="300"/>
          <w:jc w:val="center"/>
        </w:trPr>
        <w:tc>
          <w:tcPr>
            <w:tcW w:w="6408" w:type="dxa"/>
            <w:gridSpan w:val="2"/>
            <w:shd w:val="clear" w:color="auto" w:fill="D9D9D9" w:themeFill="background1" w:themeFillShade="D9"/>
          </w:tcPr>
          <w:p w14:paraId="7F179A04" w14:textId="77777777" w:rsidR="42EA40D1" w:rsidRDefault="42EA40D1" w:rsidP="42EA40D1">
            <w:pPr>
              <w:widowControl w:val="0"/>
              <w:spacing w:before="15" w:after="15"/>
              <w:ind w:right="-113"/>
              <w:jc w:val="both"/>
              <w:rPr>
                <w:rFonts w:eastAsia="Calibri"/>
                <w:noProof/>
                <w:sz w:val="20"/>
                <w:szCs w:val="20"/>
              </w:rPr>
            </w:pPr>
            <w:r>
              <w:rPr>
                <w:b/>
                <w:noProof/>
                <w:sz w:val="20"/>
              </w:rPr>
              <w:t>Spolu</w:t>
            </w:r>
            <w:r>
              <w:rPr>
                <w:noProof/>
              </w:rPr>
              <w:tab/>
            </w:r>
          </w:p>
        </w:tc>
        <w:tc>
          <w:tcPr>
            <w:tcW w:w="1701" w:type="dxa"/>
            <w:shd w:val="clear" w:color="auto" w:fill="D9D9D9" w:themeFill="background1" w:themeFillShade="D9"/>
          </w:tcPr>
          <w:p w14:paraId="008AAB99" w14:textId="65779482" w:rsidR="3D3AB29E" w:rsidRDefault="0074715E" w:rsidP="42EA40D1">
            <w:pPr>
              <w:widowControl w:val="0"/>
              <w:spacing w:before="15" w:after="15"/>
              <w:jc w:val="right"/>
              <w:rPr>
                <w:rFonts w:eastAsia="Calibri"/>
                <w:b/>
                <w:bCs/>
                <w:noProof/>
                <w:sz w:val="20"/>
                <w:szCs w:val="20"/>
              </w:rPr>
            </w:pPr>
            <w:r>
              <w:rPr>
                <w:b/>
                <w:noProof/>
                <w:sz w:val="20"/>
              </w:rPr>
              <w:t>0</w:t>
            </w:r>
          </w:p>
        </w:tc>
        <w:tc>
          <w:tcPr>
            <w:tcW w:w="1701" w:type="dxa"/>
            <w:shd w:val="clear" w:color="auto" w:fill="D9D9D9" w:themeFill="background1" w:themeFillShade="D9"/>
          </w:tcPr>
          <w:p w14:paraId="6ADF3352" w14:textId="22E98376" w:rsidR="3D3AB29E" w:rsidRDefault="0074715E" w:rsidP="00EC7DDD">
            <w:pPr>
              <w:widowControl w:val="0"/>
              <w:spacing w:before="15" w:after="15"/>
              <w:jc w:val="right"/>
              <w:rPr>
                <w:noProof/>
                <w:sz w:val="20"/>
                <w:szCs w:val="20"/>
              </w:rPr>
            </w:pPr>
            <w:r>
              <w:rPr>
                <w:b/>
                <w:noProof/>
                <w:sz w:val="20"/>
              </w:rPr>
              <w:t>0</w:t>
            </w:r>
          </w:p>
        </w:tc>
      </w:tr>
    </w:tbl>
    <w:p w14:paraId="58B393DD" w14:textId="4808205E" w:rsidR="002446ED" w:rsidRDefault="7F8DC785" w:rsidP="42EA40D1">
      <w:pPr>
        <w:pStyle w:val="ManualHeading1"/>
        <w:autoSpaceDE w:val="0"/>
        <w:autoSpaceDN w:val="0"/>
        <w:adjustRightInd w:val="0"/>
        <w:spacing w:before="240" w:line="259" w:lineRule="auto"/>
        <w:ind w:left="0" w:firstLine="0"/>
        <w:rPr>
          <w:noProof/>
        </w:rPr>
      </w:pPr>
      <w:bookmarkStart w:id="102" w:name="_Toc145922833"/>
      <w:r>
        <w:rPr>
          <w:noProof/>
        </w:rPr>
        <w:t>7.4. Úpravy výdavkov Európskej komisie</w:t>
      </w:r>
      <w:bookmarkEnd w:id="102"/>
      <w:r>
        <w:rPr>
          <w:noProof/>
        </w:rPr>
        <w:t xml:space="preserve"> </w:t>
      </w:r>
    </w:p>
    <w:p w14:paraId="2F1F9E74" w14:textId="6932618D" w:rsidR="002446ED" w:rsidRDefault="1B90EC3F" w:rsidP="42EA40D1">
      <w:pPr>
        <w:autoSpaceDE w:val="0"/>
        <w:autoSpaceDN w:val="0"/>
        <w:adjustRightInd w:val="0"/>
        <w:spacing w:before="120" w:after="120" w:line="259" w:lineRule="auto"/>
        <w:jc w:val="both"/>
        <w:rPr>
          <w:noProof/>
        </w:rPr>
      </w:pPr>
      <w:r>
        <w:rPr>
          <w:noProof/>
        </w:rPr>
        <w:t>Komisia navrhuje zahrnúť do OL č. 1/2024 zníženie výdavkov na platy v Komisii o 3,7 mil. EUR s cieľom zohľadniť vplyv zníženia zaradenia 78 pracovných miest AST na AST-SC, čo odráža nedávne rozhodnutie Komisie</w:t>
      </w:r>
      <w:r>
        <w:rPr>
          <w:rStyle w:val="FootnoteReference"/>
          <w:noProof/>
        </w:rPr>
        <w:footnoteReference w:id="15"/>
      </w:r>
      <w:r>
        <w:rPr>
          <w:noProof/>
        </w:rPr>
        <w:t xml:space="preserve"> týkajúce sa plánu pracovných miest na rok 2023 v súlade s článkom 53 nariadenia o rozpočtových pravidlách.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68439CB0"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46743300" w14:textId="77777777" w:rsidR="42EA40D1" w:rsidRDefault="42EA40D1" w:rsidP="42EA40D1">
            <w:pPr>
              <w:widowControl w:val="0"/>
              <w:spacing w:before="15" w:after="15"/>
              <w:jc w:val="right"/>
              <w:rPr>
                <w:rFonts w:eastAsia="Calibri"/>
                <w:i/>
                <w:iCs/>
                <w:noProof/>
                <w:sz w:val="20"/>
                <w:szCs w:val="20"/>
              </w:rPr>
            </w:pPr>
            <w:r>
              <w:rPr>
                <w:i/>
                <w:noProof/>
                <w:sz w:val="20"/>
              </w:rPr>
              <w:t>v EUR</w:t>
            </w:r>
          </w:p>
        </w:tc>
      </w:tr>
      <w:tr w:rsidR="42EA40D1" w14:paraId="6BD186C3"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2373F18D" w14:textId="77777777" w:rsidR="42EA40D1" w:rsidRDefault="42EA40D1" w:rsidP="42EA40D1">
            <w:pPr>
              <w:keepNext/>
              <w:spacing w:before="15" w:after="15"/>
              <w:jc w:val="center"/>
              <w:rPr>
                <w:rFonts w:eastAsia="Calibri"/>
                <w:b/>
                <w:bCs/>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1C90E0CD" w14:textId="77777777" w:rsidR="42EA40D1" w:rsidRDefault="42EA40D1" w:rsidP="42EA40D1">
            <w:pPr>
              <w:widowControl w:val="0"/>
              <w:spacing w:before="15" w:after="15"/>
              <w:jc w:val="center"/>
              <w:rPr>
                <w:rFonts w:eastAsia="Calibri"/>
                <w:b/>
                <w:bCs/>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6674DD72" w14:textId="77777777" w:rsidR="42EA40D1" w:rsidRDefault="42EA40D1" w:rsidP="42EA40D1">
            <w:pPr>
              <w:widowControl w:val="0"/>
              <w:spacing w:before="15" w:after="15"/>
              <w:jc w:val="center"/>
              <w:rPr>
                <w:rFonts w:eastAsia="Calibri"/>
                <w:b/>
                <w:bCs/>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343A2DA8" w14:textId="77777777" w:rsidR="42EA40D1" w:rsidRDefault="42EA40D1" w:rsidP="42EA40D1">
            <w:pPr>
              <w:widowControl w:val="0"/>
              <w:spacing w:before="15" w:after="15"/>
              <w:jc w:val="center"/>
              <w:rPr>
                <w:rFonts w:eastAsia="Calibri"/>
                <w:b/>
                <w:bCs/>
                <w:noProof/>
                <w:sz w:val="20"/>
                <w:szCs w:val="20"/>
              </w:rPr>
            </w:pPr>
            <w:r>
              <w:rPr>
                <w:b/>
                <w:noProof/>
                <w:sz w:val="20"/>
              </w:rPr>
              <w:t>Platobné rozpočtové prostriedky</w:t>
            </w:r>
          </w:p>
        </w:tc>
      </w:tr>
      <w:tr w:rsidR="42EA40D1" w14:paraId="1DB164C3"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4DFB2622" w14:textId="77777777" w:rsidR="42EA40D1" w:rsidRDefault="42EA40D1" w:rsidP="42EA40D1">
            <w:pPr>
              <w:widowControl w:val="0"/>
              <w:spacing w:before="15" w:after="15"/>
              <w:rPr>
                <w:rFonts w:eastAsia="Calibri"/>
                <w:i/>
                <w:iCs/>
                <w:noProof/>
                <w:sz w:val="20"/>
                <w:szCs w:val="20"/>
              </w:rPr>
            </w:pPr>
            <w:r>
              <w:rPr>
                <w:i/>
                <w:noProof/>
                <w:sz w:val="20"/>
              </w:rPr>
              <w:t>Oddiel III – Komisia</w:t>
            </w:r>
          </w:p>
        </w:tc>
      </w:tr>
      <w:tr w:rsidR="00441153" w14:paraId="144B3750" w14:textId="77777777" w:rsidTr="005C47FF">
        <w:trPr>
          <w:trHeight w:val="300"/>
          <w:jc w:val="center"/>
        </w:trPr>
        <w:tc>
          <w:tcPr>
            <w:tcW w:w="1276" w:type="dxa"/>
            <w:vAlign w:val="center"/>
          </w:tcPr>
          <w:p w14:paraId="38C1612D" w14:textId="5FE80B99" w:rsidR="00441153" w:rsidRDefault="00441153" w:rsidP="00EC7DDD">
            <w:pPr>
              <w:widowControl w:val="0"/>
              <w:tabs>
                <w:tab w:val="left" w:pos="1350"/>
              </w:tabs>
              <w:spacing w:before="15" w:after="15"/>
              <w:jc w:val="both"/>
              <w:rPr>
                <w:noProof/>
                <w:sz w:val="16"/>
                <w:szCs w:val="16"/>
              </w:rPr>
            </w:pPr>
            <w:r>
              <w:rPr>
                <w:noProof/>
                <w:sz w:val="16"/>
              </w:rPr>
              <w:t>20 01 02 01</w:t>
            </w:r>
          </w:p>
        </w:tc>
        <w:tc>
          <w:tcPr>
            <w:tcW w:w="5132" w:type="dxa"/>
            <w:vAlign w:val="center"/>
          </w:tcPr>
          <w:p w14:paraId="40AB541C" w14:textId="7D96394C" w:rsidR="00441153" w:rsidRDefault="00441153" w:rsidP="00441153">
            <w:pPr>
              <w:widowControl w:val="0"/>
              <w:tabs>
                <w:tab w:val="left" w:pos="1350"/>
              </w:tabs>
              <w:spacing w:before="15" w:after="15"/>
              <w:jc w:val="both"/>
              <w:rPr>
                <w:noProof/>
                <w:sz w:val="16"/>
                <w:szCs w:val="16"/>
              </w:rPr>
            </w:pPr>
            <w:r>
              <w:rPr>
                <w:noProof/>
                <w:sz w:val="16"/>
              </w:rPr>
              <w:t>Platy a príspevky — Ústredia a zastúpenia</w:t>
            </w:r>
          </w:p>
        </w:tc>
        <w:tc>
          <w:tcPr>
            <w:tcW w:w="1701" w:type="dxa"/>
            <w:vAlign w:val="center"/>
          </w:tcPr>
          <w:p w14:paraId="587A62EC" w14:textId="6411E24B" w:rsidR="00441153" w:rsidRDefault="00441153" w:rsidP="00441153">
            <w:pPr>
              <w:widowControl w:val="0"/>
              <w:spacing w:before="15" w:after="15"/>
              <w:jc w:val="right"/>
              <w:rPr>
                <w:rFonts w:eastAsia="Calibri"/>
                <w:noProof/>
                <w:sz w:val="16"/>
                <w:szCs w:val="16"/>
              </w:rPr>
            </w:pPr>
            <w:r>
              <w:rPr>
                <w:noProof/>
                <w:sz w:val="16"/>
              </w:rPr>
              <w:t>-3 677 000</w:t>
            </w:r>
          </w:p>
        </w:tc>
        <w:tc>
          <w:tcPr>
            <w:tcW w:w="1701" w:type="dxa"/>
            <w:vAlign w:val="center"/>
          </w:tcPr>
          <w:p w14:paraId="4880E91C" w14:textId="1D233ECD" w:rsidR="00441153" w:rsidRDefault="00441153" w:rsidP="00441153">
            <w:pPr>
              <w:widowControl w:val="0"/>
              <w:spacing w:before="15" w:after="15"/>
              <w:jc w:val="right"/>
              <w:rPr>
                <w:rFonts w:eastAsia="Calibri"/>
                <w:noProof/>
                <w:sz w:val="16"/>
                <w:szCs w:val="16"/>
              </w:rPr>
            </w:pPr>
            <w:r>
              <w:rPr>
                <w:noProof/>
                <w:sz w:val="16"/>
              </w:rPr>
              <w:t>-3 677 000</w:t>
            </w:r>
          </w:p>
        </w:tc>
      </w:tr>
      <w:tr w:rsidR="005C47FF" w:rsidRPr="005C47FF" w14:paraId="4BDCB926" w14:textId="77777777" w:rsidTr="42EA40D1">
        <w:trPr>
          <w:trHeight w:val="300"/>
          <w:jc w:val="center"/>
        </w:trPr>
        <w:tc>
          <w:tcPr>
            <w:tcW w:w="6408" w:type="dxa"/>
            <w:gridSpan w:val="2"/>
            <w:shd w:val="clear" w:color="auto" w:fill="D9D9D9" w:themeFill="background1" w:themeFillShade="D9"/>
          </w:tcPr>
          <w:p w14:paraId="391170BF" w14:textId="77777777" w:rsidR="005C47FF" w:rsidRPr="005C47FF" w:rsidRDefault="005C47FF" w:rsidP="005C47FF">
            <w:pPr>
              <w:widowControl w:val="0"/>
              <w:spacing w:before="15" w:after="15"/>
              <w:ind w:right="-113"/>
              <w:jc w:val="both"/>
              <w:rPr>
                <w:rFonts w:eastAsia="Calibri"/>
                <w:noProof/>
                <w:sz w:val="20"/>
                <w:szCs w:val="20"/>
              </w:rPr>
            </w:pPr>
            <w:r>
              <w:rPr>
                <w:b/>
                <w:noProof/>
                <w:sz w:val="20"/>
              </w:rPr>
              <w:t>Spolu</w:t>
            </w:r>
            <w:r>
              <w:rPr>
                <w:noProof/>
              </w:rPr>
              <w:tab/>
            </w:r>
          </w:p>
        </w:tc>
        <w:tc>
          <w:tcPr>
            <w:tcW w:w="1701" w:type="dxa"/>
            <w:shd w:val="clear" w:color="auto" w:fill="D9D9D9" w:themeFill="background1" w:themeFillShade="D9"/>
          </w:tcPr>
          <w:p w14:paraId="71A06E32" w14:textId="3802E686" w:rsidR="005C47FF" w:rsidRPr="005C47FF" w:rsidRDefault="005C47FF" w:rsidP="005C47FF">
            <w:pPr>
              <w:widowControl w:val="0"/>
              <w:spacing w:before="15" w:after="15"/>
              <w:jc w:val="right"/>
              <w:rPr>
                <w:b/>
                <w:bCs/>
                <w:noProof/>
                <w:sz w:val="20"/>
                <w:szCs w:val="20"/>
              </w:rPr>
            </w:pPr>
            <w:r>
              <w:rPr>
                <w:b/>
                <w:noProof/>
                <w:sz w:val="20"/>
              </w:rPr>
              <w:t>-3 677 000</w:t>
            </w:r>
          </w:p>
        </w:tc>
        <w:tc>
          <w:tcPr>
            <w:tcW w:w="1701" w:type="dxa"/>
            <w:shd w:val="clear" w:color="auto" w:fill="D9D9D9" w:themeFill="background1" w:themeFillShade="D9"/>
          </w:tcPr>
          <w:p w14:paraId="07B3F566" w14:textId="1262E1C6" w:rsidR="005C47FF" w:rsidRPr="005C47FF" w:rsidRDefault="005C47FF" w:rsidP="005C47FF">
            <w:pPr>
              <w:widowControl w:val="0"/>
              <w:spacing w:before="15" w:after="15"/>
              <w:jc w:val="right"/>
              <w:rPr>
                <w:b/>
                <w:bCs/>
                <w:noProof/>
                <w:sz w:val="20"/>
                <w:szCs w:val="20"/>
              </w:rPr>
            </w:pPr>
            <w:r>
              <w:rPr>
                <w:b/>
                <w:noProof/>
                <w:sz w:val="20"/>
              </w:rPr>
              <w:t>-3 677 000</w:t>
            </w:r>
          </w:p>
        </w:tc>
      </w:tr>
    </w:tbl>
    <w:p w14:paraId="180D63EA" w14:textId="0B4B81E6" w:rsidR="00205233" w:rsidRDefault="16C8B1CF" w:rsidP="00295C22">
      <w:pPr>
        <w:autoSpaceDE w:val="0"/>
        <w:autoSpaceDN w:val="0"/>
        <w:adjustRightInd w:val="0"/>
        <w:spacing w:before="120" w:after="120" w:line="259" w:lineRule="auto"/>
        <w:jc w:val="both"/>
        <w:rPr>
          <w:noProof/>
        </w:rPr>
      </w:pPr>
      <w:r>
        <w:rPr>
          <w:noProof/>
        </w:rPr>
        <w:t xml:space="preserve">Celkovo je kombinovaným účinkom na výdavky v okruhu 7 odhadované v návrhu rozpočtu na rok 2024 zvýšenie administratívnych výdavkov o 4,6 mil. EUR, zatiaľ čo výdavky na dôchodky a európske školy zostávajú nezmenené. </w:t>
      </w:r>
    </w:p>
    <w:p w14:paraId="14BBB917" w14:textId="77777777" w:rsidR="005C47FF" w:rsidRDefault="005C47FF" w:rsidP="005C47FF">
      <w:pPr>
        <w:autoSpaceDE w:val="0"/>
        <w:autoSpaceDN w:val="0"/>
        <w:adjustRightInd w:val="0"/>
        <w:spacing w:before="120" w:line="259" w:lineRule="auto"/>
        <w:jc w:val="both"/>
        <w:rPr>
          <w:noProof/>
        </w:rPr>
      </w:pPr>
      <w:r>
        <w:rPr>
          <w:noProof/>
        </w:rPr>
        <w:t>Celkový vplyv na výdavky je takýto:</w:t>
      </w:r>
    </w:p>
    <w:tbl>
      <w:tblPr>
        <w:tblW w:w="9639" w:type="dxa"/>
        <w:tblInd w:w="108" w:type="dxa"/>
        <w:tblLook w:val="04A0" w:firstRow="1" w:lastRow="0" w:firstColumn="1" w:lastColumn="0" w:noHBand="0" w:noVBand="1"/>
      </w:tblPr>
      <w:tblGrid>
        <w:gridCol w:w="4480"/>
        <w:gridCol w:w="1616"/>
        <w:gridCol w:w="1701"/>
        <w:gridCol w:w="1842"/>
      </w:tblGrid>
      <w:tr w:rsidR="005C47FF" w:rsidRPr="00937B4C" w14:paraId="3C7FD39B" w14:textId="77777777" w:rsidTr="005F6C3A">
        <w:trPr>
          <w:trHeight w:val="290"/>
        </w:trPr>
        <w:tc>
          <w:tcPr>
            <w:tcW w:w="9639" w:type="dxa"/>
            <w:gridSpan w:val="4"/>
            <w:tcBorders>
              <w:top w:val="nil"/>
              <w:left w:val="nil"/>
              <w:bottom w:val="nil"/>
              <w:right w:val="nil"/>
            </w:tcBorders>
            <w:shd w:val="clear" w:color="auto" w:fill="FFFFFF" w:themeFill="background1"/>
            <w:vAlign w:val="center"/>
            <w:hideMark/>
          </w:tcPr>
          <w:p w14:paraId="00B86177" w14:textId="2DE276FE" w:rsidR="005C47FF" w:rsidRPr="00937B4C" w:rsidRDefault="005C47FF" w:rsidP="000703D6">
            <w:pPr>
              <w:jc w:val="right"/>
              <w:rPr>
                <w:i/>
                <w:iCs/>
                <w:noProof/>
                <w:color w:val="000000"/>
                <w:sz w:val="20"/>
                <w:szCs w:val="20"/>
              </w:rPr>
            </w:pPr>
            <w:r>
              <w:rPr>
                <w:i/>
                <w:noProof/>
                <w:color w:val="000000"/>
                <w:sz w:val="20"/>
              </w:rPr>
              <w:t>Sumy v mil. EUR</w:t>
            </w:r>
          </w:p>
        </w:tc>
      </w:tr>
      <w:tr w:rsidR="005C47FF" w:rsidRPr="00937B4C" w14:paraId="3B387BFE" w14:textId="77777777" w:rsidTr="005F6C3A">
        <w:trPr>
          <w:trHeight w:val="780"/>
        </w:trPr>
        <w:tc>
          <w:tcPr>
            <w:tcW w:w="4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5BA71" w14:textId="77777777" w:rsidR="005C47FF" w:rsidRPr="00937B4C" w:rsidRDefault="005C47FF" w:rsidP="000703D6">
            <w:pPr>
              <w:jc w:val="center"/>
              <w:rPr>
                <w:b/>
                <w:bCs/>
                <w:noProof/>
                <w:color w:val="000000"/>
                <w:sz w:val="20"/>
                <w:szCs w:val="20"/>
              </w:rPr>
            </w:pPr>
            <w:r>
              <w:rPr>
                <w:b/>
                <w:noProof/>
                <w:color w:val="000000"/>
                <w:sz w:val="20"/>
              </w:rPr>
              <w:t xml:space="preserve"> </w:t>
            </w:r>
          </w:p>
        </w:tc>
        <w:tc>
          <w:tcPr>
            <w:tcW w:w="16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2E2F36" w14:textId="77777777" w:rsidR="005C47FF" w:rsidRPr="00937B4C" w:rsidRDefault="005C47FF" w:rsidP="000703D6">
            <w:pPr>
              <w:jc w:val="center"/>
              <w:rPr>
                <w:b/>
                <w:bCs/>
                <w:noProof/>
                <w:color w:val="000000"/>
                <w:sz w:val="20"/>
                <w:szCs w:val="20"/>
              </w:rPr>
            </w:pPr>
            <w:r>
              <w:rPr>
                <w:b/>
                <w:noProof/>
                <w:color w:val="000000"/>
                <w:sz w:val="20"/>
              </w:rPr>
              <w:t>NR 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D5D9E5" w14:textId="77777777" w:rsidR="005C47FF" w:rsidRPr="00937B4C" w:rsidRDefault="005C47FF" w:rsidP="000703D6">
            <w:pPr>
              <w:jc w:val="center"/>
              <w:rPr>
                <w:b/>
                <w:bCs/>
                <w:noProof/>
                <w:color w:val="000000"/>
                <w:sz w:val="20"/>
                <w:szCs w:val="20"/>
              </w:rPr>
            </w:pPr>
            <w:r>
              <w:rPr>
                <w:b/>
                <w:noProof/>
                <w:color w:val="000000"/>
                <w:sz w:val="20"/>
              </w:rPr>
              <w:t>Opravný list č. 1 k NR 2024</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517A2" w14:textId="77777777" w:rsidR="005C47FF" w:rsidRPr="00937B4C" w:rsidRDefault="005C47FF" w:rsidP="000703D6">
            <w:pPr>
              <w:jc w:val="center"/>
              <w:rPr>
                <w:b/>
                <w:bCs/>
                <w:noProof/>
                <w:color w:val="000000"/>
                <w:sz w:val="20"/>
                <w:szCs w:val="20"/>
              </w:rPr>
            </w:pPr>
            <w:r>
              <w:rPr>
                <w:b/>
                <w:noProof/>
                <w:color w:val="000000"/>
                <w:sz w:val="20"/>
              </w:rPr>
              <w:t>NR 2024 s OL č. 1</w:t>
            </w:r>
          </w:p>
        </w:tc>
      </w:tr>
      <w:tr w:rsidR="005C47FF" w:rsidRPr="00937B4C" w14:paraId="521E2BA7"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F98676" w14:textId="77777777" w:rsidR="005C47FF" w:rsidRPr="00937B4C" w:rsidRDefault="005C47FF" w:rsidP="000703D6">
            <w:pPr>
              <w:rPr>
                <w:b/>
                <w:bCs/>
                <w:noProof/>
                <w:color w:val="000000"/>
                <w:sz w:val="16"/>
                <w:szCs w:val="16"/>
              </w:rPr>
            </w:pPr>
            <w:r>
              <w:rPr>
                <w:b/>
                <w:noProof/>
                <w:color w:val="000000"/>
                <w:sz w:val="16"/>
              </w:rPr>
              <w:t>Dôchodky a európske školy</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FA7FF68" w14:textId="77777777" w:rsidR="005C47FF" w:rsidRPr="00B131F5" w:rsidRDefault="005C47FF" w:rsidP="000703D6">
            <w:pPr>
              <w:jc w:val="right"/>
              <w:rPr>
                <w:noProof/>
                <w:color w:val="000000"/>
                <w:sz w:val="16"/>
                <w:szCs w:val="16"/>
              </w:rPr>
            </w:pPr>
            <w:r>
              <w:rPr>
                <w:noProof/>
                <w:sz w:val="16"/>
              </w:rPr>
              <w:t>2 812,6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AFE2ED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458EA38" w14:textId="77777777" w:rsidR="005C47FF" w:rsidRDefault="005C47FF" w:rsidP="000703D6">
            <w:pPr>
              <w:jc w:val="right"/>
              <w:rPr>
                <w:noProof/>
                <w:color w:val="000000" w:themeColor="text1"/>
                <w:sz w:val="16"/>
                <w:szCs w:val="16"/>
              </w:rPr>
            </w:pPr>
            <w:r>
              <w:rPr>
                <w:noProof/>
                <w:sz w:val="16"/>
              </w:rPr>
              <w:t>2 812,6</w:t>
            </w:r>
          </w:p>
        </w:tc>
      </w:tr>
      <w:tr w:rsidR="005C47FF" w:rsidRPr="00937B4C" w14:paraId="2C0407E5"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7D802E" w14:textId="77777777" w:rsidR="005C47FF" w:rsidRPr="00937B4C" w:rsidRDefault="005C47FF" w:rsidP="000703D6">
            <w:pPr>
              <w:ind w:firstLineChars="100" w:firstLine="160"/>
              <w:rPr>
                <w:noProof/>
                <w:color w:val="000000"/>
                <w:sz w:val="16"/>
                <w:szCs w:val="16"/>
              </w:rPr>
            </w:pPr>
            <w:r>
              <w:rPr>
                <w:noProof/>
                <w:color w:val="000000"/>
                <w:sz w:val="16"/>
              </w:rPr>
              <w:t>Dôchodky</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6BAB4EBB" w14:textId="77777777" w:rsidR="005C47FF" w:rsidRPr="00B131F5" w:rsidRDefault="005C47FF" w:rsidP="000703D6">
            <w:pPr>
              <w:jc w:val="right"/>
              <w:rPr>
                <w:noProof/>
                <w:color w:val="000000"/>
                <w:sz w:val="16"/>
                <w:szCs w:val="16"/>
              </w:rPr>
            </w:pPr>
            <w:r>
              <w:rPr>
                <w:noProof/>
                <w:sz w:val="16"/>
              </w:rPr>
              <w:t>2 565,5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5F85CF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4131B1D" w14:textId="77777777" w:rsidR="005C47FF" w:rsidRDefault="005C47FF" w:rsidP="000703D6">
            <w:pPr>
              <w:jc w:val="right"/>
              <w:rPr>
                <w:noProof/>
                <w:color w:val="000000" w:themeColor="text1"/>
                <w:sz w:val="16"/>
                <w:szCs w:val="16"/>
              </w:rPr>
            </w:pPr>
            <w:r>
              <w:rPr>
                <w:noProof/>
                <w:sz w:val="16"/>
              </w:rPr>
              <w:t>2 565,5</w:t>
            </w:r>
          </w:p>
        </w:tc>
      </w:tr>
      <w:tr w:rsidR="005C47FF" w:rsidRPr="00937B4C" w14:paraId="781477BD"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AFA64C" w14:textId="77777777" w:rsidR="005C47FF" w:rsidRPr="00937B4C" w:rsidRDefault="005C47FF" w:rsidP="000703D6">
            <w:pPr>
              <w:ind w:firstLineChars="100" w:firstLine="160"/>
              <w:rPr>
                <w:noProof/>
                <w:color w:val="000000"/>
                <w:sz w:val="16"/>
                <w:szCs w:val="16"/>
              </w:rPr>
            </w:pPr>
            <w:r>
              <w:rPr>
                <w:noProof/>
                <w:color w:val="000000"/>
                <w:sz w:val="16"/>
              </w:rPr>
              <w:t>Európske školy</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3A8B7DBD" w14:textId="77777777" w:rsidR="005C47FF" w:rsidRPr="00B131F5" w:rsidRDefault="005C47FF" w:rsidP="000703D6">
            <w:pPr>
              <w:jc w:val="right"/>
              <w:rPr>
                <w:noProof/>
                <w:color w:val="000000"/>
                <w:sz w:val="16"/>
                <w:szCs w:val="16"/>
              </w:rPr>
            </w:pPr>
            <w:r>
              <w:rPr>
                <w:noProof/>
                <w:sz w:val="16"/>
              </w:rPr>
              <w:t>247,2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1463841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8D03F2D" w14:textId="77777777" w:rsidR="005C47FF" w:rsidRDefault="005C47FF" w:rsidP="000703D6">
            <w:pPr>
              <w:jc w:val="right"/>
              <w:rPr>
                <w:noProof/>
                <w:color w:val="000000" w:themeColor="text1"/>
                <w:sz w:val="16"/>
                <w:szCs w:val="16"/>
              </w:rPr>
            </w:pPr>
            <w:r>
              <w:rPr>
                <w:noProof/>
                <w:sz w:val="16"/>
              </w:rPr>
              <w:t>247,2</w:t>
            </w:r>
          </w:p>
        </w:tc>
      </w:tr>
      <w:tr w:rsidR="005C47FF" w:rsidRPr="00937B4C" w14:paraId="7B093ABE"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42780F" w14:textId="77777777" w:rsidR="005C47FF" w:rsidRPr="00937B4C" w:rsidRDefault="005C47FF" w:rsidP="000703D6">
            <w:pPr>
              <w:rPr>
                <w:b/>
                <w:bCs/>
                <w:noProof/>
                <w:color w:val="000000"/>
                <w:sz w:val="16"/>
                <w:szCs w:val="16"/>
              </w:rPr>
            </w:pPr>
            <w:r>
              <w:rPr>
                <w:b/>
                <w:noProof/>
                <w:color w:val="000000"/>
                <w:sz w:val="16"/>
              </w:rPr>
              <w:t>Administratívne výdavky inštitúcií</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4504AE97" w14:textId="77777777" w:rsidR="005C47FF" w:rsidRPr="00B131F5" w:rsidRDefault="005C47FF" w:rsidP="000703D6">
            <w:pPr>
              <w:jc w:val="right"/>
              <w:rPr>
                <w:noProof/>
                <w:color w:val="000000"/>
                <w:sz w:val="16"/>
                <w:szCs w:val="16"/>
              </w:rPr>
            </w:pPr>
            <w:r>
              <w:rPr>
                <w:noProof/>
                <w:sz w:val="16"/>
              </w:rPr>
              <w:t>9 137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FAABA35" w14:textId="77777777" w:rsidR="005C47FF" w:rsidRPr="00B131F5" w:rsidRDefault="005C47FF" w:rsidP="000703D6">
            <w:pPr>
              <w:jc w:val="right"/>
              <w:rPr>
                <w:noProof/>
                <w:color w:val="000000"/>
                <w:sz w:val="16"/>
                <w:szCs w:val="16"/>
              </w:rPr>
            </w:pPr>
            <w:r>
              <w:rPr>
                <w:noProof/>
                <w:sz w:val="16"/>
              </w:rPr>
              <w:t>7,3</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3B67DEA" w14:textId="77777777" w:rsidR="005C47FF" w:rsidRPr="00B131F5" w:rsidRDefault="005C47FF" w:rsidP="000703D6">
            <w:pPr>
              <w:jc w:val="right"/>
              <w:rPr>
                <w:noProof/>
                <w:sz w:val="16"/>
                <w:szCs w:val="16"/>
              </w:rPr>
            </w:pPr>
            <w:r>
              <w:rPr>
                <w:noProof/>
                <w:sz w:val="16"/>
              </w:rPr>
              <w:t>9 144,3</w:t>
            </w:r>
          </w:p>
        </w:tc>
      </w:tr>
      <w:tr w:rsidR="005C47FF" w:rsidRPr="00937B4C" w14:paraId="7A8AB384"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1F88D4" w14:textId="77777777" w:rsidR="005C47FF" w:rsidRPr="00937B4C" w:rsidRDefault="005C47FF" w:rsidP="000703D6">
            <w:pPr>
              <w:ind w:firstLineChars="100" w:firstLine="160"/>
              <w:rPr>
                <w:noProof/>
                <w:color w:val="000000"/>
                <w:sz w:val="16"/>
                <w:szCs w:val="16"/>
              </w:rPr>
            </w:pPr>
            <w:r>
              <w:rPr>
                <w:noProof/>
                <w:color w:val="000000"/>
                <w:sz w:val="16"/>
              </w:rPr>
              <w:t>Komisia</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0D105F4" w14:textId="77777777" w:rsidR="005C47FF" w:rsidRPr="00B131F5" w:rsidRDefault="005C47FF" w:rsidP="000703D6">
            <w:pPr>
              <w:jc w:val="right"/>
              <w:rPr>
                <w:noProof/>
                <w:color w:val="000000"/>
                <w:sz w:val="16"/>
                <w:szCs w:val="16"/>
              </w:rPr>
            </w:pPr>
            <w:r>
              <w:rPr>
                <w:noProof/>
                <w:sz w:val="16"/>
              </w:rPr>
              <w:t>4 221,4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DDE52C7" w14:textId="77777777" w:rsidR="005C47FF" w:rsidRPr="00B131F5" w:rsidRDefault="005C47FF" w:rsidP="000703D6">
            <w:pPr>
              <w:jc w:val="right"/>
              <w:rPr>
                <w:noProof/>
                <w:sz w:val="16"/>
                <w:szCs w:val="16"/>
              </w:rPr>
            </w:pPr>
            <w:r>
              <w:rPr>
                <w:noProof/>
                <w:sz w:val="16"/>
              </w:rPr>
              <w:t>-3,4</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551AA722" w14:textId="77777777" w:rsidR="005C47FF" w:rsidRPr="00B131F5" w:rsidRDefault="005C47FF" w:rsidP="000703D6">
            <w:pPr>
              <w:jc w:val="right"/>
              <w:rPr>
                <w:noProof/>
                <w:sz w:val="16"/>
                <w:szCs w:val="16"/>
              </w:rPr>
            </w:pPr>
            <w:r>
              <w:rPr>
                <w:noProof/>
                <w:sz w:val="16"/>
              </w:rPr>
              <w:t xml:space="preserve"> 4 218,1</w:t>
            </w:r>
          </w:p>
        </w:tc>
      </w:tr>
      <w:tr w:rsidR="005C47FF" w:rsidRPr="00937B4C" w14:paraId="2A7D193B"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15CBEF" w14:textId="77777777" w:rsidR="005C47FF" w:rsidRPr="00937B4C" w:rsidRDefault="005C47FF" w:rsidP="000703D6">
            <w:pPr>
              <w:ind w:firstLineChars="100" w:firstLine="160"/>
              <w:rPr>
                <w:noProof/>
                <w:color w:val="000000"/>
                <w:sz w:val="16"/>
                <w:szCs w:val="16"/>
              </w:rPr>
            </w:pPr>
            <w:r>
              <w:rPr>
                <w:noProof/>
                <w:color w:val="000000"/>
                <w:sz w:val="16"/>
              </w:rPr>
              <w:t>Iné inštitúcie</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D3D68C3" w14:textId="77777777" w:rsidR="005C47FF" w:rsidRPr="00B131F5" w:rsidRDefault="005C47FF" w:rsidP="000703D6">
            <w:pPr>
              <w:jc w:val="right"/>
              <w:rPr>
                <w:noProof/>
                <w:color w:val="000000"/>
                <w:sz w:val="16"/>
                <w:szCs w:val="16"/>
              </w:rPr>
            </w:pPr>
            <w:r>
              <w:rPr>
                <w:noProof/>
                <w:sz w:val="16"/>
              </w:rPr>
              <w:t>4 915,6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7E8F1FB" w14:textId="77777777" w:rsidR="005C47FF" w:rsidRPr="00B131F5" w:rsidRDefault="005C47FF" w:rsidP="000703D6">
            <w:pPr>
              <w:jc w:val="right"/>
              <w:rPr>
                <w:noProof/>
                <w:sz w:val="16"/>
                <w:szCs w:val="16"/>
              </w:rPr>
            </w:pPr>
            <w:r>
              <w:rPr>
                <w:noProof/>
                <w:sz w:val="16"/>
              </w:rPr>
              <w:t>10,7</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7E980ECF" w14:textId="77777777" w:rsidR="005C47FF" w:rsidRPr="00B131F5" w:rsidRDefault="005C47FF" w:rsidP="000703D6">
            <w:pPr>
              <w:jc w:val="right"/>
              <w:rPr>
                <w:noProof/>
                <w:sz w:val="16"/>
                <w:szCs w:val="16"/>
              </w:rPr>
            </w:pPr>
            <w:r>
              <w:rPr>
                <w:noProof/>
                <w:sz w:val="16"/>
              </w:rPr>
              <w:t>4 926,2</w:t>
            </w:r>
          </w:p>
        </w:tc>
      </w:tr>
      <w:tr w:rsidR="005C47FF" w:rsidRPr="00937B4C" w14:paraId="33FC11D0"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C3DB3FE" w14:textId="77777777" w:rsidR="005C47FF" w:rsidRPr="00937B4C" w:rsidRDefault="005C47FF" w:rsidP="000703D6">
            <w:pPr>
              <w:ind w:firstLineChars="300" w:firstLine="480"/>
              <w:rPr>
                <w:noProof/>
                <w:color w:val="000000"/>
                <w:sz w:val="16"/>
                <w:szCs w:val="16"/>
              </w:rPr>
            </w:pPr>
            <w:r>
              <w:rPr>
                <w:noProof/>
                <w:color w:val="000000"/>
                <w:sz w:val="16"/>
              </w:rPr>
              <w:t>Európsky parlament</w:t>
            </w:r>
          </w:p>
        </w:tc>
        <w:tc>
          <w:tcPr>
            <w:tcW w:w="1616" w:type="dxa"/>
            <w:tcBorders>
              <w:top w:val="nil"/>
              <w:left w:val="nil"/>
              <w:bottom w:val="single" w:sz="4" w:space="0" w:color="auto"/>
              <w:right w:val="single" w:sz="4" w:space="0" w:color="auto"/>
            </w:tcBorders>
            <w:shd w:val="clear" w:color="auto" w:fill="auto"/>
            <w:vAlign w:val="center"/>
            <w:hideMark/>
          </w:tcPr>
          <w:p w14:paraId="062EDCA9" w14:textId="77777777" w:rsidR="005C47FF" w:rsidRPr="00B131F5" w:rsidRDefault="005C47FF" w:rsidP="000703D6">
            <w:pPr>
              <w:jc w:val="right"/>
              <w:rPr>
                <w:noProof/>
                <w:color w:val="000000"/>
                <w:sz w:val="16"/>
                <w:szCs w:val="16"/>
              </w:rPr>
            </w:pPr>
            <w:r>
              <w:rPr>
                <w:noProof/>
                <w:sz w:val="16"/>
              </w:rPr>
              <w:t>2 354,9</w:t>
            </w:r>
          </w:p>
        </w:tc>
        <w:tc>
          <w:tcPr>
            <w:tcW w:w="1701" w:type="dxa"/>
            <w:tcBorders>
              <w:top w:val="nil"/>
              <w:left w:val="nil"/>
              <w:bottom w:val="single" w:sz="4" w:space="0" w:color="auto"/>
              <w:right w:val="single" w:sz="4" w:space="0" w:color="auto"/>
            </w:tcBorders>
            <w:shd w:val="clear" w:color="auto" w:fill="auto"/>
            <w:vAlign w:val="center"/>
            <w:hideMark/>
          </w:tcPr>
          <w:p w14:paraId="4ED3FA83" w14:textId="77777777" w:rsidR="005C47FF" w:rsidRPr="00B131F5" w:rsidRDefault="005C47FF" w:rsidP="000703D6">
            <w:pPr>
              <w:jc w:val="right"/>
              <w:rPr>
                <w:noProof/>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353E597E" w14:textId="77777777" w:rsidR="005C47FF" w:rsidRPr="00B131F5" w:rsidRDefault="005C47FF" w:rsidP="000703D6">
            <w:pPr>
              <w:jc w:val="right"/>
              <w:rPr>
                <w:noProof/>
                <w:sz w:val="16"/>
                <w:szCs w:val="16"/>
              </w:rPr>
            </w:pPr>
            <w:r>
              <w:rPr>
                <w:noProof/>
                <w:sz w:val="16"/>
              </w:rPr>
              <w:t>2 354,6</w:t>
            </w:r>
          </w:p>
        </w:tc>
      </w:tr>
      <w:tr w:rsidR="005C47FF" w:rsidRPr="00937B4C" w14:paraId="4804D0D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684426A3" w14:textId="77777777" w:rsidR="005C47FF" w:rsidRPr="00937B4C" w:rsidRDefault="005C47FF" w:rsidP="000703D6">
            <w:pPr>
              <w:ind w:firstLineChars="300" w:firstLine="480"/>
              <w:rPr>
                <w:noProof/>
                <w:color w:val="000000"/>
                <w:sz w:val="16"/>
                <w:szCs w:val="16"/>
              </w:rPr>
            </w:pPr>
            <w:r>
              <w:rPr>
                <w:noProof/>
                <w:color w:val="000000"/>
                <w:sz w:val="16"/>
              </w:rPr>
              <w:t>Európska rada a Rada</w:t>
            </w:r>
          </w:p>
        </w:tc>
        <w:tc>
          <w:tcPr>
            <w:tcW w:w="1616" w:type="dxa"/>
            <w:tcBorders>
              <w:top w:val="nil"/>
              <w:left w:val="nil"/>
              <w:bottom w:val="single" w:sz="4" w:space="0" w:color="auto"/>
              <w:right w:val="single" w:sz="4" w:space="0" w:color="auto"/>
            </w:tcBorders>
            <w:shd w:val="clear" w:color="auto" w:fill="auto"/>
            <w:vAlign w:val="center"/>
            <w:hideMark/>
          </w:tcPr>
          <w:p w14:paraId="198B1F66" w14:textId="77777777" w:rsidR="005C47FF" w:rsidRPr="00B131F5" w:rsidRDefault="005C47FF" w:rsidP="000703D6">
            <w:pPr>
              <w:jc w:val="right"/>
              <w:rPr>
                <w:noProof/>
                <w:color w:val="000000"/>
                <w:sz w:val="16"/>
                <w:szCs w:val="16"/>
              </w:rPr>
            </w:pPr>
            <w:r>
              <w:rPr>
                <w:noProof/>
                <w:sz w:val="16"/>
              </w:rPr>
              <w:t>676,8</w:t>
            </w:r>
          </w:p>
        </w:tc>
        <w:tc>
          <w:tcPr>
            <w:tcW w:w="1701" w:type="dxa"/>
            <w:tcBorders>
              <w:top w:val="nil"/>
              <w:left w:val="nil"/>
              <w:bottom w:val="single" w:sz="4" w:space="0" w:color="auto"/>
              <w:right w:val="single" w:sz="4" w:space="0" w:color="auto"/>
            </w:tcBorders>
            <w:shd w:val="clear" w:color="auto" w:fill="auto"/>
            <w:vAlign w:val="center"/>
            <w:hideMark/>
          </w:tcPr>
          <w:p w14:paraId="094039EA"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7FFA7FC6" w14:textId="77777777" w:rsidR="005C47FF" w:rsidRPr="00B131F5" w:rsidRDefault="005C47FF" w:rsidP="000703D6">
            <w:pPr>
              <w:jc w:val="right"/>
              <w:rPr>
                <w:noProof/>
                <w:color w:val="000000"/>
                <w:sz w:val="16"/>
                <w:szCs w:val="16"/>
              </w:rPr>
            </w:pPr>
            <w:r>
              <w:rPr>
                <w:noProof/>
                <w:sz w:val="16"/>
              </w:rPr>
              <w:t xml:space="preserve"> 676,8</w:t>
            </w:r>
          </w:p>
        </w:tc>
      </w:tr>
      <w:tr w:rsidR="005C47FF" w:rsidRPr="00937B4C" w14:paraId="680734FF"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BCD3A32" w14:textId="77777777" w:rsidR="005C47FF" w:rsidRPr="00937B4C" w:rsidRDefault="005C47FF" w:rsidP="000703D6">
            <w:pPr>
              <w:ind w:firstLineChars="300" w:firstLine="480"/>
              <w:rPr>
                <w:noProof/>
                <w:color w:val="000000"/>
                <w:sz w:val="16"/>
                <w:szCs w:val="16"/>
              </w:rPr>
            </w:pPr>
            <w:r>
              <w:rPr>
                <w:noProof/>
                <w:color w:val="000000"/>
                <w:sz w:val="16"/>
              </w:rPr>
              <w:t>Súdny dvor Európskej únie</w:t>
            </w:r>
          </w:p>
        </w:tc>
        <w:tc>
          <w:tcPr>
            <w:tcW w:w="1616" w:type="dxa"/>
            <w:tcBorders>
              <w:top w:val="nil"/>
              <w:left w:val="nil"/>
              <w:bottom w:val="single" w:sz="4" w:space="0" w:color="auto"/>
              <w:right w:val="single" w:sz="4" w:space="0" w:color="auto"/>
            </w:tcBorders>
            <w:shd w:val="clear" w:color="auto" w:fill="auto"/>
            <w:vAlign w:val="center"/>
            <w:hideMark/>
          </w:tcPr>
          <w:p w14:paraId="0B3E8BCD" w14:textId="77777777" w:rsidR="005C47FF" w:rsidRPr="00B131F5" w:rsidRDefault="005C47FF" w:rsidP="000703D6">
            <w:pPr>
              <w:jc w:val="right"/>
              <w:rPr>
                <w:noProof/>
                <w:color w:val="000000"/>
                <w:sz w:val="16"/>
                <w:szCs w:val="16"/>
              </w:rPr>
            </w:pPr>
            <w:r>
              <w:rPr>
                <w:noProof/>
                <w:sz w:val="16"/>
              </w:rPr>
              <w:t>502,4</w:t>
            </w:r>
          </w:p>
        </w:tc>
        <w:tc>
          <w:tcPr>
            <w:tcW w:w="1701" w:type="dxa"/>
            <w:tcBorders>
              <w:top w:val="nil"/>
              <w:left w:val="nil"/>
              <w:bottom w:val="single" w:sz="4" w:space="0" w:color="auto"/>
              <w:right w:val="single" w:sz="4" w:space="0" w:color="auto"/>
            </w:tcBorders>
            <w:shd w:val="clear" w:color="auto" w:fill="auto"/>
            <w:vAlign w:val="center"/>
            <w:hideMark/>
          </w:tcPr>
          <w:p w14:paraId="7985DFDB"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1FE9D117" w14:textId="77777777" w:rsidR="005C47FF" w:rsidRPr="00B131F5" w:rsidRDefault="005C47FF" w:rsidP="000703D6">
            <w:pPr>
              <w:jc w:val="right"/>
              <w:rPr>
                <w:noProof/>
                <w:color w:val="000000"/>
                <w:sz w:val="16"/>
                <w:szCs w:val="16"/>
              </w:rPr>
            </w:pPr>
            <w:r>
              <w:rPr>
                <w:noProof/>
                <w:sz w:val="16"/>
              </w:rPr>
              <w:t xml:space="preserve"> 502,4</w:t>
            </w:r>
          </w:p>
        </w:tc>
      </w:tr>
      <w:tr w:rsidR="005C47FF" w:rsidRPr="00937B4C" w14:paraId="23F0676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7890C13" w14:textId="77777777" w:rsidR="005C47FF" w:rsidRPr="00937B4C" w:rsidRDefault="005C47FF" w:rsidP="000703D6">
            <w:pPr>
              <w:ind w:firstLineChars="300" w:firstLine="480"/>
              <w:rPr>
                <w:noProof/>
                <w:color w:val="000000"/>
                <w:sz w:val="16"/>
                <w:szCs w:val="16"/>
              </w:rPr>
            </w:pPr>
            <w:r>
              <w:rPr>
                <w:noProof/>
                <w:color w:val="000000"/>
                <w:sz w:val="16"/>
              </w:rPr>
              <w:t>Dvor audítorov</w:t>
            </w:r>
          </w:p>
        </w:tc>
        <w:tc>
          <w:tcPr>
            <w:tcW w:w="1616" w:type="dxa"/>
            <w:tcBorders>
              <w:top w:val="nil"/>
              <w:left w:val="nil"/>
              <w:bottom w:val="single" w:sz="4" w:space="0" w:color="auto"/>
              <w:right w:val="single" w:sz="4" w:space="0" w:color="auto"/>
            </w:tcBorders>
            <w:shd w:val="clear" w:color="auto" w:fill="auto"/>
            <w:vAlign w:val="center"/>
            <w:hideMark/>
          </w:tcPr>
          <w:p w14:paraId="5FA13541" w14:textId="77777777" w:rsidR="005C47FF" w:rsidRPr="00B131F5" w:rsidRDefault="005C47FF" w:rsidP="000703D6">
            <w:pPr>
              <w:jc w:val="right"/>
              <w:rPr>
                <w:noProof/>
                <w:color w:val="000000"/>
                <w:sz w:val="16"/>
                <w:szCs w:val="16"/>
              </w:rPr>
            </w:pPr>
            <w:r>
              <w:rPr>
                <w:noProof/>
                <w:sz w:val="16"/>
              </w:rPr>
              <w:t>184,8</w:t>
            </w:r>
          </w:p>
        </w:tc>
        <w:tc>
          <w:tcPr>
            <w:tcW w:w="1701" w:type="dxa"/>
            <w:tcBorders>
              <w:top w:val="nil"/>
              <w:left w:val="nil"/>
              <w:bottom w:val="single" w:sz="4" w:space="0" w:color="auto"/>
              <w:right w:val="single" w:sz="4" w:space="0" w:color="auto"/>
            </w:tcBorders>
            <w:shd w:val="clear" w:color="auto" w:fill="auto"/>
            <w:vAlign w:val="center"/>
            <w:hideMark/>
          </w:tcPr>
          <w:p w14:paraId="4684DE4C" w14:textId="77777777" w:rsidR="005C47FF" w:rsidRPr="00B131F5" w:rsidRDefault="005C47FF" w:rsidP="000703D6">
            <w:pPr>
              <w:jc w:val="right"/>
              <w:rPr>
                <w:noProof/>
                <w:color w:val="000000"/>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7250E1B9" w14:textId="77777777" w:rsidR="005C47FF" w:rsidRPr="00B131F5" w:rsidRDefault="005C47FF" w:rsidP="000703D6">
            <w:pPr>
              <w:jc w:val="right"/>
              <w:rPr>
                <w:noProof/>
                <w:sz w:val="16"/>
                <w:szCs w:val="16"/>
              </w:rPr>
            </w:pPr>
            <w:r>
              <w:rPr>
                <w:noProof/>
                <w:sz w:val="16"/>
              </w:rPr>
              <w:t>185,1</w:t>
            </w:r>
          </w:p>
        </w:tc>
      </w:tr>
      <w:tr w:rsidR="005C47FF" w:rsidRPr="00937B4C" w14:paraId="5509424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8BC85C1" w14:textId="77777777" w:rsidR="005C47FF" w:rsidRPr="00937B4C" w:rsidRDefault="005C47FF" w:rsidP="000703D6">
            <w:pPr>
              <w:ind w:firstLineChars="300" w:firstLine="480"/>
              <w:rPr>
                <w:noProof/>
                <w:color w:val="000000"/>
                <w:sz w:val="16"/>
                <w:szCs w:val="16"/>
              </w:rPr>
            </w:pPr>
            <w:r>
              <w:rPr>
                <w:noProof/>
                <w:color w:val="000000"/>
                <w:sz w:val="16"/>
              </w:rPr>
              <w:t>Európsky hospodársky a sociálny výbor</w:t>
            </w:r>
          </w:p>
        </w:tc>
        <w:tc>
          <w:tcPr>
            <w:tcW w:w="1616" w:type="dxa"/>
            <w:tcBorders>
              <w:top w:val="nil"/>
              <w:left w:val="nil"/>
              <w:bottom w:val="single" w:sz="4" w:space="0" w:color="auto"/>
              <w:right w:val="single" w:sz="4" w:space="0" w:color="auto"/>
            </w:tcBorders>
            <w:shd w:val="clear" w:color="auto" w:fill="auto"/>
            <w:vAlign w:val="center"/>
            <w:hideMark/>
          </w:tcPr>
          <w:p w14:paraId="5364300D" w14:textId="77777777" w:rsidR="005C47FF" w:rsidRPr="00B131F5" w:rsidRDefault="005C47FF" w:rsidP="000703D6">
            <w:pPr>
              <w:jc w:val="right"/>
              <w:rPr>
                <w:noProof/>
                <w:color w:val="000000"/>
                <w:sz w:val="16"/>
                <w:szCs w:val="16"/>
              </w:rPr>
            </w:pPr>
            <w:r>
              <w:rPr>
                <w:noProof/>
                <w:sz w:val="16"/>
              </w:rPr>
              <w:t>164,9</w:t>
            </w:r>
          </w:p>
        </w:tc>
        <w:tc>
          <w:tcPr>
            <w:tcW w:w="1701" w:type="dxa"/>
            <w:tcBorders>
              <w:top w:val="nil"/>
              <w:left w:val="nil"/>
              <w:bottom w:val="single" w:sz="4" w:space="0" w:color="auto"/>
              <w:right w:val="single" w:sz="4" w:space="0" w:color="auto"/>
            </w:tcBorders>
            <w:shd w:val="clear" w:color="auto" w:fill="auto"/>
            <w:vAlign w:val="center"/>
            <w:hideMark/>
          </w:tcPr>
          <w:p w14:paraId="459454F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668D47D2" w14:textId="77777777" w:rsidR="005C47FF" w:rsidRPr="00B131F5" w:rsidRDefault="005C47FF" w:rsidP="000703D6">
            <w:pPr>
              <w:jc w:val="right"/>
              <w:rPr>
                <w:noProof/>
                <w:sz w:val="16"/>
                <w:szCs w:val="16"/>
              </w:rPr>
            </w:pPr>
            <w:r>
              <w:rPr>
                <w:noProof/>
                <w:sz w:val="16"/>
              </w:rPr>
              <w:t>164,9</w:t>
            </w:r>
          </w:p>
        </w:tc>
      </w:tr>
      <w:tr w:rsidR="005C47FF" w:rsidRPr="00937B4C" w14:paraId="3BBFCA27"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F410C83" w14:textId="77777777" w:rsidR="005C47FF" w:rsidRPr="00937B4C" w:rsidRDefault="005C47FF" w:rsidP="000703D6">
            <w:pPr>
              <w:ind w:firstLineChars="300" w:firstLine="480"/>
              <w:rPr>
                <w:noProof/>
                <w:color w:val="000000"/>
                <w:sz w:val="16"/>
                <w:szCs w:val="16"/>
              </w:rPr>
            </w:pPr>
            <w:r>
              <w:rPr>
                <w:noProof/>
                <w:color w:val="000000"/>
                <w:sz w:val="16"/>
              </w:rPr>
              <w:t>Výbor regiónov</w:t>
            </w:r>
          </w:p>
        </w:tc>
        <w:tc>
          <w:tcPr>
            <w:tcW w:w="1616" w:type="dxa"/>
            <w:tcBorders>
              <w:top w:val="nil"/>
              <w:left w:val="nil"/>
              <w:bottom w:val="single" w:sz="4" w:space="0" w:color="auto"/>
              <w:right w:val="single" w:sz="4" w:space="0" w:color="auto"/>
            </w:tcBorders>
            <w:shd w:val="clear" w:color="auto" w:fill="auto"/>
            <w:vAlign w:val="center"/>
            <w:hideMark/>
          </w:tcPr>
          <w:p w14:paraId="5D89F28D" w14:textId="77777777" w:rsidR="005C47FF" w:rsidRPr="00B131F5" w:rsidRDefault="005C47FF" w:rsidP="000703D6">
            <w:pPr>
              <w:jc w:val="right"/>
              <w:rPr>
                <w:noProof/>
                <w:color w:val="000000"/>
                <w:sz w:val="16"/>
                <w:szCs w:val="16"/>
              </w:rPr>
            </w:pPr>
            <w:r>
              <w:rPr>
                <w:noProof/>
                <w:sz w:val="16"/>
              </w:rPr>
              <w:t>121,9</w:t>
            </w:r>
          </w:p>
        </w:tc>
        <w:tc>
          <w:tcPr>
            <w:tcW w:w="1701" w:type="dxa"/>
            <w:tcBorders>
              <w:top w:val="nil"/>
              <w:left w:val="nil"/>
              <w:bottom w:val="single" w:sz="4" w:space="0" w:color="auto"/>
              <w:right w:val="single" w:sz="4" w:space="0" w:color="auto"/>
            </w:tcBorders>
            <w:shd w:val="clear" w:color="auto" w:fill="auto"/>
            <w:vAlign w:val="center"/>
            <w:hideMark/>
          </w:tcPr>
          <w:p w14:paraId="102AF9D2"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5BBEA4A9" w14:textId="77777777" w:rsidR="005C47FF" w:rsidRPr="00B131F5" w:rsidRDefault="005C47FF" w:rsidP="000703D6">
            <w:pPr>
              <w:jc w:val="right"/>
              <w:rPr>
                <w:noProof/>
                <w:sz w:val="16"/>
                <w:szCs w:val="16"/>
              </w:rPr>
            </w:pPr>
            <w:r>
              <w:rPr>
                <w:noProof/>
                <w:sz w:val="16"/>
              </w:rPr>
              <w:t>121,9</w:t>
            </w:r>
          </w:p>
        </w:tc>
      </w:tr>
      <w:tr w:rsidR="005C47FF" w:rsidRPr="00937B4C" w14:paraId="3A1DE35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7BAFD14" w14:textId="77777777" w:rsidR="005C47FF" w:rsidRPr="00937B4C" w:rsidRDefault="005C47FF" w:rsidP="000703D6">
            <w:pPr>
              <w:ind w:firstLineChars="300" w:firstLine="480"/>
              <w:rPr>
                <w:noProof/>
                <w:color w:val="000000"/>
                <w:sz w:val="16"/>
                <w:szCs w:val="16"/>
              </w:rPr>
            </w:pPr>
            <w:r>
              <w:rPr>
                <w:noProof/>
                <w:color w:val="000000"/>
                <w:sz w:val="16"/>
              </w:rPr>
              <w:t>Európsky ombudsman</w:t>
            </w:r>
          </w:p>
        </w:tc>
        <w:tc>
          <w:tcPr>
            <w:tcW w:w="1616" w:type="dxa"/>
            <w:tcBorders>
              <w:top w:val="nil"/>
              <w:left w:val="nil"/>
              <w:bottom w:val="single" w:sz="4" w:space="0" w:color="auto"/>
              <w:right w:val="single" w:sz="4" w:space="0" w:color="auto"/>
            </w:tcBorders>
            <w:shd w:val="clear" w:color="auto" w:fill="auto"/>
            <w:vAlign w:val="center"/>
            <w:hideMark/>
          </w:tcPr>
          <w:p w14:paraId="6B8BC9F8" w14:textId="77777777" w:rsidR="005C47FF" w:rsidRPr="00B131F5" w:rsidRDefault="005C47FF" w:rsidP="000703D6">
            <w:pPr>
              <w:jc w:val="right"/>
              <w:rPr>
                <w:noProof/>
                <w:color w:val="000000"/>
                <w:sz w:val="16"/>
                <w:szCs w:val="16"/>
              </w:rPr>
            </w:pPr>
            <w:r>
              <w:rPr>
                <w:noProof/>
                <w:sz w:val="16"/>
              </w:rPr>
              <w:t>13,7</w:t>
            </w:r>
          </w:p>
        </w:tc>
        <w:tc>
          <w:tcPr>
            <w:tcW w:w="1701" w:type="dxa"/>
            <w:tcBorders>
              <w:top w:val="nil"/>
              <w:left w:val="nil"/>
              <w:bottom w:val="single" w:sz="4" w:space="0" w:color="auto"/>
              <w:right w:val="single" w:sz="4" w:space="0" w:color="auto"/>
            </w:tcBorders>
            <w:shd w:val="clear" w:color="auto" w:fill="auto"/>
            <w:vAlign w:val="center"/>
            <w:hideMark/>
          </w:tcPr>
          <w:p w14:paraId="6CD029E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08E451AC" w14:textId="77777777" w:rsidR="005C47FF" w:rsidRPr="00B131F5" w:rsidRDefault="005C47FF" w:rsidP="000703D6">
            <w:pPr>
              <w:jc w:val="right"/>
              <w:rPr>
                <w:noProof/>
                <w:sz w:val="16"/>
                <w:szCs w:val="16"/>
              </w:rPr>
            </w:pPr>
            <w:r>
              <w:rPr>
                <w:noProof/>
                <w:sz w:val="16"/>
              </w:rPr>
              <w:t>13,7</w:t>
            </w:r>
          </w:p>
        </w:tc>
      </w:tr>
      <w:tr w:rsidR="005C47FF" w:rsidRPr="00937B4C" w14:paraId="7EAEE33C"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7A84340" w14:textId="77777777" w:rsidR="005C47FF" w:rsidRPr="00937B4C" w:rsidRDefault="005C47FF" w:rsidP="000703D6">
            <w:pPr>
              <w:ind w:firstLineChars="300" w:firstLine="480"/>
              <w:rPr>
                <w:noProof/>
                <w:color w:val="000000"/>
                <w:sz w:val="16"/>
                <w:szCs w:val="16"/>
              </w:rPr>
            </w:pPr>
            <w:r>
              <w:rPr>
                <w:noProof/>
                <w:color w:val="000000"/>
                <w:sz w:val="16"/>
              </w:rPr>
              <w:t>Európsky dozorný úradník pre ochranu údajov</w:t>
            </w:r>
          </w:p>
        </w:tc>
        <w:tc>
          <w:tcPr>
            <w:tcW w:w="1616" w:type="dxa"/>
            <w:tcBorders>
              <w:top w:val="nil"/>
              <w:left w:val="nil"/>
              <w:bottom w:val="single" w:sz="4" w:space="0" w:color="auto"/>
              <w:right w:val="single" w:sz="4" w:space="0" w:color="auto"/>
            </w:tcBorders>
            <w:shd w:val="clear" w:color="auto" w:fill="auto"/>
            <w:vAlign w:val="center"/>
            <w:hideMark/>
          </w:tcPr>
          <w:p w14:paraId="7D28A744" w14:textId="77777777" w:rsidR="005C47FF" w:rsidRPr="00B131F5" w:rsidRDefault="005C47FF" w:rsidP="000703D6">
            <w:pPr>
              <w:jc w:val="right"/>
              <w:rPr>
                <w:noProof/>
                <w:color w:val="000000"/>
                <w:sz w:val="16"/>
                <w:szCs w:val="16"/>
              </w:rPr>
            </w:pPr>
            <w:r>
              <w:rPr>
                <w:noProof/>
                <w:sz w:val="16"/>
              </w:rPr>
              <w:t>23,9</w:t>
            </w:r>
          </w:p>
        </w:tc>
        <w:tc>
          <w:tcPr>
            <w:tcW w:w="1701" w:type="dxa"/>
            <w:tcBorders>
              <w:top w:val="nil"/>
              <w:left w:val="nil"/>
              <w:bottom w:val="single" w:sz="4" w:space="0" w:color="auto"/>
              <w:right w:val="single" w:sz="4" w:space="0" w:color="auto"/>
            </w:tcBorders>
            <w:shd w:val="clear" w:color="auto" w:fill="auto"/>
            <w:vAlign w:val="center"/>
            <w:hideMark/>
          </w:tcPr>
          <w:p w14:paraId="1BA5E4A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464275D2" w14:textId="77777777" w:rsidR="005C47FF" w:rsidRPr="00B131F5" w:rsidRDefault="005C47FF" w:rsidP="000703D6">
            <w:pPr>
              <w:jc w:val="right"/>
              <w:rPr>
                <w:noProof/>
                <w:sz w:val="16"/>
                <w:szCs w:val="16"/>
              </w:rPr>
            </w:pPr>
            <w:r>
              <w:rPr>
                <w:noProof/>
                <w:sz w:val="16"/>
              </w:rPr>
              <w:t>23,9</w:t>
            </w:r>
          </w:p>
        </w:tc>
      </w:tr>
      <w:tr w:rsidR="005C47FF" w:rsidRPr="00937B4C" w14:paraId="3ADE27A5"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6506EDC" w14:textId="77777777" w:rsidR="005C47FF" w:rsidRPr="00937B4C" w:rsidRDefault="005C47FF" w:rsidP="000703D6">
            <w:pPr>
              <w:ind w:firstLineChars="300" w:firstLine="480"/>
              <w:rPr>
                <w:noProof/>
                <w:color w:val="000000"/>
                <w:sz w:val="16"/>
                <w:szCs w:val="16"/>
              </w:rPr>
            </w:pPr>
            <w:r>
              <w:rPr>
                <w:noProof/>
                <w:color w:val="000000"/>
                <w:sz w:val="16"/>
              </w:rPr>
              <w:t>Európska služba pre vonkajšiu činnosť</w:t>
            </w:r>
          </w:p>
        </w:tc>
        <w:tc>
          <w:tcPr>
            <w:tcW w:w="1616" w:type="dxa"/>
            <w:tcBorders>
              <w:top w:val="nil"/>
              <w:left w:val="nil"/>
              <w:bottom w:val="single" w:sz="4" w:space="0" w:color="auto"/>
              <w:right w:val="single" w:sz="4" w:space="0" w:color="auto"/>
            </w:tcBorders>
            <w:shd w:val="clear" w:color="auto" w:fill="auto"/>
            <w:vAlign w:val="center"/>
            <w:hideMark/>
          </w:tcPr>
          <w:p w14:paraId="26B99D5A" w14:textId="77777777" w:rsidR="005C47FF" w:rsidRPr="00B131F5" w:rsidRDefault="005C47FF" w:rsidP="000703D6">
            <w:pPr>
              <w:jc w:val="right"/>
              <w:rPr>
                <w:noProof/>
                <w:color w:val="000000"/>
                <w:sz w:val="16"/>
                <w:szCs w:val="16"/>
              </w:rPr>
            </w:pPr>
            <w:r>
              <w:rPr>
                <w:noProof/>
                <w:sz w:val="16"/>
              </w:rPr>
              <w:t>872,2</w:t>
            </w:r>
          </w:p>
        </w:tc>
        <w:tc>
          <w:tcPr>
            <w:tcW w:w="1701" w:type="dxa"/>
            <w:tcBorders>
              <w:top w:val="nil"/>
              <w:left w:val="nil"/>
              <w:bottom w:val="single" w:sz="4" w:space="0" w:color="auto"/>
              <w:right w:val="single" w:sz="4" w:space="0" w:color="auto"/>
            </w:tcBorders>
            <w:shd w:val="clear" w:color="auto" w:fill="auto"/>
            <w:vAlign w:val="center"/>
            <w:hideMark/>
          </w:tcPr>
          <w:p w14:paraId="39D65EB6" w14:textId="5520E336" w:rsidR="005C47FF" w:rsidRPr="00B131F5" w:rsidRDefault="00F05039" w:rsidP="000703D6">
            <w:pPr>
              <w:jc w:val="right"/>
              <w:rPr>
                <w:noProof/>
                <w:sz w:val="16"/>
                <w:szCs w:val="16"/>
              </w:rPr>
            </w:pPr>
            <w:r>
              <w:rPr>
                <w:noProof/>
                <w:sz w:val="16"/>
              </w:rPr>
              <w:t>7,9</w:t>
            </w:r>
          </w:p>
        </w:tc>
        <w:tc>
          <w:tcPr>
            <w:tcW w:w="1842" w:type="dxa"/>
            <w:tcBorders>
              <w:top w:val="nil"/>
              <w:left w:val="nil"/>
              <w:bottom w:val="single" w:sz="4" w:space="0" w:color="auto"/>
              <w:right w:val="single" w:sz="4" w:space="0" w:color="auto"/>
            </w:tcBorders>
            <w:shd w:val="clear" w:color="auto" w:fill="auto"/>
            <w:vAlign w:val="center"/>
            <w:hideMark/>
          </w:tcPr>
          <w:p w14:paraId="6FFC3DDD" w14:textId="07AFD047" w:rsidR="005C47FF" w:rsidRPr="00B131F5" w:rsidRDefault="00F05039" w:rsidP="000703D6">
            <w:pPr>
              <w:jc w:val="right"/>
              <w:rPr>
                <w:noProof/>
                <w:sz w:val="16"/>
                <w:szCs w:val="16"/>
              </w:rPr>
            </w:pPr>
            <w:r>
              <w:rPr>
                <w:noProof/>
                <w:sz w:val="16"/>
              </w:rPr>
              <w:t>880,1</w:t>
            </w:r>
          </w:p>
        </w:tc>
      </w:tr>
      <w:tr w:rsidR="005C47FF" w:rsidRPr="00937B4C" w14:paraId="25A35F03"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A3AF31" w14:textId="77777777" w:rsidR="005C47FF" w:rsidRPr="00937B4C" w:rsidRDefault="005C47FF" w:rsidP="000703D6">
            <w:pPr>
              <w:jc w:val="both"/>
              <w:rPr>
                <w:b/>
                <w:bCs/>
                <w:noProof/>
                <w:color w:val="000000"/>
                <w:sz w:val="20"/>
                <w:szCs w:val="20"/>
              </w:rPr>
            </w:pPr>
            <w:r>
              <w:rPr>
                <w:b/>
                <w:noProof/>
                <w:sz w:val="20"/>
              </w:rPr>
              <w:t xml:space="preserve">Spolu </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5D84EB3A" w14:textId="77777777" w:rsidR="005C47FF" w:rsidRPr="00937B4C" w:rsidRDefault="005C47FF" w:rsidP="000703D6">
            <w:pPr>
              <w:jc w:val="right"/>
              <w:rPr>
                <w:b/>
                <w:bCs/>
                <w:noProof/>
                <w:color w:val="000000"/>
                <w:sz w:val="20"/>
                <w:szCs w:val="20"/>
              </w:rPr>
            </w:pPr>
            <w:r>
              <w:rPr>
                <w:b/>
                <w:noProof/>
                <w:sz w:val="20"/>
              </w:rPr>
              <w:t>11 949,6</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4F40F6CC" w14:textId="6D5887C8" w:rsidR="005C47FF" w:rsidRPr="00937B4C" w:rsidRDefault="00F05039" w:rsidP="000703D6">
            <w:pPr>
              <w:jc w:val="right"/>
              <w:rPr>
                <w:noProof/>
                <w:sz w:val="20"/>
                <w:szCs w:val="20"/>
              </w:rPr>
            </w:pPr>
            <w:r>
              <w:rPr>
                <w:b/>
                <w:noProof/>
                <w:color w:val="000000" w:themeColor="text1"/>
                <w:sz w:val="20"/>
              </w:rPr>
              <w:t>4,6</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0A48CB13" w14:textId="47B5F877" w:rsidR="005C47FF" w:rsidRPr="00937B4C" w:rsidRDefault="005C47FF" w:rsidP="000703D6">
            <w:pPr>
              <w:jc w:val="right"/>
              <w:rPr>
                <w:noProof/>
                <w:sz w:val="20"/>
                <w:szCs w:val="20"/>
              </w:rPr>
            </w:pPr>
            <w:r>
              <w:rPr>
                <w:b/>
                <w:noProof/>
                <w:sz w:val="20"/>
              </w:rPr>
              <w:t>11 954,2</w:t>
            </w:r>
          </w:p>
        </w:tc>
      </w:tr>
    </w:tbl>
    <w:p w14:paraId="6FE895F8" w14:textId="370E1BAA" w:rsidR="00C165E3" w:rsidRDefault="704E5325" w:rsidP="005F6C3A">
      <w:pPr>
        <w:autoSpaceDE w:val="0"/>
        <w:autoSpaceDN w:val="0"/>
        <w:adjustRightInd w:val="0"/>
        <w:spacing w:before="120" w:after="120" w:line="259" w:lineRule="auto"/>
        <w:jc w:val="both"/>
        <w:rPr>
          <w:noProof/>
        </w:rPr>
      </w:pPr>
      <w:r>
        <w:rPr>
          <w:noProof/>
        </w:rPr>
        <w:t>V dôsledku toho je potrebné zvýšiť využívanie nástroja jednotnej rezervy v rámci okruhu 7 o 4,6 mil. EUR v porovnaní s NR 2024, čo povedie k uplatneniu článku 11 ods. 1 písm. a) týkajúceho sa nástroja jednotnej rezervy vo výške 181,2 mil. EUR v roku 2024 s cieľom splniť všetky právne záväzky. Celkové výdavky na administratívu v rámci okruhu 7 v období 2021 – 2024 však zostávajú vo všeobecnosti v rámci stropov stanovených pre tento okruh v nariadení o VFR, keďže nevyužité rezervy v okruhu 7 v rokoch 2021 – 2022 predstavovali 467 mil. EUR.</w:t>
      </w:r>
    </w:p>
    <w:p w14:paraId="38FBF8D6" w14:textId="4F699405" w:rsidR="00F16A2C" w:rsidRDefault="00692727" w:rsidP="00295C22">
      <w:pPr>
        <w:pStyle w:val="ManualHeading1"/>
        <w:ind w:left="0" w:firstLine="0"/>
        <w:rPr>
          <w:noProof/>
        </w:rPr>
      </w:pPr>
      <w:bookmarkStart w:id="103" w:name="_Toc114838644"/>
      <w:bookmarkStart w:id="104" w:name="_Toc145922834"/>
      <w:r>
        <w:rPr>
          <w:noProof/>
        </w:rPr>
        <w:t>8.</w:t>
      </w:r>
      <w:r>
        <w:rPr>
          <w:noProof/>
        </w:rPr>
        <w:tab/>
      </w:r>
      <w:bookmarkEnd w:id="103"/>
      <w:r>
        <w:rPr>
          <w:noProof/>
        </w:rPr>
        <w:t>Presun z riadku rezerv do operačných riadkov</w:t>
      </w:r>
      <w:bookmarkEnd w:id="104"/>
    </w:p>
    <w:p w14:paraId="7564036F" w14:textId="1AA0E3AF" w:rsidR="00CC6269" w:rsidRDefault="00692727" w:rsidP="00A263F6">
      <w:pPr>
        <w:spacing w:after="120" w:line="259" w:lineRule="auto"/>
        <w:jc w:val="both"/>
        <w:rPr>
          <w:noProof/>
        </w:rPr>
      </w:pPr>
      <w:r>
        <w:rPr>
          <w:noProof/>
        </w:rPr>
        <w:t>Vzhľadom na prijatie príslušných právnych aktov spoluzákonodarcami Komisia navrhuje presunúť sumy, ktoré sa v súčasnosti nachádzajú v rezervách pre akt na podporu výroby munície (ASAP)</w:t>
      </w:r>
      <w:r>
        <w:rPr>
          <w:rStyle w:val="FootnoteReference"/>
          <w:noProof/>
        </w:rPr>
        <w:footnoteReference w:id="16"/>
      </w:r>
      <w:r>
        <w:rPr>
          <w:noProof/>
        </w:rPr>
        <w:t xml:space="preserve"> a akt o posilnení európskeho obranného priemyslu prostredníctvom spoločného obstarávania (EDIRPA)</w:t>
      </w:r>
      <w:r>
        <w:rPr>
          <w:rStyle w:val="FootnoteReference"/>
          <w:noProof/>
        </w:rPr>
        <w:footnoteReference w:id="17"/>
      </w:r>
      <w:r>
        <w:rPr>
          <w:noProof/>
        </w:rPr>
        <w:t xml:space="preserve"> do operačných riadkov príslušných programov, a to takto:</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323469" w:rsidRPr="00B31192" w14:paraId="60CD0306" w14:textId="77777777">
        <w:trPr>
          <w:jc w:val="center"/>
        </w:trPr>
        <w:tc>
          <w:tcPr>
            <w:tcW w:w="9810" w:type="dxa"/>
            <w:gridSpan w:val="4"/>
            <w:tcBorders>
              <w:top w:val="nil"/>
              <w:left w:val="nil"/>
              <w:bottom w:val="single" w:sz="4" w:space="0" w:color="auto"/>
              <w:right w:val="nil"/>
            </w:tcBorders>
            <w:shd w:val="clear" w:color="auto" w:fill="auto"/>
            <w:vAlign w:val="center"/>
          </w:tcPr>
          <w:p w14:paraId="112202AB" w14:textId="77777777" w:rsidR="00323469" w:rsidRPr="00B31192" w:rsidRDefault="00323469">
            <w:pPr>
              <w:widowControl w:val="0"/>
              <w:spacing w:before="15" w:after="15"/>
              <w:jc w:val="right"/>
              <w:rPr>
                <w:i/>
                <w:noProof/>
                <w:sz w:val="20"/>
                <w:szCs w:val="20"/>
              </w:rPr>
            </w:pPr>
            <w:r>
              <w:rPr>
                <w:i/>
                <w:noProof/>
                <w:sz w:val="20"/>
              </w:rPr>
              <w:t>v EUR</w:t>
            </w:r>
          </w:p>
        </w:tc>
      </w:tr>
      <w:tr w:rsidR="00323469" w:rsidRPr="00B31192" w14:paraId="67D3C1EA" w14:textId="77777777">
        <w:trPr>
          <w:jc w:val="center"/>
        </w:trPr>
        <w:tc>
          <w:tcPr>
            <w:tcW w:w="1276" w:type="dxa"/>
            <w:tcBorders>
              <w:top w:val="single" w:sz="4" w:space="0" w:color="auto"/>
            </w:tcBorders>
            <w:shd w:val="clear" w:color="auto" w:fill="D9D9D9" w:themeFill="background1" w:themeFillShade="D9"/>
            <w:vAlign w:val="center"/>
          </w:tcPr>
          <w:p w14:paraId="33F9F3DE" w14:textId="77777777" w:rsidR="00323469" w:rsidRPr="00B31192" w:rsidRDefault="00323469">
            <w:pPr>
              <w:keepNext/>
              <w:spacing w:before="15" w:after="15"/>
              <w:jc w:val="center"/>
              <w:rPr>
                <w:b/>
                <w:noProof/>
                <w:sz w:val="20"/>
                <w:szCs w:val="20"/>
              </w:rPr>
            </w:pPr>
            <w:r>
              <w:rPr>
                <w:b/>
                <w:noProof/>
                <w:sz w:val="20"/>
              </w:rPr>
              <w:t>Rozpočtový riadok</w:t>
            </w:r>
          </w:p>
        </w:tc>
        <w:tc>
          <w:tcPr>
            <w:tcW w:w="5132" w:type="dxa"/>
            <w:tcBorders>
              <w:top w:val="single" w:sz="4" w:space="0" w:color="auto"/>
            </w:tcBorders>
            <w:shd w:val="clear" w:color="auto" w:fill="D9D9D9" w:themeFill="background1" w:themeFillShade="D9"/>
            <w:vAlign w:val="center"/>
          </w:tcPr>
          <w:p w14:paraId="170D5AB3" w14:textId="77777777" w:rsidR="00323469" w:rsidRPr="00B31192" w:rsidRDefault="00323469">
            <w:pPr>
              <w:widowControl w:val="0"/>
              <w:spacing w:before="15" w:after="15"/>
              <w:jc w:val="center"/>
              <w:rPr>
                <w:b/>
                <w:noProof/>
                <w:sz w:val="20"/>
                <w:szCs w:val="20"/>
              </w:rPr>
            </w:pPr>
            <w:r>
              <w:rPr>
                <w:b/>
                <w:noProof/>
                <w:sz w:val="20"/>
              </w:rPr>
              <w:t>Názov</w:t>
            </w:r>
          </w:p>
        </w:tc>
        <w:tc>
          <w:tcPr>
            <w:tcW w:w="1701" w:type="dxa"/>
            <w:tcBorders>
              <w:top w:val="single" w:sz="4" w:space="0" w:color="auto"/>
            </w:tcBorders>
            <w:shd w:val="clear" w:color="auto" w:fill="D9D9D9" w:themeFill="background1" w:themeFillShade="D9"/>
            <w:vAlign w:val="center"/>
          </w:tcPr>
          <w:p w14:paraId="765D50B4" w14:textId="77777777" w:rsidR="00323469" w:rsidRPr="00B31192" w:rsidRDefault="00323469">
            <w:pPr>
              <w:widowControl w:val="0"/>
              <w:spacing w:before="15" w:after="15"/>
              <w:jc w:val="center"/>
              <w:rPr>
                <w:b/>
                <w:noProof/>
                <w:sz w:val="20"/>
                <w:szCs w:val="20"/>
              </w:rPr>
            </w:pPr>
            <w:r>
              <w:rPr>
                <w:b/>
                <w:noProof/>
                <w:sz w:val="20"/>
              </w:rPr>
              <w:t>Viazané rozpočtové prostriedky</w:t>
            </w:r>
          </w:p>
        </w:tc>
        <w:tc>
          <w:tcPr>
            <w:tcW w:w="1701" w:type="dxa"/>
            <w:tcBorders>
              <w:top w:val="single" w:sz="4" w:space="0" w:color="auto"/>
            </w:tcBorders>
            <w:shd w:val="clear" w:color="auto" w:fill="D9D9D9" w:themeFill="background1" w:themeFillShade="D9"/>
            <w:vAlign w:val="center"/>
          </w:tcPr>
          <w:p w14:paraId="74EDF4C3" w14:textId="77777777" w:rsidR="00323469" w:rsidRPr="00B31192" w:rsidRDefault="00323469">
            <w:pPr>
              <w:widowControl w:val="0"/>
              <w:spacing w:before="15" w:after="15"/>
              <w:jc w:val="center"/>
              <w:rPr>
                <w:b/>
                <w:noProof/>
                <w:sz w:val="20"/>
                <w:szCs w:val="20"/>
              </w:rPr>
            </w:pPr>
            <w:r>
              <w:rPr>
                <w:b/>
                <w:noProof/>
                <w:sz w:val="20"/>
              </w:rPr>
              <w:t>Platobné rozpočtové prostriedky</w:t>
            </w:r>
          </w:p>
        </w:tc>
      </w:tr>
      <w:tr w:rsidR="00323469" w:rsidRPr="00B31192" w14:paraId="78045CF5" w14:textId="77777777">
        <w:trPr>
          <w:jc w:val="center"/>
        </w:trPr>
        <w:tc>
          <w:tcPr>
            <w:tcW w:w="9810" w:type="dxa"/>
            <w:gridSpan w:val="4"/>
            <w:shd w:val="clear" w:color="auto" w:fill="F2F2F2" w:themeFill="background1" w:themeFillShade="F2"/>
            <w:vAlign w:val="center"/>
          </w:tcPr>
          <w:p w14:paraId="41C32F8F" w14:textId="77777777" w:rsidR="00323469" w:rsidRPr="00B31192" w:rsidRDefault="00323469">
            <w:pPr>
              <w:widowControl w:val="0"/>
              <w:spacing w:before="15" w:after="15"/>
              <w:rPr>
                <w:i/>
                <w:noProof/>
                <w:sz w:val="20"/>
                <w:szCs w:val="20"/>
              </w:rPr>
            </w:pPr>
            <w:r>
              <w:rPr>
                <w:i/>
                <w:noProof/>
                <w:sz w:val="20"/>
              </w:rPr>
              <w:t>Oddiel III – Komisia</w:t>
            </w:r>
          </w:p>
        </w:tc>
      </w:tr>
      <w:tr w:rsidR="009A0A41" w:rsidRPr="00B31192" w14:paraId="6243FE3E" w14:textId="77777777">
        <w:trPr>
          <w:jc w:val="center"/>
        </w:trPr>
        <w:tc>
          <w:tcPr>
            <w:tcW w:w="1276" w:type="dxa"/>
          </w:tcPr>
          <w:p w14:paraId="5A6F254E" w14:textId="5B9EB35A" w:rsidR="009A0A41" w:rsidRDefault="009A0A41" w:rsidP="009A0A41">
            <w:pPr>
              <w:widowControl w:val="0"/>
              <w:spacing w:before="15" w:after="15"/>
              <w:ind w:right="-113"/>
              <w:jc w:val="both"/>
              <w:rPr>
                <w:noProof/>
                <w:sz w:val="16"/>
                <w:szCs w:val="16"/>
              </w:rPr>
            </w:pPr>
            <w:r>
              <w:rPr>
                <w:noProof/>
                <w:sz w:val="16"/>
              </w:rPr>
              <w:t>13 06 01</w:t>
            </w:r>
          </w:p>
        </w:tc>
        <w:tc>
          <w:tcPr>
            <w:tcW w:w="5132" w:type="dxa"/>
          </w:tcPr>
          <w:p w14:paraId="74F6F660" w14:textId="53D1960B" w:rsidR="009A0A41" w:rsidRDefault="009A0A41" w:rsidP="009A0A41">
            <w:pPr>
              <w:widowControl w:val="0"/>
              <w:tabs>
                <w:tab w:val="left" w:pos="1350"/>
              </w:tabs>
              <w:spacing w:before="15" w:after="15"/>
              <w:jc w:val="both"/>
              <w:rPr>
                <w:noProof/>
                <w:sz w:val="16"/>
                <w:szCs w:val="16"/>
              </w:rPr>
            </w:pPr>
            <w:r>
              <w:rPr>
                <w:noProof/>
                <w:sz w:val="16"/>
              </w:rPr>
              <w:t>Krátkodobý nástroj pre spoločné obstarávanie v oblasti obrany</w:t>
            </w:r>
          </w:p>
        </w:tc>
        <w:tc>
          <w:tcPr>
            <w:tcW w:w="1701" w:type="dxa"/>
          </w:tcPr>
          <w:p w14:paraId="4156C74C" w14:textId="35AB523D" w:rsidR="009A0A41" w:rsidDel="00DF0FD8" w:rsidRDefault="00AF5A08" w:rsidP="009A0A41">
            <w:pPr>
              <w:widowControl w:val="0"/>
              <w:spacing w:before="15" w:after="15"/>
              <w:jc w:val="right"/>
              <w:rPr>
                <w:noProof/>
                <w:sz w:val="16"/>
                <w:szCs w:val="16"/>
              </w:rPr>
            </w:pPr>
            <w:r>
              <w:rPr>
                <w:noProof/>
                <w:sz w:val="16"/>
              </w:rPr>
              <w:t>259 972 301</w:t>
            </w:r>
          </w:p>
        </w:tc>
        <w:tc>
          <w:tcPr>
            <w:tcW w:w="1701" w:type="dxa"/>
          </w:tcPr>
          <w:p w14:paraId="3928835B" w14:textId="2F9F0351" w:rsidR="009A0A41" w:rsidDel="00DF0FD8" w:rsidRDefault="00AF5A08" w:rsidP="009A0A41">
            <w:pPr>
              <w:widowControl w:val="0"/>
              <w:spacing w:before="15" w:after="15"/>
              <w:jc w:val="right"/>
              <w:rPr>
                <w:noProof/>
                <w:sz w:val="16"/>
                <w:szCs w:val="16"/>
              </w:rPr>
            </w:pPr>
            <w:r>
              <w:rPr>
                <w:noProof/>
                <w:sz w:val="16"/>
              </w:rPr>
              <w:t>100 000 000</w:t>
            </w:r>
          </w:p>
        </w:tc>
      </w:tr>
      <w:tr w:rsidR="009A0A41" w:rsidRPr="00B31192" w14:paraId="77A09683" w14:textId="77777777">
        <w:trPr>
          <w:jc w:val="center"/>
        </w:trPr>
        <w:tc>
          <w:tcPr>
            <w:tcW w:w="1276" w:type="dxa"/>
          </w:tcPr>
          <w:p w14:paraId="60A4BCAB" w14:textId="12A548F9" w:rsidR="009A0A41" w:rsidRDefault="009A0A41" w:rsidP="009A0A41">
            <w:pPr>
              <w:widowControl w:val="0"/>
              <w:spacing w:before="15" w:after="15"/>
              <w:ind w:right="-113"/>
              <w:jc w:val="both"/>
              <w:rPr>
                <w:noProof/>
                <w:sz w:val="16"/>
                <w:szCs w:val="16"/>
              </w:rPr>
            </w:pPr>
            <w:r>
              <w:rPr>
                <w:noProof/>
                <w:sz w:val="16"/>
              </w:rPr>
              <w:t>13 07 01</w:t>
            </w:r>
          </w:p>
        </w:tc>
        <w:tc>
          <w:tcPr>
            <w:tcW w:w="5132" w:type="dxa"/>
          </w:tcPr>
          <w:p w14:paraId="2AE6C4D6" w14:textId="4BC83993" w:rsidR="009A0A41" w:rsidRDefault="00361370" w:rsidP="009A0A41">
            <w:pPr>
              <w:widowControl w:val="0"/>
              <w:tabs>
                <w:tab w:val="left" w:pos="1350"/>
              </w:tabs>
              <w:spacing w:before="15" w:after="15"/>
              <w:jc w:val="both"/>
              <w:rPr>
                <w:noProof/>
                <w:sz w:val="16"/>
                <w:szCs w:val="16"/>
              </w:rPr>
            </w:pPr>
            <w:r>
              <w:rPr>
                <w:noProof/>
                <w:sz w:val="16"/>
              </w:rPr>
              <w:t>Nástroj na posilnenie obranného priemyslu</w:t>
            </w:r>
          </w:p>
        </w:tc>
        <w:tc>
          <w:tcPr>
            <w:tcW w:w="1701" w:type="dxa"/>
          </w:tcPr>
          <w:p w14:paraId="721A21FA" w14:textId="29E01241" w:rsidR="009A0A41" w:rsidRDefault="00AF5A08" w:rsidP="009A0A41">
            <w:pPr>
              <w:widowControl w:val="0"/>
              <w:spacing w:before="15" w:after="15"/>
              <w:jc w:val="right"/>
              <w:rPr>
                <w:noProof/>
                <w:sz w:val="16"/>
                <w:szCs w:val="16"/>
              </w:rPr>
            </w:pPr>
            <w:r>
              <w:rPr>
                <w:noProof/>
                <w:sz w:val="16"/>
              </w:rPr>
              <w:t>343 000 000</w:t>
            </w:r>
          </w:p>
        </w:tc>
        <w:tc>
          <w:tcPr>
            <w:tcW w:w="1701" w:type="dxa"/>
          </w:tcPr>
          <w:p w14:paraId="6F9664A9" w14:textId="14F9C5B3" w:rsidR="009A0A41" w:rsidRDefault="00AF5A08" w:rsidP="009A0A41">
            <w:pPr>
              <w:widowControl w:val="0"/>
              <w:spacing w:before="15" w:after="15"/>
              <w:jc w:val="right"/>
              <w:rPr>
                <w:noProof/>
                <w:sz w:val="16"/>
                <w:szCs w:val="16"/>
              </w:rPr>
            </w:pPr>
            <w:r>
              <w:rPr>
                <w:noProof/>
                <w:sz w:val="16"/>
              </w:rPr>
              <w:t>78 500 000</w:t>
            </w:r>
          </w:p>
        </w:tc>
      </w:tr>
      <w:tr w:rsidR="009A0A41" w:rsidRPr="00B31192" w14:paraId="7F92A170" w14:textId="77777777">
        <w:trPr>
          <w:jc w:val="center"/>
        </w:trPr>
        <w:tc>
          <w:tcPr>
            <w:tcW w:w="1276" w:type="dxa"/>
          </w:tcPr>
          <w:p w14:paraId="003C0BB7" w14:textId="7ECED792" w:rsidR="009A0A41" w:rsidRDefault="009A0A41" w:rsidP="009A0A41">
            <w:pPr>
              <w:widowControl w:val="0"/>
              <w:spacing w:before="15" w:after="15"/>
              <w:ind w:right="-113"/>
              <w:jc w:val="both"/>
              <w:rPr>
                <w:noProof/>
                <w:sz w:val="16"/>
                <w:szCs w:val="16"/>
              </w:rPr>
            </w:pPr>
            <w:r>
              <w:rPr>
                <w:noProof/>
                <w:sz w:val="16"/>
              </w:rPr>
              <w:t>30 02 02</w:t>
            </w:r>
          </w:p>
        </w:tc>
        <w:tc>
          <w:tcPr>
            <w:tcW w:w="5132" w:type="dxa"/>
          </w:tcPr>
          <w:p w14:paraId="1A9A1A77" w14:textId="1ABCE6AE" w:rsidR="009A0A41" w:rsidRDefault="009A0A41" w:rsidP="009A0A41">
            <w:pPr>
              <w:widowControl w:val="0"/>
              <w:tabs>
                <w:tab w:val="left" w:pos="1350"/>
              </w:tabs>
              <w:spacing w:before="15" w:after="15"/>
              <w:jc w:val="both"/>
              <w:rPr>
                <w:noProof/>
                <w:sz w:val="16"/>
                <w:szCs w:val="16"/>
              </w:rPr>
            </w:pPr>
            <w:r>
              <w:rPr>
                <w:noProof/>
                <w:sz w:val="16"/>
              </w:rPr>
              <w:t>Diferencované rozpočtové prostriedky (</w:t>
            </w:r>
            <w:r>
              <w:rPr>
                <w:i/>
                <w:iCs/>
                <w:noProof/>
                <w:sz w:val="16"/>
              </w:rPr>
              <w:t>Rezerva pre rozpočtový článok 13 06 01</w:t>
            </w:r>
            <w:r>
              <w:rPr>
                <w:noProof/>
                <w:sz w:val="16"/>
              </w:rPr>
              <w:t>)</w:t>
            </w:r>
          </w:p>
        </w:tc>
        <w:tc>
          <w:tcPr>
            <w:tcW w:w="1701" w:type="dxa"/>
          </w:tcPr>
          <w:p w14:paraId="24F5F670" w14:textId="29F11B74" w:rsidR="009A0A41" w:rsidRDefault="00AF5A08" w:rsidP="009A0A41">
            <w:pPr>
              <w:widowControl w:val="0"/>
              <w:spacing w:before="15" w:after="15"/>
              <w:jc w:val="right"/>
              <w:rPr>
                <w:noProof/>
                <w:sz w:val="16"/>
                <w:szCs w:val="16"/>
              </w:rPr>
            </w:pPr>
            <w:r>
              <w:rPr>
                <w:noProof/>
                <w:sz w:val="16"/>
              </w:rPr>
              <w:t>-259 972 301</w:t>
            </w:r>
          </w:p>
        </w:tc>
        <w:tc>
          <w:tcPr>
            <w:tcW w:w="1701" w:type="dxa"/>
          </w:tcPr>
          <w:p w14:paraId="0AFBF92B" w14:textId="069ACA79" w:rsidR="009A0A41" w:rsidRDefault="00AF5A08" w:rsidP="009A0A41">
            <w:pPr>
              <w:widowControl w:val="0"/>
              <w:spacing w:before="15" w:after="15"/>
              <w:jc w:val="right"/>
              <w:rPr>
                <w:noProof/>
                <w:sz w:val="16"/>
                <w:szCs w:val="16"/>
              </w:rPr>
            </w:pPr>
            <w:r>
              <w:rPr>
                <w:noProof/>
                <w:sz w:val="16"/>
              </w:rPr>
              <w:t>-100 000 000</w:t>
            </w:r>
          </w:p>
        </w:tc>
      </w:tr>
      <w:tr w:rsidR="009A0A41" w:rsidRPr="00B31192" w14:paraId="05E1C0FA" w14:textId="77777777">
        <w:trPr>
          <w:jc w:val="center"/>
        </w:trPr>
        <w:tc>
          <w:tcPr>
            <w:tcW w:w="1276" w:type="dxa"/>
          </w:tcPr>
          <w:p w14:paraId="657D759A" w14:textId="4EF3EEC1" w:rsidR="009A0A41" w:rsidRPr="00B31192" w:rsidRDefault="009A0A41" w:rsidP="009A0A41">
            <w:pPr>
              <w:widowControl w:val="0"/>
              <w:spacing w:before="15" w:after="15"/>
              <w:ind w:right="-113"/>
              <w:jc w:val="both"/>
              <w:rPr>
                <w:noProof/>
                <w:sz w:val="16"/>
                <w:szCs w:val="16"/>
              </w:rPr>
            </w:pPr>
            <w:r>
              <w:rPr>
                <w:noProof/>
                <w:sz w:val="16"/>
              </w:rPr>
              <w:t>30 02 02</w:t>
            </w:r>
          </w:p>
        </w:tc>
        <w:tc>
          <w:tcPr>
            <w:tcW w:w="5132" w:type="dxa"/>
          </w:tcPr>
          <w:p w14:paraId="19157010" w14:textId="697C82A5" w:rsidR="009A0A41" w:rsidRPr="00CC5C80" w:rsidRDefault="009A0A41" w:rsidP="009A0A41">
            <w:pPr>
              <w:widowControl w:val="0"/>
              <w:tabs>
                <w:tab w:val="left" w:pos="1350"/>
              </w:tabs>
              <w:spacing w:before="15" w:after="15"/>
              <w:jc w:val="both"/>
              <w:rPr>
                <w:i/>
                <w:noProof/>
                <w:sz w:val="16"/>
                <w:szCs w:val="16"/>
              </w:rPr>
            </w:pPr>
            <w:r>
              <w:rPr>
                <w:noProof/>
                <w:sz w:val="16"/>
              </w:rPr>
              <w:t>Diferencované rozpočtové prostriedky (</w:t>
            </w:r>
            <w:r>
              <w:rPr>
                <w:i/>
                <w:iCs/>
                <w:noProof/>
                <w:sz w:val="16"/>
              </w:rPr>
              <w:t>Rezerva pre rozpočtový článok 13 07 01</w:t>
            </w:r>
            <w:r>
              <w:rPr>
                <w:noProof/>
                <w:sz w:val="16"/>
              </w:rPr>
              <w:t>)</w:t>
            </w:r>
          </w:p>
        </w:tc>
        <w:tc>
          <w:tcPr>
            <w:tcW w:w="1701" w:type="dxa"/>
          </w:tcPr>
          <w:p w14:paraId="6678C47E" w14:textId="1F9991E7" w:rsidR="009A0A41" w:rsidRPr="00BF6AA7" w:rsidRDefault="00AF5A08" w:rsidP="004B18C8">
            <w:pPr>
              <w:widowControl w:val="0"/>
              <w:spacing w:before="15" w:after="15"/>
              <w:jc w:val="right"/>
              <w:rPr>
                <w:noProof/>
                <w:sz w:val="16"/>
                <w:szCs w:val="16"/>
              </w:rPr>
            </w:pPr>
            <w:r>
              <w:rPr>
                <w:noProof/>
                <w:sz w:val="16"/>
              </w:rPr>
              <w:t>-343 000 000</w:t>
            </w:r>
          </w:p>
        </w:tc>
        <w:tc>
          <w:tcPr>
            <w:tcW w:w="1701" w:type="dxa"/>
          </w:tcPr>
          <w:p w14:paraId="4216F5D5" w14:textId="0C5EAECB" w:rsidR="009A0A41" w:rsidRPr="00BF6AA7" w:rsidRDefault="00AF5A08" w:rsidP="004B18C8">
            <w:pPr>
              <w:widowControl w:val="0"/>
              <w:spacing w:before="15" w:after="15"/>
              <w:jc w:val="right"/>
              <w:rPr>
                <w:noProof/>
                <w:sz w:val="16"/>
                <w:szCs w:val="16"/>
              </w:rPr>
            </w:pPr>
            <w:r>
              <w:rPr>
                <w:noProof/>
                <w:sz w:val="16"/>
              </w:rPr>
              <w:t>-78 500 000</w:t>
            </w:r>
          </w:p>
        </w:tc>
      </w:tr>
      <w:tr w:rsidR="009A0A41" w:rsidRPr="00B31192" w14:paraId="176CC6BD" w14:textId="77777777">
        <w:trPr>
          <w:jc w:val="center"/>
        </w:trPr>
        <w:tc>
          <w:tcPr>
            <w:tcW w:w="6408" w:type="dxa"/>
            <w:gridSpan w:val="2"/>
            <w:shd w:val="clear" w:color="auto" w:fill="D9D9D9" w:themeFill="background1" w:themeFillShade="D9"/>
          </w:tcPr>
          <w:p w14:paraId="40B4ED12" w14:textId="77777777" w:rsidR="009A0A41" w:rsidRPr="00B31192" w:rsidRDefault="009A0A41" w:rsidP="009A0A41">
            <w:pPr>
              <w:widowControl w:val="0"/>
              <w:spacing w:before="15" w:after="15"/>
              <w:ind w:right="-113"/>
              <w:jc w:val="both"/>
              <w:rPr>
                <w:noProof/>
                <w:sz w:val="20"/>
                <w:szCs w:val="20"/>
              </w:rPr>
            </w:pPr>
            <w:r>
              <w:rPr>
                <w:b/>
                <w:noProof/>
                <w:sz w:val="20"/>
              </w:rPr>
              <w:t>Spolu</w:t>
            </w:r>
            <w:r>
              <w:rPr>
                <w:noProof/>
              </w:rPr>
              <w:tab/>
            </w:r>
          </w:p>
        </w:tc>
        <w:tc>
          <w:tcPr>
            <w:tcW w:w="1701" w:type="dxa"/>
            <w:shd w:val="clear" w:color="auto" w:fill="D9D9D9" w:themeFill="background1" w:themeFillShade="D9"/>
          </w:tcPr>
          <w:p w14:paraId="77F7927E" w14:textId="4CF2D6BA" w:rsidR="009A0A41" w:rsidRPr="00CA6CA7" w:rsidRDefault="00AF5A08" w:rsidP="009A0A41">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6FBBEC7F" w14:textId="614505F8" w:rsidR="009A0A41" w:rsidRPr="00CA6CA7" w:rsidRDefault="00AF5A08" w:rsidP="009A0A41">
            <w:pPr>
              <w:widowControl w:val="0"/>
              <w:spacing w:before="15" w:after="15"/>
              <w:jc w:val="right"/>
              <w:rPr>
                <w:b/>
                <w:noProof/>
                <w:sz w:val="20"/>
                <w:szCs w:val="20"/>
              </w:rPr>
            </w:pPr>
            <w:r>
              <w:rPr>
                <w:b/>
                <w:noProof/>
                <w:sz w:val="20"/>
              </w:rPr>
              <w:t>0</w:t>
            </w:r>
          </w:p>
        </w:tc>
      </w:tr>
    </w:tbl>
    <w:p w14:paraId="7146B1B9" w14:textId="1699FE39" w:rsidR="00AA05E2" w:rsidRPr="005638C6" w:rsidRDefault="00692727" w:rsidP="00295C22">
      <w:pPr>
        <w:keepNext/>
        <w:tabs>
          <w:tab w:val="left" w:pos="850"/>
        </w:tabs>
        <w:spacing w:before="360" w:after="120"/>
        <w:ind w:left="851" w:hanging="851"/>
        <w:jc w:val="both"/>
        <w:outlineLvl w:val="0"/>
        <w:rPr>
          <w:b/>
          <w:smallCaps/>
          <w:noProof/>
        </w:rPr>
      </w:pPr>
      <w:bookmarkStart w:id="105" w:name="_Toc84231370"/>
      <w:bookmarkStart w:id="106" w:name="_Toc114838645"/>
      <w:bookmarkStart w:id="107" w:name="_Toc145922835"/>
      <w:r>
        <w:rPr>
          <w:b/>
          <w:smallCaps/>
          <w:noProof/>
        </w:rPr>
        <w:t>9.</w:t>
      </w:r>
      <w:r>
        <w:rPr>
          <w:noProof/>
        </w:rPr>
        <w:tab/>
      </w:r>
      <w:r>
        <w:rPr>
          <w:b/>
          <w:smallCaps/>
          <w:noProof/>
        </w:rPr>
        <w:t>Financovanie</w:t>
      </w:r>
      <w:bookmarkEnd w:id="105"/>
      <w:bookmarkEnd w:id="106"/>
      <w:bookmarkEnd w:id="107"/>
    </w:p>
    <w:p w14:paraId="401D0104" w14:textId="18F33F7C" w:rsidR="00AA05E2" w:rsidRDefault="00B05016" w:rsidP="00295C22">
      <w:pPr>
        <w:spacing w:after="120" w:line="259" w:lineRule="auto"/>
        <w:jc w:val="both"/>
        <w:rPr>
          <w:noProof/>
        </w:rPr>
      </w:pPr>
      <w:r>
        <w:rPr>
          <w:noProof/>
        </w:rPr>
        <w:t>Celkový čistý vplyv OL č. 1/2024 na výdavky v rámci NR 2024 predstavuje zníženie o 67,4 mil. EUR vo viazaných a platobných rozpočtových prostriedkoch.</w:t>
      </w:r>
    </w:p>
    <w:p w14:paraId="1F98B487" w14:textId="46D73F61" w:rsidR="003315B1" w:rsidRDefault="005F66B5" w:rsidP="00F4578F">
      <w:pPr>
        <w:spacing w:line="259" w:lineRule="auto"/>
        <w:jc w:val="both"/>
        <w:rPr>
          <w:noProof/>
        </w:rPr>
      </w:pPr>
      <w:r>
        <w:rPr>
          <w:noProof/>
        </w:rPr>
        <w:t>Kombinovaný vplyv zníženia nákladov na financovanie riadku týkajúceho sa úrokov v rámci nástroja EURI a zvýšenia výdavkov v okruhu 7 vedie k zníženiu navrhovaných súm, ktoré sa majú mobilizovať z nástroja jednotnej rezervy, a to o 67,4 mil. EUR.</w:t>
      </w:r>
      <w:bookmarkStart w:id="108" w:name="_Toc526753799"/>
      <w:bookmarkStart w:id="109" w:name="_Toc54770354"/>
      <w:bookmarkStart w:id="110" w:name="_Toc55807168"/>
      <w:bookmarkStart w:id="111" w:name="_Toc114838646"/>
      <w:bookmarkEnd w:id="96"/>
    </w:p>
    <w:p w14:paraId="517863D0" w14:textId="64B10039" w:rsidR="00283473" w:rsidRDefault="00283473">
      <w:pPr>
        <w:spacing w:after="200" w:line="276" w:lineRule="auto"/>
        <w:rPr>
          <w:b/>
          <w:smallCaps/>
          <w:noProof/>
        </w:rPr>
      </w:pPr>
      <w:r>
        <w:rPr>
          <w:noProof/>
        </w:rPr>
        <w:br w:type="page"/>
      </w:r>
    </w:p>
    <w:p w14:paraId="7562794C" w14:textId="77777777" w:rsidR="00283473" w:rsidRDefault="00283473">
      <w:pPr>
        <w:spacing w:after="200" w:line="276" w:lineRule="auto"/>
        <w:rPr>
          <w:b/>
          <w:smallCaps/>
          <w:noProof/>
          <w:lang w:eastAsia="de-DE"/>
        </w:rPr>
      </w:pPr>
    </w:p>
    <w:p w14:paraId="4D989386" w14:textId="1435597C" w:rsidR="00F16A2C" w:rsidRDefault="006836D1">
      <w:pPr>
        <w:pStyle w:val="ManualHeading1"/>
        <w:spacing w:before="240"/>
        <w:rPr>
          <w:noProof/>
        </w:rPr>
      </w:pPr>
      <w:bookmarkStart w:id="112" w:name="_Toc145922836"/>
      <w:r>
        <w:rPr>
          <w:noProof/>
        </w:rPr>
        <w:t>10.</w:t>
      </w:r>
      <w:r>
        <w:rPr>
          <w:noProof/>
        </w:rPr>
        <w:tab/>
        <w:t>Súhrnná tabuľka podľa okruhov VFR</w:t>
      </w:r>
      <w:bookmarkEnd w:id="108"/>
      <w:bookmarkEnd w:id="109"/>
      <w:bookmarkEnd w:id="110"/>
      <w:bookmarkEnd w:id="111"/>
      <w:bookmarkEnd w:id="112"/>
    </w:p>
    <w:tbl>
      <w:tblPr>
        <w:tblW w:w="10338" w:type="dxa"/>
        <w:tblInd w:w="118" w:type="dxa"/>
        <w:tblLook w:val="04A0" w:firstRow="1" w:lastRow="0" w:firstColumn="1" w:lastColumn="0" w:noHBand="0" w:noVBand="1"/>
      </w:tblPr>
      <w:tblGrid>
        <w:gridCol w:w="416"/>
        <w:gridCol w:w="2551"/>
        <w:gridCol w:w="1276"/>
        <w:gridCol w:w="1276"/>
        <w:gridCol w:w="1134"/>
        <w:gridCol w:w="1134"/>
        <w:gridCol w:w="1275"/>
        <w:gridCol w:w="1276"/>
      </w:tblGrid>
      <w:tr w:rsidR="007C250E" w:rsidRPr="007C250E" w14:paraId="12035D86" w14:textId="77777777" w:rsidTr="007C250E">
        <w:trPr>
          <w:trHeight w:val="465"/>
        </w:trPr>
        <w:tc>
          <w:tcPr>
            <w:tcW w:w="416" w:type="dxa"/>
            <w:tcBorders>
              <w:top w:val="single" w:sz="8" w:space="0" w:color="auto"/>
              <w:left w:val="single" w:sz="8" w:space="0" w:color="auto"/>
              <w:bottom w:val="nil"/>
              <w:right w:val="nil"/>
            </w:tcBorders>
            <w:shd w:val="clear" w:color="000000" w:fill="BFBFBF"/>
            <w:vAlign w:val="center"/>
            <w:hideMark/>
          </w:tcPr>
          <w:p w14:paraId="3D8A2011" w14:textId="77777777" w:rsidR="007C250E" w:rsidRPr="007C250E" w:rsidRDefault="007C250E" w:rsidP="007C250E">
            <w:pPr>
              <w:jc w:val="both"/>
              <w:rPr>
                <w:noProof/>
                <w:sz w:val="16"/>
                <w:szCs w:val="16"/>
              </w:rPr>
            </w:pPr>
            <w:r>
              <w:rPr>
                <w:noProof/>
                <w:sz w:val="16"/>
              </w:rPr>
              <w:t xml:space="preserve"> </w:t>
            </w:r>
          </w:p>
        </w:tc>
        <w:tc>
          <w:tcPr>
            <w:tcW w:w="2551" w:type="dxa"/>
            <w:tcBorders>
              <w:top w:val="single" w:sz="8" w:space="0" w:color="auto"/>
              <w:left w:val="nil"/>
              <w:bottom w:val="nil"/>
              <w:right w:val="single" w:sz="8" w:space="0" w:color="auto"/>
            </w:tcBorders>
            <w:shd w:val="clear" w:color="000000" w:fill="BFBFBF"/>
            <w:vAlign w:val="center"/>
            <w:hideMark/>
          </w:tcPr>
          <w:p w14:paraId="76FCF5E7" w14:textId="77777777" w:rsidR="007C250E" w:rsidRPr="007C250E" w:rsidRDefault="007C250E" w:rsidP="007C250E">
            <w:pPr>
              <w:jc w:val="both"/>
              <w:rPr>
                <w:noProof/>
                <w:sz w:val="16"/>
                <w:szCs w:val="16"/>
              </w:rPr>
            </w:pPr>
            <w:r>
              <w:rPr>
                <w:noProof/>
                <w:sz w:val="16"/>
              </w:rPr>
              <w:t xml:space="preserve"> </w:t>
            </w:r>
          </w:p>
        </w:tc>
        <w:tc>
          <w:tcPr>
            <w:tcW w:w="2552" w:type="dxa"/>
            <w:gridSpan w:val="2"/>
            <w:tcBorders>
              <w:top w:val="single" w:sz="8" w:space="0" w:color="auto"/>
              <w:left w:val="nil"/>
              <w:bottom w:val="single" w:sz="8" w:space="0" w:color="auto"/>
              <w:right w:val="single" w:sz="8" w:space="0" w:color="000000"/>
            </w:tcBorders>
            <w:shd w:val="clear" w:color="000000" w:fill="BFBFBF"/>
            <w:vAlign w:val="center"/>
            <w:hideMark/>
          </w:tcPr>
          <w:p w14:paraId="617294EE" w14:textId="77777777" w:rsidR="007C250E" w:rsidRPr="007C250E" w:rsidRDefault="007C250E" w:rsidP="007C250E">
            <w:pPr>
              <w:jc w:val="center"/>
              <w:rPr>
                <w:b/>
                <w:bCs/>
                <w:noProof/>
                <w:sz w:val="20"/>
                <w:szCs w:val="20"/>
              </w:rPr>
            </w:pPr>
            <w:r>
              <w:rPr>
                <w:b/>
                <w:noProof/>
                <w:sz w:val="20"/>
              </w:rPr>
              <w:t>Návrh rozpočtu na rok 2024</w:t>
            </w:r>
          </w:p>
        </w:tc>
        <w:tc>
          <w:tcPr>
            <w:tcW w:w="2268" w:type="dxa"/>
            <w:gridSpan w:val="2"/>
            <w:tcBorders>
              <w:top w:val="single" w:sz="8" w:space="0" w:color="auto"/>
              <w:left w:val="nil"/>
              <w:bottom w:val="single" w:sz="8" w:space="0" w:color="auto"/>
              <w:right w:val="single" w:sz="8" w:space="0" w:color="000000"/>
            </w:tcBorders>
            <w:shd w:val="clear" w:color="000000" w:fill="BFBFBF"/>
            <w:vAlign w:val="center"/>
            <w:hideMark/>
          </w:tcPr>
          <w:p w14:paraId="03C84B9A" w14:textId="77777777" w:rsidR="007C250E" w:rsidRPr="007C250E" w:rsidRDefault="007C250E" w:rsidP="007C250E">
            <w:pPr>
              <w:jc w:val="center"/>
              <w:rPr>
                <w:b/>
                <w:bCs/>
                <w:noProof/>
                <w:sz w:val="20"/>
                <w:szCs w:val="20"/>
              </w:rPr>
            </w:pPr>
            <w:r>
              <w:rPr>
                <w:b/>
                <w:noProof/>
                <w:sz w:val="20"/>
              </w:rPr>
              <w:t>Opravný list č. 1 k NR 2024</w:t>
            </w:r>
          </w:p>
        </w:tc>
        <w:tc>
          <w:tcPr>
            <w:tcW w:w="2551" w:type="dxa"/>
            <w:gridSpan w:val="2"/>
            <w:tcBorders>
              <w:top w:val="single" w:sz="8" w:space="0" w:color="auto"/>
              <w:left w:val="nil"/>
              <w:bottom w:val="single" w:sz="8" w:space="0" w:color="auto"/>
              <w:right w:val="single" w:sz="8" w:space="0" w:color="000000"/>
            </w:tcBorders>
            <w:shd w:val="clear" w:color="000000" w:fill="BFBFBF"/>
            <w:vAlign w:val="center"/>
            <w:hideMark/>
          </w:tcPr>
          <w:p w14:paraId="3608FDF5" w14:textId="77777777" w:rsidR="007C250E" w:rsidRPr="007C250E" w:rsidRDefault="007C250E" w:rsidP="007C250E">
            <w:pPr>
              <w:jc w:val="center"/>
              <w:rPr>
                <w:b/>
                <w:bCs/>
                <w:noProof/>
                <w:sz w:val="20"/>
                <w:szCs w:val="20"/>
              </w:rPr>
            </w:pPr>
            <w:r>
              <w:rPr>
                <w:b/>
                <w:noProof/>
                <w:sz w:val="20"/>
              </w:rPr>
              <w:t>Návrh rozpočtu na rok 2024 s OL č. 1</w:t>
            </w:r>
          </w:p>
        </w:tc>
      </w:tr>
      <w:tr w:rsidR="007C250E" w:rsidRPr="007C250E" w14:paraId="4DEAE72E" w14:textId="77777777" w:rsidTr="007C250E">
        <w:trPr>
          <w:trHeight w:val="300"/>
        </w:trPr>
        <w:tc>
          <w:tcPr>
            <w:tcW w:w="416" w:type="dxa"/>
            <w:tcBorders>
              <w:top w:val="nil"/>
              <w:left w:val="single" w:sz="8" w:space="0" w:color="auto"/>
              <w:bottom w:val="single" w:sz="8" w:space="0" w:color="auto"/>
              <w:right w:val="nil"/>
            </w:tcBorders>
            <w:shd w:val="clear" w:color="000000" w:fill="BFBFBF"/>
            <w:vAlign w:val="center"/>
            <w:hideMark/>
          </w:tcPr>
          <w:p w14:paraId="26279607"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BFBFBF"/>
            <w:vAlign w:val="center"/>
            <w:hideMark/>
          </w:tcPr>
          <w:p w14:paraId="57B354CC" w14:textId="77777777" w:rsidR="007C250E" w:rsidRPr="007C250E" w:rsidRDefault="007C250E" w:rsidP="007C250E">
            <w:pPr>
              <w:jc w:val="both"/>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BFBFBF"/>
            <w:vAlign w:val="center"/>
            <w:hideMark/>
          </w:tcPr>
          <w:p w14:paraId="15C8F02D" w14:textId="77777777" w:rsidR="007C250E" w:rsidRPr="007C250E" w:rsidRDefault="007C250E" w:rsidP="007C250E">
            <w:pPr>
              <w:jc w:val="center"/>
              <w:rPr>
                <w:b/>
                <w:bCs/>
                <w:noProof/>
                <w:color w:val="000000"/>
                <w:sz w:val="16"/>
                <w:szCs w:val="16"/>
              </w:rPr>
            </w:pPr>
            <w:r>
              <w:rPr>
                <w:b/>
                <w:noProof/>
                <w:color w:val="000000"/>
                <w:sz w:val="16"/>
              </w:rPr>
              <w:t>VRP</w:t>
            </w:r>
          </w:p>
        </w:tc>
        <w:tc>
          <w:tcPr>
            <w:tcW w:w="1276" w:type="dxa"/>
            <w:tcBorders>
              <w:top w:val="nil"/>
              <w:left w:val="nil"/>
              <w:bottom w:val="single" w:sz="8" w:space="0" w:color="auto"/>
              <w:right w:val="single" w:sz="8" w:space="0" w:color="auto"/>
            </w:tcBorders>
            <w:shd w:val="clear" w:color="000000" w:fill="BFBFBF"/>
            <w:vAlign w:val="center"/>
            <w:hideMark/>
          </w:tcPr>
          <w:p w14:paraId="58B2AE8F" w14:textId="77777777" w:rsidR="007C250E" w:rsidRPr="007C250E" w:rsidRDefault="007C250E" w:rsidP="007C250E">
            <w:pPr>
              <w:jc w:val="center"/>
              <w:rPr>
                <w:b/>
                <w:bCs/>
                <w:noProof/>
                <w:color w:val="000000"/>
                <w:sz w:val="16"/>
                <w:szCs w:val="16"/>
              </w:rPr>
            </w:pPr>
            <w:r>
              <w:rPr>
                <w:b/>
                <w:noProof/>
                <w:color w:val="000000"/>
                <w:sz w:val="16"/>
              </w:rPr>
              <w:t>PRP</w:t>
            </w:r>
          </w:p>
        </w:tc>
        <w:tc>
          <w:tcPr>
            <w:tcW w:w="1134" w:type="dxa"/>
            <w:tcBorders>
              <w:top w:val="nil"/>
              <w:left w:val="nil"/>
              <w:bottom w:val="single" w:sz="8" w:space="0" w:color="auto"/>
              <w:right w:val="single" w:sz="8" w:space="0" w:color="auto"/>
            </w:tcBorders>
            <w:shd w:val="clear" w:color="000000" w:fill="BFBFBF"/>
            <w:vAlign w:val="center"/>
            <w:hideMark/>
          </w:tcPr>
          <w:p w14:paraId="59DF9756" w14:textId="77777777" w:rsidR="007C250E" w:rsidRPr="007C250E" w:rsidRDefault="007C250E" w:rsidP="007C250E">
            <w:pPr>
              <w:jc w:val="center"/>
              <w:rPr>
                <w:b/>
                <w:bCs/>
                <w:noProof/>
                <w:sz w:val="16"/>
                <w:szCs w:val="16"/>
              </w:rPr>
            </w:pPr>
            <w:r>
              <w:rPr>
                <w:b/>
                <w:noProof/>
                <w:sz w:val="16"/>
              </w:rPr>
              <w:t>VRP</w:t>
            </w:r>
          </w:p>
        </w:tc>
        <w:tc>
          <w:tcPr>
            <w:tcW w:w="1134" w:type="dxa"/>
            <w:tcBorders>
              <w:top w:val="nil"/>
              <w:left w:val="nil"/>
              <w:bottom w:val="single" w:sz="8" w:space="0" w:color="auto"/>
              <w:right w:val="single" w:sz="8" w:space="0" w:color="auto"/>
            </w:tcBorders>
            <w:shd w:val="clear" w:color="000000" w:fill="BFBFBF"/>
            <w:vAlign w:val="center"/>
            <w:hideMark/>
          </w:tcPr>
          <w:p w14:paraId="71BDB3F4" w14:textId="77777777" w:rsidR="007C250E" w:rsidRPr="007C250E" w:rsidRDefault="007C250E" w:rsidP="007C250E">
            <w:pPr>
              <w:jc w:val="center"/>
              <w:rPr>
                <w:b/>
                <w:bCs/>
                <w:noProof/>
                <w:sz w:val="16"/>
                <w:szCs w:val="16"/>
              </w:rPr>
            </w:pPr>
            <w:r>
              <w:rPr>
                <w:b/>
                <w:noProof/>
                <w:sz w:val="16"/>
              </w:rPr>
              <w:t>PRP</w:t>
            </w:r>
          </w:p>
        </w:tc>
        <w:tc>
          <w:tcPr>
            <w:tcW w:w="1275" w:type="dxa"/>
            <w:tcBorders>
              <w:top w:val="nil"/>
              <w:left w:val="nil"/>
              <w:bottom w:val="single" w:sz="8" w:space="0" w:color="auto"/>
              <w:right w:val="single" w:sz="8" w:space="0" w:color="auto"/>
            </w:tcBorders>
            <w:shd w:val="clear" w:color="000000" w:fill="BFBFBF"/>
            <w:vAlign w:val="center"/>
            <w:hideMark/>
          </w:tcPr>
          <w:p w14:paraId="15AD7F32" w14:textId="77777777" w:rsidR="007C250E" w:rsidRPr="007C250E" w:rsidRDefault="007C250E" w:rsidP="007C250E">
            <w:pPr>
              <w:jc w:val="center"/>
              <w:rPr>
                <w:b/>
                <w:bCs/>
                <w:noProof/>
                <w:color w:val="000000"/>
                <w:sz w:val="16"/>
                <w:szCs w:val="16"/>
              </w:rPr>
            </w:pPr>
            <w:r>
              <w:rPr>
                <w:b/>
                <w:noProof/>
                <w:color w:val="000000"/>
                <w:sz w:val="16"/>
              </w:rPr>
              <w:t>VRP</w:t>
            </w:r>
          </w:p>
        </w:tc>
        <w:tc>
          <w:tcPr>
            <w:tcW w:w="1276" w:type="dxa"/>
            <w:tcBorders>
              <w:top w:val="nil"/>
              <w:left w:val="nil"/>
              <w:bottom w:val="single" w:sz="8" w:space="0" w:color="auto"/>
              <w:right w:val="single" w:sz="8" w:space="0" w:color="auto"/>
            </w:tcBorders>
            <w:shd w:val="clear" w:color="000000" w:fill="BFBFBF"/>
            <w:vAlign w:val="center"/>
            <w:hideMark/>
          </w:tcPr>
          <w:p w14:paraId="3BF555D7" w14:textId="77777777" w:rsidR="007C250E" w:rsidRPr="007C250E" w:rsidRDefault="007C250E" w:rsidP="007C250E">
            <w:pPr>
              <w:jc w:val="center"/>
              <w:rPr>
                <w:b/>
                <w:bCs/>
                <w:noProof/>
                <w:color w:val="000000"/>
                <w:sz w:val="16"/>
                <w:szCs w:val="16"/>
              </w:rPr>
            </w:pPr>
            <w:r>
              <w:rPr>
                <w:b/>
                <w:noProof/>
                <w:color w:val="000000"/>
                <w:sz w:val="16"/>
              </w:rPr>
              <w:t>PRP</w:t>
            </w:r>
          </w:p>
        </w:tc>
      </w:tr>
      <w:tr w:rsidR="007C250E" w:rsidRPr="007C250E" w14:paraId="5171ECF0"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7B3B3E4" w14:textId="77777777" w:rsidR="007C250E" w:rsidRPr="007C250E" w:rsidRDefault="007C250E" w:rsidP="007C250E">
            <w:pPr>
              <w:jc w:val="both"/>
              <w:rPr>
                <w:b/>
                <w:bCs/>
                <w:noProof/>
                <w:sz w:val="16"/>
                <w:szCs w:val="16"/>
              </w:rPr>
            </w:pPr>
            <w:r>
              <w:rPr>
                <w:b/>
                <w:noProof/>
                <w:sz w:val="16"/>
              </w:rPr>
              <w:t>1.</w:t>
            </w:r>
          </w:p>
        </w:tc>
        <w:tc>
          <w:tcPr>
            <w:tcW w:w="2551" w:type="dxa"/>
            <w:tcBorders>
              <w:top w:val="nil"/>
              <w:left w:val="nil"/>
              <w:bottom w:val="single" w:sz="8" w:space="0" w:color="auto"/>
              <w:right w:val="single" w:sz="8" w:space="0" w:color="auto"/>
            </w:tcBorders>
            <w:shd w:val="clear" w:color="000000" w:fill="D9D9D9"/>
            <w:vAlign w:val="center"/>
            <w:hideMark/>
          </w:tcPr>
          <w:p w14:paraId="5409060C" w14:textId="77777777" w:rsidR="007C250E" w:rsidRPr="007C250E" w:rsidRDefault="007C250E" w:rsidP="007C250E">
            <w:pPr>
              <w:jc w:val="both"/>
              <w:rPr>
                <w:b/>
                <w:bCs/>
                <w:noProof/>
                <w:sz w:val="16"/>
                <w:szCs w:val="16"/>
              </w:rPr>
            </w:pPr>
            <w:r>
              <w:rPr>
                <w:b/>
                <w:noProof/>
                <w:sz w:val="16"/>
              </w:rPr>
              <w:t>Jednotný trh, inovácie a digitálna ekonomika</w:t>
            </w:r>
          </w:p>
        </w:tc>
        <w:tc>
          <w:tcPr>
            <w:tcW w:w="1276" w:type="dxa"/>
            <w:tcBorders>
              <w:top w:val="nil"/>
              <w:left w:val="nil"/>
              <w:bottom w:val="single" w:sz="8" w:space="0" w:color="auto"/>
              <w:right w:val="single" w:sz="8" w:space="0" w:color="auto"/>
            </w:tcBorders>
            <w:shd w:val="clear" w:color="000000" w:fill="D9D9D9"/>
            <w:vAlign w:val="center"/>
            <w:hideMark/>
          </w:tcPr>
          <w:p w14:paraId="7939DA7D" w14:textId="77777777" w:rsidR="007C250E" w:rsidRPr="007C250E" w:rsidRDefault="007C250E" w:rsidP="007C250E">
            <w:pPr>
              <w:jc w:val="right"/>
              <w:rPr>
                <w:b/>
                <w:bCs/>
                <w:noProof/>
                <w:sz w:val="16"/>
                <w:szCs w:val="16"/>
              </w:rPr>
            </w:pPr>
            <w:r>
              <w:rPr>
                <w:b/>
                <w:noProof/>
                <w:sz w:val="16"/>
              </w:rPr>
              <w:t>21 431 352 987</w:t>
            </w:r>
          </w:p>
        </w:tc>
        <w:tc>
          <w:tcPr>
            <w:tcW w:w="1276" w:type="dxa"/>
            <w:tcBorders>
              <w:top w:val="nil"/>
              <w:left w:val="nil"/>
              <w:bottom w:val="single" w:sz="8" w:space="0" w:color="auto"/>
              <w:right w:val="single" w:sz="8" w:space="0" w:color="auto"/>
            </w:tcBorders>
            <w:shd w:val="clear" w:color="000000" w:fill="D9D9D9"/>
            <w:vAlign w:val="center"/>
            <w:hideMark/>
          </w:tcPr>
          <w:p w14:paraId="3B7FEF56" w14:textId="77777777" w:rsidR="007C250E" w:rsidRPr="007C250E" w:rsidRDefault="007C250E" w:rsidP="007C250E">
            <w:pPr>
              <w:jc w:val="right"/>
              <w:rPr>
                <w:b/>
                <w:bCs/>
                <w:noProof/>
                <w:sz w:val="16"/>
                <w:szCs w:val="16"/>
              </w:rPr>
            </w:pPr>
            <w:r>
              <w:rPr>
                <w:b/>
                <w:noProof/>
                <w:sz w:val="16"/>
              </w:rPr>
              <w:t>20 916 212 003</w:t>
            </w:r>
          </w:p>
        </w:tc>
        <w:tc>
          <w:tcPr>
            <w:tcW w:w="1134" w:type="dxa"/>
            <w:tcBorders>
              <w:top w:val="nil"/>
              <w:left w:val="nil"/>
              <w:bottom w:val="single" w:sz="8" w:space="0" w:color="auto"/>
              <w:right w:val="single" w:sz="8" w:space="0" w:color="auto"/>
            </w:tcBorders>
            <w:shd w:val="clear" w:color="000000" w:fill="D9D9D9"/>
            <w:vAlign w:val="center"/>
            <w:hideMark/>
          </w:tcPr>
          <w:p w14:paraId="360D8EE2"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12F495F"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4E1E901C" w14:textId="77777777" w:rsidR="007C250E" w:rsidRPr="007C250E" w:rsidRDefault="007C250E" w:rsidP="007C250E">
            <w:pPr>
              <w:jc w:val="right"/>
              <w:rPr>
                <w:b/>
                <w:bCs/>
                <w:noProof/>
                <w:sz w:val="16"/>
                <w:szCs w:val="16"/>
              </w:rPr>
            </w:pPr>
            <w:r>
              <w:rPr>
                <w:b/>
                <w:noProof/>
                <w:sz w:val="16"/>
              </w:rPr>
              <w:t xml:space="preserve">21 431 352 987 </w:t>
            </w:r>
          </w:p>
        </w:tc>
        <w:tc>
          <w:tcPr>
            <w:tcW w:w="1276" w:type="dxa"/>
            <w:tcBorders>
              <w:top w:val="nil"/>
              <w:left w:val="nil"/>
              <w:bottom w:val="single" w:sz="8" w:space="0" w:color="auto"/>
              <w:right w:val="single" w:sz="8" w:space="0" w:color="auto"/>
            </w:tcBorders>
            <w:shd w:val="clear" w:color="000000" w:fill="D9D9D9"/>
            <w:vAlign w:val="center"/>
            <w:hideMark/>
          </w:tcPr>
          <w:p w14:paraId="058B70C5" w14:textId="77777777" w:rsidR="007C250E" w:rsidRPr="007C250E" w:rsidRDefault="007C250E" w:rsidP="007C250E">
            <w:pPr>
              <w:jc w:val="right"/>
              <w:rPr>
                <w:b/>
                <w:bCs/>
                <w:noProof/>
                <w:sz w:val="16"/>
                <w:szCs w:val="16"/>
              </w:rPr>
            </w:pPr>
            <w:r>
              <w:rPr>
                <w:b/>
                <w:noProof/>
                <w:sz w:val="16"/>
              </w:rPr>
              <w:t xml:space="preserve">20 916 212 003 </w:t>
            </w:r>
          </w:p>
        </w:tc>
      </w:tr>
      <w:tr w:rsidR="007C250E" w:rsidRPr="007C250E" w14:paraId="2312D02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A9B95F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DD427D3"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2F08AB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AA2BCD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345F5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39C28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6E7900D"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8E1D9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C492A3"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3C9146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420AD40"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24A3576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5DCF1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DE345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AD40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1F51C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4DCD2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C2E24AB"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23A2A8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C7EDA3C"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7986EB1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F4CFA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ECDD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BAEC2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30329A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60D0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7C9375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416D5D" w14:textId="77777777" w:rsidR="007C250E" w:rsidRPr="007C250E" w:rsidRDefault="007C250E" w:rsidP="007C250E">
            <w:pPr>
              <w:jc w:val="right"/>
              <w:rPr>
                <w:b/>
                <w:bCs/>
                <w:i/>
                <w:iCs/>
                <w:noProof/>
                <w:sz w:val="16"/>
                <w:szCs w:val="16"/>
              </w:rPr>
            </w:pPr>
            <w:r>
              <w:rPr>
                <w:b/>
                <w:i/>
                <w:noProof/>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260D804C" w14:textId="77777777" w:rsidR="007C250E" w:rsidRPr="007C250E" w:rsidRDefault="007C250E" w:rsidP="007C250E">
            <w:pPr>
              <w:jc w:val="right"/>
              <w:rPr>
                <w:i/>
                <w:iCs/>
                <w:noProof/>
                <w:sz w:val="16"/>
                <w:szCs w:val="16"/>
              </w:rPr>
            </w:pPr>
            <w:r>
              <w:rPr>
                <w:i/>
                <w:noProof/>
                <w:sz w:val="16"/>
              </w:rPr>
              <w:t>21 598 000 000</w:t>
            </w:r>
          </w:p>
        </w:tc>
        <w:tc>
          <w:tcPr>
            <w:tcW w:w="1276" w:type="dxa"/>
            <w:tcBorders>
              <w:top w:val="nil"/>
              <w:left w:val="nil"/>
              <w:bottom w:val="single" w:sz="8" w:space="0" w:color="auto"/>
              <w:right w:val="single" w:sz="8" w:space="0" w:color="auto"/>
            </w:tcBorders>
            <w:shd w:val="clear" w:color="auto" w:fill="auto"/>
            <w:vAlign w:val="center"/>
            <w:hideMark/>
          </w:tcPr>
          <w:p w14:paraId="6EFFB29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72E933"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693918"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8C03950" w14:textId="77777777" w:rsidR="007C250E" w:rsidRPr="007C250E" w:rsidRDefault="007C250E" w:rsidP="007C250E">
            <w:pPr>
              <w:jc w:val="right"/>
              <w:rPr>
                <w:i/>
                <w:iCs/>
                <w:noProof/>
                <w:sz w:val="16"/>
                <w:szCs w:val="16"/>
              </w:rPr>
            </w:pPr>
            <w:r>
              <w:rPr>
                <w:i/>
                <w:noProof/>
                <w:sz w:val="16"/>
              </w:rPr>
              <w:t xml:space="preserve">21 598 000 000 </w:t>
            </w:r>
          </w:p>
        </w:tc>
        <w:tc>
          <w:tcPr>
            <w:tcW w:w="1276" w:type="dxa"/>
            <w:tcBorders>
              <w:top w:val="nil"/>
              <w:left w:val="nil"/>
              <w:bottom w:val="single" w:sz="8" w:space="0" w:color="auto"/>
              <w:right w:val="single" w:sz="8" w:space="0" w:color="auto"/>
            </w:tcBorders>
            <w:shd w:val="clear" w:color="auto" w:fill="auto"/>
            <w:vAlign w:val="center"/>
            <w:hideMark/>
          </w:tcPr>
          <w:p w14:paraId="0163ABFA" w14:textId="77777777" w:rsidR="007C250E" w:rsidRPr="007C250E" w:rsidRDefault="007C250E" w:rsidP="007C250E">
            <w:pPr>
              <w:jc w:val="right"/>
              <w:rPr>
                <w:noProof/>
                <w:sz w:val="16"/>
                <w:szCs w:val="16"/>
              </w:rPr>
            </w:pPr>
            <w:r>
              <w:rPr>
                <w:noProof/>
                <w:sz w:val="16"/>
              </w:rPr>
              <w:t xml:space="preserve"> </w:t>
            </w:r>
          </w:p>
        </w:tc>
      </w:tr>
      <w:tr w:rsidR="007C250E" w:rsidRPr="007C250E" w14:paraId="2FA941AE"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5BD952"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37ACFB40" w14:textId="77777777" w:rsidR="007C250E" w:rsidRPr="007C250E" w:rsidRDefault="007C250E" w:rsidP="007C250E">
            <w:pPr>
              <w:jc w:val="right"/>
              <w:rPr>
                <w:i/>
                <w:iCs/>
                <w:noProof/>
                <w:color w:val="000000"/>
                <w:sz w:val="16"/>
                <w:szCs w:val="16"/>
              </w:rPr>
            </w:pPr>
            <w:r>
              <w:rPr>
                <w:i/>
                <w:noProof/>
                <w:color w:val="000000"/>
                <w:sz w:val="16"/>
              </w:rPr>
              <w:t>166 647 013</w:t>
            </w:r>
          </w:p>
        </w:tc>
        <w:tc>
          <w:tcPr>
            <w:tcW w:w="1276" w:type="dxa"/>
            <w:tcBorders>
              <w:top w:val="nil"/>
              <w:left w:val="nil"/>
              <w:bottom w:val="single" w:sz="8" w:space="0" w:color="auto"/>
              <w:right w:val="single" w:sz="8" w:space="0" w:color="auto"/>
            </w:tcBorders>
            <w:shd w:val="clear" w:color="auto" w:fill="auto"/>
            <w:vAlign w:val="center"/>
            <w:hideMark/>
          </w:tcPr>
          <w:p w14:paraId="022FA5A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F21A7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EDD5D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1319A0F" w14:textId="77777777" w:rsidR="007C250E" w:rsidRPr="007C250E" w:rsidRDefault="007C250E" w:rsidP="007C250E">
            <w:pPr>
              <w:jc w:val="right"/>
              <w:rPr>
                <w:i/>
                <w:iCs/>
                <w:noProof/>
                <w:color w:val="000000"/>
                <w:sz w:val="16"/>
                <w:szCs w:val="16"/>
              </w:rPr>
            </w:pPr>
            <w:r>
              <w:rPr>
                <w:i/>
                <w:noProof/>
                <w:color w:val="000000"/>
                <w:sz w:val="16"/>
              </w:rPr>
              <w:t xml:space="preserve">166 647 013 </w:t>
            </w:r>
          </w:p>
        </w:tc>
        <w:tc>
          <w:tcPr>
            <w:tcW w:w="1276" w:type="dxa"/>
            <w:tcBorders>
              <w:top w:val="nil"/>
              <w:left w:val="nil"/>
              <w:bottom w:val="single" w:sz="8" w:space="0" w:color="auto"/>
              <w:right w:val="single" w:sz="8" w:space="0" w:color="auto"/>
            </w:tcBorders>
            <w:shd w:val="clear" w:color="auto" w:fill="auto"/>
            <w:vAlign w:val="center"/>
            <w:hideMark/>
          </w:tcPr>
          <w:p w14:paraId="36EFFC2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3AEEF2"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B497E11" w14:textId="77777777" w:rsidR="007C250E" w:rsidRPr="007C250E" w:rsidRDefault="007C250E" w:rsidP="007C250E">
            <w:pPr>
              <w:jc w:val="both"/>
              <w:rPr>
                <w:b/>
                <w:bCs/>
                <w:noProof/>
                <w:sz w:val="16"/>
                <w:szCs w:val="16"/>
              </w:rPr>
            </w:pPr>
            <w:r>
              <w:rPr>
                <w:b/>
                <w:noProof/>
                <w:sz w:val="16"/>
              </w:rPr>
              <w:t>2.</w:t>
            </w:r>
          </w:p>
        </w:tc>
        <w:tc>
          <w:tcPr>
            <w:tcW w:w="2551" w:type="dxa"/>
            <w:tcBorders>
              <w:top w:val="nil"/>
              <w:left w:val="nil"/>
              <w:bottom w:val="single" w:sz="8" w:space="0" w:color="auto"/>
              <w:right w:val="single" w:sz="8" w:space="0" w:color="auto"/>
            </w:tcBorders>
            <w:shd w:val="clear" w:color="000000" w:fill="D9D9D9"/>
            <w:vAlign w:val="center"/>
            <w:hideMark/>
          </w:tcPr>
          <w:p w14:paraId="1D75FB17" w14:textId="77777777" w:rsidR="007C250E" w:rsidRPr="007C250E" w:rsidRDefault="007C250E" w:rsidP="007C250E">
            <w:pPr>
              <w:jc w:val="both"/>
              <w:rPr>
                <w:b/>
                <w:bCs/>
                <w:noProof/>
                <w:sz w:val="16"/>
                <w:szCs w:val="16"/>
              </w:rPr>
            </w:pPr>
            <w:r>
              <w:rPr>
                <w:b/>
                <w:noProof/>
                <w:sz w:val="16"/>
              </w:rPr>
              <w:t>Súdržnosť, odolnosť a hodnoty</w:t>
            </w:r>
          </w:p>
        </w:tc>
        <w:tc>
          <w:tcPr>
            <w:tcW w:w="1276" w:type="dxa"/>
            <w:tcBorders>
              <w:top w:val="nil"/>
              <w:left w:val="nil"/>
              <w:bottom w:val="single" w:sz="8" w:space="0" w:color="auto"/>
              <w:right w:val="single" w:sz="8" w:space="0" w:color="auto"/>
            </w:tcBorders>
            <w:shd w:val="clear" w:color="000000" w:fill="D9D9D9"/>
            <w:vAlign w:val="center"/>
            <w:hideMark/>
          </w:tcPr>
          <w:p w14:paraId="522E5B93" w14:textId="77777777" w:rsidR="007C250E" w:rsidRPr="007C250E" w:rsidRDefault="007C250E" w:rsidP="007C250E">
            <w:pPr>
              <w:jc w:val="right"/>
              <w:rPr>
                <w:b/>
                <w:bCs/>
                <w:noProof/>
                <w:sz w:val="16"/>
                <w:szCs w:val="16"/>
              </w:rPr>
            </w:pPr>
            <w:r>
              <w:rPr>
                <w:b/>
                <w:noProof/>
                <w:sz w:val="16"/>
              </w:rPr>
              <w:t>74 979 363 449</w:t>
            </w:r>
          </w:p>
        </w:tc>
        <w:tc>
          <w:tcPr>
            <w:tcW w:w="1276" w:type="dxa"/>
            <w:tcBorders>
              <w:top w:val="nil"/>
              <w:left w:val="nil"/>
              <w:bottom w:val="single" w:sz="8" w:space="0" w:color="auto"/>
              <w:right w:val="single" w:sz="8" w:space="0" w:color="auto"/>
            </w:tcBorders>
            <w:shd w:val="clear" w:color="000000" w:fill="D9D9D9"/>
            <w:vAlign w:val="center"/>
            <w:hideMark/>
          </w:tcPr>
          <w:p w14:paraId="577BF569" w14:textId="77777777" w:rsidR="007C250E" w:rsidRPr="007C250E" w:rsidRDefault="007C250E" w:rsidP="007C250E">
            <w:pPr>
              <w:jc w:val="right"/>
              <w:rPr>
                <w:b/>
                <w:bCs/>
                <w:noProof/>
                <w:sz w:val="16"/>
                <w:szCs w:val="16"/>
              </w:rPr>
            </w:pPr>
            <w:r>
              <w:rPr>
                <w:b/>
                <w:noProof/>
                <w:sz w:val="16"/>
              </w:rPr>
              <w:t>34 186 039 329</w:t>
            </w:r>
          </w:p>
        </w:tc>
        <w:tc>
          <w:tcPr>
            <w:tcW w:w="1134" w:type="dxa"/>
            <w:tcBorders>
              <w:top w:val="nil"/>
              <w:left w:val="nil"/>
              <w:bottom w:val="single" w:sz="8" w:space="0" w:color="auto"/>
              <w:right w:val="single" w:sz="8" w:space="0" w:color="auto"/>
            </w:tcBorders>
            <w:shd w:val="clear" w:color="000000" w:fill="D9D9D9"/>
            <w:vAlign w:val="center"/>
            <w:hideMark/>
          </w:tcPr>
          <w:p w14:paraId="4982A346" w14:textId="77777777" w:rsidR="007C250E" w:rsidRPr="007C250E" w:rsidRDefault="007C250E" w:rsidP="007C250E">
            <w:pPr>
              <w:jc w:val="right"/>
              <w:rPr>
                <w:b/>
                <w:bCs/>
                <w:noProof/>
                <w:sz w:val="16"/>
                <w:szCs w:val="16"/>
              </w:rPr>
            </w:pPr>
            <w:r>
              <w:rPr>
                <w:b/>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33BE7E03" w14:textId="77777777" w:rsidR="007C250E" w:rsidRPr="007C250E" w:rsidRDefault="007C250E" w:rsidP="007C250E">
            <w:pPr>
              <w:jc w:val="right"/>
              <w:rPr>
                <w:b/>
                <w:bCs/>
                <w:noProof/>
                <w:sz w:val="16"/>
                <w:szCs w:val="16"/>
              </w:rPr>
            </w:pPr>
            <w:r>
              <w:rPr>
                <w:b/>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2DF4FACE" w14:textId="77777777" w:rsidR="007C250E" w:rsidRPr="007C250E" w:rsidRDefault="007C250E" w:rsidP="007C250E">
            <w:pPr>
              <w:jc w:val="right"/>
              <w:rPr>
                <w:b/>
                <w:bCs/>
                <w:noProof/>
                <w:sz w:val="16"/>
                <w:szCs w:val="16"/>
              </w:rPr>
            </w:pPr>
            <w:r>
              <w:rPr>
                <w:b/>
                <w:noProof/>
                <w:sz w:val="16"/>
              </w:rPr>
              <w:t xml:space="preserve">74 907 363 449 </w:t>
            </w:r>
          </w:p>
        </w:tc>
        <w:tc>
          <w:tcPr>
            <w:tcW w:w="1276" w:type="dxa"/>
            <w:tcBorders>
              <w:top w:val="nil"/>
              <w:left w:val="nil"/>
              <w:bottom w:val="single" w:sz="8" w:space="0" w:color="auto"/>
              <w:right w:val="single" w:sz="8" w:space="0" w:color="auto"/>
            </w:tcBorders>
            <w:shd w:val="clear" w:color="000000" w:fill="D9D9D9"/>
            <w:vAlign w:val="center"/>
            <w:hideMark/>
          </w:tcPr>
          <w:p w14:paraId="2A466FC7" w14:textId="77777777" w:rsidR="007C250E" w:rsidRPr="007C250E" w:rsidRDefault="007C250E" w:rsidP="007C250E">
            <w:pPr>
              <w:jc w:val="right"/>
              <w:rPr>
                <w:b/>
                <w:bCs/>
                <w:noProof/>
                <w:sz w:val="16"/>
                <w:szCs w:val="16"/>
              </w:rPr>
            </w:pPr>
            <w:r>
              <w:rPr>
                <w:b/>
                <w:noProof/>
                <w:sz w:val="16"/>
              </w:rPr>
              <w:t xml:space="preserve">34 114 039 329 </w:t>
            </w:r>
          </w:p>
        </w:tc>
      </w:tr>
      <w:tr w:rsidR="007C250E" w:rsidRPr="007C250E" w14:paraId="36533532"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EEDA8F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E77A057" w14:textId="77777777" w:rsidR="007C250E" w:rsidRPr="007C250E" w:rsidRDefault="007C250E" w:rsidP="007C250E">
            <w:pPr>
              <w:jc w:val="right"/>
              <w:rPr>
                <w:b/>
                <w:bCs/>
                <w:noProof/>
                <w:sz w:val="16"/>
                <w:szCs w:val="16"/>
              </w:rPr>
            </w:pPr>
            <w:r>
              <w:rPr>
                <w:b/>
                <w:noProof/>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1E4EDB36" w14:textId="77777777" w:rsidR="007C250E" w:rsidRPr="007C250E" w:rsidRDefault="007C250E" w:rsidP="007C250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523C6388"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C34C18"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4B1FF0"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91537B2" w14:textId="77777777" w:rsidR="007C250E" w:rsidRPr="007C250E" w:rsidRDefault="007C250E" w:rsidP="007C250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5E0664BB" w14:textId="77777777" w:rsidR="007C250E" w:rsidRPr="007C250E" w:rsidRDefault="007C250E" w:rsidP="007C250E">
            <w:pPr>
              <w:jc w:val="right"/>
              <w:rPr>
                <w:noProof/>
                <w:sz w:val="16"/>
                <w:szCs w:val="16"/>
              </w:rPr>
            </w:pPr>
            <w:r>
              <w:rPr>
                <w:noProof/>
                <w:sz w:val="16"/>
              </w:rPr>
              <w:t xml:space="preserve"> </w:t>
            </w:r>
          </w:p>
        </w:tc>
      </w:tr>
      <w:tr w:rsidR="007C250E" w:rsidRPr="007C250E" w14:paraId="68CE5963"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12CA22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8553D43" w14:textId="77777777" w:rsidR="007C250E" w:rsidRPr="007C250E" w:rsidRDefault="007C250E" w:rsidP="007C250E">
            <w:pPr>
              <w:jc w:val="right"/>
              <w:rPr>
                <w:b/>
                <w:bCs/>
                <w:noProof/>
                <w:sz w:val="16"/>
                <w:szCs w:val="16"/>
              </w:rPr>
            </w:pPr>
            <w:r>
              <w:rPr>
                <w:b/>
                <w:noProof/>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191BE253" w14:textId="77777777" w:rsidR="007C250E" w:rsidRPr="007C250E" w:rsidRDefault="007C250E" w:rsidP="007C250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5DC6395B"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934289" w14:textId="77777777" w:rsidR="007C250E" w:rsidRPr="007C250E" w:rsidRDefault="007C250E" w:rsidP="007C250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646C3984"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6E75C30" w14:textId="77777777" w:rsidR="007C250E" w:rsidRPr="007C250E" w:rsidRDefault="007C250E" w:rsidP="007C250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14C8721C" w14:textId="77777777" w:rsidR="007C250E" w:rsidRPr="007C250E" w:rsidRDefault="007C250E" w:rsidP="007C250E">
            <w:pPr>
              <w:jc w:val="right"/>
              <w:rPr>
                <w:noProof/>
                <w:sz w:val="16"/>
                <w:szCs w:val="16"/>
              </w:rPr>
            </w:pPr>
            <w:r>
              <w:rPr>
                <w:noProof/>
                <w:sz w:val="16"/>
              </w:rPr>
              <w:t xml:space="preserve"> </w:t>
            </w:r>
          </w:p>
        </w:tc>
      </w:tr>
      <w:tr w:rsidR="007C250E" w:rsidRPr="007C250E" w14:paraId="1CAC086D"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F48142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B3A6A00"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2B013434"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3C7D3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9B938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77438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466C01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E47D6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CAFDB7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CC0AED" w14:textId="77777777" w:rsidR="007C250E" w:rsidRPr="007C250E" w:rsidRDefault="007C250E" w:rsidP="007C250E">
            <w:pPr>
              <w:jc w:val="right"/>
              <w:rPr>
                <w:b/>
                <w:bCs/>
                <w:i/>
                <w:iCs/>
                <w:noProof/>
                <w:color w:val="000000"/>
                <w:sz w:val="16"/>
                <w:szCs w:val="16"/>
              </w:rPr>
            </w:pPr>
            <w:r>
              <w:rPr>
                <w:b/>
                <w:i/>
                <w:noProof/>
                <w:color w:val="000000"/>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44CBEAF5" w14:textId="77777777" w:rsidR="007C250E" w:rsidRPr="007C250E" w:rsidRDefault="007C250E" w:rsidP="007C250E">
            <w:pPr>
              <w:jc w:val="right"/>
              <w:rPr>
                <w:i/>
                <w:iCs/>
                <w:noProof/>
                <w:color w:val="000000"/>
                <w:sz w:val="16"/>
                <w:szCs w:val="16"/>
              </w:rPr>
            </w:pPr>
            <w:r>
              <w:rPr>
                <w:i/>
                <w:noProof/>
                <w:color w:val="000000"/>
                <w:sz w:val="16"/>
              </w:rPr>
              <w:t>73 289 000 000</w:t>
            </w:r>
          </w:p>
        </w:tc>
        <w:tc>
          <w:tcPr>
            <w:tcW w:w="1276" w:type="dxa"/>
            <w:tcBorders>
              <w:top w:val="nil"/>
              <w:left w:val="nil"/>
              <w:bottom w:val="single" w:sz="8" w:space="0" w:color="auto"/>
              <w:right w:val="single" w:sz="8" w:space="0" w:color="auto"/>
            </w:tcBorders>
            <w:shd w:val="clear" w:color="auto" w:fill="auto"/>
            <w:vAlign w:val="center"/>
            <w:hideMark/>
          </w:tcPr>
          <w:p w14:paraId="5E01901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00DEE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750284"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4EE4252" w14:textId="77777777" w:rsidR="007C250E" w:rsidRPr="007C250E" w:rsidRDefault="007C250E" w:rsidP="007C250E">
            <w:pPr>
              <w:jc w:val="right"/>
              <w:rPr>
                <w:i/>
                <w:iCs/>
                <w:noProof/>
                <w:color w:val="000000"/>
                <w:sz w:val="16"/>
                <w:szCs w:val="16"/>
              </w:rPr>
            </w:pPr>
            <w:r>
              <w:rPr>
                <w:i/>
                <w:noProof/>
                <w:color w:val="000000"/>
                <w:sz w:val="16"/>
              </w:rPr>
              <w:t xml:space="preserve">73 289 000 000 </w:t>
            </w:r>
          </w:p>
        </w:tc>
        <w:tc>
          <w:tcPr>
            <w:tcW w:w="1276" w:type="dxa"/>
            <w:tcBorders>
              <w:top w:val="nil"/>
              <w:left w:val="nil"/>
              <w:bottom w:val="single" w:sz="8" w:space="0" w:color="auto"/>
              <w:right w:val="single" w:sz="8" w:space="0" w:color="auto"/>
            </w:tcBorders>
            <w:shd w:val="clear" w:color="auto" w:fill="auto"/>
            <w:vAlign w:val="center"/>
            <w:hideMark/>
          </w:tcPr>
          <w:p w14:paraId="1372F864"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DE6C0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8219A0" w14:textId="77777777" w:rsidR="007C250E" w:rsidRPr="007C250E" w:rsidRDefault="007C250E" w:rsidP="007C250E">
            <w:pPr>
              <w:jc w:val="right"/>
              <w:rPr>
                <w:b/>
                <w:bCs/>
                <w:i/>
                <w:iCs/>
                <w:noProof/>
                <w:sz w:val="16"/>
                <w:szCs w:val="16"/>
              </w:rPr>
            </w:pPr>
            <w:r>
              <w:rPr>
                <w:b/>
                <w:i/>
                <w:noProof/>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371DE2F8" w14:textId="77777777" w:rsidR="007C250E" w:rsidRPr="007C250E" w:rsidRDefault="007C250E" w:rsidP="007C250E">
            <w:pPr>
              <w:jc w:val="right"/>
              <w:rPr>
                <w:i/>
                <w:iCs/>
                <w:noProof/>
                <w:sz w:val="16"/>
                <w:szCs w:val="16"/>
              </w:rPr>
            </w:pPr>
            <w:r>
              <w:rPr>
                <w:i/>
                <w:noProof/>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109927C0"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96BA8E"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7FB034"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89793D4" w14:textId="77777777" w:rsidR="007C250E" w:rsidRPr="007C250E" w:rsidRDefault="007C250E" w:rsidP="007C250E">
            <w:pPr>
              <w:jc w:val="right"/>
              <w:rPr>
                <w:i/>
                <w:iCs/>
                <w:noProof/>
                <w:sz w:val="16"/>
                <w:szCs w:val="16"/>
              </w:rPr>
            </w:pPr>
            <w:r>
              <w:rPr>
                <w:i/>
                <w:noProof/>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4A0F1D28" w14:textId="77777777" w:rsidR="007C250E" w:rsidRPr="007C250E" w:rsidRDefault="007C250E" w:rsidP="007C250E">
            <w:pPr>
              <w:jc w:val="right"/>
              <w:rPr>
                <w:noProof/>
                <w:sz w:val="16"/>
                <w:szCs w:val="16"/>
              </w:rPr>
            </w:pPr>
            <w:r>
              <w:rPr>
                <w:noProof/>
                <w:sz w:val="16"/>
              </w:rPr>
              <w:t xml:space="preserve"> </w:t>
            </w:r>
          </w:p>
        </w:tc>
      </w:tr>
      <w:tr w:rsidR="007C250E" w:rsidRPr="007C250E" w14:paraId="25C4B393"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FE278D2" w14:textId="77777777" w:rsidR="007C250E" w:rsidRPr="007C250E" w:rsidRDefault="007C250E" w:rsidP="007C250E">
            <w:pPr>
              <w:jc w:val="both"/>
              <w:rPr>
                <w:noProof/>
                <w:color w:val="000000"/>
                <w:sz w:val="16"/>
                <w:szCs w:val="16"/>
              </w:rPr>
            </w:pPr>
            <w:r>
              <w:rPr>
                <w:noProof/>
                <w:color w:val="000000"/>
                <w:sz w:val="16"/>
              </w:rPr>
              <w:t>2a.</w:t>
            </w:r>
          </w:p>
        </w:tc>
        <w:tc>
          <w:tcPr>
            <w:tcW w:w="2551" w:type="dxa"/>
            <w:tcBorders>
              <w:top w:val="nil"/>
              <w:left w:val="nil"/>
              <w:bottom w:val="single" w:sz="8" w:space="0" w:color="auto"/>
              <w:right w:val="single" w:sz="8" w:space="0" w:color="auto"/>
            </w:tcBorders>
            <w:shd w:val="clear" w:color="000000" w:fill="D9D9D9"/>
            <w:vAlign w:val="center"/>
            <w:hideMark/>
          </w:tcPr>
          <w:p w14:paraId="1E41DFF1" w14:textId="77777777" w:rsidR="007C250E" w:rsidRPr="007C250E" w:rsidRDefault="007C250E" w:rsidP="007C250E">
            <w:pPr>
              <w:jc w:val="both"/>
              <w:rPr>
                <w:noProof/>
                <w:color w:val="000000"/>
                <w:sz w:val="16"/>
                <w:szCs w:val="16"/>
              </w:rPr>
            </w:pPr>
            <w:r>
              <w:rPr>
                <w:noProof/>
                <w:color w:val="000000"/>
                <w:sz w:val="16"/>
              </w:rPr>
              <w:t>Hospodárska, sociálna a územná súdržnosť</w:t>
            </w:r>
          </w:p>
        </w:tc>
        <w:tc>
          <w:tcPr>
            <w:tcW w:w="1276" w:type="dxa"/>
            <w:tcBorders>
              <w:top w:val="nil"/>
              <w:left w:val="nil"/>
              <w:bottom w:val="single" w:sz="8" w:space="0" w:color="auto"/>
              <w:right w:val="single" w:sz="8" w:space="0" w:color="auto"/>
            </w:tcBorders>
            <w:shd w:val="clear" w:color="000000" w:fill="D9D9D9"/>
            <w:vAlign w:val="center"/>
            <w:hideMark/>
          </w:tcPr>
          <w:p w14:paraId="6038D73F" w14:textId="77777777" w:rsidR="007C250E" w:rsidRPr="007C250E" w:rsidRDefault="007C250E" w:rsidP="007C250E">
            <w:pPr>
              <w:jc w:val="right"/>
              <w:rPr>
                <w:noProof/>
                <w:color w:val="000000"/>
                <w:sz w:val="16"/>
                <w:szCs w:val="16"/>
              </w:rPr>
            </w:pPr>
            <w:r>
              <w:rPr>
                <w:noProof/>
                <w:color w:val="000000"/>
                <w:sz w:val="16"/>
              </w:rPr>
              <w:t>64 665 195 616</w:t>
            </w:r>
          </w:p>
        </w:tc>
        <w:tc>
          <w:tcPr>
            <w:tcW w:w="1276" w:type="dxa"/>
            <w:tcBorders>
              <w:top w:val="nil"/>
              <w:left w:val="nil"/>
              <w:bottom w:val="single" w:sz="8" w:space="0" w:color="auto"/>
              <w:right w:val="single" w:sz="8" w:space="0" w:color="auto"/>
            </w:tcBorders>
            <w:shd w:val="clear" w:color="000000" w:fill="D9D9D9"/>
            <w:vAlign w:val="center"/>
            <w:hideMark/>
          </w:tcPr>
          <w:p w14:paraId="7FA67CA6" w14:textId="77777777" w:rsidR="007C250E" w:rsidRPr="007C250E" w:rsidRDefault="007C250E" w:rsidP="007C250E">
            <w:pPr>
              <w:jc w:val="right"/>
              <w:rPr>
                <w:noProof/>
                <w:color w:val="000000"/>
                <w:sz w:val="16"/>
                <w:szCs w:val="16"/>
              </w:rPr>
            </w:pPr>
            <w:r>
              <w:rPr>
                <w:noProof/>
                <w:color w:val="000000"/>
                <w:sz w:val="16"/>
              </w:rPr>
              <w:t>24 155 654 152</w:t>
            </w:r>
          </w:p>
        </w:tc>
        <w:tc>
          <w:tcPr>
            <w:tcW w:w="1134" w:type="dxa"/>
            <w:tcBorders>
              <w:top w:val="nil"/>
              <w:left w:val="nil"/>
              <w:bottom w:val="single" w:sz="8" w:space="0" w:color="auto"/>
              <w:right w:val="single" w:sz="8" w:space="0" w:color="auto"/>
            </w:tcBorders>
            <w:shd w:val="clear" w:color="000000" w:fill="D9D9D9"/>
            <w:vAlign w:val="center"/>
            <w:hideMark/>
          </w:tcPr>
          <w:p w14:paraId="3108FAA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0855075"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56C6647" w14:textId="77777777" w:rsidR="007C250E" w:rsidRPr="007C250E" w:rsidRDefault="007C250E" w:rsidP="007C250E">
            <w:pPr>
              <w:jc w:val="right"/>
              <w:rPr>
                <w:noProof/>
                <w:color w:val="000000"/>
                <w:sz w:val="16"/>
                <w:szCs w:val="16"/>
              </w:rPr>
            </w:pPr>
            <w:r>
              <w:rPr>
                <w:noProof/>
                <w:color w:val="000000"/>
                <w:sz w:val="16"/>
              </w:rPr>
              <w:t xml:space="preserve">64 665 195 616 </w:t>
            </w:r>
          </w:p>
        </w:tc>
        <w:tc>
          <w:tcPr>
            <w:tcW w:w="1276" w:type="dxa"/>
            <w:tcBorders>
              <w:top w:val="nil"/>
              <w:left w:val="nil"/>
              <w:bottom w:val="single" w:sz="8" w:space="0" w:color="auto"/>
              <w:right w:val="single" w:sz="8" w:space="0" w:color="auto"/>
            </w:tcBorders>
            <w:shd w:val="clear" w:color="000000" w:fill="D9D9D9"/>
            <w:vAlign w:val="center"/>
            <w:hideMark/>
          </w:tcPr>
          <w:p w14:paraId="3A9CA076" w14:textId="77777777" w:rsidR="007C250E" w:rsidRPr="007C250E" w:rsidRDefault="007C250E" w:rsidP="007C250E">
            <w:pPr>
              <w:jc w:val="right"/>
              <w:rPr>
                <w:noProof/>
                <w:color w:val="000000"/>
                <w:sz w:val="16"/>
                <w:szCs w:val="16"/>
              </w:rPr>
            </w:pPr>
            <w:r>
              <w:rPr>
                <w:noProof/>
                <w:color w:val="000000"/>
                <w:sz w:val="16"/>
              </w:rPr>
              <w:t xml:space="preserve">24 155 654 152 </w:t>
            </w:r>
          </w:p>
        </w:tc>
      </w:tr>
      <w:tr w:rsidR="007C250E" w:rsidRPr="007C250E" w14:paraId="4755FDF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629C6A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BB79E23"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1E3A5C8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FCD9F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42F60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E4685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E82D11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9CBEF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CAB521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8FDB60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83D8363"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7AE63A1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4E747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D7E93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1A4B3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6C4DA1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8EFA57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DC7C95F"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3784AD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8DBECE7"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681C28B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53DE2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7E9C4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3DC095"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311F2E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A0CC3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ED032D"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854ED3" w14:textId="77777777" w:rsidR="007C250E" w:rsidRPr="007C250E" w:rsidRDefault="007C250E" w:rsidP="007C250E">
            <w:pPr>
              <w:jc w:val="right"/>
              <w:rPr>
                <w:b/>
                <w:bCs/>
                <w:i/>
                <w:iCs/>
                <w:noProof/>
                <w:color w:val="000000"/>
                <w:sz w:val="16"/>
                <w:szCs w:val="16"/>
              </w:rPr>
            </w:pPr>
            <w:r>
              <w:rPr>
                <w:b/>
                <w:i/>
                <w:noProof/>
                <w:color w:val="000000"/>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392DE4AC" w14:textId="77777777" w:rsidR="007C250E" w:rsidRPr="007C250E" w:rsidRDefault="007C250E" w:rsidP="007C250E">
            <w:pPr>
              <w:jc w:val="right"/>
              <w:rPr>
                <w:i/>
                <w:iCs/>
                <w:noProof/>
                <w:color w:val="000000"/>
                <w:sz w:val="16"/>
                <w:szCs w:val="16"/>
              </w:rPr>
            </w:pPr>
            <w:r>
              <w:rPr>
                <w:i/>
                <w:noProof/>
                <w:color w:val="000000"/>
                <w:sz w:val="16"/>
              </w:rPr>
              <w:t>64 683 000 000</w:t>
            </w:r>
          </w:p>
        </w:tc>
        <w:tc>
          <w:tcPr>
            <w:tcW w:w="1276" w:type="dxa"/>
            <w:tcBorders>
              <w:top w:val="nil"/>
              <w:left w:val="nil"/>
              <w:bottom w:val="single" w:sz="8" w:space="0" w:color="auto"/>
              <w:right w:val="single" w:sz="8" w:space="0" w:color="auto"/>
            </w:tcBorders>
            <w:shd w:val="clear" w:color="auto" w:fill="auto"/>
            <w:vAlign w:val="center"/>
            <w:hideMark/>
          </w:tcPr>
          <w:p w14:paraId="30AA633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AE035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1D9F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8D3EAFE" w14:textId="77777777" w:rsidR="007C250E" w:rsidRPr="007C250E" w:rsidRDefault="007C250E" w:rsidP="007C250E">
            <w:pPr>
              <w:jc w:val="right"/>
              <w:rPr>
                <w:i/>
                <w:iCs/>
                <w:noProof/>
                <w:color w:val="000000"/>
                <w:sz w:val="16"/>
                <w:szCs w:val="16"/>
              </w:rPr>
            </w:pPr>
            <w:r>
              <w:rPr>
                <w:i/>
                <w:noProof/>
                <w:color w:val="000000"/>
                <w:sz w:val="16"/>
              </w:rPr>
              <w:t xml:space="preserve">64 683 000 000 </w:t>
            </w:r>
          </w:p>
        </w:tc>
        <w:tc>
          <w:tcPr>
            <w:tcW w:w="1276" w:type="dxa"/>
            <w:tcBorders>
              <w:top w:val="nil"/>
              <w:left w:val="nil"/>
              <w:bottom w:val="single" w:sz="8" w:space="0" w:color="auto"/>
              <w:right w:val="single" w:sz="8" w:space="0" w:color="auto"/>
            </w:tcBorders>
            <w:shd w:val="clear" w:color="auto" w:fill="auto"/>
            <w:vAlign w:val="center"/>
            <w:hideMark/>
          </w:tcPr>
          <w:p w14:paraId="04EADB5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EF7563C"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9FB122"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0C5B52C0" w14:textId="77777777" w:rsidR="007C250E" w:rsidRPr="007C250E" w:rsidRDefault="007C250E" w:rsidP="007C250E">
            <w:pPr>
              <w:jc w:val="right"/>
              <w:rPr>
                <w:i/>
                <w:iCs/>
                <w:noProof/>
                <w:color w:val="000000"/>
                <w:sz w:val="16"/>
                <w:szCs w:val="16"/>
              </w:rPr>
            </w:pPr>
            <w:r>
              <w:rPr>
                <w:i/>
                <w:noProof/>
                <w:color w:val="000000"/>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26824AB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794CCF"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84847B"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5DB3016" w14:textId="77777777" w:rsidR="007C250E" w:rsidRPr="007C250E" w:rsidRDefault="007C250E" w:rsidP="007C250E">
            <w:pPr>
              <w:jc w:val="right"/>
              <w:rPr>
                <w:i/>
                <w:iCs/>
                <w:noProof/>
                <w:color w:val="000000"/>
                <w:sz w:val="16"/>
                <w:szCs w:val="16"/>
              </w:rPr>
            </w:pPr>
            <w:r>
              <w:rPr>
                <w:i/>
                <w:noProof/>
                <w:color w:val="000000"/>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04D087D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693D"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1B41890" w14:textId="77777777" w:rsidR="007C250E" w:rsidRPr="007C250E" w:rsidRDefault="007C250E" w:rsidP="007C250E">
            <w:pPr>
              <w:jc w:val="both"/>
              <w:rPr>
                <w:noProof/>
                <w:sz w:val="16"/>
                <w:szCs w:val="16"/>
              </w:rPr>
            </w:pPr>
            <w:r>
              <w:rPr>
                <w:noProof/>
                <w:sz w:val="16"/>
              </w:rPr>
              <w:t>2b.</w:t>
            </w:r>
          </w:p>
        </w:tc>
        <w:tc>
          <w:tcPr>
            <w:tcW w:w="2551" w:type="dxa"/>
            <w:tcBorders>
              <w:top w:val="nil"/>
              <w:left w:val="nil"/>
              <w:bottom w:val="single" w:sz="8" w:space="0" w:color="auto"/>
              <w:right w:val="single" w:sz="8" w:space="0" w:color="auto"/>
            </w:tcBorders>
            <w:shd w:val="clear" w:color="000000" w:fill="D9D9D9"/>
            <w:vAlign w:val="center"/>
            <w:hideMark/>
          </w:tcPr>
          <w:p w14:paraId="751EFAD7" w14:textId="77777777" w:rsidR="007C250E" w:rsidRPr="007C250E" w:rsidRDefault="007C250E" w:rsidP="007C250E">
            <w:pPr>
              <w:jc w:val="both"/>
              <w:rPr>
                <w:noProof/>
                <w:sz w:val="16"/>
                <w:szCs w:val="16"/>
              </w:rPr>
            </w:pPr>
            <w:r>
              <w:rPr>
                <w:noProof/>
                <w:sz w:val="16"/>
              </w:rPr>
              <w:t>Odolnosť a hodnoty</w:t>
            </w:r>
          </w:p>
        </w:tc>
        <w:tc>
          <w:tcPr>
            <w:tcW w:w="1276" w:type="dxa"/>
            <w:tcBorders>
              <w:top w:val="nil"/>
              <w:left w:val="nil"/>
              <w:bottom w:val="single" w:sz="8" w:space="0" w:color="auto"/>
              <w:right w:val="single" w:sz="8" w:space="0" w:color="auto"/>
            </w:tcBorders>
            <w:shd w:val="clear" w:color="000000" w:fill="D9D9D9"/>
            <w:vAlign w:val="center"/>
            <w:hideMark/>
          </w:tcPr>
          <w:p w14:paraId="408A0298" w14:textId="77777777" w:rsidR="007C250E" w:rsidRPr="007C250E" w:rsidRDefault="007C250E" w:rsidP="007C250E">
            <w:pPr>
              <w:jc w:val="right"/>
              <w:rPr>
                <w:noProof/>
                <w:sz w:val="16"/>
                <w:szCs w:val="16"/>
              </w:rPr>
            </w:pPr>
            <w:r>
              <w:rPr>
                <w:noProof/>
                <w:sz w:val="16"/>
              </w:rPr>
              <w:t>10 314 167 833</w:t>
            </w:r>
          </w:p>
        </w:tc>
        <w:tc>
          <w:tcPr>
            <w:tcW w:w="1276" w:type="dxa"/>
            <w:tcBorders>
              <w:top w:val="nil"/>
              <w:left w:val="nil"/>
              <w:bottom w:val="single" w:sz="8" w:space="0" w:color="auto"/>
              <w:right w:val="single" w:sz="8" w:space="0" w:color="auto"/>
            </w:tcBorders>
            <w:shd w:val="clear" w:color="000000" w:fill="D9D9D9"/>
            <w:vAlign w:val="center"/>
            <w:hideMark/>
          </w:tcPr>
          <w:p w14:paraId="09924EC6" w14:textId="77777777" w:rsidR="007C250E" w:rsidRPr="007C250E" w:rsidRDefault="007C250E" w:rsidP="007C250E">
            <w:pPr>
              <w:jc w:val="right"/>
              <w:rPr>
                <w:noProof/>
                <w:sz w:val="16"/>
                <w:szCs w:val="16"/>
              </w:rPr>
            </w:pPr>
            <w:r>
              <w:rPr>
                <w:noProof/>
                <w:sz w:val="16"/>
              </w:rPr>
              <w:t>10 030 385 177</w:t>
            </w:r>
          </w:p>
        </w:tc>
        <w:tc>
          <w:tcPr>
            <w:tcW w:w="1134" w:type="dxa"/>
            <w:tcBorders>
              <w:top w:val="nil"/>
              <w:left w:val="nil"/>
              <w:bottom w:val="single" w:sz="8" w:space="0" w:color="auto"/>
              <w:right w:val="single" w:sz="8" w:space="0" w:color="auto"/>
            </w:tcBorders>
            <w:shd w:val="clear" w:color="000000" w:fill="D9D9D9"/>
            <w:vAlign w:val="center"/>
            <w:hideMark/>
          </w:tcPr>
          <w:p w14:paraId="4CE4B554" w14:textId="77777777" w:rsidR="007C250E" w:rsidRPr="007C250E" w:rsidRDefault="007C250E" w:rsidP="007C250E">
            <w:pPr>
              <w:jc w:val="right"/>
              <w:rPr>
                <w:noProof/>
                <w:sz w:val="16"/>
                <w:szCs w:val="16"/>
              </w:rPr>
            </w:pPr>
            <w:r>
              <w:rPr>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7D0D4894" w14:textId="77777777" w:rsidR="007C250E" w:rsidRPr="007C250E" w:rsidRDefault="007C250E" w:rsidP="007C250E">
            <w:pPr>
              <w:jc w:val="right"/>
              <w:rPr>
                <w:noProof/>
                <w:sz w:val="16"/>
                <w:szCs w:val="16"/>
              </w:rPr>
            </w:pPr>
            <w:r>
              <w:rPr>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01A659A5" w14:textId="77777777" w:rsidR="007C250E" w:rsidRPr="007C250E" w:rsidRDefault="007C250E" w:rsidP="007C250E">
            <w:pPr>
              <w:jc w:val="right"/>
              <w:rPr>
                <w:noProof/>
                <w:sz w:val="16"/>
                <w:szCs w:val="16"/>
              </w:rPr>
            </w:pPr>
            <w:r>
              <w:rPr>
                <w:noProof/>
                <w:sz w:val="16"/>
              </w:rPr>
              <w:t xml:space="preserve">10 242 167 833 </w:t>
            </w:r>
          </w:p>
        </w:tc>
        <w:tc>
          <w:tcPr>
            <w:tcW w:w="1276" w:type="dxa"/>
            <w:tcBorders>
              <w:top w:val="nil"/>
              <w:left w:val="nil"/>
              <w:bottom w:val="single" w:sz="8" w:space="0" w:color="auto"/>
              <w:right w:val="single" w:sz="8" w:space="0" w:color="auto"/>
            </w:tcBorders>
            <w:shd w:val="clear" w:color="000000" w:fill="D9D9D9"/>
            <w:vAlign w:val="center"/>
            <w:hideMark/>
          </w:tcPr>
          <w:p w14:paraId="65C9B66D" w14:textId="77777777" w:rsidR="007C250E" w:rsidRPr="007C250E" w:rsidRDefault="007C250E" w:rsidP="007C250E">
            <w:pPr>
              <w:jc w:val="right"/>
              <w:rPr>
                <w:noProof/>
                <w:sz w:val="16"/>
                <w:szCs w:val="16"/>
              </w:rPr>
            </w:pPr>
            <w:r>
              <w:rPr>
                <w:noProof/>
                <w:sz w:val="16"/>
              </w:rPr>
              <w:t xml:space="preserve">9 958 385 177 </w:t>
            </w:r>
          </w:p>
        </w:tc>
      </w:tr>
      <w:tr w:rsidR="007C250E" w:rsidRPr="007C250E" w14:paraId="16FA0FF7"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E9A0ED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7384B76" w14:textId="77777777" w:rsidR="007C250E" w:rsidRPr="007C250E" w:rsidRDefault="007C250E" w:rsidP="007C250E">
            <w:pPr>
              <w:jc w:val="right"/>
              <w:rPr>
                <w:b/>
                <w:bCs/>
                <w:noProof/>
                <w:sz w:val="16"/>
                <w:szCs w:val="16"/>
              </w:rPr>
            </w:pPr>
            <w:r>
              <w:rPr>
                <w:b/>
                <w:noProof/>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35B3C35C" w14:textId="77777777" w:rsidR="007C250E" w:rsidRPr="007C250E" w:rsidRDefault="007C250E" w:rsidP="007C250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4C5A83E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83FD54"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9A5E60"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236112" w14:textId="77777777" w:rsidR="007C250E" w:rsidRPr="007C250E" w:rsidRDefault="007C250E" w:rsidP="007C250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664F9AFF" w14:textId="77777777" w:rsidR="007C250E" w:rsidRPr="007C250E" w:rsidRDefault="007C250E" w:rsidP="007C250E">
            <w:pPr>
              <w:jc w:val="right"/>
              <w:rPr>
                <w:noProof/>
                <w:sz w:val="16"/>
                <w:szCs w:val="16"/>
              </w:rPr>
            </w:pPr>
            <w:r>
              <w:rPr>
                <w:noProof/>
                <w:sz w:val="16"/>
              </w:rPr>
              <w:t xml:space="preserve"> </w:t>
            </w:r>
          </w:p>
        </w:tc>
      </w:tr>
      <w:tr w:rsidR="007C250E" w:rsidRPr="007C250E" w14:paraId="2EF3BFE5"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2433CB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87D04FC" w14:textId="77777777" w:rsidR="007C250E" w:rsidRPr="007C250E" w:rsidRDefault="007C250E" w:rsidP="007C250E">
            <w:pPr>
              <w:jc w:val="right"/>
              <w:rPr>
                <w:b/>
                <w:bCs/>
                <w:noProof/>
                <w:sz w:val="16"/>
                <w:szCs w:val="16"/>
              </w:rPr>
            </w:pPr>
            <w:r>
              <w:rPr>
                <w:b/>
                <w:noProof/>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2F34FC7B" w14:textId="77777777" w:rsidR="007C250E" w:rsidRPr="007C250E" w:rsidRDefault="007C250E" w:rsidP="007C250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1EC6D8B9"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74E31C" w14:textId="77777777" w:rsidR="007C250E" w:rsidRPr="007C250E" w:rsidRDefault="007C250E" w:rsidP="007C250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183981F7"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13B9D92" w14:textId="77777777" w:rsidR="007C250E" w:rsidRPr="007C250E" w:rsidRDefault="007C250E" w:rsidP="007C250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1718D6C3" w14:textId="77777777" w:rsidR="007C250E" w:rsidRPr="007C250E" w:rsidRDefault="007C250E" w:rsidP="007C250E">
            <w:pPr>
              <w:jc w:val="right"/>
              <w:rPr>
                <w:noProof/>
                <w:sz w:val="16"/>
                <w:szCs w:val="16"/>
              </w:rPr>
            </w:pPr>
            <w:r>
              <w:rPr>
                <w:noProof/>
                <w:sz w:val="16"/>
              </w:rPr>
              <w:t xml:space="preserve"> </w:t>
            </w:r>
          </w:p>
        </w:tc>
      </w:tr>
      <w:tr w:rsidR="007C250E" w:rsidRPr="007C250E" w14:paraId="32A1DE7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81591D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E8933FB"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009C11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5B3C1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1D630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6DB22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A595AF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04724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E6B57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DF9987" w14:textId="77777777" w:rsidR="007C250E" w:rsidRPr="007C250E" w:rsidRDefault="007C250E" w:rsidP="007C250E">
            <w:pPr>
              <w:jc w:val="right"/>
              <w:rPr>
                <w:b/>
                <w:bCs/>
                <w:i/>
                <w:iCs/>
                <w:noProof/>
                <w:color w:val="000000"/>
                <w:sz w:val="16"/>
                <w:szCs w:val="16"/>
              </w:rPr>
            </w:pPr>
            <w:r>
              <w:rPr>
                <w:b/>
                <w:i/>
                <w:noProof/>
                <w:color w:val="000000"/>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4B1188EA" w14:textId="77777777" w:rsidR="007C250E" w:rsidRPr="007C250E" w:rsidRDefault="007C250E" w:rsidP="007C250E">
            <w:pPr>
              <w:jc w:val="right"/>
              <w:rPr>
                <w:i/>
                <w:iCs/>
                <w:noProof/>
                <w:color w:val="000000"/>
                <w:sz w:val="16"/>
                <w:szCs w:val="16"/>
              </w:rPr>
            </w:pPr>
            <w:r>
              <w:rPr>
                <w:i/>
                <w:noProof/>
                <w:color w:val="000000"/>
                <w:sz w:val="16"/>
              </w:rPr>
              <w:t>8 606 000 000</w:t>
            </w:r>
          </w:p>
        </w:tc>
        <w:tc>
          <w:tcPr>
            <w:tcW w:w="1276" w:type="dxa"/>
            <w:tcBorders>
              <w:top w:val="nil"/>
              <w:left w:val="nil"/>
              <w:bottom w:val="single" w:sz="8" w:space="0" w:color="auto"/>
              <w:right w:val="single" w:sz="8" w:space="0" w:color="auto"/>
            </w:tcBorders>
            <w:shd w:val="clear" w:color="auto" w:fill="auto"/>
            <w:vAlign w:val="center"/>
            <w:hideMark/>
          </w:tcPr>
          <w:p w14:paraId="7ABE4D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B6C96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5A43E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DEAA3CA" w14:textId="77777777" w:rsidR="007C250E" w:rsidRPr="007C250E" w:rsidRDefault="007C250E" w:rsidP="007C250E">
            <w:pPr>
              <w:jc w:val="right"/>
              <w:rPr>
                <w:i/>
                <w:iCs/>
                <w:noProof/>
                <w:color w:val="000000"/>
                <w:sz w:val="16"/>
                <w:szCs w:val="16"/>
              </w:rPr>
            </w:pPr>
            <w:r>
              <w:rPr>
                <w:i/>
                <w:noProof/>
                <w:color w:val="000000"/>
                <w:sz w:val="16"/>
              </w:rPr>
              <w:t xml:space="preserve">8 606 000 000 </w:t>
            </w:r>
          </w:p>
        </w:tc>
        <w:tc>
          <w:tcPr>
            <w:tcW w:w="1276" w:type="dxa"/>
            <w:tcBorders>
              <w:top w:val="nil"/>
              <w:left w:val="nil"/>
              <w:bottom w:val="single" w:sz="8" w:space="0" w:color="auto"/>
              <w:right w:val="single" w:sz="8" w:space="0" w:color="auto"/>
            </w:tcBorders>
            <w:shd w:val="clear" w:color="auto" w:fill="auto"/>
            <w:vAlign w:val="center"/>
            <w:hideMark/>
          </w:tcPr>
          <w:p w14:paraId="2D9A7E2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D20FD8"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CBCC5A" w14:textId="77777777" w:rsidR="007C250E" w:rsidRPr="007C250E" w:rsidRDefault="007C250E" w:rsidP="007C250E">
            <w:pPr>
              <w:jc w:val="right"/>
              <w:rPr>
                <w:b/>
                <w:bCs/>
                <w:i/>
                <w:iCs/>
                <w:noProof/>
                <w:sz w:val="16"/>
                <w:szCs w:val="16"/>
              </w:rPr>
            </w:pPr>
            <w:r>
              <w:rPr>
                <w:b/>
                <w:i/>
                <w:noProof/>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686B6EC9" w14:textId="77777777" w:rsidR="007C250E" w:rsidRPr="007C250E" w:rsidRDefault="007C250E" w:rsidP="007C250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8609E7"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36F0E8"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FC4D635"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D5ABEF8" w14:textId="77777777" w:rsidR="007C250E" w:rsidRPr="007C250E" w:rsidRDefault="007C250E" w:rsidP="007C250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5CF28E" w14:textId="77777777" w:rsidR="007C250E" w:rsidRPr="007C250E" w:rsidRDefault="007C250E" w:rsidP="007C250E">
            <w:pPr>
              <w:jc w:val="right"/>
              <w:rPr>
                <w:noProof/>
                <w:sz w:val="16"/>
                <w:szCs w:val="16"/>
              </w:rPr>
            </w:pPr>
            <w:r>
              <w:rPr>
                <w:noProof/>
                <w:sz w:val="16"/>
              </w:rPr>
              <w:t xml:space="preserve"> </w:t>
            </w:r>
          </w:p>
        </w:tc>
      </w:tr>
      <w:tr w:rsidR="007C250E" w:rsidRPr="007C250E" w14:paraId="44E7C970"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2B6BEA5" w14:textId="77777777" w:rsidR="007C250E" w:rsidRPr="007C250E" w:rsidRDefault="007C250E" w:rsidP="007C250E">
            <w:pPr>
              <w:jc w:val="both"/>
              <w:rPr>
                <w:b/>
                <w:bCs/>
                <w:noProof/>
                <w:sz w:val="16"/>
                <w:szCs w:val="16"/>
              </w:rPr>
            </w:pPr>
            <w:r>
              <w:rPr>
                <w:b/>
                <w:noProof/>
                <w:sz w:val="16"/>
              </w:rPr>
              <w:t>3.</w:t>
            </w:r>
          </w:p>
        </w:tc>
        <w:tc>
          <w:tcPr>
            <w:tcW w:w="2551" w:type="dxa"/>
            <w:tcBorders>
              <w:top w:val="nil"/>
              <w:left w:val="nil"/>
              <w:bottom w:val="single" w:sz="8" w:space="0" w:color="auto"/>
              <w:right w:val="single" w:sz="8" w:space="0" w:color="auto"/>
            </w:tcBorders>
            <w:shd w:val="clear" w:color="000000" w:fill="D9D9D9"/>
            <w:vAlign w:val="center"/>
            <w:hideMark/>
          </w:tcPr>
          <w:p w14:paraId="37BC6601" w14:textId="77777777" w:rsidR="007C250E" w:rsidRPr="007C250E" w:rsidRDefault="007C250E" w:rsidP="007C250E">
            <w:pPr>
              <w:jc w:val="both"/>
              <w:rPr>
                <w:b/>
                <w:bCs/>
                <w:noProof/>
                <w:sz w:val="16"/>
                <w:szCs w:val="16"/>
              </w:rPr>
            </w:pPr>
            <w:r>
              <w:rPr>
                <w:b/>
                <w:noProof/>
                <w:sz w:val="16"/>
              </w:rPr>
              <w:t>Prírodné zdroje a životné prostredie</w:t>
            </w:r>
          </w:p>
        </w:tc>
        <w:tc>
          <w:tcPr>
            <w:tcW w:w="1276" w:type="dxa"/>
            <w:tcBorders>
              <w:top w:val="nil"/>
              <w:left w:val="nil"/>
              <w:bottom w:val="single" w:sz="8" w:space="0" w:color="auto"/>
              <w:right w:val="single" w:sz="8" w:space="0" w:color="auto"/>
            </w:tcBorders>
            <w:shd w:val="clear" w:color="000000" w:fill="D9D9D9"/>
            <w:vAlign w:val="center"/>
            <w:hideMark/>
          </w:tcPr>
          <w:p w14:paraId="51A218B2" w14:textId="77777777" w:rsidR="007C250E" w:rsidRPr="007C250E" w:rsidRDefault="007C250E" w:rsidP="007C250E">
            <w:pPr>
              <w:jc w:val="right"/>
              <w:rPr>
                <w:b/>
                <w:bCs/>
                <w:noProof/>
                <w:sz w:val="16"/>
                <w:szCs w:val="16"/>
              </w:rPr>
            </w:pPr>
            <w:r>
              <w:rPr>
                <w:b/>
                <w:noProof/>
                <w:sz w:val="16"/>
              </w:rPr>
              <w:t>57 388 890 839</w:t>
            </w:r>
          </w:p>
        </w:tc>
        <w:tc>
          <w:tcPr>
            <w:tcW w:w="1276" w:type="dxa"/>
            <w:tcBorders>
              <w:top w:val="nil"/>
              <w:left w:val="nil"/>
              <w:bottom w:val="single" w:sz="8" w:space="0" w:color="auto"/>
              <w:right w:val="single" w:sz="8" w:space="0" w:color="auto"/>
            </w:tcBorders>
            <w:shd w:val="clear" w:color="000000" w:fill="D9D9D9"/>
            <w:vAlign w:val="center"/>
            <w:hideMark/>
          </w:tcPr>
          <w:p w14:paraId="529A3776" w14:textId="77777777" w:rsidR="007C250E" w:rsidRPr="007C250E" w:rsidRDefault="007C250E" w:rsidP="007C250E">
            <w:pPr>
              <w:jc w:val="right"/>
              <w:rPr>
                <w:b/>
                <w:bCs/>
                <w:noProof/>
                <w:sz w:val="16"/>
                <w:szCs w:val="16"/>
              </w:rPr>
            </w:pPr>
            <w:r>
              <w:rPr>
                <w:b/>
                <w:noProof/>
                <w:sz w:val="16"/>
              </w:rPr>
              <w:t>54 232 567 941</w:t>
            </w:r>
          </w:p>
        </w:tc>
        <w:tc>
          <w:tcPr>
            <w:tcW w:w="1134" w:type="dxa"/>
            <w:tcBorders>
              <w:top w:val="nil"/>
              <w:left w:val="nil"/>
              <w:bottom w:val="single" w:sz="8" w:space="0" w:color="auto"/>
              <w:right w:val="single" w:sz="8" w:space="0" w:color="auto"/>
            </w:tcBorders>
            <w:shd w:val="clear" w:color="000000" w:fill="D9D9D9"/>
            <w:vAlign w:val="center"/>
            <w:hideMark/>
          </w:tcPr>
          <w:p w14:paraId="014E78B2"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A78FB70"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4E52C90F" w14:textId="77777777" w:rsidR="007C250E" w:rsidRPr="007C250E" w:rsidRDefault="007C250E" w:rsidP="007C250E">
            <w:pPr>
              <w:jc w:val="right"/>
              <w:rPr>
                <w:b/>
                <w:bCs/>
                <w:noProof/>
                <w:sz w:val="16"/>
                <w:szCs w:val="16"/>
              </w:rPr>
            </w:pPr>
            <w:r>
              <w:rPr>
                <w:b/>
                <w:noProof/>
                <w:sz w:val="16"/>
              </w:rPr>
              <w:t xml:space="preserve">57 388 890 839 </w:t>
            </w:r>
          </w:p>
        </w:tc>
        <w:tc>
          <w:tcPr>
            <w:tcW w:w="1276" w:type="dxa"/>
            <w:tcBorders>
              <w:top w:val="nil"/>
              <w:left w:val="nil"/>
              <w:bottom w:val="single" w:sz="8" w:space="0" w:color="auto"/>
              <w:right w:val="single" w:sz="8" w:space="0" w:color="auto"/>
            </w:tcBorders>
            <w:shd w:val="clear" w:color="000000" w:fill="D9D9D9"/>
            <w:vAlign w:val="center"/>
            <w:hideMark/>
          </w:tcPr>
          <w:p w14:paraId="58F833CB" w14:textId="77777777" w:rsidR="007C250E" w:rsidRPr="007C250E" w:rsidRDefault="007C250E" w:rsidP="007C250E">
            <w:pPr>
              <w:jc w:val="right"/>
              <w:rPr>
                <w:b/>
                <w:bCs/>
                <w:noProof/>
                <w:sz w:val="16"/>
                <w:szCs w:val="16"/>
              </w:rPr>
            </w:pPr>
            <w:r>
              <w:rPr>
                <w:b/>
                <w:noProof/>
                <w:sz w:val="16"/>
              </w:rPr>
              <w:t xml:space="preserve">54 232 567 941 </w:t>
            </w:r>
          </w:p>
        </w:tc>
      </w:tr>
      <w:tr w:rsidR="007C250E" w:rsidRPr="007C250E" w14:paraId="33A8BDF4"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27AD9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C3B8D3E"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63A6420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3F59A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5F89C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365C6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983E0F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594B4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9AD7F1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6B8BFC1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4534FB4"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3B2599B6"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C86B58F"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EFEBA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2FD15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E7FAE0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4358A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69B094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FF0C58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2D7C7B5"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4B152C8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5A966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48D95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C5C17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A9C695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8230E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9554B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BEB57D" w14:textId="77777777" w:rsidR="007C250E" w:rsidRPr="007C250E" w:rsidRDefault="007C250E" w:rsidP="007C250E">
            <w:pPr>
              <w:jc w:val="right"/>
              <w:rPr>
                <w:b/>
                <w:bCs/>
                <w:i/>
                <w:iCs/>
                <w:noProof/>
                <w:sz w:val="16"/>
                <w:szCs w:val="16"/>
              </w:rPr>
            </w:pPr>
            <w:r>
              <w:rPr>
                <w:b/>
                <w:i/>
                <w:noProof/>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53456310" w14:textId="77777777" w:rsidR="007C250E" w:rsidRPr="007C250E" w:rsidRDefault="007C250E" w:rsidP="007C250E">
            <w:pPr>
              <w:jc w:val="right"/>
              <w:rPr>
                <w:i/>
                <w:iCs/>
                <w:noProof/>
                <w:sz w:val="16"/>
                <w:szCs w:val="16"/>
              </w:rPr>
            </w:pPr>
            <w:r>
              <w:rPr>
                <w:i/>
                <w:noProof/>
                <w:sz w:val="16"/>
              </w:rPr>
              <w:t>57 449 000 000</w:t>
            </w:r>
          </w:p>
        </w:tc>
        <w:tc>
          <w:tcPr>
            <w:tcW w:w="1276" w:type="dxa"/>
            <w:tcBorders>
              <w:top w:val="nil"/>
              <w:left w:val="nil"/>
              <w:bottom w:val="single" w:sz="8" w:space="0" w:color="auto"/>
              <w:right w:val="single" w:sz="8" w:space="0" w:color="auto"/>
            </w:tcBorders>
            <w:shd w:val="clear" w:color="auto" w:fill="auto"/>
            <w:vAlign w:val="center"/>
            <w:hideMark/>
          </w:tcPr>
          <w:p w14:paraId="27F630F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C1002C"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30514E"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ABF573" w14:textId="77777777" w:rsidR="007C250E" w:rsidRPr="007C250E" w:rsidRDefault="007C250E" w:rsidP="007C250E">
            <w:pPr>
              <w:jc w:val="right"/>
              <w:rPr>
                <w:i/>
                <w:iCs/>
                <w:noProof/>
                <w:sz w:val="16"/>
                <w:szCs w:val="16"/>
              </w:rPr>
            </w:pPr>
            <w:r>
              <w:rPr>
                <w:i/>
                <w:noProof/>
                <w:sz w:val="16"/>
              </w:rPr>
              <w:t xml:space="preserve">57 449 000 000 </w:t>
            </w:r>
          </w:p>
        </w:tc>
        <w:tc>
          <w:tcPr>
            <w:tcW w:w="1276" w:type="dxa"/>
            <w:tcBorders>
              <w:top w:val="nil"/>
              <w:left w:val="nil"/>
              <w:bottom w:val="single" w:sz="8" w:space="0" w:color="auto"/>
              <w:right w:val="single" w:sz="8" w:space="0" w:color="auto"/>
            </w:tcBorders>
            <w:shd w:val="clear" w:color="auto" w:fill="auto"/>
            <w:vAlign w:val="center"/>
            <w:hideMark/>
          </w:tcPr>
          <w:p w14:paraId="28F42DFF" w14:textId="77777777" w:rsidR="007C250E" w:rsidRPr="007C250E" w:rsidRDefault="007C250E" w:rsidP="007C250E">
            <w:pPr>
              <w:jc w:val="right"/>
              <w:rPr>
                <w:noProof/>
                <w:sz w:val="16"/>
                <w:szCs w:val="16"/>
              </w:rPr>
            </w:pPr>
            <w:r>
              <w:rPr>
                <w:noProof/>
                <w:sz w:val="16"/>
              </w:rPr>
              <w:t xml:space="preserve"> </w:t>
            </w:r>
          </w:p>
        </w:tc>
      </w:tr>
      <w:tr w:rsidR="007C250E" w:rsidRPr="007C250E" w14:paraId="6BE66426"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E002D2"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65D8DBF2" w14:textId="77777777" w:rsidR="007C250E" w:rsidRPr="007C250E" w:rsidRDefault="007C250E" w:rsidP="007C250E">
            <w:pPr>
              <w:jc w:val="right"/>
              <w:rPr>
                <w:i/>
                <w:iCs/>
                <w:noProof/>
                <w:color w:val="000000"/>
                <w:sz w:val="16"/>
                <w:szCs w:val="16"/>
              </w:rPr>
            </w:pPr>
            <w:r>
              <w:rPr>
                <w:i/>
                <w:noProof/>
                <w:color w:val="000000"/>
                <w:sz w:val="16"/>
              </w:rPr>
              <w:t>60 109 161</w:t>
            </w:r>
          </w:p>
        </w:tc>
        <w:tc>
          <w:tcPr>
            <w:tcW w:w="1276" w:type="dxa"/>
            <w:tcBorders>
              <w:top w:val="nil"/>
              <w:left w:val="nil"/>
              <w:bottom w:val="single" w:sz="8" w:space="0" w:color="auto"/>
              <w:right w:val="single" w:sz="8" w:space="0" w:color="auto"/>
            </w:tcBorders>
            <w:shd w:val="clear" w:color="auto" w:fill="auto"/>
            <w:vAlign w:val="center"/>
            <w:hideMark/>
          </w:tcPr>
          <w:p w14:paraId="4B7AD2D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F67816"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69CDD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10B8A61" w14:textId="77777777" w:rsidR="007C250E" w:rsidRPr="007C250E" w:rsidRDefault="007C250E" w:rsidP="007C250E">
            <w:pPr>
              <w:jc w:val="right"/>
              <w:rPr>
                <w:i/>
                <w:iCs/>
                <w:noProof/>
                <w:color w:val="000000"/>
                <w:sz w:val="16"/>
                <w:szCs w:val="16"/>
              </w:rPr>
            </w:pPr>
            <w:r>
              <w:rPr>
                <w:i/>
                <w:noProof/>
                <w:color w:val="000000"/>
                <w:sz w:val="16"/>
              </w:rPr>
              <w:t xml:space="preserve">60 109 161 </w:t>
            </w:r>
          </w:p>
        </w:tc>
        <w:tc>
          <w:tcPr>
            <w:tcW w:w="1276" w:type="dxa"/>
            <w:tcBorders>
              <w:top w:val="nil"/>
              <w:left w:val="nil"/>
              <w:bottom w:val="single" w:sz="8" w:space="0" w:color="auto"/>
              <w:right w:val="single" w:sz="8" w:space="0" w:color="auto"/>
            </w:tcBorders>
            <w:shd w:val="clear" w:color="auto" w:fill="auto"/>
            <w:vAlign w:val="center"/>
            <w:hideMark/>
          </w:tcPr>
          <w:p w14:paraId="52C85EB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CC10" w14:textId="77777777" w:rsidTr="007C250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009D0590"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22EB0D40" w14:textId="77777777" w:rsidR="007C250E" w:rsidRPr="007C250E" w:rsidRDefault="007C250E" w:rsidP="007C250E">
            <w:pPr>
              <w:jc w:val="both"/>
              <w:rPr>
                <w:b/>
                <w:bCs/>
                <w:noProof/>
                <w:color w:val="000000"/>
                <w:sz w:val="16"/>
                <w:szCs w:val="16"/>
              </w:rPr>
            </w:pPr>
            <w:r>
              <w:rPr>
                <w:b/>
                <w:noProof/>
                <w:color w:val="000000"/>
                <w:sz w:val="16"/>
              </w:rPr>
              <w:t>Z toho: výdavky súvisiace s trhom a priame platby</w:t>
            </w:r>
          </w:p>
        </w:tc>
        <w:tc>
          <w:tcPr>
            <w:tcW w:w="1276" w:type="dxa"/>
            <w:tcBorders>
              <w:top w:val="nil"/>
              <w:left w:val="nil"/>
              <w:bottom w:val="single" w:sz="8" w:space="0" w:color="auto"/>
              <w:right w:val="single" w:sz="8" w:space="0" w:color="auto"/>
            </w:tcBorders>
            <w:shd w:val="clear" w:color="000000" w:fill="D9D9D9"/>
            <w:vAlign w:val="center"/>
            <w:hideMark/>
          </w:tcPr>
          <w:p w14:paraId="2E6822F9" w14:textId="77777777" w:rsidR="007C250E" w:rsidRPr="007C250E" w:rsidRDefault="007C250E" w:rsidP="007C250E">
            <w:pPr>
              <w:jc w:val="right"/>
              <w:rPr>
                <w:b/>
                <w:bCs/>
                <w:noProof/>
                <w:color w:val="000000"/>
                <w:sz w:val="16"/>
                <w:szCs w:val="16"/>
              </w:rPr>
            </w:pPr>
            <w:r>
              <w:rPr>
                <w:b/>
                <w:noProof/>
                <w:color w:val="000000"/>
                <w:sz w:val="16"/>
              </w:rPr>
              <w:t>40 602 078 000</w:t>
            </w:r>
          </w:p>
        </w:tc>
        <w:tc>
          <w:tcPr>
            <w:tcW w:w="1276" w:type="dxa"/>
            <w:tcBorders>
              <w:top w:val="nil"/>
              <w:left w:val="nil"/>
              <w:bottom w:val="single" w:sz="8" w:space="0" w:color="auto"/>
              <w:right w:val="single" w:sz="8" w:space="0" w:color="auto"/>
            </w:tcBorders>
            <w:shd w:val="clear" w:color="000000" w:fill="D9D9D9"/>
            <w:vAlign w:val="center"/>
            <w:hideMark/>
          </w:tcPr>
          <w:p w14:paraId="6C127DD0" w14:textId="77777777" w:rsidR="007C250E" w:rsidRPr="007C250E" w:rsidRDefault="007C250E" w:rsidP="007C250E">
            <w:pPr>
              <w:jc w:val="right"/>
              <w:rPr>
                <w:b/>
                <w:bCs/>
                <w:noProof/>
                <w:color w:val="000000"/>
                <w:sz w:val="16"/>
                <w:szCs w:val="16"/>
              </w:rPr>
            </w:pPr>
            <w:r>
              <w:rPr>
                <w:b/>
                <w:noProof/>
                <w:color w:val="000000"/>
                <w:sz w:val="16"/>
              </w:rPr>
              <w:t>40 590 282 213</w:t>
            </w:r>
          </w:p>
        </w:tc>
        <w:tc>
          <w:tcPr>
            <w:tcW w:w="1134" w:type="dxa"/>
            <w:tcBorders>
              <w:top w:val="nil"/>
              <w:left w:val="nil"/>
              <w:bottom w:val="single" w:sz="8" w:space="0" w:color="auto"/>
              <w:right w:val="single" w:sz="8" w:space="0" w:color="auto"/>
            </w:tcBorders>
            <w:shd w:val="clear" w:color="000000" w:fill="D9D9D9"/>
            <w:vAlign w:val="center"/>
            <w:hideMark/>
          </w:tcPr>
          <w:p w14:paraId="1C718478"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9F3C10A"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741877B" w14:textId="77777777" w:rsidR="007C250E" w:rsidRPr="007C250E" w:rsidRDefault="007C250E" w:rsidP="007C250E">
            <w:pPr>
              <w:jc w:val="right"/>
              <w:rPr>
                <w:b/>
                <w:bCs/>
                <w:noProof/>
                <w:color w:val="000000"/>
                <w:sz w:val="16"/>
                <w:szCs w:val="16"/>
              </w:rPr>
            </w:pPr>
            <w:r>
              <w:rPr>
                <w:b/>
                <w:noProof/>
                <w:color w:val="000000"/>
                <w:sz w:val="16"/>
              </w:rPr>
              <w:t xml:space="preserve">40 602 078 000 </w:t>
            </w:r>
          </w:p>
        </w:tc>
        <w:tc>
          <w:tcPr>
            <w:tcW w:w="1276" w:type="dxa"/>
            <w:tcBorders>
              <w:top w:val="nil"/>
              <w:left w:val="nil"/>
              <w:bottom w:val="single" w:sz="8" w:space="0" w:color="auto"/>
              <w:right w:val="single" w:sz="8" w:space="0" w:color="auto"/>
            </w:tcBorders>
            <w:shd w:val="clear" w:color="000000" w:fill="D9D9D9"/>
            <w:vAlign w:val="center"/>
            <w:hideMark/>
          </w:tcPr>
          <w:p w14:paraId="17F75446" w14:textId="77777777" w:rsidR="007C250E" w:rsidRPr="007C250E" w:rsidRDefault="007C250E" w:rsidP="007C250E">
            <w:pPr>
              <w:jc w:val="right"/>
              <w:rPr>
                <w:b/>
                <w:bCs/>
                <w:noProof/>
                <w:color w:val="000000"/>
                <w:sz w:val="16"/>
                <w:szCs w:val="16"/>
              </w:rPr>
            </w:pPr>
            <w:r>
              <w:rPr>
                <w:b/>
                <w:noProof/>
                <w:color w:val="000000"/>
                <w:sz w:val="16"/>
              </w:rPr>
              <w:t xml:space="preserve">40 590 282 213 </w:t>
            </w:r>
          </w:p>
        </w:tc>
      </w:tr>
      <w:tr w:rsidR="007C250E" w:rsidRPr="007C250E" w14:paraId="5517B951"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D6931F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7AFAF3F" w14:textId="77777777" w:rsidR="007C250E" w:rsidRPr="007C250E" w:rsidRDefault="007C250E" w:rsidP="007C250E">
            <w:pPr>
              <w:jc w:val="right"/>
              <w:rPr>
                <w:i/>
                <w:iCs/>
                <w:noProof/>
                <w:color w:val="000000"/>
                <w:sz w:val="16"/>
                <w:szCs w:val="16"/>
              </w:rPr>
            </w:pPr>
            <w:r>
              <w:rPr>
                <w:i/>
                <w:noProof/>
                <w:color w:val="000000"/>
                <w:sz w:val="16"/>
              </w:rPr>
              <w:t>Čiastkový strop EPZF</w:t>
            </w:r>
          </w:p>
        </w:tc>
        <w:tc>
          <w:tcPr>
            <w:tcW w:w="1276" w:type="dxa"/>
            <w:tcBorders>
              <w:top w:val="nil"/>
              <w:left w:val="nil"/>
              <w:bottom w:val="single" w:sz="8" w:space="0" w:color="auto"/>
              <w:right w:val="single" w:sz="8" w:space="0" w:color="auto"/>
            </w:tcBorders>
            <w:shd w:val="clear" w:color="auto" w:fill="auto"/>
            <w:vAlign w:val="center"/>
            <w:hideMark/>
          </w:tcPr>
          <w:p w14:paraId="39E2D2F0"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4DC30CD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D165A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35C30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3880469"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441E2FA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FAB1DBD"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D3E7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4C2B74C" w14:textId="77777777" w:rsidR="007C250E" w:rsidRPr="007C250E" w:rsidRDefault="007C250E" w:rsidP="007C250E">
            <w:pPr>
              <w:jc w:val="right"/>
              <w:rPr>
                <w:i/>
                <w:iCs/>
                <w:noProof/>
                <w:color w:val="000000"/>
                <w:sz w:val="16"/>
                <w:szCs w:val="16"/>
              </w:rPr>
            </w:pPr>
            <w:r>
              <w:rPr>
                <w:i/>
                <w:noProof/>
                <w:color w:val="000000"/>
                <w:sz w:val="16"/>
              </w:rPr>
              <w:t xml:space="preserve"> Rozdiel vzniknutý zaokrúhlením nezahrnutý do výpočtu čiastkovej rezervy</w:t>
            </w:r>
          </w:p>
        </w:tc>
        <w:tc>
          <w:tcPr>
            <w:tcW w:w="1276" w:type="dxa"/>
            <w:tcBorders>
              <w:top w:val="nil"/>
              <w:left w:val="nil"/>
              <w:bottom w:val="single" w:sz="8" w:space="0" w:color="auto"/>
              <w:right w:val="single" w:sz="8" w:space="0" w:color="auto"/>
            </w:tcBorders>
            <w:shd w:val="clear" w:color="auto" w:fill="auto"/>
            <w:vAlign w:val="center"/>
            <w:hideMark/>
          </w:tcPr>
          <w:p w14:paraId="3CFEA471" w14:textId="77777777" w:rsidR="007C250E" w:rsidRPr="007C250E" w:rsidRDefault="007C250E" w:rsidP="007C250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0FF767F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5CD5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7207B6"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E9E8A11"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7323637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7F67027"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2A0AD8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92F0EE1" w14:textId="77777777" w:rsidR="007C250E" w:rsidRPr="007C250E" w:rsidRDefault="007C250E" w:rsidP="007C250E">
            <w:pPr>
              <w:jc w:val="right"/>
              <w:rPr>
                <w:i/>
                <w:iCs/>
                <w:noProof/>
                <w:color w:val="000000"/>
                <w:sz w:val="16"/>
                <w:szCs w:val="16"/>
              </w:rPr>
            </w:pPr>
            <w:r>
              <w:rPr>
                <w:i/>
                <w:noProof/>
                <w:color w:val="000000"/>
                <w:sz w:val="16"/>
              </w:rPr>
              <w:t>Čisté presuny medzi EPZF a EPFRV</w:t>
            </w:r>
          </w:p>
        </w:tc>
        <w:tc>
          <w:tcPr>
            <w:tcW w:w="1276" w:type="dxa"/>
            <w:tcBorders>
              <w:top w:val="nil"/>
              <w:left w:val="nil"/>
              <w:bottom w:val="single" w:sz="8" w:space="0" w:color="auto"/>
              <w:right w:val="single" w:sz="8" w:space="0" w:color="auto"/>
            </w:tcBorders>
            <w:shd w:val="clear" w:color="auto" w:fill="auto"/>
            <w:vAlign w:val="center"/>
            <w:hideMark/>
          </w:tcPr>
          <w:p w14:paraId="1D5AB5F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C0391AF"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F8AEF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5CB25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93181A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47AE4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C7BCB5"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4395A3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746C5DA" w14:textId="77777777" w:rsidR="007C250E" w:rsidRPr="007C250E" w:rsidRDefault="007C250E" w:rsidP="007C250E">
            <w:pPr>
              <w:jc w:val="right"/>
              <w:rPr>
                <w:i/>
                <w:iCs/>
                <w:noProof/>
                <w:color w:val="000000"/>
                <w:sz w:val="16"/>
                <w:szCs w:val="16"/>
              </w:rPr>
            </w:pPr>
            <w:r>
              <w:rPr>
                <w:i/>
                <w:noProof/>
                <w:color w:val="000000"/>
                <w:sz w:val="16"/>
              </w:rPr>
              <w:t xml:space="preserve"> Čistý zostatok disponibilný na výdavky EPZF</w:t>
            </w:r>
          </w:p>
        </w:tc>
        <w:tc>
          <w:tcPr>
            <w:tcW w:w="1276" w:type="dxa"/>
            <w:tcBorders>
              <w:top w:val="nil"/>
              <w:left w:val="nil"/>
              <w:bottom w:val="single" w:sz="8" w:space="0" w:color="auto"/>
              <w:right w:val="single" w:sz="8" w:space="0" w:color="auto"/>
            </w:tcBorders>
            <w:shd w:val="clear" w:color="auto" w:fill="auto"/>
            <w:vAlign w:val="center"/>
            <w:hideMark/>
          </w:tcPr>
          <w:p w14:paraId="6120F5D0" w14:textId="77777777" w:rsidR="007C250E" w:rsidRPr="007C250E" w:rsidRDefault="007C250E" w:rsidP="007C250E">
            <w:pPr>
              <w:jc w:val="right"/>
              <w:rPr>
                <w:i/>
                <w:iCs/>
                <w:noProof/>
                <w:color w:val="000000"/>
                <w:sz w:val="16"/>
                <w:szCs w:val="16"/>
              </w:rPr>
            </w:pPr>
            <w:r>
              <w:rPr>
                <w:i/>
                <w:noProof/>
                <w:color w:val="000000"/>
                <w:sz w:val="16"/>
              </w:rPr>
              <w:t>40 602 078 000</w:t>
            </w:r>
          </w:p>
        </w:tc>
        <w:tc>
          <w:tcPr>
            <w:tcW w:w="1276" w:type="dxa"/>
            <w:tcBorders>
              <w:top w:val="nil"/>
              <w:left w:val="nil"/>
              <w:bottom w:val="single" w:sz="8" w:space="0" w:color="auto"/>
              <w:right w:val="single" w:sz="8" w:space="0" w:color="auto"/>
            </w:tcBorders>
            <w:shd w:val="clear" w:color="auto" w:fill="auto"/>
            <w:vAlign w:val="center"/>
            <w:hideMark/>
          </w:tcPr>
          <w:p w14:paraId="4883208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84A1F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45FA9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7AB2A61" w14:textId="77777777" w:rsidR="007C250E" w:rsidRPr="007C250E" w:rsidRDefault="007C250E" w:rsidP="007C250E">
            <w:pPr>
              <w:jc w:val="right"/>
              <w:rPr>
                <w:i/>
                <w:iCs/>
                <w:noProof/>
                <w:color w:val="000000"/>
                <w:sz w:val="16"/>
                <w:szCs w:val="16"/>
              </w:rPr>
            </w:pPr>
            <w:r>
              <w:rPr>
                <w:i/>
                <w:noProof/>
                <w:color w:val="000000"/>
                <w:sz w:val="16"/>
              </w:rPr>
              <w:t xml:space="preserve">40 602 078 000 </w:t>
            </w:r>
          </w:p>
        </w:tc>
        <w:tc>
          <w:tcPr>
            <w:tcW w:w="1276" w:type="dxa"/>
            <w:tcBorders>
              <w:top w:val="nil"/>
              <w:left w:val="nil"/>
              <w:bottom w:val="single" w:sz="8" w:space="0" w:color="auto"/>
              <w:right w:val="single" w:sz="8" w:space="0" w:color="auto"/>
            </w:tcBorders>
            <w:shd w:val="clear" w:color="auto" w:fill="auto"/>
            <w:vAlign w:val="center"/>
            <w:hideMark/>
          </w:tcPr>
          <w:p w14:paraId="3C8595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54134FC"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689F4E35"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2883B2B" w14:textId="77777777" w:rsidR="007C250E" w:rsidRPr="007C250E" w:rsidRDefault="007C250E" w:rsidP="007C250E">
            <w:pPr>
              <w:jc w:val="right"/>
              <w:rPr>
                <w:i/>
                <w:iCs/>
                <w:noProof/>
                <w:color w:val="000000"/>
                <w:sz w:val="16"/>
                <w:szCs w:val="16"/>
              </w:rPr>
            </w:pPr>
            <w:r>
              <w:rPr>
                <w:i/>
                <w:noProof/>
                <w:color w:val="000000"/>
                <w:sz w:val="16"/>
              </w:rPr>
              <w:t xml:space="preserve"> Upravený čiastkový strop EPZF opravený presunmi medzi EPZF a EPFRV</w:t>
            </w:r>
          </w:p>
        </w:tc>
        <w:tc>
          <w:tcPr>
            <w:tcW w:w="1276" w:type="dxa"/>
            <w:tcBorders>
              <w:top w:val="nil"/>
              <w:left w:val="nil"/>
              <w:bottom w:val="single" w:sz="8" w:space="0" w:color="auto"/>
              <w:right w:val="single" w:sz="8" w:space="0" w:color="auto"/>
            </w:tcBorders>
            <w:shd w:val="clear" w:color="auto" w:fill="auto"/>
            <w:vAlign w:val="center"/>
            <w:hideMark/>
          </w:tcPr>
          <w:p w14:paraId="7F52BA62"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23C532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35A7B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6F9F93"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49958E"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6AFB498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DE4CDCC"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19A792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E2652DD" w14:textId="77777777" w:rsidR="007C250E" w:rsidRPr="007C250E" w:rsidRDefault="007C250E" w:rsidP="007C250E">
            <w:pPr>
              <w:jc w:val="right"/>
              <w:rPr>
                <w:i/>
                <w:iCs/>
                <w:noProof/>
                <w:color w:val="000000"/>
                <w:sz w:val="16"/>
                <w:szCs w:val="16"/>
              </w:rPr>
            </w:pPr>
            <w:r>
              <w:rPr>
                <w:i/>
                <w:noProof/>
                <w:color w:val="000000"/>
                <w:sz w:val="16"/>
              </w:rPr>
              <w:t>Čiastková rezerva EPZF</w:t>
            </w:r>
          </w:p>
        </w:tc>
        <w:tc>
          <w:tcPr>
            <w:tcW w:w="1276" w:type="dxa"/>
            <w:tcBorders>
              <w:top w:val="nil"/>
              <w:left w:val="nil"/>
              <w:bottom w:val="single" w:sz="8" w:space="0" w:color="auto"/>
              <w:right w:val="single" w:sz="8" w:space="0" w:color="auto"/>
            </w:tcBorders>
            <w:shd w:val="clear" w:color="auto" w:fill="auto"/>
            <w:vAlign w:val="center"/>
            <w:hideMark/>
          </w:tcPr>
          <w:p w14:paraId="2F45BAA2" w14:textId="77777777" w:rsidR="007C250E" w:rsidRPr="007C250E" w:rsidRDefault="007C250E" w:rsidP="007C250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2115A43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4A3AE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C3B1F2"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68E89ED"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254E0A1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CC2016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DB7D79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0D766F8" w14:textId="77777777" w:rsidR="007C250E" w:rsidRPr="007C250E" w:rsidRDefault="007C250E" w:rsidP="007C250E">
            <w:pPr>
              <w:jc w:val="right"/>
              <w:rPr>
                <w:i/>
                <w:iCs/>
                <w:noProof/>
                <w:color w:val="000000"/>
                <w:sz w:val="16"/>
                <w:szCs w:val="16"/>
              </w:rPr>
            </w:pPr>
            <w:r>
              <w:rPr>
                <w:i/>
                <w:noProof/>
                <w:color w:val="000000"/>
                <w:sz w:val="16"/>
              </w:rPr>
              <w:t>Čiastková rezerva EPZF (bez rozdielu vzniknutého zaokrúhlením)</w:t>
            </w:r>
          </w:p>
        </w:tc>
        <w:tc>
          <w:tcPr>
            <w:tcW w:w="1276" w:type="dxa"/>
            <w:tcBorders>
              <w:top w:val="nil"/>
              <w:left w:val="nil"/>
              <w:bottom w:val="single" w:sz="8" w:space="0" w:color="auto"/>
              <w:right w:val="single" w:sz="8" w:space="0" w:color="auto"/>
            </w:tcBorders>
            <w:shd w:val="clear" w:color="auto" w:fill="auto"/>
            <w:vAlign w:val="center"/>
            <w:hideMark/>
          </w:tcPr>
          <w:p w14:paraId="4296162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DBC84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9E3E6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CD8A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E9F38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46B60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BC6F18"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9BBFA85" w14:textId="77777777" w:rsidR="007C250E" w:rsidRPr="007C250E" w:rsidRDefault="007C250E" w:rsidP="007C250E">
            <w:pPr>
              <w:jc w:val="both"/>
              <w:rPr>
                <w:b/>
                <w:bCs/>
                <w:noProof/>
                <w:color w:val="000000"/>
                <w:sz w:val="16"/>
                <w:szCs w:val="16"/>
              </w:rPr>
            </w:pPr>
            <w:r>
              <w:rPr>
                <w:b/>
                <w:noProof/>
                <w:color w:val="000000"/>
                <w:sz w:val="16"/>
              </w:rPr>
              <w:t>4.</w:t>
            </w:r>
          </w:p>
        </w:tc>
        <w:tc>
          <w:tcPr>
            <w:tcW w:w="2551" w:type="dxa"/>
            <w:tcBorders>
              <w:top w:val="nil"/>
              <w:left w:val="nil"/>
              <w:bottom w:val="single" w:sz="8" w:space="0" w:color="auto"/>
              <w:right w:val="single" w:sz="8" w:space="0" w:color="auto"/>
            </w:tcBorders>
            <w:shd w:val="clear" w:color="000000" w:fill="D9D9D9"/>
            <w:vAlign w:val="center"/>
            <w:hideMark/>
          </w:tcPr>
          <w:p w14:paraId="4B86AC10" w14:textId="77777777" w:rsidR="007C250E" w:rsidRPr="007C250E" w:rsidRDefault="007C250E" w:rsidP="007C250E">
            <w:pPr>
              <w:jc w:val="both"/>
              <w:rPr>
                <w:b/>
                <w:bCs/>
                <w:noProof/>
                <w:color w:val="000000"/>
                <w:sz w:val="16"/>
                <w:szCs w:val="16"/>
              </w:rPr>
            </w:pPr>
            <w:r>
              <w:rPr>
                <w:b/>
                <w:noProof/>
                <w:color w:val="000000"/>
                <w:sz w:val="16"/>
              </w:rPr>
              <w:t>Migrácia a riadenie hraníc</w:t>
            </w:r>
          </w:p>
        </w:tc>
        <w:tc>
          <w:tcPr>
            <w:tcW w:w="1276" w:type="dxa"/>
            <w:tcBorders>
              <w:top w:val="nil"/>
              <w:left w:val="nil"/>
              <w:bottom w:val="single" w:sz="8" w:space="0" w:color="auto"/>
              <w:right w:val="single" w:sz="8" w:space="0" w:color="auto"/>
            </w:tcBorders>
            <w:shd w:val="clear" w:color="000000" w:fill="D9D9D9"/>
            <w:vAlign w:val="center"/>
            <w:hideMark/>
          </w:tcPr>
          <w:p w14:paraId="0883C34C" w14:textId="77777777" w:rsidR="007C250E" w:rsidRPr="007C250E" w:rsidRDefault="007C250E" w:rsidP="007C250E">
            <w:pPr>
              <w:jc w:val="right"/>
              <w:rPr>
                <w:b/>
                <w:bCs/>
                <w:noProof/>
                <w:color w:val="000000"/>
                <w:sz w:val="16"/>
                <w:szCs w:val="16"/>
              </w:rPr>
            </w:pPr>
            <w:r>
              <w:rPr>
                <w:b/>
                <w:noProof/>
                <w:color w:val="000000"/>
                <w:sz w:val="16"/>
              </w:rPr>
              <w:t>3 896 705 671</w:t>
            </w:r>
          </w:p>
        </w:tc>
        <w:tc>
          <w:tcPr>
            <w:tcW w:w="1276" w:type="dxa"/>
            <w:tcBorders>
              <w:top w:val="nil"/>
              <w:left w:val="nil"/>
              <w:bottom w:val="single" w:sz="8" w:space="0" w:color="auto"/>
              <w:right w:val="single" w:sz="8" w:space="0" w:color="auto"/>
            </w:tcBorders>
            <w:shd w:val="clear" w:color="000000" w:fill="D9D9D9"/>
            <w:vAlign w:val="center"/>
            <w:hideMark/>
          </w:tcPr>
          <w:p w14:paraId="41E7FA26" w14:textId="77777777" w:rsidR="007C250E" w:rsidRPr="007C250E" w:rsidRDefault="007C250E" w:rsidP="007C250E">
            <w:pPr>
              <w:jc w:val="right"/>
              <w:rPr>
                <w:b/>
                <w:bCs/>
                <w:noProof/>
                <w:color w:val="000000"/>
                <w:sz w:val="16"/>
                <w:szCs w:val="16"/>
              </w:rPr>
            </w:pPr>
            <w:r>
              <w:rPr>
                <w:b/>
                <w:noProof/>
                <w:color w:val="000000"/>
                <w:sz w:val="16"/>
              </w:rPr>
              <w:t>3 257 967 443</w:t>
            </w:r>
          </w:p>
        </w:tc>
        <w:tc>
          <w:tcPr>
            <w:tcW w:w="1134" w:type="dxa"/>
            <w:tcBorders>
              <w:top w:val="nil"/>
              <w:left w:val="nil"/>
              <w:bottom w:val="single" w:sz="8" w:space="0" w:color="auto"/>
              <w:right w:val="single" w:sz="8" w:space="0" w:color="auto"/>
            </w:tcBorders>
            <w:shd w:val="clear" w:color="000000" w:fill="D9D9D9"/>
            <w:vAlign w:val="center"/>
            <w:hideMark/>
          </w:tcPr>
          <w:p w14:paraId="7B745ED7"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A67528B"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8D682D4" w14:textId="77777777" w:rsidR="007C250E" w:rsidRPr="007C250E" w:rsidRDefault="007C250E" w:rsidP="007C250E">
            <w:pPr>
              <w:jc w:val="right"/>
              <w:rPr>
                <w:b/>
                <w:bCs/>
                <w:noProof/>
                <w:color w:val="000000"/>
                <w:sz w:val="16"/>
                <w:szCs w:val="16"/>
              </w:rPr>
            </w:pPr>
            <w:r>
              <w:rPr>
                <w:b/>
                <w:noProof/>
                <w:color w:val="000000"/>
                <w:sz w:val="16"/>
              </w:rPr>
              <w:t xml:space="preserve">3 896 705 671 </w:t>
            </w:r>
          </w:p>
        </w:tc>
        <w:tc>
          <w:tcPr>
            <w:tcW w:w="1276" w:type="dxa"/>
            <w:tcBorders>
              <w:top w:val="nil"/>
              <w:left w:val="nil"/>
              <w:bottom w:val="single" w:sz="8" w:space="0" w:color="auto"/>
              <w:right w:val="single" w:sz="8" w:space="0" w:color="auto"/>
            </w:tcBorders>
            <w:shd w:val="clear" w:color="000000" w:fill="D9D9D9"/>
            <w:vAlign w:val="center"/>
            <w:hideMark/>
          </w:tcPr>
          <w:p w14:paraId="4865BACF" w14:textId="77777777" w:rsidR="007C250E" w:rsidRPr="007C250E" w:rsidRDefault="007C250E" w:rsidP="007C250E">
            <w:pPr>
              <w:jc w:val="right"/>
              <w:rPr>
                <w:b/>
                <w:bCs/>
                <w:noProof/>
                <w:color w:val="000000"/>
                <w:sz w:val="16"/>
                <w:szCs w:val="16"/>
              </w:rPr>
            </w:pPr>
            <w:r>
              <w:rPr>
                <w:b/>
                <w:noProof/>
                <w:color w:val="000000"/>
                <w:sz w:val="16"/>
              </w:rPr>
              <w:t xml:space="preserve">3 257 967 443 </w:t>
            </w:r>
          </w:p>
        </w:tc>
      </w:tr>
      <w:tr w:rsidR="007C250E" w:rsidRPr="007C250E" w14:paraId="609B313F"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FEA1AB" w14:textId="77777777" w:rsidR="007C250E" w:rsidRPr="007C250E" w:rsidRDefault="007C250E" w:rsidP="007C250E">
            <w:pPr>
              <w:jc w:val="right"/>
              <w:rPr>
                <w:b/>
                <w:bCs/>
                <w:i/>
                <w:iCs/>
                <w:noProof/>
                <w:color w:val="000000"/>
                <w:sz w:val="16"/>
                <w:szCs w:val="16"/>
              </w:rPr>
            </w:pPr>
            <w:r>
              <w:rPr>
                <w:b/>
                <w:i/>
                <w:noProof/>
                <w:color w:val="000000"/>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278CEE93" w14:textId="77777777" w:rsidR="007C250E" w:rsidRPr="007C250E" w:rsidRDefault="007C250E" w:rsidP="007C250E">
            <w:pPr>
              <w:jc w:val="right"/>
              <w:rPr>
                <w:i/>
                <w:iCs/>
                <w:noProof/>
                <w:color w:val="000000"/>
                <w:sz w:val="16"/>
                <w:szCs w:val="16"/>
              </w:rPr>
            </w:pPr>
            <w:r>
              <w:rPr>
                <w:i/>
                <w:noProof/>
                <w:color w:val="000000"/>
                <w:sz w:val="16"/>
              </w:rPr>
              <w:t>4 020 000 000</w:t>
            </w:r>
          </w:p>
        </w:tc>
        <w:tc>
          <w:tcPr>
            <w:tcW w:w="1276" w:type="dxa"/>
            <w:tcBorders>
              <w:top w:val="nil"/>
              <w:left w:val="nil"/>
              <w:bottom w:val="single" w:sz="8" w:space="0" w:color="auto"/>
              <w:right w:val="single" w:sz="8" w:space="0" w:color="auto"/>
            </w:tcBorders>
            <w:shd w:val="clear" w:color="auto" w:fill="auto"/>
            <w:vAlign w:val="center"/>
            <w:hideMark/>
          </w:tcPr>
          <w:p w14:paraId="64A9328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04369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AE2422"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9ACDC75" w14:textId="77777777" w:rsidR="007C250E" w:rsidRPr="007C250E" w:rsidRDefault="007C250E" w:rsidP="007C250E">
            <w:pPr>
              <w:jc w:val="right"/>
              <w:rPr>
                <w:i/>
                <w:iCs/>
                <w:noProof/>
                <w:color w:val="000000"/>
                <w:sz w:val="16"/>
                <w:szCs w:val="16"/>
              </w:rPr>
            </w:pPr>
            <w:r>
              <w:rPr>
                <w:i/>
                <w:noProof/>
                <w:color w:val="000000"/>
                <w:sz w:val="16"/>
              </w:rPr>
              <w:t xml:space="preserve">4 020 000 000 </w:t>
            </w:r>
          </w:p>
        </w:tc>
        <w:tc>
          <w:tcPr>
            <w:tcW w:w="1276" w:type="dxa"/>
            <w:tcBorders>
              <w:top w:val="nil"/>
              <w:left w:val="nil"/>
              <w:bottom w:val="single" w:sz="8" w:space="0" w:color="auto"/>
              <w:right w:val="single" w:sz="8" w:space="0" w:color="auto"/>
            </w:tcBorders>
            <w:shd w:val="clear" w:color="auto" w:fill="auto"/>
            <w:vAlign w:val="center"/>
            <w:hideMark/>
          </w:tcPr>
          <w:p w14:paraId="17923F8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F18F17E"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3CBD219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EBF7B2C"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52E519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A0F5D0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6F904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FE03D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FE68DF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E06F4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2EC40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AF569A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3E327AD"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0C75E2E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8F781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FEC39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A2BC1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516B3B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F8786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FEEBC04"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23EF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ED76DF0"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09A17DF6"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69FDD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3AFE4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3A1BA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E44779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ABC69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2B8FB8F"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AFB687"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33FA210D" w14:textId="77777777" w:rsidR="007C250E" w:rsidRPr="007C250E" w:rsidRDefault="007C250E" w:rsidP="007C250E">
            <w:pPr>
              <w:jc w:val="right"/>
              <w:rPr>
                <w:i/>
                <w:iCs/>
                <w:noProof/>
                <w:color w:val="000000"/>
                <w:sz w:val="16"/>
                <w:szCs w:val="16"/>
              </w:rPr>
            </w:pPr>
            <w:r>
              <w:rPr>
                <w:i/>
                <w:noProof/>
                <w:color w:val="000000"/>
                <w:sz w:val="16"/>
              </w:rPr>
              <w:t>123 294 329</w:t>
            </w:r>
          </w:p>
        </w:tc>
        <w:tc>
          <w:tcPr>
            <w:tcW w:w="1276" w:type="dxa"/>
            <w:tcBorders>
              <w:top w:val="nil"/>
              <w:left w:val="nil"/>
              <w:bottom w:val="single" w:sz="8" w:space="0" w:color="auto"/>
              <w:right w:val="single" w:sz="8" w:space="0" w:color="auto"/>
            </w:tcBorders>
            <w:shd w:val="clear" w:color="auto" w:fill="auto"/>
            <w:vAlign w:val="center"/>
            <w:hideMark/>
          </w:tcPr>
          <w:p w14:paraId="1DD2B88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FEE85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2439C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DC88D63" w14:textId="77777777" w:rsidR="007C250E" w:rsidRPr="007C250E" w:rsidRDefault="007C250E" w:rsidP="007C250E">
            <w:pPr>
              <w:jc w:val="right"/>
              <w:rPr>
                <w:i/>
                <w:iCs/>
                <w:noProof/>
                <w:color w:val="000000"/>
                <w:sz w:val="16"/>
                <w:szCs w:val="16"/>
              </w:rPr>
            </w:pPr>
            <w:r>
              <w:rPr>
                <w:i/>
                <w:noProof/>
                <w:color w:val="000000"/>
                <w:sz w:val="16"/>
              </w:rPr>
              <w:t xml:space="preserve">123 294 329 </w:t>
            </w:r>
          </w:p>
        </w:tc>
        <w:tc>
          <w:tcPr>
            <w:tcW w:w="1276" w:type="dxa"/>
            <w:tcBorders>
              <w:top w:val="nil"/>
              <w:left w:val="nil"/>
              <w:bottom w:val="single" w:sz="8" w:space="0" w:color="auto"/>
              <w:right w:val="single" w:sz="8" w:space="0" w:color="auto"/>
            </w:tcBorders>
            <w:shd w:val="clear" w:color="auto" w:fill="auto"/>
            <w:vAlign w:val="center"/>
            <w:hideMark/>
          </w:tcPr>
          <w:p w14:paraId="61E4D47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369FFFA"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D97543F" w14:textId="77777777" w:rsidR="007C250E" w:rsidRPr="007C250E" w:rsidRDefault="007C250E" w:rsidP="007C250E">
            <w:pPr>
              <w:jc w:val="both"/>
              <w:rPr>
                <w:b/>
                <w:bCs/>
                <w:noProof/>
                <w:sz w:val="16"/>
                <w:szCs w:val="16"/>
              </w:rPr>
            </w:pPr>
            <w:r>
              <w:rPr>
                <w:b/>
                <w:noProof/>
                <w:sz w:val="16"/>
              </w:rPr>
              <w:t>5.</w:t>
            </w:r>
          </w:p>
        </w:tc>
        <w:tc>
          <w:tcPr>
            <w:tcW w:w="2551" w:type="dxa"/>
            <w:tcBorders>
              <w:top w:val="nil"/>
              <w:left w:val="nil"/>
              <w:bottom w:val="single" w:sz="8" w:space="0" w:color="auto"/>
              <w:right w:val="single" w:sz="8" w:space="0" w:color="auto"/>
            </w:tcBorders>
            <w:shd w:val="clear" w:color="000000" w:fill="D9D9D9"/>
            <w:vAlign w:val="center"/>
            <w:hideMark/>
          </w:tcPr>
          <w:p w14:paraId="2187D0AD" w14:textId="77777777" w:rsidR="007C250E" w:rsidRPr="007C250E" w:rsidRDefault="007C250E" w:rsidP="007C250E">
            <w:pPr>
              <w:jc w:val="both"/>
              <w:rPr>
                <w:b/>
                <w:bCs/>
                <w:noProof/>
                <w:sz w:val="16"/>
                <w:szCs w:val="16"/>
              </w:rPr>
            </w:pPr>
            <w:r>
              <w:rPr>
                <w:b/>
                <w:noProof/>
                <w:sz w:val="16"/>
              </w:rPr>
              <w:t>Bezpečnosť a obrana</w:t>
            </w:r>
          </w:p>
        </w:tc>
        <w:tc>
          <w:tcPr>
            <w:tcW w:w="1276" w:type="dxa"/>
            <w:tcBorders>
              <w:top w:val="nil"/>
              <w:left w:val="nil"/>
              <w:bottom w:val="single" w:sz="8" w:space="0" w:color="auto"/>
              <w:right w:val="single" w:sz="8" w:space="0" w:color="auto"/>
            </w:tcBorders>
            <w:shd w:val="clear" w:color="000000" w:fill="D9D9D9"/>
            <w:vAlign w:val="center"/>
            <w:hideMark/>
          </w:tcPr>
          <w:p w14:paraId="725D43E0" w14:textId="77777777" w:rsidR="007C250E" w:rsidRPr="007C250E" w:rsidRDefault="007C250E" w:rsidP="007C250E">
            <w:pPr>
              <w:jc w:val="right"/>
              <w:rPr>
                <w:b/>
                <w:bCs/>
                <w:noProof/>
                <w:sz w:val="16"/>
                <w:szCs w:val="16"/>
              </w:rPr>
            </w:pPr>
            <w:r>
              <w:rPr>
                <w:b/>
                <w:noProof/>
                <w:sz w:val="16"/>
              </w:rPr>
              <w:t>2 304 177 926</w:t>
            </w:r>
          </w:p>
        </w:tc>
        <w:tc>
          <w:tcPr>
            <w:tcW w:w="1276" w:type="dxa"/>
            <w:tcBorders>
              <w:top w:val="nil"/>
              <w:left w:val="nil"/>
              <w:bottom w:val="single" w:sz="8" w:space="0" w:color="auto"/>
              <w:right w:val="single" w:sz="8" w:space="0" w:color="auto"/>
            </w:tcBorders>
            <w:shd w:val="clear" w:color="000000" w:fill="D9D9D9"/>
            <w:vAlign w:val="center"/>
            <w:hideMark/>
          </w:tcPr>
          <w:p w14:paraId="7F01F011" w14:textId="77777777" w:rsidR="007C250E" w:rsidRPr="007C250E" w:rsidRDefault="007C250E" w:rsidP="007C250E">
            <w:pPr>
              <w:jc w:val="right"/>
              <w:rPr>
                <w:b/>
                <w:bCs/>
                <w:noProof/>
                <w:sz w:val="16"/>
                <w:szCs w:val="16"/>
              </w:rPr>
            </w:pPr>
            <w:r>
              <w:rPr>
                <w:b/>
                <w:noProof/>
                <w:sz w:val="16"/>
              </w:rPr>
              <w:t>2 028 413 531</w:t>
            </w:r>
          </w:p>
        </w:tc>
        <w:tc>
          <w:tcPr>
            <w:tcW w:w="1134" w:type="dxa"/>
            <w:tcBorders>
              <w:top w:val="nil"/>
              <w:left w:val="nil"/>
              <w:bottom w:val="single" w:sz="8" w:space="0" w:color="auto"/>
              <w:right w:val="single" w:sz="8" w:space="0" w:color="auto"/>
            </w:tcBorders>
            <w:shd w:val="clear" w:color="000000" w:fill="D9D9D9"/>
            <w:vAlign w:val="center"/>
            <w:hideMark/>
          </w:tcPr>
          <w:p w14:paraId="0863BA95"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74F9AA16"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8FF0488" w14:textId="77777777" w:rsidR="007C250E" w:rsidRPr="007C250E" w:rsidRDefault="007C250E" w:rsidP="007C250E">
            <w:pPr>
              <w:jc w:val="right"/>
              <w:rPr>
                <w:b/>
                <w:bCs/>
                <w:noProof/>
                <w:sz w:val="16"/>
                <w:szCs w:val="16"/>
              </w:rPr>
            </w:pPr>
            <w:r>
              <w:rPr>
                <w:b/>
                <w:noProof/>
                <w:sz w:val="16"/>
              </w:rPr>
              <w:t xml:space="preserve">2 304 177 926 </w:t>
            </w:r>
          </w:p>
        </w:tc>
        <w:tc>
          <w:tcPr>
            <w:tcW w:w="1276" w:type="dxa"/>
            <w:tcBorders>
              <w:top w:val="nil"/>
              <w:left w:val="nil"/>
              <w:bottom w:val="single" w:sz="8" w:space="0" w:color="auto"/>
              <w:right w:val="single" w:sz="8" w:space="0" w:color="auto"/>
            </w:tcBorders>
            <w:shd w:val="clear" w:color="000000" w:fill="D9D9D9"/>
            <w:vAlign w:val="center"/>
            <w:hideMark/>
          </w:tcPr>
          <w:p w14:paraId="5A5D96AB" w14:textId="77777777" w:rsidR="007C250E" w:rsidRPr="007C250E" w:rsidRDefault="007C250E" w:rsidP="007C250E">
            <w:pPr>
              <w:jc w:val="right"/>
              <w:rPr>
                <w:b/>
                <w:bCs/>
                <w:noProof/>
                <w:sz w:val="16"/>
                <w:szCs w:val="16"/>
              </w:rPr>
            </w:pPr>
            <w:r>
              <w:rPr>
                <w:b/>
                <w:noProof/>
                <w:sz w:val="16"/>
              </w:rPr>
              <w:t xml:space="preserve">2 028 413 531 </w:t>
            </w:r>
          </w:p>
        </w:tc>
      </w:tr>
      <w:tr w:rsidR="007C250E" w:rsidRPr="007C250E" w14:paraId="00E229E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8DFC34" w14:textId="77777777" w:rsidR="007C250E" w:rsidRPr="007C250E" w:rsidRDefault="007C250E" w:rsidP="007C250E">
            <w:pPr>
              <w:jc w:val="right"/>
              <w:rPr>
                <w:b/>
                <w:bCs/>
                <w:i/>
                <w:iCs/>
                <w:noProof/>
                <w:sz w:val="16"/>
                <w:szCs w:val="16"/>
              </w:rPr>
            </w:pPr>
            <w:r>
              <w:rPr>
                <w:b/>
                <w:i/>
                <w:noProof/>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76111D52" w14:textId="77777777" w:rsidR="007C250E" w:rsidRPr="007C250E" w:rsidRDefault="007C250E" w:rsidP="007C250E">
            <w:pPr>
              <w:jc w:val="right"/>
              <w:rPr>
                <w:i/>
                <w:iCs/>
                <w:noProof/>
                <w:sz w:val="16"/>
                <w:szCs w:val="16"/>
              </w:rPr>
            </w:pPr>
            <w:r>
              <w:rPr>
                <w:i/>
                <w:noProof/>
                <w:sz w:val="16"/>
              </w:rPr>
              <w:t>2 004 000 000</w:t>
            </w:r>
          </w:p>
        </w:tc>
        <w:tc>
          <w:tcPr>
            <w:tcW w:w="1276" w:type="dxa"/>
            <w:tcBorders>
              <w:top w:val="nil"/>
              <w:left w:val="nil"/>
              <w:bottom w:val="single" w:sz="8" w:space="0" w:color="auto"/>
              <w:right w:val="single" w:sz="8" w:space="0" w:color="auto"/>
            </w:tcBorders>
            <w:shd w:val="clear" w:color="auto" w:fill="auto"/>
            <w:vAlign w:val="center"/>
            <w:hideMark/>
          </w:tcPr>
          <w:p w14:paraId="099EC91B"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95BD18"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84029C"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64D9B0" w14:textId="77777777" w:rsidR="007C250E" w:rsidRPr="007C250E" w:rsidRDefault="007C250E" w:rsidP="007C250E">
            <w:pPr>
              <w:jc w:val="right"/>
              <w:rPr>
                <w:i/>
                <w:iCs/>
                <w:noProof/>
                <w:sz w:val="16"/>
                <w:szCs w:val="16"/>
              </w:rPr>
            </w:pPr>
            <w:r>
              <w:rPr>
                <w:i/>
                <w:noProof/>
                <w:sz w:val="16"/>
              </w:rPr>
              <w:t xml:space="preserve">2 004 000 000 </w:t>
            </w:r>
          </w:p>
        </w:tc>
        <w:tc>
          <w:tcPr>
            <w:tcW w:w="1276" w:type="dxa"/>
            <w:tcBorders>
              <w:top w:val="nil"/>
              <w:left w:val="nil"/>
              <w:bottom w:val="single" w:sz="8" w:space="0" w:color="auto"/>
              <w:right w:val="single" w:sz="8" w:space="0" w:color="auto"/>
            </w:tcBorders>
            <w:shd w:val="clear" w:color="auto" w:fill="auto"/>
            <w:vAlign w:val="center"/>
            <w:hideMark/>
          </w:tcPr>
          <w:p w14:paraId="29000590" w14:textId="77777777" w:rsidR="007C250E" w:rsidRPr="007C250E" w:rsidRDefault="007C250E" w:rsidP="007C250E">
            <w:pPr>
              <w:jc w:val="right"/>
              <w:rPr>
                <w:noProof/>
                <w:sz w:val="16"/>
                <w:szCs w:val="16"/>
              </w:rPr>
            </w:pPr>
            <w:r>
              <w:rPr>
                <w:noProof/>
                <w:sz w:val="16"/>
              </w:rPr>
              <w:t xml:space="preserve"> </w:t>
            </w:r>
          </w:p>
        </w:tc>
      </w:tr>
      <w:tr w:rsidR="007C250E" w:rsidRPr="007C250E" w14:paraId="72BFB383"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F6D3191"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B13748D"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546B0164" w14:textId="77777777" w:rsidR="007C250E" w:rsidRPr="007C250E" w:rsidRDefault="007C250E" w:rsidP="007C250E">
            <w:pPr>
              <w:jc w:val="right"/>
              <w:rPr>
                <w:i/>
                <w:iCs/>
                <w:noProof/>
                <w:color w:val="000000"/>
                <w:sz w:val="16"/>
                <w:szCs w:val="16"/>
              </w:rPr>
            </w:pPr>
            <w:r>
              <w:rPr>
                <w:i/>
                <w:noProof/>
                <w:color w:val="000000"/>
                <w:sz w:val="16"/>
              </w:rPr>
              <w:t>300 177 926</w:t>
            </w:r>
          </w:p>
        </w:tc>
        <w:tc>
          <w:tcPr>
            <w:tcW w:w="1276" w:type="dxa"/>
            <w:tcBorders>
              <w:top w:val="nil"/>
              <w:left w:val="nil"/>
              <w:bottom w:val="single" w:sz="8" w:space="0" w:color="auto"/>
              <w:right w:val="single" w:sz="8" w:space="0" w:color="auto"/>
            </w:tcBorders>
            <w:shd w:val="clear" w:color="auto" w:fill="auto"/>
            <w:vAlign w:val="center"/>
            <w:hideMark/>
          </w:tcPr>
          <w:p w14:paraId="28212DB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E2F3B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AD469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E7AF4A3" w14:textId="77777777" w:rsidR="007C250E" w:rsidRPr="007C250E" w:rsidRDefault="007C250E" w:rsidP="007C250E">
            <w:pPr>
              <w:jc w:val="right"/>
              <w:rPr>
                <w:i/>
                <w:iCs/>
                <w:noProof/>
                <w:color w:val="000000"/>
                <w:sz w:val="16"/>
                <w:szCs w:val="16"/>
              </w:rPr>
            </w:pPr>
            <w:r>
              <w:rPr>
                <w:i/>
                <w:noProof/>
                <w:color w:val="000000"/>
                <w:sz w:val="16"/>
              </w:rPr>
              <w:t xml:space="preserve">300 177 926 </w:t>
            </w:r>
          </w:p>
        </w:tc>
        <w:tc>
          <w:tcPr>
            <w:tcW w:w="1276" w:type="dxa"/>
            <w:tcBorders>
              <w:top w:val="nil"/>
              <w:left w:val="nil"/>
              <w:bottom w:val="single" w:sz="8" w:space="0" w:color="auto"/>
              <w:right w:val="single" w:sz="8" w:space="0" w:color="auto"/>
            </w:tcBorders>
            <w:shd w:val="clear" w:color="auto" w:fill="auto"/>
            <w:vAlign w:val="center"/>
            <w:hideMark/>
          </w:tcPr>
          <w:p w14:paraId="5E07F7F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5E0778F"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F56960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7C7A5D2"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41316A7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CE36C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17C76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48CDB3"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00810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688C6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50FFC6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F577EB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AA6180A"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60F5096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75AE9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B7EDB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26451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A3465A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2BC42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8F83E0E"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1FFA2"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21C8E7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60716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EBC3C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C37694"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5A8BCD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61835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CC7C8D"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6716152" w14:textId="77777777" w:rsidR="007C250E" w:rsidRPr="007C250E" w:rsidRDefault="007C250E" w:rsidP="007C250E">
            <w:pPr>
              <w:jc w:val="both"/>
              <w:rPr>
                <w:b/>
                <w:bCs/>
                <w:noProof/>
                <w:sz w:val="16"/>
                <w:szCs w:val="16"/>
              </w:rPr>
            </w:pPr>
            <w:r>
              <w:rPr>
                <w:b/>
                <w:noProof/>
                <w:sz w:val="16"/>
              </w:rPr>
              <w:t>6.</w:t>
            </w:r>
          </w:p>
        </w:tc>
        <w:tc>
          <w:tcPr>
            <w:tcW w:w="2551" w:type="dxa"/>
            <w:tcBorders>
              <w:top w:val="nil"/>
              <w:left w:val="nil"/>
              <w:bottom w:val="single" w:sz="8" w:space="0" w:color="auto"/>
              <w:right w:val="single" w:sz="8" w:space="0" w:color="auto"/>
            </w:tcBorders>
            <w:shd w:val="clear" w:color="000000" w:fill="D9D9D9"/>
            <w:vAlign w:val="center"/>
            <w:hideMark/>
          </w:tcPr>
          <w:p w14:paraId="56AF7682" w14:textId="77777777" w:rsidR="007C250E" w:rsidRPr="007C250E" w:rsidRDefault="007C250E" w:rsidP="007C250E">
            <w:pPr>
              <w:jc w:val="both"/>
              <w:rPr>
                <w:b/>
                <w:bCs/>
                <w:noProof/>
                <w:sz w:val="16"/>
                <w:szCs w:val="16"/>
              </w:rPr>
            </w:pPr>
            <w:r>
              <w:rPr>
                <w:b/>
                <w:noProof/>
                <w:sz w:val="16"/>
              </w:rPr>
              <w:t>Susedstvo a svet</w:t>
            </w:r>
          </w:p>
        </w:tc>
        <w:tc>
          <w:tcPr>
            <w:tcW w:w="1276" w:type="dxa"/>
            <w:tcBorders>
              <w:top w:val="nil"/>
              <w:left w:val="nil"/>
              <w:bottom w:val="single" w:sz="8" w:space="0" w:color="auto"/>
              <w:right w:val="single" w:sz="8" w:space="0" w:color="auto"/>
            </w:tcBorders>
            <w:shd w:val="clear" w:color="000000" w:fill="D9D9D9"/>
            <w:vAlign w:val="center"/>
            <w:hideMark/>
          </w:tcPr>
          <w:p w14:paraId="24622C66" w14:textId="77777777" w:rsidR="007C250E" w:rsidRPr="007C250E" w:rsidRDefault="007C250E" w:rsidP="007C250E">
            <w:pPr>
              <w:jc w:val="right"/>
              <w:rPr>
                <w:b/>
                <w:bCs/>
                <w:noProof/>
                <w:sz w:val="16"/>
                <w:szCs w:val="16"/>
              </w:rPr>
            </w:pPr>
            <w:r>
              <w:rPr>
                <w:b/>
                <w:noProof/>
                <w:sz w:val="16"/>
              </w:rPr>
              <w:t>15 830 000 000</w:t>
            </w:r>
          </w:p>
        </w:tc>
        <w:tc>
          <w:tcPr>
            <w:tcW w:w="1276" w:type="dxa"/>
            <w:tcBorders>
              <w:top w:val="nil"/>
              <w:left w:val="nil"/>
              <w:bottom w:val="single" w:sz="8" w:space="0" w:color="auto"/>
              <w:right w:val="single" w:sz="8" w:space="0" w:color="auto"/>
            </w:tcBorders>
            <w:shd w:val="clear" w:color="000000" w:fill="D9D9D9"/>
            <w:vAlign w:val="center"/>
            <w:hideMark/>
          </w:tcPr>
          <w:p w14:paraId="654E105B" w14:textId="77777777" w:rsidR="007C250E" w:rsidRPr="007C250E" w:rsidRDefault="007C250E" w:rsidP="007C250E">
            <w:pPr>
              <w:jc w:val="right"/>
              <w:rPr>
                <w:b/>
                <w:bCs/>
                <w:noProof/>
                <w:sz w:val="16"/>
                <w:szCs w:val="16"/>
              </w:rPr>
            </w:pPr>
            <w:r>
              <w:rPr>
                <w:b/>
                <w:noProof/>
                <w:sz w:val="16"/>
              </w:rPr>
              <w:t>15 111 157 313</w:t>
            </w:r>
          </w:p>
        </w:tc>
        <w:tc>
          <w:tcPr>
            <w:tcW w:w="1134" w:type="dxa"/>
            <w:tcBorders>
              <w:top w:val="nil"/>
              <w:left w:val="nil"/>
              <w:bottom w:val="single" w:sz="8" w:space="0" w:color="auto"/>
              <w:right w:val="single" w:sz="8" w:space="0" w:color="auto"/>
            </w:tcBorders>
            <w:shd w:val="clear" w:color="000000" w:fill="D9D9D9"/>
            <w:vAlign w:val="center"/>
            <w:hideMark/>
          </w:tcPr>
          <w:p w14:paraId="7ED661F3"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0178A0E4"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0BC0F6D1" w14:textId="77777777" w:rsidR="007C250E" w:rsidRPr="007C250E" w:rsidRDefault="007C250E" w:rsidP="007C250E">
            <w:pPr>
              <w:jc w:val="right"/>
              <w:rPr>
                <w:b/>
                <w:bCs/>
                <w:noProof/>
                <w:sz w:val="16"/>
                <w:szCs w:val="16"/>
              </w:rPr>
            </w:pPr>
            <w:r>
              <w:rPr>
                <w:b/>
                <w:noProof/>
                <w:sz w:val="16"/>
              </w:rPr>
              <w:t xml:space="preserve">15 830 000 000 </w:t>
            </w:r>
          </w:p>
        </w:tc>
        <w:tc>
          <w:tcPr>
            <w:tcW w:w="1276" w:type="dxa"/>
            <w:tcBorders>
              <w:top w:val="nil"/>
              <w:left w:val="nil"/>
              <w:bottom w:val="single" w:sz="8" w:space="0" w:color="auto"/>
              <w:right w:val="single" w:sz="8" w:space="0" w:color="auto"/>
            </w:tcBorders>
            <w:shd w:val="clear" w:color="000000" w:fill="D9D9D9"/>
            <w:vAlign w:val="center"/>
            <w:hideMark/>
          </w:tcPr>
          <w:p w14:paraId="04C954F2" w14:textId="77777777" w:rsidR="007C250E" w:rsidRPr="007C250E" w:rsidRDefault="007C250E" w:rsidP="007C250E">
            <w:pPr>
              <w:jc w:val="right"/>
              <w:rPr>
                <w:b/>
                <w:bCs/>
                <w:noProof/>
                <w:sz w:val="16"/>
                <w:szCs w:val="16"/>
              </w:rPr>
            </w:pPr>
            <w:r>
              <w:rPr>
                <w:b/>
                <w:noProof/>
                <w:sz w:val="16"/>
              </w:rPr>
              <w:t xml:space="preserve">15 111 157 313 </w:t>
            </w:r>
          </w:p>
        </w:tc>
      </w:tr>
      <w:tr w:rsidR="007C250E" w:rsidRPr="007C250E" w14:paraId="2E9A481B"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D30AFF"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2859ABA9"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1B2FC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041C9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9CA858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9718BB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09FF7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0562EA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CCFF69" w14:textId="77777777" w:rsidR="007C250E" w:rsidRPr="007C250E" w:rsidRDefault="007C250E" w:rsidP="007C250E">
            <w:pPr>
              <w:jc w:val="right"/>
              <w:rPr>
                <w:b/>
                <w:bCs/>
                <w:i/>
                <w:iCs/>
                <w:noProof/>
                <w:sz w:val="16"/>
                <w:szCs w:val="16"/>
              </w:rPr>
            </w:pPr>
            <w:r>
              <w:rPr>
                <w:b/>
                <w:i/>
                <w:noProof/>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266F438D" w14:textId="77777777" w:rsidR="007C250E" w:rsidRPr="007C250E" w:rsidRDefault="007C250E" w:rsidP="007C250E">
            <w:pPr>
              <w:jc w:val="right"/>
              <w:rPr>
                <w:i/>
                <w:iCs/>
                <w:noProof/>
                <w:sz w:val="16"/>
                <w:szCs w:val="16"/>
              </w:rPr>
            </w:pPr>
            <w:r>
              <w:rPr>
                <w:i/>
                <w:noProof/>
                <w:sz w:val="16"/>
              </w:rPr>
              <w:t>15 830 000 000</w:t>
            </w:r>
          </w:p>
        </w:tc>
        <w:tc>
          <w:tcPr>
            <w:tcW w:w="1276" w:type="dxa"/>
            <w:tcBorders>
              <w:top w:val="nil"/>
              <w:left w:val="nil"/>
              <w:bottom w:val="single" w:sz="8" w:space="0" w:color="auto"/>
              <w:right w:val="single" w:sz="8" w:space="0" w:color="auto"/>
            </w:tcBorders>
            <w:shd w:val="clear" w:color="auto" w:fill="auto"/>
            <w:vAlign w:val="center"/>
            <w:hideMark/>
          </w:tcPr>
          <w:p w14:paraId="157F3AF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06A951"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9A651D"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25D776" w14:textId="77777777" w:rsidR="007C250E" w:rsidRPr="007C250E" w:rsidRDefault="007C250E" w:rsidP="007C250E">
            <w:pPr>
              <w:jc w:val="right"/>
              <w:rPr>
                <w:i/>
                <w:iCs/>
                <w:noProof/>
                <w:sz w:val="16"/>
                <w:szCs w:val="16"/>
              </w:rPr>
            </w:pPr>
            <w:r>
              <w:rPr>
                <w:i/>
                <w:noProof/>
                <w:sz w:val="16"/>
              </w:rPr>
              <w:t xml:space="preserve">15 830 000 000 </w:t>
            </w:r>
          </w:p>
        </w:tc>
        <w:tc>
          <w:tcPr>
            <w:tcW w:w="1276" w:type="dxa"/>
            <w:tcBorders>
              <w:top w:val="nil"/>
              <w:left w:val="nil"/>
              <w:bottom w:val="single" w:sz="8" w:space="0" w:color="auto"/>
              <w:right w:val="single" w:sz="8" w:space="0" w:color="auto"/>
            </w:tcBorders>
            <w:shd w:val="clear" w:color="auto" w:fill="auto"/>
            <w:vAlign w:val="center"/>
            <w:hideMark/>
          </w:tcPr>
          <w:p w14:paraId="37C7A01C" w14:textId="77777777" w:rsidR="007C250E" w:rsidRPr="007C250E" w:rsidRDefault="007C250E" w:rsidP="007C250E">
            <w:pPr>
              <w:jc w:val="right"/>
              <w:rPr>
                <w:noProof/>
                <w:sz w:val="16"/>
                <w:szCs w:val="16"/>
              </w:rPr>
            </w:pPr>
            <w:r>
              <w:rPr>
                <w:noProof/>
                <w:sz w:val="16"/>
              </w:rPr>
              <w:t xml:space="preserve"> </w:t>
            </w:r>
          </w:p>
        </w:tc>
      </w:tr>
      <w:tr w:rsidR="007C250E" w:rsidRPr="007C250E" w14:paraId="3D113C2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547DC3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0D8CC68"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0826752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68414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9C16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1E7B3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76884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AF245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5BD02D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93C6566"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D0AE8B8"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268EE5E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16FA4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8C5F7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36503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B0F3F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8D748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6664002"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21CB3E"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1E7ECFA9"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1F13A7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5CF0A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88EF1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492D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667A1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ACFF03E"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BB27866" w14:textId="77777777" w:rsidR="007C250E" w:rsidRPr="007C250E" w:rsidRDefault="007C250E" w:rsidP="007C250E">
            <w:pPr>
              <w:jc w:val="both"/>
              <w:rPr>
                <w:b/>
                <w:bCs/>
                <w:noProof/>
                <w:sz w:val="16"/>
                <w:szCs w:val="16"/>
              </w:rPr>
            </w:pPr>
            <w:r>
              <w:rPr>
                <w:b/>
                <w:noProof/>
                <w:sz w:val="16"/>
              </w:rPr>
              <w:t>7.</w:t>
            </w:r>
          </w:p>
        </w:tc>
        <w:tc>
          <w:tcPr>
            <w:tcW w:w="2551" w:type="dxa"/>
            <w:tcBorders>
              <w:top w:val="nil"/>
              <w:left w:val="nil"/>
              <w:bottom w:val="single" w:sz="8" w:space="0" w:color="auto"/>
              <w:right w:val="single" w:sz="8" w:space="0" w:color="auto"/>
            </w:tcBorders>
            <w:shd w:val="clear" w:color="000000" w:fill="D9D9D9"/>
            <w:vAlign w:val="center"/>
            <w:hideMark/>
          </w:tcPr>
          <w:p w14:paraId="68C1BB91" w14:textId="77777777" w:rsidR="007C250E" w:rsidRPr="007C250E" w:rsidRDefault="007C250E" w:rsidP="007C250E">
            <w:pPr>
              <w:jc w:val="both"/>
              <w:rPr>
                <w:b/>
                <w:bCs/>
                <w:noProof/>
                <w:sz w:val="16"/>
                <w:szCs w:val="16"/>
              </w:rPr>
            </w:pPr>
            <w:r>
              <w:rPr>
                <w:b/>
                <w:noProof/>
                <w:sz w:val="16"/>
              </w:rPr>
              <w:t>Európska verejná správa</w:t>
            </w:r>
          </w:p>
        </w:tc>
        <w:tc>
          <w:tcPr>
            <w:tcW w:w="1276" w:type="dxa"/>
            <w:tcBorders>
              <w:top w:val="nil"/>
              <w:left w:val="nil"/>
              <w:bottom w:val="single" w:sz="8" w:space="0" w:color="auto"/>
              <w:right w:val="single" w:sz="8" w:space="0" w:color="auto"/>
            </w:tcBorders>
            <w:shd w:val="clear" w:color="000000" w:fill="D9D9D9"/>
            <w:vAlign w:val="center"/>
            <w:hideMark/>
          </w:tcPr>
          <w:p w14:paraId="6B4593B2" w14:textId="77777777" w:rsidR="007C250E" w:rsidRPr="007C250E" w:rsidRDefault="007C250E" w:rsidP="007C250E">
            <w:pPr>
              <w:jc w:val="right"/>
              <w:rPr>
                <w:b/>
                <w:bCs/>
                <w:noProof/>
                <w:sz w:val="16"/>
                <w:szCs w:val="16"/>
              </w:rPr>
            </w:pPr>
            <w:r>
              <w:rPr>
                <w:b/>
                <w:noProof/>
                <w:sz w:val="16"/>
              </w:rPr>
              <w:t>11 949 625 456</w:t>
            </w:r>
          </w:p>
        </w:tc>
        <w:tc>
          <w:tcPr>
            <w:tcW w:w="1276" w:type="dxa"/>
            <w:tcBorders>
              <w:top w:val="nil"/>
              <w:left w:val="nil"/>
              <w:bottom w:val="single" w:sz="8" w:space="0" w:color="auto"/>
              <w:right w:val="single" w:sz="8" w:space="0" w:color="auto"/>
            </w:tcBorders>
            <w:shd w:val="clear" w:color="000000" w:fill="D9D9D9"/>
            <w:vAlign w:val="center"/>
            <w:hideMark/>
          </w:tcPr>
          <w:p w14:paraId="674014B0" w14:textId="77777777" w:rsidR="007C250E" w:rsidRPr="007C250E" w:rsidRDefault="007C250E" w:rsidP="007C250E">
            <w:pPr>
              <w:jc w:val="right"/>
              <w:rPr>
                <w:b/>
                <w:bCs/>
                <w:noProof/>
                <w:sz w:val="16"/>
                <w:szCs w:val="16"/>
              </w:rPr>
            </w:pPr>
            <w:r>
              <w:rPr>
                <w:b/>
                <w:noProof/>
                <w:sz w:val="16"/>
              </w:rPr>
              <w:t>11 949 625 456</w:t>
            </w:r>
          </w:p>
        </w:tc>
        <w:tc>
          <w:tcPr>
            <w:tcW w:w="1134" w:type="dxa"/>
            <w:tcBorders>
              <w:top w:val="nil"/>
              <w:left w:val="nil"/>
              <w:bottom w:val="single" w:sz="8" w:space="0" w:color="auto"/>
              <w:right w:val="single" w:sz="8" w:space="0" w:color="auto"/>
            </w:tcBorders>
            <w:shd w:val="clear" w:color="000000" w:fill="D9D9D9"/>
            <w:vAlign w:val="center"/>
            <w:hideMark/>
          </w:tcPr>
          <w:p w14:paraId="20669C0D" w14:textId="77777777" w:rsidR="007C250E" w:rsidRPr="007C250E" w:rsidRDefault="007C250E" w:rsidP="007C250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1B7D58B8" w14:textId="77777777" w:rsidR="007C250E" w:rsidRPr="007C250E" w:rsidRDefault="007C250E" w:rsidP="007C250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32C154F3" w14:textId="77777777" w:rsidR="007C250E" w:rsidRPr="007C250E" w:rsidRDefault="007C250E" w:rsidP="007C250E">
            <w:pPr>
              <w:jc w:val="right"/>
              <w:rPr>
                <w:b/>
                <w:bCs/>
                <w:noProof/>
                <w:sz w:val="16"/>
                <w:szCs w:val="16"/>
              </w:rPr>
            </w:pPr>
            <w:r>
              <w:rPr>
                <w:b/>
                <w:noProof/>
                <w:sz w:val="16"/>
              </w:rPr>
              <w:t xml:space="preserve">11 954 213 556 </w:t>
            </w:r>
          </w:p>
        </w:tc>
        <w:tc>
          <w:tcPr>
            <w:tcW w:w="1276" w:type="dxa"/>
            <w:tcBorders>
              <w:top w:val="nil"/>
              <w:left w:val="nil"/>
              <w:bottom w:val="single" w:sz="8" w:space="0" w:color="auto"/>
              <w:right w:val="single" w:sz="8" w:space="0" w:color="auto"/>
            </w:tcBorders>
            <w:shd w:val="clear" w:color="000000" w:fill="D9D9D9"/>
            <w:vAlign w:val="center"/>
            <w:hideMark/>
          </w:tcPr>
          <w:p w14:paraId="3DE4BA68" w14:textId="77777777" w:rsidR="007C250E" w:rsidRPr="007C250E" w:rsidRDefault="007C250E" w:rsidP="007C250E">
            <w:pPr>
              <w:jc w:val="right"/>
              <w:rPr>
                <w:b/>
                <w:bCs/>
                <w:noProof/>
                <w:sz w:val="16"/>
                <w:szCs w:val="16"/>
              </w:rPr>
            </w:pPr>
            <w:r>
              <w:rPr>
                <w:b/>
                <w:noProof/>
                <w:sz w:val="16"/>
              </w:rPr>
              <w:t xml:space="preserve">11 954 213 556 </w:t>
            </w:r>
          </w:p>
        </w:tc>
      </w:tr>
      <w:tr w:rsidR="007C250E" w:rsidRPr="007C250E" w14:paraId="79539031"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40206F" w14:textId="77777777" w:rsidR="007C250E" w:rsidRPr="007C250E" w:rsidRDefault="007C250E" w:rsidP="007C250E">
            <w:pPr>
              <w:jc w:val="right"/>
              <w:rPr>
                <w:b/>
                <w:bCs/>
                <w:i/>
                <w:iCs/>
                <w:noProof/>
                <w:sz w:val="16"/>
                <w:szCs w:val="16"/>
              </w:rPr>
            </w:pPr>
            <w:r>
              <w:rPr>
                <w:b/>
                <w:i/>
                <w:noProof/>
                <w:sz w:val="16"/>
              </w:rPr>
              <w:t>Strop</w:t>
            </w:r>
          </w:p>
        </w:tc>
        <w:tc>
          <w:tcPr>
            <w:tcW w:w="1276" w:type="dxa"/>
            <w:tcBorders>
              <w:top w:val="nil"/>
              <w:left w:val="nil"/>
              <w:bottom w:val="single" w:sz="8" w:space="0" w:color="auto"/>
              <w:right w:val="single" w:sz="8" w:space="0" w:color="auto"/>
            </w:tcBorders>
            <w:shd w:val="clear" w:color="auto" w:fill="auto"/>
            <w:vAlign w:val="center"/>
            <w:hideMark/>
          </w:tcPr>
          <w:p w14:paraId="45293F14" w14:textId="77777777" w:rsidR="007C250E" w:rsidRPr="007C250E" w:rsidRDefault="007C250E" w:rsidP="007C250E">
            <w:pPr>
              <w:jc w:val="right"/>
              <w:rPr>
                <w:i/>
                <w:iCs/>
                <w:noProof/>
                <w:sz w:val="16"/>
                <w:szCs w:val="16"/>
              </w:rPr>
            </w:pPr>
            <w:r>
              <w:rPr>
                <w:i/>
                <w:noProof/>
                <w:sz w:val="16"/>
              </w:rPr>
              <w:t>11 773 000 000</w:t>
            </w:r>
          </w:p>
        </w:tc>
        <w:tc>
          <w:tcPr>
            <w:tcW w:w="1276" w:type="dxa"/>
            <w:tcBorders>
              <w:top w:val="nil"/>
              <w:left w:val="nil"/>
              <w:bottom w:val="single" w:sz="8" w:space="0" w:color="auto"/>
              <w:right w:val="single" w:sz="8" w:space="0" w:color="auto"/>
            </w:tcBorders>
            <w:shd w:val="clear" w:color="auto" w:fill="auto"/>
            <w:vAlign w:val="center"/>
            <w:hideMark/>
          </w:tcPr>
          <w:p w14:paraId="5A65CCAA"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696CE7"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396E8"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C413CF0" w14:textId="77777777" w:rsidR="007C250E" w:rsidRPr="007C250E" w:rsidRDefault="007C250E" w:rsidP="007C250E">
            <w:pPr>
              <w:jc w:val="right"/>
              <w:rPr>
                <w:i/>
                <w:iCs/>
                <w:noProof/>
                <w:sz w:val="16"/>
                <w:szCs w:val="16"/>
              </w:rPr>
            </w:pPr>
            <w:r>
              <w:rPr>
                <w:i/>
                <w:noProof/>
                <w:sz w:val="16"/>
              </w:rPr>
              <w:t xml:space="preserve">11 773 000 000 </w:t>
            </w:r>
          </w:p>
        </w:tc>
        <w:tc>
          <w:tcPr>
            <w:tcW w:w="1276" w:type="dxa"/>
            <w:tcBorders>
              <w:top w:val="nil"/>
              <w:left w:val="nil"/>
              <w:bottom w:val="single" w:sz="8" w:space="0" w:color="auto"/>
              <w:right w:val="single" w:sz="8" w:space="0" w:color="auto"/>
            </w:tcBorders>
            <w:shd w:val="clear" w:color="auto" w:fill="auto"/>
            <w:vAlign w:val="center"/>
            <w:hideMark/>
          </w:tcPr>
          <w:p w14:paraId="2DCBAA5D" w14:textId="77777777" w:rsidR="007C250E" w:rsidRPr="007C250E" w:rsidRDefault="007C250E" w:rsidP="007C250E">
            <w:pPr>
              <w:jc w:val="right"/>
              <w:rPr>
                <w:noProof/>
                <w:sz w:val="16"/>
                <w:szCs w:val="16"/>
              </w:rPr>
            </w:pPr>
            <w:r>
              <w:rPr>
                <w:noProof/>
                <w:sz w:val="16"/>
              </w:rPr>
              <w:t xml:space="preserve"> </w:t>
            </w:r>
          </w:p>
        </w:tc>
      </w:tr>
      <w:tr w:rsidR="007C250E" w:rsidRPr="007C250E" w14:paraId="351FE7BA"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5CFA2E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9A988E7"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57F5F1F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5067B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A7F9A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204BA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0378B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3C15DE"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D82D7E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4098AA3"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D184E4F" w14:textId="77777777" w:rsidR="007C250E" w:rsidRPr="007C250E" w:rsidRDefault="007C250E" w:rsidP="007C250E">
            <w:pPr>
              <w:jc w:val="right"/>
              <w:rPr>
                <w:b/>
                <w:bCs/>
                <w:noProof/>
                <w:sz w:val="16"/>
                <w:szCs w:val="16"/>
              </w:rPr>
            </w:pPr>
            <w:r>
              <w:rPr>
                <w:b/>
                <w:noProof/>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4880DDED" w14:textId="77777777" w:rsidR="007C250E" w:rsidRPr="007C250E" w:rsidRDefault="007C250E" w:rsidP="007C250E">
            <w:pPr>
              <w:jc w:val="right"/>
              <w:rPr>
                <w:i/>
                <w:iCs/>
                <w:noProof/>
                <w:sz w:val="16"/>
                <w:szCs w:val="16"/>
              </w:rPr>
            </w:pPr>
            <w:r>
              <w:rPr>
                <w:i/>
                <w:noProof/>
                <w:sz w:val="16"/>
              </w:rPr>
              <w:t>176 625 456</w:t>
            </w:r>
          </w:p>
        </w:tc>
        <w:tc>
          <w:tcPr>
            <w:tcW w:w="1276" w:type="dxa"/>
            <w:tcBorders>
              <w:top w:val="nil"/>
              <w:left w:val="nil"/>
              <w:bottom w:val="single" w:sz="8" w:space="0" w:color="auto"/>
              <w:right w:val="single" w:sz="8" w:space="0" w:color="auto"/>
            </w:tcBorders>
            <w:shd w:val="clear" w:color="auto" w:fill="auto"/>
            <w:vAlign w:val="center"/>
            <w:hideMark/>
          </w:tcPr>
          <w:p w14:paraId="12CEB3E7"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D8607D" w14:textId="77777777" w:rsidR="007C250E" w:rsidRPr="007C250E" w:rsidRDefault="007C250E" w:rsidP="007C250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6DFA5E65"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904315E" w14:textId="77777777" w:rsidR="007C250E" w:rsidRPr="007C250E" w:rsidRDefault="007C250E" w:rsidP="007C250E">
            <w:pPr>
              <w:jc w:val="right"/>
              <w:rPr>
                <w:i/>
                <w:iCs/>
                <w:noProof/>
                <w:sz w:val="16"/>
                <w:szCs w:val="16"/>
              </w:rPr>
            </w:pPr>
            <w:r>
              <w:rPr>
                <w:i/>
                <w:noProof/>
                <w:sz w:val="16"/>
              </w:rPr>
              <w:t xml:space="preserve">181 213 556 </w:t>
            </w:r>
          </w:p>
        </w:tc>
        <w:tc>
          <w:tcPr>
            <w:tcW w:w="1276" w:type="dxa"/>
            <w:tcBorders>
              <w:top w:val="nil"/>
              <w:left w:val="nil"/>
              <w:bottom w:val="single" w:sz="8" w:space="0" w:color="auto"/>
              <w:right w:val="single" w:sz="8" w:space="0" w:color="auto"/>
            </w:tcBorders>
            <w:shd w:val="clear" w:color="auto" w:fill="auto"/>
            <w:vAlign w:val="center"/>
            <w:hideMark/>
          </w:tcPr>
          <w:p w14:paraId="70E6B38B" w14:textId="77777777" w:rsidR="007C250E" w:rsidRPr="007C250E" w:rsidRDefault="007C250E" w:rsidP="007C250E">
            <w:pPr>
              <w:jc w:val="right"/>
              <w:rPr>
                <w:noProof/>
                <w:sz w:val="16"/>
                <w:szCs w:val="16"/>
              </w:rPr>
            </w:pPr>
            <w:r>
              <w:rPr>
                <w:noProof/>
                <w:sz w:val="16"/>
              </w:rPr>
              <w:t xml:space="preserve"> </w:t>
            </w:r>
          </w:p>
        </w:tc>
      </w:tr>
      <w:tr w:rsidR="007C250E" w:rsidRPr="007C250E" w14:paraId="6CC6A724"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FA09A4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F4C1AFE"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35B463E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46988C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B04D4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91454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51AABC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3BB61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99C87F7"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06EEDD"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510665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73E20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B37C7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BAAB2F"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D460EA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AC073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1D4E8B" w14:textId="77777777" w:rsidTr="007C250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4518EC2B"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6828F480" w14:textId="77777777" w:rsidR="007C250E" w:rsidRPr="007C250E" w:rsidRDefault="007C250E" w:rsidP="007C250E">
            <w:pPr>
              <w:jc w:val="both"/>
              <w:rPr>
                <w:b/>
                <w:bCs/>
                <w:noProof/>
                <w:sz w:val="16"/>
                <w:szCs w:val="16"/>
              </w:rPr>
            </w:pPr>
            <w:r>
              <w:rPr>
                <w:b/>
                <w:noProof/>
                <w:sz w:val="16"/>
              </w:rPr>
              <w:t>Z toho: administratívne výdavky inštitúcií</w:t>
            </w:r>
          </w:p>
        </w:tc>
        <w:tc>
          <w:tcPr>
            <w:tcW w:w="1276" w:type="dxa"/>
            <w:tcBorders>
              <w:top w:val="nil"/>
              <w:left w:val="nil"/>
              <w:bottom w:val="single" w:sz="8" w:space="0" w:color="auto"/>
              <w:right w:val="single" w:sz="8" w:space="0" w:color="auto"/>
            </w:tcBorders>
            <w:shd w:val="clear" w:color="000000" w:fill="D9D9D9"/>
            <w:vAlign w:val="center"/>
            <w:hideMark/>
          </w:tcPr>
          <w:p w14:paraId="0638CC43" w14:textId="77777777" w:rsidR="007C250E" w:rsidRPr="007C250E" w:rsidRDefault="007C250E" w:rsidP="007C250E">
            <w:pPr>
              <w:jc w:val="right"/>
              <w:rPr>
                <w:b/>
                <w:bCs/>
                <w:noProof/>
                <w:sz w:val="16"/>
                <w:szCs w:val="16"/>
              </w:rPr>
            </w:pPr>
            <w:r>
              <w:rPr>
                <w:b/>
                <w:noProof/>
                <w:sz w:val="16"/>
              </w:rPr>
              <w:t>9 137 000 694</w:t>
            </w:r>
          </w:p>
        </w:tc>
        <w:tc>
          <w:tcPr>
            <w:tcW w:w="1276" w:type="dxa"/>
            <w:tcBorders>
              <w:top w:val="nil"/>
              <w:left w:val="nil"/>
              <w:bottom w:val="single" w:sz="8" w:space="0" w:color="auto"/>
              <w:right w:val="single" w:sz="8" w:space="0" w:color="auto"/>
            </w:tcBorders>
            <w:shd w:val="clear" w:color="000000" w:fill="D9D9D9"/>
            <w:vAlign w:val="center"/>
            <w:hideMark/>
          </w:tcPr>
          <w:p w14:paraId="4C00E02F" w14:textId="77777777" w:rsidR="007C250E" w:rsidRPr="007C250E" w:rsidRDefault="007C250E" w:rsidP="007C250E">
            <w:pPr>
              <w:jc w:val="right"/>
              <w:rPr>
                <w:b/>
                <w:bCs/>
                <w:noProof/>
                <w:sz w:val="16"/>
                <w:szCs w:val="16"/>
              </w:rPr>
            </w:pPr>
            <w:r>
              <w:rPr>
                <w:b/>
                <w:noProof/>
                <w:sz w:val="16"/>
              </w:rPr>
              <w:t>9 137 000 694</w:t>
            </w:r>
          </w:p>
        </w:tc>
        <w:tc>
          <w:tcPr>
            <w:tcW w:w="1134" w:type="dxa"/>
            <w:tcBorders>
              <w:top w:val="nil"/>
              <w:left w:val="nil"/>
              <w:bottom w:val="single" w:sz="8" w:space="0" w:color="auto"/>
              <w:right w:val="single" w:sz="8" w:space="0" w:color="auto"/>
            </w:tcBorders>
            <w:shd w:val="clear" w:color="000000" w:fill="D9D9D9"/>
            <w:vAlign w:val="center"/>
            <w:hideMark/>
          </w:tcPr>
          <w:p w14:paraId="58A54D9B" w14:textId="77777777" w:rsidR="007C250E" w:rsidRPr="007C250E" w:rsidRDefault="007C250E" w:rsidP="007C250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589F07AD" w14:textId="77777777" w:rsidR="007C250E" w:rsidRPr="007C250E" w:rsidRDefault="007C250E" w:rsidP="007C250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67F665EA" w14:textId="77777777" w:rsidR="007C250E" w:rsidRPr="007C250E" w:rsidRDefault="007C250E" w:rsidP="007C250E">
            <w:pPr>
              <w:jc w:val="right"/>
              <w:rPr>
                <w:b/>
                <w:bCs/>
                <w:noProof/>
                <w:sz w:val="16"/>
                <w:szCs w:val="16"/>
              </w:rPr>
            </w:pPr>
            <w:r>
              <w:rPr>
                <w:b/>
                <w:noProof/>
                <w:sz w:val="16"/>
              </w:rPr>
              <w:t xml:space="preserve">9 141 588 794 </w:t>
            </w:r>
          </w:p>
        </w:tc>
        <w:tc>
          <w:tcPr>
            <w:tcW w:w="1276" w:type="dxa"/>
            <w:tcBorders>
              <w:top w:val="nil"/>
              <w:left w:val="nil"/>
              <w:bottom w:val="single" w:sz="8" w:space="0" w:color="auto"/>
              <w:right w:val="single" w:sz="8" w:space="0" w:color="auto"/>
            </w:tcBorders>
            <w:shd w:val="clear" w:color="000000" w:fill="D9D9D9"/>
            <w:vAlign w:val="center"/>
            <w:hideMark/>
          </w:tcPr>
          <w:p w14:paraId="72B0BBB0" w14:textId="77777777" w:rsidR="007C250E" w:rsidRPr="007C250E" w:rsidRDefault="007C250E" w:rsidP="007C250E">
            <w:pPr>
              <w:jc w:val="right"/>
              <w:rPr>
                <w:b/>
                <w:bCs/>
                <w:noProof/>
                <w:sz w:val="16"/>
                <w:szCs w:val="16"/>
              </w:rPr>
            </w:pPr>
            <w:r>
              <w:rPr>
                <w:b/>
                <w:noProof/>
                <w:sz w:val="16"/>
              </w:rPr>
              <w:t xml:space="preserve">9 141 588 794 </w:t>
            </w:r>
          </w:p>
        </w:tc>
      </w:tr>
      <w:tr w:rsidR="007C250E" w:rsidRPr="007C250E" w14:paraId="6818D9E2"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C5AEADC"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6F0D4E3" w14:textId="77777777" w:rsidR="007C250E" w:rsidRPr="007C250E" w:rsidRDefault="007C250E" w:rsidP="007C250E">
            <w:pPr>
              <w:jc w:val="right"/>
              <w:rPr>
                <w:b/>
                <w:bCs/>
                <w:i/>
                <w:iCs/>
                <w:noProof/>
                <w:sz w:val="16"/>
                <w:szCs w:val="16"/>
              </w:rPr>
            </w:pPr>
            <w:r>
              <w:rPr>
                <w:b/>
                <w:i/>
                <w:noProof/>
                <w:sz w:val="16"/>
              </w:rPr>
              <w:t>Čiastkový strop</w:t>
            </w:r>
          </w:p>
        </w:tc>
        <w:tc>
          <w:tcPr>
            <w:tcW w:w="1276" w:type="dxa"/>
            <w:tcBorders>
              <w:top w:val="nil"/>
              <w:left w:val="nil"/>
              <w:bottom w:val="single" w:sz="8" w:space="0" w:color="auto"/>
              <w:right w:val="single" w:sz="8" w:space="0" w:color="auto"/>
            </w:tcBorders>
            <w:shd w:val="clear" w:color="auto" w:fill="auto"/>
            <w:vAlign w:val="center"/>
            <w:hideMark/>
          </w:tcPr>
          <w:p w14:paraId="0023DB0A" w14:textId="77777777" w:rsidR="007C250E" w:rsidRPr="007C250E" w:rsidRDefault="007C250E" w:rsidP="007C250E">
            <w:pPr>
              <w:jc w:val="right"/>
              <w:rPr>
                <w:i/>
                <w:iCs/>
                <w:noProof/>
                <w:sz w:val="16"/>
                <w:szCs w:val="16"/>
              </w:rPr>
            </w:pPr>
            <w:r>
              <w:rPr>
                <w:i/>
                <w:noProof/>
                <w:sz w:val="16"/>
              </w:rPr>
              <w:t>9 006 000 000</w:t>
            </w:r>
          </w:p>
        </w:tc>
        <w:tc>
          <w:tcPr>
            <w:tcW w:w="1276" w:type="dxa"/>
            <w:tcBorders>
              <w:top w:val="nil"/>
              <w:left w:val="nil"/>
              <w:bottom w:val="single" w:sz="8" w:space="0" w:color="auto"/>
              <w:right w:val="single" w:sz="8" w:space="0" w:color="auto"/>
            </w:tcBorders>
            <w:shd w:val="clear" w:color="auto" w:fill="auto"/>
            <w:vAlign w:val="center"/>
            <w:hideMark/>
          </w:tcPr>
          <w:p w14:paraId="7A96C88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98B2BA"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0D41D7"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DA3BEC0" w14:textId="77777777" w:rsidR="007C250E" w:rsidRPr="007C250E" w:rsidRDefault="007C250E" w:rsidP="007C250E">
            <w:pPr>
              <w:jc w:val="right"/>
              <w:rPr>
                <w:i/>
                <w:iCs/>
                <w:noProof/>
                <w:sz w:val="16"/>
                <w:szCs w:val="16"/>
              </w:rPr>
            </w:pPr>
            <w:r>
              <w:rPr>
                <w:i/>
                <w:noProof/>
                <w:sz w:val="16"/>
              </w:rPr>
              <w:t xml:space="preserve">9 006 000 000 </w:t>
            </w:r>
          </w:p>
        </w:tc>
        <w:tc>
          <w:tcPr>
            <w:tcW w:w="1276" w:type="dxa"/>
            <w:tcBorders>
              <w:top w:val="nil"/>
              <w:left w:val="nil"/>
              <w:bottom w:val="single" w:sz="8" w:space="0" w:color="auto"/>
              <w:right w:val="single" w:sz="8" w:space="0" w:color="auto"/>
            </w:tcBorders>
            <w:shd w:val="clear" w:color="auto" w:fill="auto"/>
            <w:vAlign w:val="center"/>
            <w:hideMark/>
          </w:tcPr>
          <w:p w14:paraId="3DD9D04C" w14:textId="77777777" w:rsidR="007C250E" w:rsidRPr="007C250E" w:rsidRDefault="007C250E" w:rsidP="007C250E">
            <w:pPr>
              <w:jc w:val="right"/>
              <w:rPr>
                <w:noProof/>
                <w:sz w:val="16"/>
                <w:szCs w:val="16"/>
              </w:rPr>
            </w:pPr>
            <w:r>
              <w:rPr>
                <w:noProof/>
                <w:sz w:val="16"/>
              </w:rPr>
              <w:t xml:space="preserve"> </w:t>
            </w:r>
          </w:p>
        </w:tc>
      </w:tr>
      <w:tr w:rsidR="007C250E" w:rsidRPr="007C250E" w14:paraId="01EE84C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C6BB0FC"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A716D04" w14:textId="77777777" w:rsidR="007C250E" w:rsidRPr="007C250E" w:rsidRDefault="007C250E" w:rsidP="007C250E">
            <w:pPr>
              <w:jc w:val="right"/>
              <w:rPr>
                <w:b/>
                <w:bCs/>
                <w:noProof/>
                <w:color w:val="000000"/>
                <w:sz w:val="16"/>
                <w:szCs w:val="16"/>
              </w:rPr>
            </w:pPr>
            <w:r>
              <w:rPr>
                <w:b/>
                <w:noProof/>
                <w:color w:val="000000"/>
                <w:sz w:val="16"/>
              </w:rPr>
              <w:t>Z toho prostriedky v rámci nástrojov flexibility</w:t>
            </w:r>
          </w:p>
        </w:tc>
        <w:tc>
          <w:tcPr>
            <w:tcW w:w="1276" w:type="dxa"/>
            <w:tcBorders>
              <w:top w:val="nil"/>
              <w:left w:val="nil"/>
              <w:bottom w:val="single" w:sz="8" w:space="0" w:color="auto"/>
              <w:right w:val="single" w:sz="8" w:space="0" w:color="auto"/>
            </w:tcBorders>
            <w:shd w:val="clear" w:color="auto" w:fill="auto"/>
            <w:vAlign w:val="center"/>
            <w:hideMark/>
          </w:tcPr>
          <w:p w14:paraId="1C70188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68F5D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ABFEF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60221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C09A61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935042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B01608B"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6676F06"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91B18A4" w14:textId="77777777" w:rsidR="007C250E" w:rsidRPr="007C250E" w:rsidRDefault="007C250E" w:rsidP="007C250E">
            <w:pPr>
              <w:jc w:val="right"/>
              <w:rPr>
                <w:b/>
                <w:bCs/>
                <w:noProof/>
                <w:sz w:val="16"/>
                <w:szCs w:val="16"/>
              </w:rPr>
            </w:pPr>
            <w:r>
              <w:rPr>
                <w:b/>
                <w:noProof/>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auto" w:fill="auto"/>
            <w:vAlign w:val="center"/>
            <w:hideMark/>
          </w:tcPr>
          <w:p w14:paraId="5F8D25CA" w14:textId="77777777" w:rsidR="007C250E" w:rsidRPr="007C250E" w:rsidRDefault="007C250E" w:rsidP="007C250E">
            <w:pPr>
              <w:jc w:val="right"/>
              <w:rPr>
                <w:i/>
                <w:iCs/>
                <w:noProof/>
                <w:sz w:val="16"/>
                <w:szCs w:val="16"/>
              </w:rPr>
            </w:pPr>
            <w:r>
              <w:rPr>
                <w:i/>
                <w:noProof/>
                <w:sz w:val="16"/>
              </w:rPr>
              <w:t>131 000 694</w:t>
            </w:r>
          </w:p>
        </w:tc>
        <w:tc>
          <w:tcPr>
            <w:tcW w:w="1276" w:type="dxa"/>
            <w:tcBorders>
              <w:top w:val="nil"/>
              <w:left w:val="nil"/>
              <w:bottom w:val="single" w:sz="8" w:space="0" w:color="auto"/>
              <w:right w:val="single" w:sz="8" w:space="0" w:color="auto"/>
            </w:tcBorders>
            <w:shd w:val="clear" w:color="auto" w:fill="auto"/>
            <w:vAlign w:val="center"/>
            <w:hideMark/>
          </w:tcPr>
          <w:p w14:paraId="44EFAAE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7BFE57" w14:textId="77777777" w:rsidR="007C250E" w:rsidRPr="007C250E" w:rsidRDefault="007C250E" w:rsidP="007C250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64D91FB4"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8A21CE5" w14:textId="77777777" w:rsidR="007C250E" w:rsidRPr="007C250E" w:rsidRDefault="007C250E" w:rsidP="007C250E">
            <w:pPr>
              <w:jc w:val="right"/>
              <w:rPr>
                <w:i/>
                <w:iCs/>
                <w:noProof/>
                <w:sz w:val="16"/>
                <w:szCs w:val="16"/>
              </w:rPr>
            </w:pPr>
            <w:r>
              <w:rPr>
                <w:i/>
                <w:noProof/>
                <w:sz w:val="16"/>
              </w:rPr>
              <w:t xml:space="preserve">135 588 794 </w:t>
            </w:r>
          </w:p>
        </w:tc>
        <w:tc>
          <w:tcPr>
            <w:tcW w:w="1276" w:type="dxa"/>
            <w:tcBorders>
              <w:top w:val="nil"/>
              <w:left w:val="nil"/>
              <w:bottom w:val="single" w:sz="8" w:space="0" w:color="auto"/>
              <w:right w:val="single" w:sz="8" w:space="0" w:color="auto"/>
            </w:tcBorders>
            <w:shd w:val="clear" w:color="auto" w:fill="auto"/>
            <w:vAlign w:val="center"/>
            <w:hideMark/>
          </w:tcPr>
          <w:p w14:paraId="7E3B7B98" w14:textId="77777777" w:rsidR="007C250E" w:rsidRPr="007C250E" w:rsidRDefault="007C250E" w:rsidP="007C250E">
            <w:pPr>
              <w:jc w:val="right"/>
              <w:rPr>
                <w:noProof/>
                <w:sz w:val="16"/>
                <w:szCs w:val="16"/>
              </w:rPr>
            </w:pPr>
            <w:r>
              <w:rPr>
                <w:noProof/>
                <w:sz w:val="16"/>
              </w:rPr>
              <w:t xml:space="preserve"> </w:t>
            </w:r>
          </w:p>
        </w:tc>
      </w:tr>
      <w:tr w:rsidR="007C250E" w:rsidRPr="007C250E" w14:paraId="19D7354C"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EE184B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CAE5B77"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auto" w:fill="auto"/>
            <w:vAlign w:val="center"/>
            <w:hideMark/>
          </w:tcPr>
          <w:p w14:paraId="47F7DA64"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82196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154D8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4CD87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71A0B1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27C5A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BF687D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2467F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FB57A3F" w14:textId="77777777" w:rsidR="007C250E" w:rsidRPr="007C250E" w:rsidRDefault="007C250E" w:rsidP="007C250E">
            <w:pPr>
              <w:jc w:val="right"/>
              <w:rPr>
                <w:b/>
                <w:bCs/>
                <w:i/>
                <w:iCs/>
                <w:noProof/>
                <w:color w:val="000000"/>
                <w:sz w:val="16"/>
                <w:szCs w:val="16"/>
              </w:rPr>
            </w:pPr>
            <w:r>
              <w:rPr>
                <w:b/>
                <w:i/>
                <w:noProof/>
                <w:color w:val="000000"/>
                <w:sz w:val="16"/>
              </w:rPr>
              <w:t>Rezerva</w:t>
            </w:r>
          </w:p>
        </w:tc>
        <w:tc>
          <w:tcPr>
            <w:tcW w:w="1276" w:type="dxa"/>
            <w:tcBorders>
              <w:top w:val="nil"/>
              <w:left w:val="nil"/>
              <w:bottom w:val="single" w:sz="8" w:space="0" w:color="auto"/>
              <w:right w:val="single" w:sz="8" w:space="0" w:color="auto"/>
            </w:tcBorders>
            <w:shd w:val="clear" w:color="auto" w:fill="auto"/>
            <w:vAlign w:val="center"/>
            <w:hideMark/>
          </w:tcPr>
          <w:p w14:paraId="301FA51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0E4EC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F040A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EDB1F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CD051E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EE1EAB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36BA7DD"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0BC6D5CC"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6604A289" w14:textId="77777777" w:rsidR="007C250E" w:rsidRPr="007C250E" w:rsidRDefault="007C250E" w:rsidP="007C250E">
            <w:pPr>
              <w:rPr>
                <w:noProof/>
                <w:sz w:val="16"/>
                <w:szCs w:val="16"/>
              </w:rPr>
            </w:pPr>
            <w:r>
              <w:rPr>
                <w:noProof/>
                <w:sz w:val="16"/>
              </w:rPr>
              <w:t>Dôchodky a európske školy</w:t>
            </w:r>
          </w:p>
        </w:tc>
        <w:tc>
          <w:tcPr>
            <w:tcW w:w="1276" w:type="dxa"/>
            <w:tcBorders>
              <w:top w:val="nil"/>
              <w:left w:val="nil"/>
              <w:bottom w:val="single" w:sz="8" w:space="0" w:color="auto"/>
              <w:right w:val="single" w:sz="8" w:space="0" w:color="auto"/>
            </w:tcBorders>
            <w:shd w:val="clear" w:color="000000" w:fill="F2F2F2"/>
            <w:vAlign w:val="center"/>
            <w:hideMark/>
          </w:tcPr>
          <w:p w14:paraId="5ADC6125" w14:textId="77777777" w:rsidR="007C250E" w:rsidRPr="007C250E" w:rsidRDefault="007C250E" w:rsidP="007C250E">
            <w:pPr>
              <w:jc w:val="right"/>
              <w:rPr>
                <w:noProof/>
                <w:sz w:val="16"/>
                <w:szCs w:val="16"/>
              </w:rPr>
            </w:pPr>
            <w:r>
              <w:rPr>
                <w:noProof/>
                <w:sz w:val="16"/>
              </w:rPr>
              <w:t>2 812 624 762</w:t>
            </w:r>
          </w:p>
        </w:tc>
        <w:tc>
          <w:tcPr>
            <w:tcW w:w="1276" w:type="dxa"/>
            <w:tcBorders>
              <w:top w:val="nil"/>
              <w:left w:val="nil"/>
              <w:bottom w:val="single" w:sz="8" w:space="0" w:color="auto"/>
              <w:right w:val="single" w:sz="8" w:space="0" w:color="auto"/>
            </w:tcBorders>
            <w:shd w:val="clear" w:color="000000" w:fill="F2F2F2"/>
            <w:vAlign w:val="center"/>
            <w:hideMark/>
          </w:tcPr>
          <w:p w14:paraId="5387C08D" w14:textId="77777777" w:rsidR="007C250E" w:rsidRPr="007C250E" w:rsidRDefault="007C250E" w:rsidP="007C250E">
            <w:pPr>
              <w:jc w:val="right"/>
              <w:rPr>
                <w:noProof/>
                <w:sz w:val="16"/>
                <w:szCs w:val="16"/>
              </w:rPr>
            </w:pPr>
            <w:r>
              <w:rPr>
                <w:noProof/>
                <w:sz w:val="16"/>
              </w:rPr>
              <w:t>2 812 624 762</w:t>
            </w:r>
          </w:p>
        </w:tc>
        <w:tc>
          <w:tcPr>
            <w:tcW w:w="1134" w:type="dxa"/>
            <w:tcBorders>
              <w:top w:val="nil"/>
              <w:left w:val="nil"/>
              <w:bottom w:val="single" w:sz="8" w:space="0" w:color="auto"/>
              <w:right w:val="single" w:sz="8" w:space="0" w:color="auto"/>
            </w:tcBorders>
            <w:shd w:val="clear" w:color="000000" w:fill="F2F2F2"/>
            <w:vAlign w:val="center"/>
            <w:hideMark/>
          </w:tcPr>
          <w:p w14:paraId="19F2C19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10F93B3C"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446238ED" w14:textId="77777777" w:rsidR="007C250E" w:rsidRPr="007C250E" w:rsidRDefault="007C250E" w:rsidP="007C250E">
            <w:pPr>
              <w:jc w:val="right"/>
              <w:rPr>
                <w:noProof/>
                <w:sz w:val="16"/>
                <w:szCs w:val="16"/>
              </w:rPr>
            </w:pPr>
            <w:r>
              <w:rPr>
                <w:noProof/>
                <w:sz w:val="16"/>
              </w:rPr>
              <w:t xml:space="preserve">2 812 624 762 </w:t>
            </w:r>
          </w:p>
        </w:tc>
        <w:tc>
          <w:tcPr>
            <w:tcW w:w="1276" w:type="dxa"/>
            <w:tcBorders>
              <w:top w:val="nil"/>
              <w:left w:val="nil"/>
              <w:bottom w:val="single" w:sz="8" w:space="0" w:color="auto"/>
              <w:right w:val="single" w:sz="8" w:space="0" w:color="auto"/>
            </w:tcBorders>
            <w:shd w:val="clear" w:color="000000" w:fill="F2F2F2"/>
            <w:vAlign w:val="center"/>
            <w:hideMark/>
          </w:tcPr>
          <w:p w14:paraId="072EA48F" w14:textId="77777777" w:rsidR="007C250E" w:rsidRPr="007C250E" w:rsidRDefault="007C250E" w:rsidP="007C250E">
            <w:pPr>
              <w:jc w:val="right"/>
              <w:rPr>
                <w:noProof/>
                <w:sz w:val="16"/>
                <w:szCs w:val="16"/>
              </w:rPr>
            </w:pPr>
            <w:r>
              <w:rPr>
                <w:noProof/>
                <w:sz w:val="16"/>
              </w:rPr>
              <w:t xml:space="preserve">2 812 624 762 </w:t>
            </w:r>
          </w:p>
        </w:tc>
      </w:tr>
      <w:tr w:rsidR="007C250E" w:rsidRPr="007C250E" w14:paraId="42B7BF9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4139FA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FE19A3F" w14:textId="77777777" w:rsidR="007C250E" w:rsidRPr="007C250E" w:rsidRDefault="007C250E" w:rsidP="007C250E">
            <w:pPr>
              <w:jc w:val="right"/>
              <w:rPr>
                <w:i/>
                <w:iCs/>
                <w:noProof/>
                <w:color w:val="000000"/>
                <w:sz w:val="16"/>
                <w:szCs w:val="16"/>
              </w:rPr>
            </w:pPr>
            <w:r>
              <w:rPr>
                <w:i/>
                <w:noProof/>
                <w:color w:val="000000"/>
                <w:sz w:val="16"/>
              </w:rPr>
              <w:t>Dôchodky</w:t>
            </w:r>
          </w:p>
        </w:tc>
        <w:tc>
          <w:tcPr>
            <w:tcW w:w="1276" w:type="dxa"/>
            <w:tcBorders>
              <w:top w:val="nil"/>
              <w:left w:val="nil"/>
              <w:bottom w:val="single" w:sz="8" w:space="0" w:color="auto"/>
              <w:right w:val="single" w:sz="8" w:space="0" w:color="auto"/>
            </w:tcBorders>
            <w:shd w:val="clear" w:color="auto" w:fill="auto"/>
            <w:vAlign w:val="center"/>
            <w:hideMark/>
          </w:tcPr>
          <w:p w14:paraId="7CE73A0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1276" w:type="dxa"/>
            <w:tcBorders>
              <w:top w:val="nil"/>
              <w:left w:val="nil"/>
              <w:bottom w:val="single" w:sz="8" w:space="0" w:color="auto"/>
              <w:right w:val="single" w:sz="8" w:space="0" w:color="auto"/>
            </w:tcBorders>
            <w:shd w:val="clear" w:color="auto" w:fill="auto"/>
            <w:vAlign w:val="center"/>
            <w:hideMark/>
          </w:tcPr>
          <w:p w14:paraId="4DAA01E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1134" w:type="dxa"/>
            <w:tcBorders>
              <w:top w:val="nil"/>
              <w:left w:val="nil"/>
              <w:bottom w:val="single" w:sz="8" w:space="0" w:color="auto"/>
              <w:right w:val="single" w:sz="8" w:space="0" w:color="auto"/>
            </w:tcBorders>
            <w:shd w:val="clear" w:color="auto" w:fill="auto"/>
            <w:vAlign w:val="center"/>
            <w:hideMark/>
          </w:tcPr>
          <w:p w14:paraId="0E17A90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BB33A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4BA430B"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c>
          <w:tcPr>
            <w:tcW w:w="1276" w:type="dxa"/>
            <w:tcBorders>
              <w:top w:val="nil"/>
              <w:left w:val="nil"/>
              <w:bottom w:val="single" w:sz="8" w:space="0" w:color="auto"/>
              <w:right w:val="single" w:sz="8" w:space="0" w:color="auto"/>
            </w:tcBorders>
            <w:shd w:val="clear" w:color="auto" w:fill="auto"/>
            <w:vAlign w:val="center"/>
            <w:hideMark/>
          </w:tcPr>
          <w:p w14:paraId="28AAFCFA"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r>
      <w:tr w:rsidR="007C250E" w:rsidRPr="007C250E" w14:paraId="2ECA82B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E3DC33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27814FD" w14:textId="77777777" w:rsidR="007C250E" w:rsidRPr="007C250E" w:rsidRDefault="007C250E" w:rsidP="007C250E">
            <w:pPr>
              <w:jc w:val="right"/>
              <w:rPr>
                <w:i/>
                <w:iCs/>
                <w:noProof/>
                <w:color w:val="000000"/>
                <w:sz w:val="16"/>
                <w:szCs w:val="16"/>
              </w:rPr>
            </w:pPr>
            <w:r>
              <w:rPr>
                <w:i/>
                <w:noProof/>
                <w:color w:val="000000"/>
                <w:sz w:val="16"/>
              </w:rPr>
              <w:t>Európske školy</w:t>
            </w:r>
          </w:p>
        </w:tc>
        <w:tc>
          <w:tcPr>
            <w:tcW w:w="1276" w:type="dxa"/>
            <w:tcBorders>
              <w:top w:val="nil"/>
              <w:left w:val="nil"/>
              <w:bottom w:val="single" w:sz="8" w:space="0" w:color="auto"/>
              <w:right w:val="single" w:sz="8" w:space="0" w:color="auto"/>
            </w:tcBorders>
            <w:shd w:val="clear" w:color="auto" w:fill="auto"/>
            <w:vAlign w:val="center"/>
            <w:hideMark/>
          </w:tcPr>
          <w:p w14:paraId="13CA043B" w14:textId="77777777" w:rsidR="007C250E" w:rsidRPr="007C250E" w:rsidRDefault="007C250E" w:rsidP="007C250E">
            <w:pPr>
              <w:jc w:val="right"/>
              <w:rPr>
                <w:i/>
                <w:iCs/>
                <w:noProof/>
                <w:color w:val="000000"/>
                <w:sz w:val="16"/>
                <w:szCs w:val="16"/>
              </w:rPr>
            </w:pPr>
            <w:r>
              <w:rPr>
                <w:i/>
                <w:noProof/>
                <w:color w:val="000000"/>
                <w:sz w:val="16"/>
              </w:rPr>
              <w:t>247 160 762</w:t>
            </w:r>
          </w:p>
        </w:tc>
        <w:tc>
          <w:tcPr>
            <w:tcW w:w="1276" w:type="dxa"/>
            <w:tcBorders>
              <w:top w:val="nil"/>
              <w:left w:val="nil"/>
              <w:bottom w:val="single" w:sz="8" w:space="0" w:color="auto"/>
              <w:right w:val="single" w:sz="8" w:space="0" w:color="auto"/>
            </w:tcBorders>
            <w:shd w:val="clear" w:color="auto" w:fill="auto"/>
            <w:vAlign w:val="center"/>
            <w:hideMark/>
          </w:tcPr>
          <w:p w14:paraId="48110880" w14:textId="77777777" w:rsidR="007C250E" w:rsidRPr="007C250E" w:rsidRDefault="007C250E" w:rsidP="007C250E">
            <w:pPr>
              <w:jc w:val="right"/>
              <w:rPr>
                <w:i/>
                <w:iCs/>
                <w:noProof/>
                <w:color w:val="000000"/>
                <w:sz w:val="16"/>
                <w:szCs w:val="16"/>
              </w:rPr>
            </w:pPr>
            <w:r>
              <w:rPr>
                <w:i/>
                <w:noProof/>
                <w:color w:val="000000"/>
                <w:sz w:val="16"/>
              </w:rPr>
              <w:t>247 160 762</w:t>
            </w:r>
          </w:p>
        </w:tc>
        <w:tc>
          <w:tcPr>
            <w:tcW w:w="1134" w:type="dxa"/>
            <w:tcBorders>
              <w:top w:val="nil"/>
              <w:left w:val="nil"/>
              <w:bottom w:val="single" w:sz="8" w:space="0" w:color="auto"/>
              <w:right w:val="single" w:sz="8" w:space="0" w:color="auto"/>
            </w:tcBorders>
            <w:shd w:val="clear" w:color="auto" w:fill="auto"/>
            <w:vAlign w:val="center"/>
            <w:hideMark/>
          </w:tcPr>
          <w:p w14:paraId="507FF1C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6AA8D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DB581B"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c>
          <w:tcPr>
            <w:tcW w:w="1276" w:type="dxa"/>
            <w:tcBorders>
              <w:top w:val="nil"/>
              <w:left w:val="nil"/>
              <w:bottom w:val="single" w:sz="8" w:space="0" w:color="auto"/>
              <w:right w:val="single" w:sz="8" w:space="0" w:color="auto"/>
            </w:tcBorders>
            <w:shd w:val="clear" w:color="auto" w:fill="auto"/>
            <w:vAlign w:val="center"/>
            <w:hideMark/>
          </w:tcPr>
          <w:p w14:paraId="46CFD927"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r>
      <w:tr w:rsidR="007C250E" w:rsidRPr="007C250E" w14:paraId="4BD0E98E"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2A0650C6"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4F5573AD" w14:textId="77777777" w:rsidR="007C250E" w:rsidRPr="007C250E" w:rsidRDefault="007C250E" w:rsidP="007C250E">
            <w:pPr>
              <w:rPr>
                <w:noProof/>
                <w:sz w:val="16"/>
                <w:szCs w:val="16"/>
              </w:rPr>
            </w:pPr>
            <w:r>
              <w:rPr>
                <w:noProof/>
                <w:sz w:val="16"/>
              </w:rPr>
              <w:t>Administratívne výdavky inštitúcií</w:t>
            </w:r>
          </w:p>
        </w:tc>
        <w:tc>
          <w:tcPr>
            <w:tcW w:w="1276" w:type="dxa"/>
            <w:tcBorders>
              <w:top w:val="nil"/>
              <w:left w:val="nil"/>
              <w:bottom w:val="single" w:sz="8" w:space="0" w:color="auto"/>
              <w:right w:val="single" w:sz="8" w:space="0" w:color="auto"/>
            </w:tcBorders>
            <w:shd w:val="clear" w:color="000000" w:fill="F2F2F2"/>
            <w:vAlign w:val="center"/>
            <w:hideMark/>
          </w:tcPr>
          <w:p w14:paraId="1C439316" w14:textId="77777777" w:rsidR="007C250E" w:rsidRPr="007C250E" w:rsidRDefault="007C250E" w:rsidP="007C250E">
            <w:pPr>
              <w:jc w:val="right"/>
              <w:rPr>
                <w:noProof/>
                <w:sz w:val="16"/>
                <w:szCs w:val="16"/>
              </w:rPr>
            </w:pPr>
            <w:r>
              <w:rPr>
                <w:noProof/>
                <w:sz w:val="16"/>
              </w:rPr>
              <w:t>9 137 000 694</w:t>
            </w:r>
          </w:p>
        </w:tc>
        <w:tc>
          <w:tcPr>
            <w:tcW w:w="1276" w:type="dxa"/>
            <w:tcBorders>
              <w:top w:val="nil"/>
              <w:left w:val="nil"/>
              <w:bottom w:val="single" w:sz="8" w:space="0" w:color="auto"/>
              <w:right w:val="single" w:sz="8" w:space="0" w:color="auto"/>
            </w:tcBorders>
            <w:shd w:val="clear" w:color="000000" w:fill="F2F2F2"/>
            <w:vAlign w:val="center"/>
            <w:hideMark/>
          </w:tcPr>
          <w:p w14:paraId="676E614C" w14:textId="77777777" w:rsidR="007C250E" w:rsidRPr="007C250E" w:rsidRDefault="007C250E" w:rsidP="007C250E">
            <w:pPr>
              <w:jc w:val="right"/>
              <w:rPr>
                <w:noProof/>
                <w:sz w:val="16"/>
                <w:szCs w:val="16"/>
              </w:rPr>
            </w:pPr>
            <w:r>
              <w:rPr>
                <w:noProof/>
                <w:sz w:val="16"/>
              </w:rPr>
              <w:t>9 137 000 694</w:t>
            </w:r>
          </w:p>
        </w:tc>
        <w:tc>
          <w:tcPr>
            <w:tcW w:w="1134" w:type="dxa"/>
            <w:tcBorders>
              <w:top w:val="nil"/>
              <w:left w:val="nil"/>
              <w:bottom w:val="single" w:sz="8" w:space="0" w:color="auto"/>
              <w:right w:val="single" w:sz="8" w:space="0" w:color="auto"/>
            </w:tcBorders>
            <w:shd w:val="clear" w:color="000000" w:fill="F2F2F2"/>
            <w:vAlign w:val="center"/>
            <w:hideMark/>
          </w:tcPr>
          <w:p w14:paraId="10978431" w14:textId="77777777" w:rsidR="007C250E" w:rsidRPr="007C250E" w:rsidRDefault="007C250E" w:rsidP="007C250E">
            <w:pPr>
              <w:jc w:val="right"/>
              <w:rPr>
                <w:noProof/>
                <w:sz w:val="16"/>
                <w:szCs w:val="16"/>
              </w:rPr>
            </w:pPr>
            <w:r>
              <w:rPr>
                <w:noProof/>
                <w:sz w:val="16"/>
              </w:rPr>
              <w:t xml:space="preserve">4 588 100 </w:t>
            </w:r>
          </w:p>
        </w:tc>
        <w:tc>
          <w:tcPr>
            <w:tcW w:w="1134" w:type="dxa"/>
            <w:tcBorders>
              <w:top w:val="nil"/>
              <w:left w:val="nil"/>
              <w:bottom w:val="single" w:sz="8" w:space="0" w:color="auto"/>
              <w:right w:val="single" w:sz="8" w:space="0" w:color="auto"/>
            </w:tcBorders>
            <w:shd w:val="clear" w:color="000000" w:fill="F2F2F2"/>
            <w:vAlign w:val="center"/>
            <w:hideMark/>
          </w:tcPr>
          <w:p w14:paraId="1FB70EA4" w14:textId="77777777" w:rsidR="007C250E" w:rsidRPr="007C250E" w:rsidRDefault="007C250E" w:rsidP="007C250E">
            <w:pPr>
              <w:jc w:val="right"/>
              <w:rPr>
                <w:noProof/>
                <w:sz w:val="16"/>
                <w:szCs w:val="16"/>
              </w:rPr>
            </w:pPr>
            <w:r>
              <w:rPr>
                <w:noProof/>
                <w:sz w:val="16"/>
              </w:rPr>
              <w:t xml:space="preserve">4 588 100 </w:t>
            </w:r>
          </w:p>
        </w:tc>
        <w:tc>
          <w:tcPr>
            <w:tcW w:w="1275" w:type="dxa"/>
            <w:tcBorders>
              <w:top w:val="nil"/>
              <w:left w:val="nil"/>
              <w:bottom w:val="single" w:sz="8" w:space="0" w:color="auto"/>
              <w:right w:val="single" w:sz="8" w:space="0" w:color="auto"/>
            </w:tcBorders>
            <w:shd w:val="clear" w:color="000000" w:fill="F2F2F2"/>
            <w:vAlign w:val="center"/>
            <w:hideMark/>
          </w:tcPr>
          <w:p w14:paraId="4CB95DF4" w14:textId="77777777" w:rsidR="007C250E" w:rsidRPr="007C250E" w:rsidRDefault="007C250E" w:rsidP="007C250E">
            <w:pPr>
              <w:jc w:val="right"/>
              <w:rPr>
                <w:noProof/>
                <w:sz w:val="16"/>
                <w:szCs w:val="16"/>
              </w:rPr>
            </w:pPr>
            <w:r>
              <w:rPr>
                <w:noProof/>
                <w:sz w:val="16"/>
              </w:rPr>
              <w:t xml:space="preserve">9 141 588 794 </w:t>
            </w:r>
          </w:p>
        </w:tc>
        <w:tc>
          <w:tcPr>
            <w:tcW w:w="1276" w:type="dxa"/>
            <w:tcBorders>
              <w:top w:val="nil"/>
              <w:left w:val="nil"/>
              <w:bottom w:val="single" w:sz="8" w:space="0" w:color="auto"/>
              <w:right w:val="single" w:sz="8" w:space="0" w:color="auto"/>
            </w:tcBorders>
            <w:shd w:val="clear" w:color="000000" w:fill="F2F2F2"/>
            <w:vAlign w:val="center"/>
            <w:hideMark/>
          </w:tcPr>
          <w:p w14:paraId="7E563234" w14:textId="77777777" w:rsidR="007C250E" w:rsidRPr="007C250E" w:rsidRDefault="007C250E" w:rsidP="007C250E">
            <w:pPr>
              <w:jc w:val="right"/>
              <w:rPr>
                <w:noProof/>
                <w:sz w:val="16"/>
                <w:szCs w:val="16"/>
              </w:rPr>
            </w:pPr>
            <w:r>
              <w:rPr>
                <w:noProof/>
                <w:sz w:val="16"/>
              </w:rPr>
              <w:t xml:space="preserve">9 141 588 794 </w:t>
            </w:r>
          </w:p>
        </w:tc>
      </w:tr>
      <w:tr w:rsidR="007C250E" w:rsidRPr="007C250E" w14:paraId="7CD825FA"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CBF6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066E16E" w14:textId="77777777" w:rsidR="007C250E" w:rsidRPr="007C250E" w:rsidRDefault="007C250E" w:rsidP="007C250E">
            <w:pPr>
              <w:jc w:val="right"/>
              <w:rPr>
                <w:i/>
                <w:iCs/>
                <w:noProof/>
                <w:color w:val="000000"/>
                <w:sz w:val="16"/>
                <w:szCs w:val="16"/>
              </w:rPr>
            </w:pPr>
            <w:r>
              <w:rPr>
                <w:i/>
                <w:noProof/>
                <w:color w:val="000000"/>
                <w:sz w:val="16"/>
              </w:rPr>
              <w:t>Európsky parlament</w:t>
            </w:r>
          </w:p>
        </w:tc>
        <w:tc>
          <w:tcPr>
            <w:tcW w:w="1276" w:type="dxa"/>
            <w:tcBorders>
              <w:top w:val="nil"/>
              <w:left w:val="nil"/>
              <w:bottom w:val="single" w:sz="8" w:space="0" w:color="auto"/>
              <w:right w:val="single" w:sz="8" w:space="0" w:color="auto"/>
            </w:tcBorders>
            <w:shd w:val="clear" w:color="auto" w:fill="auto"/>
            <w:vAlign w:val="center"/>
            <w:hideMark/>
          </w:tcPr>
          <w:p w14:paraId="25E2EFB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1276" w:type="dxa"/>
            <w:tcBorders>
              <w:top w:val="nil"/>
              <w:left w:val="nil"/>
              <w:bottom w:val="single" w:sz="8" w:space="0" w:color="auto"/>
              <w:right w:val="single" w:sz="8" w:space="0" w:color="auto"/>
            </w:tcBorders>
            <w:shd w:val="clear" w:color="auto" w:fill="auto"/>
            <w:vAlign w:val="center"/>
            <w:hideMark/>
          </w:tcPr>
          <w:p w14:paraId="0E13D0A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1134" w:type="dxa"/>
            <w:tcBorders>
              <w:top w:val="nil"/>
              <w:left w:val="nil"/>
              <w:bottom w:val="single" w:sz="8" w:space="0" w:color="auto"/>
              <w:right w:val="single" w:sz="8" w:space="0" w:color="auto"/>
            </w:tcBorders>
            <w:shd w:val="clear" w:color="auto" w:fill="auto"/>
            <w:vAlign w:val="center"/>
            <w:hideMark/>
          </w:tcPr>
          <w:p w14:paraId="29391401"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1134" w:type="dxa"/>
            <w:tcBorders>
              <w:top w:val="nil"/>
              <w:left w:val="nil"/>
              <w:bottom w:val="single" w:sz="8" w:space="0" w:color="auto"/>
              <w:right w:val="single" w:sz="8" w:space="0" w:color="auto"/>
            </w:tcBorders>
            <w:shd w:val="clear" w:color="auto" w:fill="auto"/>
            <w:vAlign w:val="center"/>
            <w:hideMark/>
          </w:tcPr>
          <w:p w14:paraId="0DC122B6"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1275" w:type="dxa"/>
            <w:tcBorders>
              <w:top w:val="nil"/>
              <w:left w:val="nil"/>
              <w:bottom w:val="single" w:sz="8" w:space="0" w:color="auto"/>
              <w:right w:val="single" w:sz="8" w:space="0" w:color="auto"/>
            </w:tcBorders>
            <w:shd w:val="clear" w:color="auto" w:fill="auto"/>
            <w:vAlign w:val="center"/>
            <w:hideMark/>
          </w:tcPr>
          <w:p w14:paraId="455D6A5F"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c>
          <w:tcPr>
            <w:tcW w:w="1276" w:type="dxa"/>
            <w:tcBorders>
              <w:top w:val="nil"/>
              <w:left w:val="nil"/>
              <w:bottom w:val="single" w:sz="8" w:space="0" w:color="auto"/>
              <w:right w:val="single" w:sz="8" w:space="0" w:color="auto"/>
            </w:tcBorders>
            <w:shd w:val="clear" w:color="auto" w:fill="auto"/>
            <w:vAlign w:val="center"/>
            <w:hideMark/>
          </w:tcPr>
          <w:p w14:paraId="2BC69894"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r>
      <w:tr w:rsidR="007C250E" w:rsidRPr="007C250E" w14:paraId="10A7800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35DB37"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C2775F8" w14:textId="77777777" w:rsidR="007C250E" w:rsidRPr="007C250E" w:rsidRDefault="007C250E" w:rsidP="007C250E">
            <w:pPr>
              <w:jc w:val="right"/>
              <w:rPr>
                <w:i/>
                <w:iCs/>
                <w:noProof/>
                <w:color w:val="000000"/>
                <w:sz w:val="16"/>
                <w:szCs w:val="16"/>
              </w:rPr>
            </w:pPr>
            <w:r>
              <w:rPr>
                <w:i/>
                <w:noProof/>
                <w:color w:val="000000"/>
                <w:sz w:val="16"/>
              </w:rPr>
              <w:t>Európska rada a Rada</w:t>
            </w:r>
          </w:p>
        </w:tc>
        <w:tc>
          <w:tcPr>
            <w:tcW w:w="1276" w:type="dxa"/>
            <w:tcBorders>
              <w:top w:val="nil"/>
              <w:left w:val="nil"/>
              <w:bottom w:val="single" w:sz="8" w:space="0" w:color="auto"/>
              <w:right w:val="single" w:sz="8" w:space="0" w:color="auto"/>
            </w:tcBorders>
            <w:shd w:val="clear" w:color="auto" w:fill="auto"/>
            <w:vAlign w:val="center"/>
            <w:hideMark/>
          </w:tcPr>
          <w:p w14:paraId="00E56C49" w14:textId="77777777" w:rsidR="007C250E" w:rsidRPr="007C250E" w:rsidRDefault="007C250E" w:rsidP="007C250E">
            <w:pPr>
              <w:jc w:val="right"/>
              <w:rPr>
                <w:i/>
                <w:iCs/>
                <w:noProof/>
                <w:color w:val="000000"/>
                <w:sz w:val="16"/>
                <w:szCs w:val="16"/>
              </w:rPr>
            </w:pPr>
            <w:r>
              <w:rPr>
                <w:i/>
                <w:noProof/>
                <w:color w:val="000000"/>
                <w:sz w:val="16"/>
              </w:rPr>
              <w:t>676 842 943</w:t>
            </w:r>
          </w:p>
        </w:tc>
        <w:tc>
          <w:tcPr>
            <w:tcW w:w="1276" w:type="dxa"/>
            <w:tcBorders>
              <w:top w:val="nil"/>
              <w:left w:val="nil"/>
              <w:bottom w:val="single" w:sz="8" w:space="0" w:color="auto"/>
              <w:right w:val="single" w:sz="8" w:space="0" w:color="auto"/>
            </w:tcBorders>
            <w:shd w:val="clear" w:color="auto" w:fill="auto"/>
            <w:vAlign w:val="center"/>
            <w:hideMark/>
          </w:tcPr>
          <w:p w14:paraId="7C77E10A" w14:textId="77777777" w:rsidR="007C250E" w:rsidRPr="007C250E" w:rsidRDefault="007C250E" w:rsidP="007C250E">
            <w:pPr>
              <w:jc w:val="right"/>
              <w:rPr>
                <w:i/>
                <w:iCs/>
                <w:noProof/>
                <w:color w:val="000000"/>
                <w:sz w:val="16"/>
                <w:szCs w:val="16"/>
              </w:rPr>
            </w:pPr>
            <w:r>
              <w:rPr>
                <w:i/>
                <w:noProof/>
                <w:color w:val="000000"/>
                <w:sz w:val="16"/>
              </w:rPr>
              <w:t>676 842 943</w:t>
            </w:r>
          </w:p>
        </w:tc>
        <w:tc>
          <w:tcPr>
            <w:tcW w:w="1134" w:type="dxa"/>
            <w:tcBorders>
              <w:top w:val="nil"/>
              <w:left w:val="nil"/>
              <w:bottom w:val="single" w:sz="8" w:space="0" w:color="auto"/>
              <w:right w:val="single" w:sz="8" w:space="0" w:color="auto"/>
            </w:tcBorders>
            <w:shd w:val="clear" w:color="auto" w:fill="auto"/>
            <w:vAlign w:val="center"/>
            <w:hideMark/>
          </w:tcPr>
          <w:p w14:paraId="1E01498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6D851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E97E281"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c>
          <w:tcPr>
            <w:tcW w:w="1276" w:type="dxa"/>
            <w:tcBorders>
              <w:top w:val="nil"/>
              <w:left w:val="nil"/>
              <w:bottom w:val="single" w:sz="8" w:space="0" w:color="auto"/>
              <w:right w:val="single" w:sz="8" w:space="0" w:color="auto"/>
            </w:tcBorders>
            <w:shd w:val="clear" w:color="auto" w:fill="auto"/>
            <w:vAlign w:val="center"/>
            <w:hideMark/>
          </w:tcPr>
          <w:p w14:paraId="13D94136"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r>
      <w:tr w:rsidR="007C250E" w:rsidRPr="007C250E" w14:paraId="54D7E2CA" w14:textId="77777777" w:rsidTr="007C250E">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04E6292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FFFFFF"/>
            <w:vAlign w:val="center"/>
            <w:hideMark/>
          </w:tcPr>
          <w:p w14:paraId="0CC4F2D8" w14:textId="77777777" w:rsidR="007C250E" w:rsidRPr="007C250E" w:rsidRDefault="007C250E" w:rsidP="007C250E">
            <w:pPr>
              <w:jc w:val="right"/>
              <w:rPr>
                <w:i/>
                <w:iCs/>
                <w:noProof/>
                <w:color w:val="000000"/>
                <w:sz w:val="16"/>
                <w:szCs w:val="16"/>
              </w:rPr>
            </w:pPr>
            <w:r>
              <w:rPr>
                <w:i/>
                <w:noProof/>
                <w:color w:val="000000"/>
                <w:sz w:val="16"/>
              </w:rPr>
              <w:t>Komisia</w:t>
            </w:r>
          </w:p>
        </w:tc>
        <w:tc>
          <w:tcPr>
            <w:tcW w:w="1276" w:type="dxa"/>
            <w:tcBorders>
              <w:top w:val="nil"/>
              <w:left w:val="nil"/>
              <w:bottom w:val="single" w:sz="8" w:space="0" w:color="auto"/>
              <w:right w:val="single" w:sz="8" w:space="0" w:color="auto"/>
            </w:tcBorders>
            <w:shd w:val="clear" w:color="000000" w:fill="FFFFFF"/>
            <w:vAlign w:val="center"/>
            <w:hideMark/>
          </w:tcPr>
          <w:p w14:paraId="7AA4F4C0"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1276" w:type="dxa"/>
            <w:tcBorders>
              <w:top w:val="nil"/>
              <w:left w:val="nil"/>
              <w:bottom w:val="single" w:sz="8" w:space="0" w:color="auto"/>
              <w:right w:val="single" w:sz="8" w:space="0" w:color="auto"/>
            </w:tcBorders>
            <w:shd w:val="clear" w:color="000000" w:fill="FFFFFF"/>
            <w:vAlign w:val="center"/>
            <w:hideMark/>
          </w:tcPr>
          <w:p w14:paraId="254E5101"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1134" w:type="dxa"/>
            <w:tcBorders>
              <w:top w:val="nil"/>
              <w:left w:val="nil"/>
              <w:bottom w:val="single" w:sz="8" w:space="0" w:color="auto"/>
              <w:right w:val="single" w:sz="8" w:space="0" w:color="auto"/>
            </w:tcBorders>
            <w:shd w:val="clear" w:color="000000" w:fill="FFFFFF"/>
            <w:vAlign w:val="center"/>
            <w:hideMark/>
          </w:tcPr>
          <w:p w14:paraId="48865287"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1134" w:type="dxa"/>
            <w:tcBorders>
              <w:top w:val="nil"/>
              <w:left w:val="nil"/>
              <w:bottom w:val="single" w:sz="8" w:space="0" w:color="auto"/>
              <w:right w:val="single" w:sz="8" w:space="0" w:color="auto"/>
            </w:tcBorders>
            <w:shd w:val="clear" w:color="000000" w:fill="FFFFFF"/>
            <w:vAlign w:val="center"/>
            <w:hideMark/>
          </w:tcPr>
          <w:p w14:paraId="6418E39A"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1275" w:type="dxa"/>
            <w:tcBorders>
              <w:top w:val="nil"/>
              <w:left w:val="nil"/>
              <w:bottom w:val="single" w:sz="8" w:space="0" w:color="auto"/>
              <w:right w:val="single" w:sz="8" w:space="0" w:color="auto"/>
            </w:tcBorders>
            <w:shd w:val="clear" w:color="000000" w:fill="FFFFFF"/>
            <w:vAlign w:val="center"/>
            <w:hideMark/>
          </w:tcPr>
          <w:p w14:paraId="29E06DA1"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c>
          <w:tcPr>
            <w:tcW w:w="1276" w:type="dxa"/>
            <w:tcBorders>
              <w:top w:val="nil"/>
              <w:left w:val="nil"/>
              <w:bottom w:val="single" w:sz="8" w:space="0" w:color="auto"/>
              <w:right w:val="single" w:sz="8" w:space="0" w:color="auto"/>
            </w:tcBorders>
            <w:shd w:val="clear" w:color="000000" w:fill="FFFFFF"/>
            <w:vAlign w:val="center"/>
            <w:hideMark/>
          </w:tcPr>
          <w:p w14:paraId="21DA756F"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r>
      <w:tr w:rsidR="007C250E" w:rsidRPr="007C250E" w14:paraId="6975BDE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243373"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CD6BB55" w14:textId="77777777" w:rsidR="007C250E" w:rsidRPr="007C250E" w:rsidRDefault="007C250E" w:rsidP="007C250E">
            <w:pPr>
              <w:jc w:val="right"/>
              <w:rPr>
                <w:i/>
                <w:iCs/>
                <w:noProof/>
                <w:color w:val="000000"/>
                <w:sz w:val="16"/>
                <w:szCs w:val="16"/>
              </w:rPr>
            </w:pPr>
            <w:r>
              <w:rPr>
                <w:i/>
                <w:noProof/>
                <w:color w:val="000000"/>
                <w:sz w:val="16"/>
              </w:rPr>
              <w:t>Súdny dvor Európskej únie</w:t>
            </w:r>
          </w:p>
        </w:tc>
        <w:tc>
          <w:tcPr>
            <w:tcW w:w="1276" w:type="dxa"/>
            <w:tcBorders>
              <w:top w:val="nil"/>
              <w:left w:val="nil"/>
              <w:bottom w:val="single" w:sz="8" w:space="0" w:color="auto"/>
              <w:right w:val="single" w:sz="8" w:space="0" w:color="auto"/>
            </w:tcBorders>
            <w:shd w:val="clear" w:color="auto" w:fill="auto"/>
            <w:vAlign w:val="center"/>
            <w:hideMark/>
          </w:tcPr>
          <w:p w14:paraId="54DDB61F" w14:textId="77777777" w:rsidR="007C250E" w:rsidRPr="007C250E" w:rsidRDefault="007C250E" w:rsidP="007C250E">
            <w:pPr>
              <w:jc w:val="right"/>
              <w:rPr>
                <w:i/>
                <w:iCs/>
                <w:noProof/>
                <w:color w:val="000000"/>
                <w:sz w:val="16"/>
                <w:szCs w:val="16"/>
              </w:rPr>
            </w:pPr>
            <w:r>
              <w:rPr>
                <w:i/>
                <w:noProof/>
                <w:color w:val="000000"/>
                <w:sz w:val="16"/>
              </w:rPr>
              <w:t>502 443 711</w:t>
            </w:r>
          </w:p>
        </w:tc>
        <w:tc>
          <w:tcPr>
            <w:tcW w:w="1276" w:type="dxa"/>
            <w:tcBorders>
              <w:top w:val="nil"/>
              <w:left w:val="nil"/>
              <w:bottom w:val="single" w:sz="8" w:space="0" w:color="auto"/>
              <w:right w:val="single" w:sz="8" w:space="0" w:color="auto"/>
            </w:tcBorders>
            <w:shd w:val="clear" w:color="auto" w:fill="auto"/>
            <w:vAlign w:val="center"/>
            <w:hideMark/>
          </w:tcPr>
          <w:p w14:paraId="58A0A20B" w14:textId="77777777" w:rsidR="007C250E" w:rsidRPr="007C250E" w:rsidRDefault="007C250E" w:rsidP="007C250E">
            <w:pPr>
              <w:jc w:val="right"/>
              <w:rPr>
                <w:i/>
                <w:iCs/>
                <w:noProof/>
                <w:color w:val="000000"/>
                <w:sz w:val="16"/>
                <w:szCs w:val="16"/>
              </w:rPr>
            </w:pPr>
            <w:r>
              <w:rPr>
                <w:i/>
                <w:noProof/>
                <w:color w:val="000000"/>
                <w:sz w:val="16"/>
              </w:rPr>
              <w:t>502 443 711</w:t>
            </w:r>
          </w:p>
        </w:tc>
        <w:tc>
          <w:tcPr>
            <w:tcW w:w="1134" w:type="dxa"/>
            <w:tcBorders>
              <w:top w:val="nil"/>
              <w:left w:val="nil"/>
              <w:bottom w:val="single" w:sz="8" w:space="0" w:color="auto"/>
              <w:right w:val="single" w:sz="8" w:space="0" w:color="auto"/>
            </w:tcBorders>
            <w:shd w:val="clear" w:color="auto" w:fill="auto"/>
            <w:vAlign w:val="center"/>
            <w:hideMark/>
          </w:tcPr>
          <w:p w14:paraId="2575779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79651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A274A7E"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c>
          <w:tcPr>
            <w:tcW w:w="1276" w:type="dxa"/>
            <w:tcBorders>
              <w:top w:val="nil"/>
              <w:left w:val="nil"/>
              <w:bottom w:val="single" w:sz="8" w:space="0" w:color="auto"/>
              <w:right w:val="single" w:sz="8" w:space="0" w:color="auto"/>
            </w:tcBorders>
            <w:shd w:val="clear" w:color="auto" w:fill="auto"/>
            <w:vAlign w:val="center"/>
            <w:hideMark/>
          </w:tcPr>
          <w:p w14:paraId="70618D47"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r>
      <w:tr w:rsidR="007C250E" w:rsidRPr="007C250E" w14:paraId="0F137C19"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50309F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0A2AB77" w14:textId="77777777" w:rsidR="007C250E" w:rsidRPr="007C250E" w:rsidRDefault="007C250E" w:rsidP="007C250E">
            <w:pPr>
              <w:jc w:val="right"/>
              <w:rPr>
                <w:i/>
                <w:iCs/>
                <w:noProof/>
                <w:color w:val="000000"/>
                <w:sz w:val="16"/>
                <w:szCs w:val="16"/>
              </w:rPr>
            </w:pPr>
            <w:r>
              <w:rPr>
                <w:i/>
                <w:noProof/>
                <w:color w:val="000000"/>
                <w:sz w:val="16"/>
              </w:rPr>
              <w:t>Európsky dvor audítorov</w:t>
            </w:r>
          </w:p>
        </w:tc>
        <w:tc>
          <w:tcPr>
            <w:tcW w:w="1276" w:type="dxa"/>
            <w:tcBorders>
              <w:top w:val="nil"/>
              <w:left w:val="nil"/>
              <w:bottom w:val="single" w:sz="8" w:space="0" w:color="auto"/>
              <w:right w:val="single" w:sz="8" w:space="0" w:color="auto"/>
            </w:tcBorders>
            <w:shd w:val="clear" w:color="auto" w:fill="auto"/>
            <w:vAlign w:val="center"/>
            <w:hideMark/>
          </w:tcPr>
          <w:p w14:paraId="3B98C06F" w14:textId="77777777" w:rsidR="007C250E" w:rsidRPr="007C250E" w:rsidRDefault="007C250E" w:rsidP="007C250E">
            <w:pPr>
              <w:jc w:val="right"/>
              <w:rPr>
                <w:i/>
                <w:iCs/>
                <w:noProof/>
                <w:color w:val="000000"/>
                <w:sz w:val="16"/>
                <w:szCs w:val="16"/>
              </w:rPr>
            </w:pPr>
            <w:r>
              <w:rPr>
                <w:i/>
                <w:noProof/>
                <w:color w:val="000000"/>
                <w:sz w:val="16"/>
              </w:rPr>
              <w:t>184 803 430</w:t>
            </w:r>
          </w:p>
        </w:tc>
        <w:tc>
          <w:tcPr>
            <w:tcW w:w="1276" w:type="dxa"/>
            <w:tcBorders>
              <w:top w:val="nil"/>
              <w:left w:val="nil"/>
              <w:bottom w:val="single" w:sz="8" w:space="0" w:color="auto"/>
              <w:right w:val="single" w:sz="8" w:space="0" w:color="auto"/>
            </w:tcBorders>
            <w:shd w:val="clear" w:color="auto" w:fill="auto"/>
            <w:vAlign w:val="center"/>
            <w:hideMark/>
          </w:tcPr>
          <w:p w14:paraId="6E1B31BF" w14:textId="77777777" w:rsidR="007C250E" w:rsidRPr="007C250E" w:rsidRDefault="007C250E" w:rsidP="007C250E">
            <w:pPr>
              <w:jc w:val="right"/>
              <w:rPr>
                <w:i/>
                <w:iCs/>
                <w:noProof/>
                <w:color w:val="000000"/>
                <w:sz w:val="16"/>
                <w:szCs w:val="16"/>
              </w:rPr>
            </w:pPr>
            <w:r>
              <w:rPr>
                <w:i/>
                <w:noProof/>
                <w:color w:val="000000"/>
                <w:sz w:val="16"/>
              </w:rPr>
              <w:t>184 803 430</w:t>
            </w:r>
          </w:p>
        </w:tc>
        <w:tc>
          <w:tcPr>
            <w:tcW w:w="1134" w:type="dxa"/>
            <w:tcBorders>
              <w:top w:val="nil"/>
              <w:left w:val="nil"/>
              <w:bottom w:val="single" w:sz="8" w:space="0" w:color="auto"/>
              <w:right w:val="single" w:sz="8" w:space="0" w:color="auto"/>
            </w:tcBorders>
            <w:shd w:val="clear" w:color="auto" w:fill="auto"/>
            <w:vAlign w:val="center"/>
            <w:hideMark/>
          </w:tcPr>
          <w:p w14:paraId="24505AE8"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1134" w:type="dxa"/>
            <w:tcBorders>
              <w:top w:val="nil"/>
              <w:left w:val="nil"/>
              <w:bottom w:val="single" w:sz="8" w:space="0" w:color="auto"/>
              <w:right w:val="single" w:sz="8" w:space="0" w:color="auto"/>
            </w:tcBorders>
            <w:shd w:val="clear" w:color="auto" w:fill="auto"/>
            <w:vAlign w:val="center"/>
            <w:hideMark/>
          </w:tcPr>
          <w:p w14:paraId="39BC4D20"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1275" w:type="dxa"/>
            <w:tcBorders>
              <w:top w:val="nil"/>
              <w:left w:val="nil"/>
              <w:bottom w:val="single" w:sz="8" w:space="0" w:color="auto"/>
              <w:right w:val="single" w:sz="8" w:space="0" w:color="auto"/>
            </w:tcBorders>
            <w:shd w:val="clear" w:color="auto" w:fill="auto"/>
            <w:vAlign w:val="center"/>
            <w:hideMark/>
          </w:tcPr>
          <w:p w14:paraId="07E78C1C"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c>
          <w:tcPr>
            <w:tcW w:w="1276" w:type="dxa"/>
            <w:tcBorders>
              <w:top w:val="nil"/>
              <w:left w:val="nil"/>
              <w:bottom w:val="single" w:sz="8" w:space="0" w:color="auto"/>
              <w:right w:val="single" w:sz="8" w:space="0" w:color="auto"/>
            </w:tcBorders>
            <w:shd w:val="clear" w:color="auto" w:fill="auto"/>
            <w:vAlign w:val="center"/>
            <w:hideMark/>
          </w:tcPr>
          <w:p w14:paraId="58F6CC96"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r>
      <w:tr w:rsidR="007C250E" w:rsidRPr="007C250E" w14:paraId="0CF7DD69"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8C8A3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FA07173" w14:textId="77777777" w:rsidR="007C250E" w:rsidRPr="007C250E" w:rsidRDefault="007C250E" w:rsidP="007C250E">
            <w:pPr>
              <w:jc w:val="right"/>
              <w:rPr>
                <w:i/>
                <w:iCs/>
                <w:noProof/>
                <w:color w:val="000000"/>
                <w:sz w:val="16"/>
                <w:szCs w:val="16"/>
              </w:rPr>
            </w:pPr>
            <w:r>
              <w:rPr>
                <w:i/>
                <w:noProof/>
                <w:color w:val="000000"/>
                <w:sz w:val="16"/>
              </w:rPr>
              <w:t>Európsky hospodársky a sociálny výbor</w:t>
            </w:r>
          </w:p>
        </w:tc>
        <w:tc>
          <w:tcPr>
            <w:tcW w:w="1276" w:type="dxa"/>
            <w:tcBorders>
              <w:top w:val="nil"/>
              <w:left w:val="nil"/>
              <w:bottom w:val="single" w:sz="8" w:space="0" w:color="auto"/>
              <w:right w:val="single" w:sz="8" w:space="0" w:color="auto"/>
            </w:tcBorders>
            <w:shd w:val="clear" w:color="auto" w:fill="auto"/>
            <w:vAlign w:val="center"/>
            <w:hideMark/>
          </w:tcPr>
          <w:p w14:paraId="692D053E" w14:textId="77777777" w:rsidR="007C250E" w:rsidRPr="007C250E" w:rsidRDefault="007C250E" w:rsidP="007C250E">
            <w:pPr>
              <w:jc w:val="right"/>
              <w:rPr>
                <w:i/>
                <w:iCs/>
                <w:noProof/>
                <w:color w:val="000000"/>
                <w:sz w:val="16"/>
                <w:szCs w:val="16"/>
              </w:rPr>
            </w:pPr>
            <w:r>
              <w:rPr>
                <w:i/>
                <w:noProof/>
                <w:color w:val="000000"/>
                <w:sz w:val="16"/>
              </w:rPr>
              <w:t>164 945 524</w:t>
            </w:r>
          </w:p>
        </w:tc>
        <w:tc>
          <w:tcPr>
            <w:tcW w:w="1276" w:type="dxa"/>
            <w:tcBorders>
              <w:top w:val="nil"/>
              <w:left w:val="nil"/>
              <w:bottom w:val="single" w:sz="8" w:space="0" w:color="auto"/>
              <w:right w:val="single" w:sz="8" w:space="0" w:color="auto"/>
            </w:tcBorders>
            <w:shd w:val="clear" w:color="auto" w:fill="auto"/>
            <w:vAlign w:val="center"/>
            <w:hideMark/>
          </w:tcPr>
          <w:p w14:paraId="7F2F0BC3" w14:textId="77777777" w:rsidR="007C250E" w:rsidRPr="007C250E" w:rsidRDefault="007C250E" w:rsidP="007C250E">
            <w:pPr>
              <w:jc w:val="right"/>
              <w:rPr>
                <w:i/>
                <w:iCs/>
                <w:noProof/>
                <w:color w:val="000000"/>
                <w:sz w:val="16"/>
                <w:szCs w:val="16"/>
              </w:rPr>
            </w:pPr>
            <w:r>
              <w:rPr>
                <w:i/>
                <w:noProof/>
                <w:color w:val="000000"/>
                <w:sz w:val="16"/>
              </w:rPr>
              <w:t>164 945 524</w:t>
            </w:r>
          </w:p>
        </w:tc>
        <w:tc>
          <w:tcPr>
            <w:tcW w:w="1134" w:type="dxa"/>
            <w:tcBorders>
              <w:top w:val="nil"/>
              <w:left w:val="nil"/>
              <w:bottom w:val="single" w:sz="8" w:space="0" w:color="auto"/>
              <w:right w:val="single" w:sz="8" w:space="0" w:color="auto"/>
            </w:tcBorders>
            <w:shd w:val="clear" w:color="auto" w:fill="auto"/>
            <w:vAlign w:val="center"/>
            <w:hideMark/>
          </w:tcPr>
          <w:p w14:paraId="4AE33BC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79894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3943AE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c>
          <w:tcPr>
            <w:tcW w:w="1276" w:type="dxa"/>
            <w:tcBorders>
              <w:top w:val="nil"/>
              <w:left w:val="nil"/>
              <w:bottom w:val="single" w:sz="8" w:space="0" w:color="auto"/>
              <w:right w:val="single" w:sz="8" w:space="0" w:color="auto"/>
            </w:tcBorders>
            <w:shd w:val="clear" w:color="auto" w:fill="auto"/>
            <w:vAlign w:val="center"/>
            <w:hideMark/>
          </w:tcPr>
          <w:p w14:paraId="18A4FFD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r>
      <w:tr w:rsidR="007C250E" w:rsidRPr="007C250E" w14:paraId="06511975"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BF5B3C1"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BFDA5D7" w14:textId="77777777" w:rsidR="007C250E" w:rsidRPr="007C250E" w:rsidRDefault="007C250E" w:rsidP="007C250E">
            <w:pPr>
              <w:jc w:val="right"/>
              <w:rPr>
                <w:i/>
                <w:iCs/>
                <w:noProof/>
                <w:color w:val="000000"/>
                <w:sz w:val="16"/>
                <w:szCs w:val="16"/>
              </w:rPr>
            </w:pPr>
            <w:r>
              <w:rPr>
                <w:i/>
                <w:noProof/>
                <w:color w:val="000000"/>
                <w:sz w:val="16"/>
              </w:rPr>
              <w:t>Európsky výbor regiónov</w:t>
            </w:r>
          </w:p>
        </w:tc>
        <w:tc>
          <w:tcPr>
            <w:tcW w:w="1276" w:type="dxa"/>
            <w:tcBorders>
              <w:top w:val="nil"/>
              <w:left w:val="nil"/>
              <w:bottom w:val="single" w:sz="8" w:space="0" w:color="auto"/>
              <w:right w:val="single" w:sz="8" w:space="0" w:color="auto"/>
            </w:tcBorders>
            <w:shd w:val="clear" w:color="auto" w:fill="auto"/>
            <w:vAlign w:val="center"/>
            <w:hideMark/>
          </w:tcPr>
          <w:p w14:paraId="0CD001D3" w14:textId="77777777" w:rsidR="007C250E" w:rsidRPr="007C250E" w:rsidRDefault="007C250E" w:rsidP="007C250E">
            <w:pPr>
              <w:jc w:val="right"/>
              <w:rPr>
                <w:i/>
                <w:iCs/>
                <w:noProof/>
                <w:color w:val="000000"/>
                <w:sz w:val="16"/>
                <w:szCs w:val="16"/>
              </w:rPr>
            </w:pPr>
            <w:r>
              <w:rPr>
                <w:i/>
                <w:noProof/>
                <w:color w:val="000000"/>
                <w:sz w:val="16"/>
              </w:rPr>
              <w:t>121 878 345</w:t>
            </w:r>
          </w:p>
        </w:tc>
        <w:tc>
          <w:tcPr>
            <w:tcW w:w="1276" w:type="dxa"/>
            <w:tcBorders>
              <w:top w:val="nil"/>
              <w:left w:val="nil"/>
              <w:bottom w:val="single" w:sz="8" w:space="0" w:color="auto"/>
              <w:right w:val="single" w:sz="8" w:space="0" w:color="auto"/>
            </w:tcBorders>
            <w:shd w:val="clear" w:color="auto" w:fill="auto"/>
            <w:vAlign w:val="center"/>
            <w:hideMark/>
          </w:tcPr>
          <w:p w14:paraId="22E2B187" w14:textId="77777777" w:rsidR="007C250E" w:rsidRPr="007C250E" w:rsidRDefault="007C250E" w:rsidP="007C250E">
            <w:pPr>
              <w:jc w:val="right"/>
              <w:rPr>
                <w:i/>
                <w:iCs/>
                <w:noProof/>
                <w:color w:val="000000"/>
                <w:sz w:val="16"/>
                <w:szCs w:val="16"/>
              </w:rPr>
            </w:pPr>
            <w:r>
              <w:rPr>
                <w:i/>
                <w:noProof/>
                <w:color w:val="000000"/>
                <w:sz w:val="16"/>
              </w:rPr>
              <w:t>121 878 345</w:t>
            </w:r>
          </w:p>
        </w:tc>
        <w:tc>
          <w:tcPr>
            <w:tcW w:w="1134" w:type="dxa"/>
            <w:tcBorders>
              <w:top w:val="nil"/>
              <w:left w:val="nil"/>
              <w:bottom w:val="single" w:sz="8" w:space="0" w:color="auto"/>
              <w:right w:val="single" w:sz="8" w:space="0" w:color="auto"/>
            </w:tcBorders>
            <w:shd w:val="clear" w:color="auto" w:fill="auto"/>
            <w:vAlign w:val="center"/>
            <w:hideMark/>
          </w:tcPr>
          <w:p w14:paraId="6DC1528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87A74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B2975CE"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c>
          <w:tcPr>
            <w:tcW w:w="1276" w:type="dxa"/>
            <w:tcBorders>
              <w:top w:val="nil"/>
              <w:left w:val="nil"/>
              <w:bottom w:val="single" w:sz="8" w:space="0" w:color="auto"/>
              <w:right w:val="single" w:sz="8" w:space="0" w:color="auto"/>
            </w:tcBorders>
            <w:shd w:val="clear" w:color="auto" w:fill="auto"/>
            <w:vAlign w:val="center"/>
            <w:hideMark/>
          </w:tcPr>
          <w:p w14:paraId="30995B52"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r>
      <w:tr w:rsidR="007C250E" w:rsidRPr="007C250E" w14:paraId="2B7D489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4A479C"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CAA2F05" w14:textId="77777777" w:rsidR="007C250E" w:rsidRPr="007C250E" w:rsidRDefault="007C250E" w:rsidP="007C250E">
            <w:pPr>
              <w:jc w:val="right"/>
              <w:rPr>
                <w:i/>
                <w:iCs/>
                <w:noProof/>
                <w:color w:val="000000"/>
                <w:sz w:val="16"/>
                <w:szCs w:val="16"/>
              </w:rPr>
            </w:pPr>
            <w:r>
              <w:rPr>
                <w:i/>
                <w:noProof/>
                <w:color w:val="000000"/>
                <w:sz w:val="16"/>
              </w:rPr>
              <w:t>Európsky ombudsman</w:t>
            </w:r>
          </w:p>
        </w:tc>
        <w:tc>
          <w:tcPr>
            <w:tcW w:w="1276" w:type="dxa"/>
            <w:tcBorders>
              <w:top w:val="nil"/>
              <w:left w:val="nil"/>
              <w:bottom w:val="single" w:sz="8" w:space="0" w:color="auto"/>
              <w:right w:val="single" w:sz="8" w:space="0" w:color="auto"/>
            </w:tcBorders>
            <w:shd w:val="clear" w:color="auto" w:fill="auto"/>
            <w:vAlign w:val="center"/>
            <w:hideMark/>
          </w:tcPr>
          <w:p w14:paraId="57DABCB0" w14:textId="77777777" w:rsidR="007C250E" w:rsidRPr="007C250E" w:rsidRDefault="007C250E" w:rsidP="007C250E">
            <w:pPr>
              <w:jc w:val="right"/>
              <w:rPr>
                <w:i/>
                <w:iCs/>
                <w:noProof/>
                <w:color w:val="000000"/>
                <w:sz w:val="16"/>
                <w:szCs w:val="16"/>
              </w:rPr>
            </w:pPr>
            <w:r>
              <w:rPr>
                <w:i/>
                <w:noProof/>
                <w:color w:val="000000"/>
                <w:sz w:val="16"/>
              </w:rPr>
              <w:t>13 667 466</w:t>
            </w:r>
          </w:p>
        </w:tc>
        <w:tc>
          <w:tcPr>
            <w:tcW w:w="1276" w:type="dxa"/>
            <w:tcBorders>
              <w:top w:val="nil"/>
              <w:left w:val="nil"/>
              <w:bottom w:val="single" w:sz="8" w:space="0" w:color="auto"/>
              <w:right w:val="single" w:sz="8" w:space="0" w:color="auto"/>
            </w:tcBorders>
            <w:shd w:val="clear" w:color="auto" w:fill="auto"/>
            <w:vAlign w:val="center"/>
            <w:hideMark/>
          </w:tcPr>
          <w:p w14:paraId="7D859F19" w14:textId="77777777" w:rsidR="007C250E" w:rsidRPr="007C250E" w:rsidRDefault="007C250E" w:rsidP="007C250E">
            <w:pPr>
              <w:jc w:val="right"/>
              <w:rPr>
                <w:i/>
                <w:iCs/>
                <w:noProof/>
                <w:color w:val="000000"/>
                <w:sz w:val="16"/>
                <w:szCs w:val="16"/>
              </w:rPr>
            </w:pPr>
            <w:r>
              <w:rPr>
                <w:i/>
                <w:noProof/>
                <w:color w:val="000000"/>
                <w:sz w:val="16"/>
              </w:rPr>
              <w:t>13 667 466</w:t>
            </w:r>
          </w:p>
        </w:tc>
        <w:tc>
          <w:tcPr>
            <w:tcW w:w="1134" w:type="dxa"/>
            <w:tcBorders>
              <w:top w:val="nil"/>
              <w:left w:val="nil"/>
              <w:bottom w:val="single" w:sz="8" w:space="0" w:color="auto"/>
              <w:right w:val="single" w:sz="8" w:space="0" w:color="auto"/>
            </w:tcBorders>
            <w:shd w:val="clear" w:color="auto" w:fill="auto"/>
            <w:vAlign w:val="center"/>
            <w:hideMark/>
          </w:tcPr>
          <w:p w14:paraId="0A35894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DF502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C133507"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c>
          <w:tcPr>
            <w:tcW w:w="1276" w:type="dxa"/>
            <w:tcBorders>
              <w:top w:val="nil"/>
              <w:left w:val="nil"/>
              <w:bottom w:val="single" w:sz="8" w:space="0" w:color="auto"/>
              <w:right w:val="single" w:sz="8" w:space="0" w:color="auto"/>
            </w:tcBorders>
            <w:shd w:val="clear" w:color="auto" w:fill="auto"/>
            <w:vAlign w:val="center"/>
            <w:hideMark/>
          </w:tcPr>
          <w:p w14:paraId="57E5F1E2"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r>
      <w:tr w:rsidR="007C250E" w:rsidRPr="007C250E" w14:paraId="4C63B7F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0577CE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75EDFBD" w14:textId="77777777" w:rsidR="007C250E" w:rsidRPr="007C250E" w:rsidRDefault="007C250E" w:rsidP="007C250E">
            <w:pPr>
              <w:jc w:val="right"/>
              <w:rPr>
                <w:i/>
                <w:iCs/>
                <w:noProof/>
                <w:color w:val="000000"/>
                <w:sz w:val="16"/>
                <w:szCs w:val="16"/>
              </w:rPr>
            </w:pPr>
            <w:r>
              <w:rPr>
                <w:i/>
                <w:noProof/>
                <w:color w:val="000000"/>
                <w:sz w:val="16"/>
              </w:rPr>
              <w:t>Európsky dozorný úradník pre ochranu údajov</w:t>
            </w:r>
          </w:p>
        </w:tc>
        <w:tc>
          <w:tcPr>
            <w:tcW w:w="1276" w:type="dxa"/>
            <w:tcBorders>
              <w:top w:val="nil"/>
              <w:left w:val="nil"/>
              <w:bottom w:val="single" w:sz="8" w:space="0" w:color="auto"/>
              <w:right w:val="single" w:sz="8" w:space="0" w:color="auto"/>
            </w:tcBorders>
            <w:shd w:val="clear" w:color="auto" w:fill="auto"/>
            <w:vAlign w:val="center"/>
            <w:hideMark/>
          </w:tcPr>
          <w:p w14:paraId="4DBA363E" w14:textId="77777777" w:rsidR="007C250E" w:rsidRPr="007C250E" w:rsidRDefault="007C250E" w:rsidP="007C250E">
            <w:pPr>
              <w:jc w:val="right"/>
              <w:rPr>
                <w:i/>
                <w:iCs/>
                <w:noProof/>
                <w:color w:val="000000"/>
                <w:sz w:val="16"/>
                <w:szCs w:val="16"/>
              </w:rPr>
            </w:pPr>
            <w:r>
              <w:rPr>
                <w:i/>
                <w:noProof/>
                <w:color w:val="000000"/>
                <w:sz w:val="16"/>
              </w:rPr>
              <w:t>23 921 966</w:t>
            </w:r>
          </w:p>
        </w:tc>
        <w:tc>
          <w:tcPr>
            <w:tcW w:w="1276" w:type="dxa"/>
            <w:tcBorders>
              <w:top w:val="nil"/>
              <w:left w:val="nil"/>
              <w:bottom w:val="single" w:sz="8" w:space="0" w:color="auto"/>
              <w:right w:val="single" w:sz="8" w:space="0" w:color="auto"/>
            </w:tcBorders>
            <w:shd w:val="clear" w:color="auto" w:fill="auto"/>
            <w:vAlign w:val="center"/>
            <w:hideMark/>
          </w:tcPr>
          <w:p w14:paraId="7BBFD5EA" w14:textId="77777777" w:rsidR="007C250E" w:rsidRPr="007C250E" w:rsidRDefault="007C250E" w:rsidP="007C250E">
            <w:pPr>
              <w:jc w:val="right"/>
              <w:rPr>
                <w:i/>
                <w:iCs/>
                <w:noProof/>
                <w:color w:val="000000"/>
                <w:sz w:val="16"/>
                <w:szCs w:val="16"/>
              </w:rPr>
            </w:pPr>
            <w:r>
              <w:rPr>
                <w:i/>
                <w:noProof/>
                <w:color w:val="000000"/>
                <w:sz w:val="16"/>
              </w:rPr>
              <w:t>23 921 966</w:t>
            </w:r>
          </w:p>
        </w:tc>
        <w:tc>
          <w:tcPr>
            <w:tcW w:w="1134" w:type="dxa"/>
            <w:tcBorders>
              <w:top w:val="nil"/>
              <w:left w:val="nil"/>
              <w:bottom w:val="single" w:sz="8" w:space="0" w:color="auto"/>
              <w:right w:val="single" w:sz="8" w:space="0" w:color="auto"/>
            </w:tcBorders>
            <w:shd w:val="clear" w:color="auto" w:fill="auto"/>
            <w:vAlign w:val="center"/>
            <w:hideMark/>
          </w:tcPr>
          <w:p w14:paraId="097E79B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0FC66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C3C5435"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c>
          <w:tcPr>
            <w:tcW w:w="1276" w:type="dxa"/>
            <w:tcBorders>
              <w:top w:val="nil"/>
              <w:left w:val="nil"/>
              <w:bottom w:val="single" w:sz="8" w:space="0" w:color="auto"/>
              <w:right w:val="single" w:sz="8" w:space="0" w:color="auto"/>
            </w:tcBorders>
            <w:shd w:val="clear" w:color="auto" w:fill="auto"/>
            <w:vAlign w:val="center"/>
            <w:hideMark/>
          </w:tcPr>
          <w:p w14:paraId="317764D3"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r>
      <w:tr w:rsidR="007C250E" w:rsidRPr="007C250E" w14:paraId="21B9A9C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532E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ECDCBC2" w14:textId="77777777" w:rsidR="007C250E" w:rsidRPr="007C250E" w:rsidRDefault="007C250E" w:rsidP="007C250E">
            <w:pPr>
              <w:jc w:val="right"/>
              <w:rPr>
                <w:i/>
                <w:iCs/>
                <w:noProof/>
                <w:color w:val="000000"/>
                <w:sz w:val="16"/>
                <w:szCs w:val="16"/>
              </w:rPr>
            </w:pPr>
            <w:r>
              <w:rPr>
                <w:i/>
                <w:noProof/>
                <w:color w:val="000000"/>
                <w:sz w:val="16"/>
              </w:rPr>
              <w:t>Európska služba pre vonkajšiu činnosť</w:t>
            </w:r>
          </w:p>
        </w:tc>
        <w:tc>
          <w:tcPr>
            <w:tcW w:w="1276" w:type="dxa"/>
            <w:tcBorders>
              <w:top w:val="nil"/>
              <w:left w:val="nil"/>
              <w:bottom w:val="single" w:sz="8" w:space="0" w:color="auto"/>
              <w:right w:val="single" w:sz="8" w:space="0" w:color="auto"/>
            </w:tcBorders>
            <w:shd w:val="clear" w:color="auto" w:fill="auto"/>
            <w:vAlign w:val="center"/>
            <w:hideMark/>
          </w:tcPr>
          <w:p w14:paraId="380ED281" w14:textId="77777777" w:rsidR="007C250E" w:rsidRPr="007C250E" w:rsidRDefault="007C250E" w:rsidP="007C250E">
            <w:pPr>
              <w:jc w:val="right"/>
              <w:rPr>
                <w:i/>
                <w:iCs/>
                <w:noProof/>
                <w:color w:val="000000"/>
                <w:sz w:val="16"/>
                <w:szCs w:val="16"/>
              </w:rPr>
            </w:pPr>
            <w:r>
              <w:rPr>
                <w:i/>
                <w:noProof/>
                <w:color w:val="000000"/>
                <w:sz w:val="16"/>
              </w:rPr>
              <w:t>872 195 603</w:t>
            </w:r>
          </w:p>
        </w:tc>
        <w:tc>
          <w:tcPr>
            <w:tcW w:w="1276" w:type="dxa"/>
            <w:tcBorders>
              <w:top w:val="nil"/>
              <w:left w:val="nil"/>
              <w:bottom w:val="single" w:sz="8" w:space="0" w:color="auto"/>
              <w:right w:val="single" w:sz="8" w:space="0" w:color="auto"/>
            </w:tcBorders>
            <w:shd w:val="clear" w:color="auto" w:fill="auto"/>
            <w:vAlign w:val="center"/>
            <w:hideMark/>
          </w:tcPr>
          <w:p w14:paraId="2BAE709D" w14:textId="77777777" w:rsidR="007C250E" w:rsidRPr="007C250E" w:rsidRDefault="007C250E" w:rsidP="007C250E">
            <w:pPr>
              <w:jc w:val="right"/>
              <w:rPr>
                <w:i/>
                <w:iCs/>
                <w:noProof/>
                <w:color w:val="000000"/>
                <w:sz w:val="16"/>
                <w:szCs w:val="16"/>
              </w:rPr>
            </w:pPr>
            <w:r>
              <w:rPr>
                <w:i/>
                <w:noProof/>
                <w:color w:val="000000"/>
                <w:sz w:val="16"/>
              </w:rPr>
              <w:t>872 195 603</w:t>
            </w:r>
          </w:p>
        </w:tc>
        <w:tc>
          <w:tcPr>
            <w:tcW w:w="1134" w:type="dxa"/>
            <w:tcBorders>
              <w:top w:val="nil"/>
              <w:left w:val="nil"/>
              <w:bottom w:val="single" w:sz="8" w:space="0" w:color="auto"/>
              <w:right w:val="single" w:sz="8" w:space="0" w:color="auto"/>
            </w:tcBorders>
            <w:shd w:val="clear" w:color="auto" w:fill="auto"/>
            <w:vAlign w:val="center"/>
            <w:hideMark/>
          </w:tcPr>
          <w:p w14:paraId="5E22F107"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1134" w:type="dxa"/>
            <w:tcBorders>
              <w:top w:val="nil"/>
              <w:left w:val="nil"/>
              <w:bottom w:val="single" w:sz="8" w:space="0" w:color="auto"/>
              <w:right w:val="single" w:sz="8" w:space="0" w:color="auto"/>
            </w:tcBorders>
            <w:shd w:val="clear" w:color="auto" w:fill="auto"/>
            <w:vAlign w:val="center"/>
            <w:hideMark/>
          </w:tcPr>
          <w:p w14:paraId="7D858A02"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1275" w:type="dxa"/>
            <w:tcBorders>
              <w:top w:val="nil"/>
              <w:left w:val="nil"/>
              <w:bottom w:val="single" w:sz="8" w:space="0" w:color="auto"/>
              <w:right w:val="single" w:sz="8" w:space="0" w:color="auto"/>
            </w:tcBorders>
            <w:shd w:val="clear" w:color="auto" w:fill="auto"/>
            <w:vAlign w:val="center"/>
            <w:hideMark/>
          </w:tcPr>
          <w:p w14:paraId="070C6139"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c>
          <w:tcPr>
            <w:tcW w:w="1276" w:type="dxa"/>
            <w:tcBorders>
              <w:top w:val="nil"/>
              <w:left w:val="nil"/>
              <w:bottom w:val="single" w:sz="8" w:space="0" w:color="auto"/>
              <w:right w:val="single" w:sz="8" w:space="0" w:color="auto"/>
            </w:tcBorders>
            <w:shd w:val="clear" w:color="auto" w:fill="auto"/>
            <w:vAlign w:val="center"/>
            <w:hideMark/>
          </w:tcPr>
          <w:p w14:paraId="00FA69CE"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r>
      <w:tr w:rsidR="007C250E" w:rsidRPr="007C250E" w14:paraId="30622A96"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6AB20124" w14:textId="77777777" w:rsidR="007C250E" w:rsidRPr="007C250E" w:rsidRDefault="007C250E" w:rsidP="007C250E">
            <w:pPr>
              <w:jc w:val="right"/>
              <w:rPr>
                <w:b/>
                <w:bCs/>
                <w:noProof/>
                <w:sz w:val="16"/>
                <w:szCs w:val="16"/>
              </w:rPr>
            </w:pPr>
            <w:r>
              <w:rPr>
                <w:b/>
                <w:noProof/>
                <w:sz w:val="16"/>
              </w:rPr>
              <w:t>Rozpočtové prostriedky pre okruhy</w:t>
            </w:r>
          </w:p>
        </w:tc>
        <w:tc>
          <w:tcPr>
            <w:tcW w:w="1276" w:type="dxa"/>
            <w:tcBorders>
              <w:top w:val="nil"/>
              <w:left w:val="nil"/>
              <w:bottom w:val="single" w:sz="8" w:space="0" w:color="auto"/>
              <w:right w:val="single" w:sz="8" w:space="0" w:color="auto"/>
            </w:tcBorders>
            <w:shd w:val="clear" w:color="000000" w:fill="BFBFBF"/>
            <w:vAlign w:val="center"/>
            <w:hideMark/>
          </w:tcPr>
          <w:p w14:paraId="49E2B7FA" w14:textId="77777777" w:rsidR="007C250E" w:rsidRPr="007C250E" w:rsidRDefault="007C250E" w:rsidP="007C250E">
            <w:pPr>
              <w:jc w:val="right"/>
              <w:rPr>
                <w:b/>
                <w:bCs/>
                <w:noProof/>
                <w:sz w:val="16"/>
                <w:szCs w:val="16"/>
              </w:rPr>
            </w:pPr>
            <w:r>
              <w:rPr>
                <w:b/>
                <w:noProof/>
                <w:sz w:val="16"/>
              </w:rPr>
              <w:t>187 780 116 328</w:t>
            </w:r>
          </w:p>
        </w:tc>
        <w:tc>
          <w:tcPr>
            <w:tcW w:w="1276" w:type="dxa"/>
            <w:tcBorders>
              <w:top w:val="nil"/>
              <w:left w:val="nil"/>
              <w:bottom w:val="single" w:sz="8" w:space="0" w:color="auto"/>
              <w:right w:val="single" w:sz="8" w:space="0" w:color="auto"/>
            </w:tcBorders>
            <w:shd w:val="clear" w:color="000000" w:fill="BFBFBF"/>
            <w:vAlign w:val="center"/>
            <w:hideMark/>
          </w:tcPr>
          <w:p w14:paraId="19B8D793" w14:textId="77777777" w:rsidR="007C250E" w:rsidRPr="007C250E" w:rsidRDefault="007C250E" w:rsidP="007C250E">
            <w:pPr>
              <w:jc w:val="right"/>
              <w:rPr>
                <w:b/>
                <w:bCs/>
                <w:noProof/>
                <w:sz w:val="16"/>
                <w:szCs w:val="16"/>
              </w:rPr>
            </w:pPr>
            <w:r>
              <w:rPr>
                <w:b/>
                <w:noProof/>
                <w:sz w:val="16"/>
              </w:rPr>
              <w:t>141 681 983 016</w:t>
            </w:r>
          </w:p>
        </w:tc>
        <w:tc>
          <w:tcPr>
            <w:tcW w:w="1134" w:type="dxa"/>
            <w:tcBorders>
              <w:top w:val="nil"/>
              <w:left w:val="nil"/>
              <w:bottom w:val="single" w:sz="8" w:space="0" w:color="auto"/>
              <w:right w:val="single" w:sz="8" w:space="0" w:color="auto"/>
            </w:tcBorders>
            <w:shd w:val="clear" w:color="000000" w:fill="BFBFBF"/>
            <w:vAlign w:val="center"/>
            <w:hideMark/>
          </w:tcPr>
          <w:p w14:paraId="6332EF80" w14:textId="77777777" w:rsidR="007C250E" w:rsidRPr="007C250E" w:rsidRDefault="007C250E" w:rsidP="007C250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341AFE2F" w14:textId="77777777" w:rsidR="007C250E" w:rsidRPr="007C250E" w:rsidRDefault="007C250E" w:rsidP="007C250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0A960E25" w14:textId="77777777" w:rsidR="007C250E" w:rsidRPr="007C250E" w:rsidRDefault="007C250E" w:rsidP="007C250E">
            <w:pPr>
              <w:jc w:val="right"/>
              <w:rPr>
                <w:b/>
                <w:bCs/>
                <w:noProof/>
                <w:sz w:val="16"/>
                <w:szCs w:val="16"/>
              </w:rPr>
            </w:pPr>
            <w:r>
              <w:rPr>
                <w:b/>
                <w:noProof/>
                <w:sz w:val="16"/>
              </w:rPr>
              <w:t xml:space="preserve">187 712 704 428 </w:t>
            </w:r>
          </w:p>
        </w:tc>
        <w:tc>
          <w:tcPr>
            <w:tcW w:w="1276" w:type="dxa"/>
            <w:tcBorders>
              <w:top w:val="nil"/>
              <w:left w:val="nil"/>
              <w:bottom w:val="single" w:sz="8" w:space="0" w:color="auto"/>
              <w:right w:val="single" w:sz="8" w:space="0" w:color="auto"/>
            </w:tcBorders>
            <w:shd w:val="clear" w:color="000000" w:fill="BFBFBF"/>
            <w:vAlign w:val="center"/>
            <w:hideMark/>
          </w:tcPr>
          <w:p w14:paraId="39A95657" w14:textId="77777777" w:rsidR="007C250E" w:rsidRPr="007C250E" w:rsidRDefault="007C250E" w:rsidP="007C250E">
            <w:pPr>
              <w:jc w:val="right"/>
              <w:rPr>
                <w:b/>
                <w:bCs/>
                <w:noProof/>
                <w:sz w:val="16"/>
                <w:szCs w:val="16"/>
              </w:rPr>
            </w:pPr>
            <w:r>
              <w:rPr>
                <w:b/>
                <w:noProof/>
                <w:sz w:val="16"/>
              </w:rPr>
              <w:t xml:space="preserve">141 614 571 116 </w:t>
            </w:r>
          </w:p>
        </w:tc>
      </w:tr>
      <w:tr w:rsidR="007C250E" w:rsidRPr="007C250E" w14:paraId="136C488A"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4108944F"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012E700C" w14:textId="77777777" w:rsidR="007C250E" w:rsidRPr="007C250E" w:rsidRDefault="007C250E" w:rsidP="007C250E">
            <w:pPr>
              <w:jc w:val="right"/>
              <w:rPr>
                <w:b/>
                <w:bCs/>
                <w:i/>
                <w:iCs/>
                <w:noProof/>
                <w:sz w:val="16"/>
                <w:szCs w:val="16"/>
              </w:rPr>
            </w:pPr>
            <w:r>
              <w:rPr>
                <w:b/>
                <w:i/>
                <w:noProof/>
                <w:sz w:val="16"/>
              </w:rPr>
              <w:t xml:space="preserve">Strop </w:t>
            </w:r>
          </w:p>
        </w:tc>
        <w:tc>
          <w:tcPr>
            <w:tcW w:w="1276" w:type="dxa"/>
            <w:tcBorders>
              <w:top w:val="nil"/>
              <w:left w:val="nil"/>
              <w:bottom w:val="single" w:sz="8" w:space="0" w:color="auto"/>
              <w:right w:val="single" w:sz="8" w:space="0" w:color="auto"/>
            </w:tcBorders>
            <w:shd w:val="clear" w:color="000000" w:fill="F2F2F2"/>
            <w:vAlign w:val="center"/>
            <w:hideMark/>
          </w:tcPr>
          <w:p w14:paraId="6D8D2B90" w14:textId="77777777" w:rsidR="007C250E" w:rsidRPr="007C250E" w:rsidRDefault="007C250E" w:rsidP="007C250E">
            <w:pPr>
              <w:jc w:val="right"/>
              <w:rPr>
                <w:b/>
                <w:bCs/>
                <w:i/>
                <w:iCs/>
                <w:noProof/>
                <w:sz w:val="16"/>
                <w:szCs w:val="16"/>
              </w:rPr>
            </w:pPr>
            <w:r>
              <w:rPr>
                <w:b/>
                <w:i/>
                <w:noProof/>
                <w:sz w:val="16"/>
              </w:rPr>
              <w:t>185 963 000 000</w:t>
            </w:r>
          </w:p>
        </w:tc>
        <w:tc>
          <w:tcPr>
            <w:tcW w:w="1276" w:type="dxa"/>
            <w:tcBorders>
              <w:top w:val="nil"/>
              <w:left w:val="nil"/>
              <w:bottom w:val="single" w:sz="8" w:space="0" w:color="auto"/>
              <w:right w:val="single" w:sz="8" w:space="0" w:color="auto"/>
            </w:tcBorders>
            <w:shd w:val="clear" w:color="000000" w:fill="F2F2F2"/>
            <w:vAlign w:val="center"/>
            <w:hideMark/>
          </w:tcPr>
          <w:p w14:paraId="5BCD1DC9" w14:textId="77777777" w:rsidR="007C250E" w:rsidRPr="007C250E" w:rsidRDefault="007C250E" w:rsidP="007C250E">
            <w:pPr>
              <w:jc w:val="right"/>
              <w:rPr>
                <w:b/>
                <w:bCs/>
                <w:i/>
                <w:iCs/>
                <w:noProof/>
                <w:sz w:val="16"/>
                <w:szCs w:val="16"/>
              </w:rPr>
            </w:pPr>
            <w:r>
              <w:rPr>
                <w:b/>
                <w:i/>
                <w:noProof/>
                <w:sz w:val="16"/>
              </w:rPr>
              <w:t>170 543 000 000</w:t>
            </w:r>
          </w:p>
        </w:tc>
        <w:tc>
          <w:tcPr>
            <w:tcW w:w="1134" w:type="dxa"/>
            <w:tcBorders>
              <w:top w:val="nil"/>
              <w:left w:val="nil"/>
              <w:bottom w:val="single" w:sz="8" w:space="0" w:color="auto"/>
              <w:right w:val="single" w:sz="8" w:space="0" w:color="auto"/>
            </w:tcBorders>
            <w:shd w:val="clear" w:color="000000" w:fill="F2F2F2"/>
            <w:vAlign w:val="center"/>
            <w:hideMark/>
          </w:tcPr>
          <w:p w14:paraId="66FC91BE"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02700B2E" w14:textId="77777777" w:rsidR="007C250E" w:rsidRPr="007C250E" w:rsidRDefault="007C250E" w:rsidP="007C250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F699F6E" w14:textId="77777777" w:rsidR="007C250E" w:rsidRPr="007C250E" w:rsidRDefault="007C250E" w:rsidP="007C250E">
            <w:pPr>
              <w:jc w:val="right"/>
              <w:rPr>
                <w:b/>
                <w:bCs/>
                <w:i/>
                <w:iCs/>
                <w:noProof/>
                <w:sz w:val="16"/>
                <w:szCs w:val="16"/>
              </w:rPr>
            </w:pPr>
            <w:r>
              <w:rPr>
                <w:b/>
                <w:i/>
                <w:noProof/>
                <w:sz w:val="16"/>
              </w:rPr>
              <w:t xml:space="preserve">185 963 000 000 </w:t>
            </w:r>
          </w:p>
        </w:tc>
        <w:tc>
          <w:tcPr>
            <w:tcW w:w="1276" w:type="dxa"/>
            <w:tcBorders>
              <w:top w:val="nil"/>
              <w:left w:val="nil"/>
              <w:bottom w:val="single" w:sz="8" w:space="0" w:color="auto"/>
              <w:right w:val="single" w:sz="8" w:space="0" w:color="auto"/>
            </w:tcBorders>
            <w:shd w:val="clear" w:color="000000" w:fill="F2F2F2"/>
            <w:vAlign w:val="center"/>
            <w:hideMark/>
          </w:tcPr>
          <w:p w14:paraId="32160FE3" w14:textId="77777777" w:rsidR="007C250E" w:rsidRPr="007C250E" w:rsidRDefault="007C250E" w:rsidP="007C250E">
            <w:pPr>
              <w:jc w:val="right"/>
              <w:rPr>
                <w:b/>
                <w:bCs/>
                <w:i/>
                <w:iCs/>
                <w:noProof/>
                <w:sz w:val="16"/>
                <w:szCs w:val="16"/>
              </w:rPr>
            </w:pPr>
            <w:r>
              <w:rPr>
                <w:b/>
                <w:i/>
                <w:noProof/>
                <w:sz w:val="16"/>
              </w:rPr>
              <w:t xml:space="preserve">170 543 000 000 </w:t>
            </w:r>
          </w:p>
        </w:tc>
      </w:tr>
      <w:tr w:rsidR="007C250E" w:rsidRPr="007C250E" w14:paraId="66EA0B11"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3C279E24"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56EA93E8" w14:textId="77777777" w:rsidR="007C250E" w:rsidRPr="007C250E" w:rsidRDefault="007C250E" w:rsidP="007C250E">
            <w:pPr>
              <w:jc w:val="right"/>
              <w:rPr>
                <w:b/>
                <w:bCs/>
                <w:i/>
                <w:iCs/>
                <w:noProof/>
                <w:sz w:val="16"/>
                <w:szCs w:val="16"/>
              </w:rPr>
            </w:pPr>
            <w:r>
              <w:rPr>
                <w:b/>
                <w:i/>
                <w:noProof/>
                <w:sz w:val="16"/>
              </w:rPr>
              <w:t>Z toho prostriedky v rámci nástroja flexibility</w:t>
            </w:r>
          </w:p>
        </w:tc>
        <w:tc>
          <w:tcPr>
            <w:tcW w:w="1276" w:type="dxa"/>
            <w:tcBorders>
              <w:top w:val="nil"/>
              <w:left w:val="nil"/>
              <w:bottom w:val="single" w:sz="8" w:space="0" w:color="auto"/>
              <w:right w:val="single" w:sz="8" w:space="0" w:color="auto"/>
            </w:tcBorders>
            <w:shd w:val="clear" w:color="000000" w:fill="F2F2F2"/>
            <w:vAlign w:val="center"/>
            <w:hideMark/>
          </w:tcPr>
          <w:p w14:paraId="00391A67" w14:textId="77777777" w:rsidR="007C250E" w:rsidRPr="007C250E" w:rsidRDefault="007C250E" w:rsidP="007C250E">
            <w:pPr>
              <w:jc w:val="right"/>
              <w:rPr>
                <w:b/>
                <w:bCs/>
                <w:i/>
                <w:iCs/>
                <w:noProof/>
                <w:sz w:val="16"/>
                <w:szCs w:val="16"/>
              </w:rPr>
            </w:pPr>
            <w:r>
              <w:rPr>
                <w:b/>
                <w:i/>
                <w:noProof/>
                <w:sz w:val="16"/>
              </w:rPr>
              <w:t>1 635 528 875</w:t>
            </w:r>
          </w:p>
        </w:tc>
        <w:tc>
          <w:tcPr>
            <w:tcW w:w="1276" w:type="dxa"/>
            <w:tcBorders>
              <w:top w:val="nil"/>
              <w:left w:val="nil"/>
              <w:bottom w:val="single" w:sz="8" w:space="0" w:color="auto"/>
              <w:right w:val="single" w:sz="8" w:space="0" w:color="auto"/>
            </w:tcBorders>
            <w:shd w:val="clear" w:color="000000" w:fill="F2F2F2"/>
            <w:vAlign w:val="center"/>
            <w:hideMark/>
          </w:tcPr>
          <w:p w14:paraId="29B6A335" w14:textId="77777777" w:rsidR="007C250E" w:rsidRPr="007C250E" w:rsidRDefault="007C250E" w:rsidP="007C250E">
            <w:pPr>
              <w:jc w:val="right"/>
              <w:rPr>
                <w:b/>
                <w:bCs/>
                <w:i/>
                <w:iCs/>
                <w:noProof/>
                <w:sz w:val="16"/>
                <w:szCs w:val="16"/>
              </w:rPr>
            </w:pPr>
            <w:r>
              <w:rPr>
                <w:b/>
                <w:i/>
                <w:noProof/>
                <w:sz w:val="16"/>
              </w:rPr>
              <w:t>1 747 272 316</w:t>
            </w:r>
          </w:p>
        </w:tc>
        <w:tc>
          <w:tcPr>
            <w:tcW w:w="1134" w:type="dxa"/>
            <w:tcBorders>
              <w:top w:val="nil"/>
              <w:left w:val="nil"/>
              <w:bottom w:val="single" w:sz="8" w:space="0" w:color="auto"/>
              <w:right w:val="single" w:sz="8" w:space="0" w:color="auto"/>
            </w:tcBorders>
            <w:shd w:val="clear" w:color="000000" w:fill="F2F2F2"/>
            <w:vAlign w:val="center"/>
            <w:hideMark/>
          </w:tcPr>
          <w:p w14:paraId="5E9FEE29"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3880952E" w14:textId="77777777" w:rsidR="007C250E" w:rsidRPr="007C250E" w:rsidRDefault="007C250E" w:rsidP="007C250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37E7C9F9" w14:textId="77777777" w:rsidR="007C250E" w:rsidRPr="007C250E" w:rsidRDefault="007C250E" w:rsidP="007C250E">
            <w:pPr>
              <w:jc w:val="right"/>
              <w:rPr>
                <w:b/>
                <w:bCs/>
                <w:i/>
                <w:iCs/>
                <w:noProof/>
                <w:sz w:val="16"/>
                <w:szCs w:val="16"/>
              </w:rPr>
            </w:pPr>
            <w:r>
              <w:rPr>
                <w:b/>
                <w:i/>
                <w:noProof/>
                <w:sz w:val="16"/>
              </w:rPr>
              <w:t xml:space="preserve">1 635 528 875 </w:t>
            </w:r>
          </w:p>
        </w:tc>
        <w:tc>
          <w:tcPr>
            <w:tcW w:w="1276" w:type="dxa"/>
            <w:tcBorders>
              <w:top w:val="nil"/>
              <w:left w:val="nil"/>
              <w:bottom w:val="single" w:sz="8" w:space="0" w:color="auto"/>
              <w:right w:val="single" w:sz="8" w:space="0" w:color="auto"/>
            </w:tcBorders>
            <w:shd w:val="clear" w:color="000000" w:fill="F2F2F2"/>
            <w:vAlign w:val="center"/>
            <w:hideMark/>
          </w:tcPr>
          <w:p w14:paraId="523C1B24" w14:textId="77777777" w:rsidR="007C250E" w:rsidRPr="007C250E" w:rsidRDefault="007C250E" w:rsidP="007C250E">
            <w:pPr>
              <w:jc w:val="right"/>
              <w:rPr>
                <w:b/>
                <w:bCs/>
                <w:i/>
                <w:iCs/>
                <w:noProof/>
                <w:sz w:val="16"/>
                <w:szCs w:val="16"/>
              </w:rPr>
            </w:pPr>
            <w:r>
              <w:rPr>
                <w:b/>
                <w:i/>
                <w:noProof/>
                <w:sz w:val="16"/>
              </w:rPr>
              <w:t xml:space="preserve">1 747 272 316 </w:t>
            </w:r>
          </w:p>
        </w:tc>
      </w:tr>
      <w:tr w:rsidR="007C250E" w:rsidRPr="007C250E" w14:paraId="50E4B0E6" w14:textId="77777777" w:rsidTr="007C250E">
        <w:trPr>
          <w:trHeight w:val="405"/>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3BB786F5" w14:textId="77777777" w:rsidR="007C250E" w:rsidRPr="007C250E" w:rsidRDefault="007C250E" w:rsidP="007C250E">
            <w:pPr>
              <w:jc w:val="right"/>
              <w:rPr>
                <w:b/>
                <w:bCs/>
                <w:noProof/>
                <w:sz w:val="16"/>
                <w:szCs w:val="16"/>
              </w:rPr>
            </w:pPr>
            <w:r>
              <w:rPr>
                <w:b/>
                <w:noProof/>
                <w:sz w:val="16"/>
              </w:rPr>
              <w:t>Z toho prostriedky v rámci nástroja jednotnej rezervy [článok 11 ods. 1 písm. a)]</w:t>
            </w:r>
          </w:p>
        </w:tc>
        <w:tc>
          <w:tcPr>
            <w:tcW w:w="1276" w:type="dxa"/>
            <w:tcBorders>
              <w:top w:val="nil"/>
              <w:left w:val="nil"/>
              <w:bottom w:val="single" w:sz="8" w:space="0" w:color="auto"/>
              <w:right w:val="single" w:sz="8" w:space="0" w:color="auto"/>
            </w:tcBorders>
            <w:shd w:val="clear" w:color="000000" w:fill="F2F2F2"/>
            <w:vAlign w:val="center"/>
            <w:hideMark/>
          </w:tcPr>
          <w:p w14:paraId="0AC1418B" w14:textId="77777777" w:rsidR="007C250E" w:rsidRPr="007C250E" w:rsidRDefault="007C250E" w:rsidP="007C250E">
            <w:pPr>
              <w:jc w:val="right"/>
              <w:rPr>
                <w:b/>
                <w:bCs/>
                <w:i/>
                <w:iCs/>
                <w:noProof/>
                <w:sz w:val="16"/>
                <w:szCs w:val="16"/>
              </w:rPr>
            </w:pPr>
            <w:r>
              <w:rPr>
                <w:b/>
                <w:i/>
                <w:noProof/>
                <w:sz w:val="16"/>
              </w:rPr>
              <w:t>549 442 340</w:t>
            </w:r>
          </w:p>
        </w:tc>
        <w:tc>
          <w:tcPr>
            <w:tcW w:w="1276" w:type="dxa"/>
            <w:tcBorders>
              <w:top w:val="nil"/>
              <w:left w:val="nil"/>
              <w:bottom w:val="single" w:sz="8" w:space="0" w:color="auto"/>
              <w:right w:val="single" w:sz="8" w:space="0" w:color="auto"/>
            </w:tcBorders>
            <w:shd w:val="clear" w:color="000000" w:fill="F2F2F2"/>
            <w:vAlign w:val="center"/>
            <w:hideMark/>
          </w:tcPr>
          <w:p w14:paraId="32FC317C"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10034089" w14:textId="77777777" w:rsidR="007C250E" w:rsidRPr="007C250E" w:rsidRDefault="007C250E" w:rsidP="007C250E">
            <w:pPr>
              <w:jc w:val="right"/>
              <w:rPr>
                <w:b/>
                <w:bCs/>
                <w:i/>
                <w:iCs/>
                <w:noProof/>
                <w:sz w:val="16"/>
                <w:szCs w:val="16"/>
              </w:rPr>
            </w:pPr>
            <w:r>
              <w:rPr>
                <w:b/>
                <w:i/>
                <w:noProof/>
                <w:sz w:val="16"/>
              </w:rPr>
              <w:t xml:space="preserve">-67 411 900 </w:t>
            </w:r>
          </w:p>
        </w:tc>
        <w:tc>
          <w:tcPr>
            <w:tcW w:w="1134" w:type="dxa"/>
            <w:tcBorders>
              <w:top w:val="nil"/>
              <w:left w:val="nil"/>
              <w:bottom w:val="single" w:sz="8" w:space="0" w:color="auto"/>
              <w:right w:val="single" w:sz="8" w:space="0" w:color="auto"/>
            </w:tcBorders>
            <w:shd w:val="clear" w:color="000000" w:fill="F2F2F2"/>
            <w:vAlign w:val="center"/>
            <w:hideMark/>
          </w:tcPr>
          <w:p w14:paraId="67CF7D1E"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DFFCE54" w14:textId="77777777" w:rsidR="007C250E" w:rsidRPr="007C250E" w:rsidRDefault="007C250E" w:rsidP="007C250E">
            <w:pPr>
              <w:jc w:val="right"/>
              <w:rPr>
                <w:b/>
                <w:bCs/>
                <w:i/>
                <w:iCs/>
                <w:noProof/>
                <w:sz w:val="16"/>
                <w:szCs w:val="16"/>
              </w:rPr>
            </w:pPr>
            <w:r>
              <w:rPr>
                <w:b/>
                <w:i/>
                <w:noProof/>
                <w:sz w:val="16"/>
              </w:rPr>
              <w:t xml:space="preserve">482 030 440 </w:t>
            </w:r>
          </w:p>
        </w:tc>
        <w:tc>
          <w:tcPr>
            <w:tcW w:w="1276" w:type="dxa"/>
            <w:tcBorders>
              <w:top w:val="nil"/>
              <w:left w:val="nil"/>
              <w:bottom w:val="single" w:sz="8" w:space="0" w:color="auto"/>
              <w:right w:val="single" w:sz="8" w:space="0" w:color="auto"/>
            </w:tcBorders>
            <w:shd w:val="clear" w:color="000000" w:fill="F2F2F2"/>
            <w:vAlign w:val="center"/>
            <w:hideMark/>
          </w:tcPr>
          <w:p w14:paraId="799B2B9A" w14:textId="77777777" w:rsidR="007C250E" w:rsidRPr="007C250E" w:rsidRDefault="007C250E" w:rsidP="007C250E">
            <w:pPr>
              <w:jc w:val="right"/>
              <w:rPr>
                <w:noProof/>
                <w:sz w:val="16"/>
                <w:szCs w:val="16"/>
              </w:rPr>
            </w:pPr>
            <w:r>
              <w:rPr>
                <w:noProof/>
                <w:sz w:val="16"/>
              </w:rPr>
              <w:t xml:space="preserve"> </w:t>
            </w:r>
          </w:p>
        </w:tc>
      </w:tr>
      <w:tr w:rsidR="007C250E" w:rsidRPr="007C250E" w14:paraId="05B0A835" w14:textId="77777777" w:rsidTr="007C250E">
        <w:trPr>
          <w:trHeight w:val="510"/>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70634E6E" w14:textId="77777777" w:rsidR="007C250E" w:rsidRPr="007C250E" w:rsidRDefault="007C250E" w:rsidP="007C250E">
            <w:pPr>
              <w:jc w:val="right"/>
              <w:rPr>
                <w:b/>
                <w:bCs/>
                <w:noProof/>
                <w:color w:val="000000"/>
                <w:sz w:val="16"/>
                <w:szCs w:val="16"/>
              </w:rPr>
            </w:pPr>
            <w:r>
              <w:rPr>
                <w:b/>
                <w:noProof/>
                <w:color w:val="000000"/>
                <w:sz w:val="16"/>
              </w:rPr>
              <w:t>Z toho prostriedky v rámci nástroja jednotnej rezervy [článok 11 ods. 1 písm. c)]</w:t>
            </w:r>
          </w:p>
        </w:tc>
        <w:tc>
          <w:tcPr>
            <w:tcW w:w="1276" w:type="dxa"/>
            <w:tcBorders>
              <w:top w:val="nil"/>
              <w:left w:val="nil"/>
              <w:bottom w:val="single" w:sz="8" w:space="0" w:color="auto"/>
              <w:right w:val="single" w:sz="8" w:space="0" w:color="auto"/>
            </w:tcBorders>
            <w:shd w:val="clear" w:color="000000" w:fill="F2F2F2"/>
            <w:vAlign w:val="center"/>
            <w:hideMark/>
          </w:tcPr>
          <w:p w14:paraId="2CC4BADD"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12416F2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7351EDD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291EB75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A6D254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683CF5D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E8C57EE"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65319DF8"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3B860D15" w14:textId="77777777" w:rsidR="007C250E" w:rsidRPr="007C250E" w:rsidRDefault="007C250E" w:rsidP="007C250E">
            <w:pPr>
              <w:jc w:val="right"/>
              <w:rPr>
                <w:b/>
                <w:bCs/>
                <w:i/>
                <w:iCs/>
                <w:noProof/>
                <w:sz w:val="16"/>
                <w:szCs w:val="16"/>
              </w:rPr>
            </w:pPr>
            <w:r>
              <w:rPr>
                <w:b/>
                <w:i/>
                <w:noProof/>
                <w:sz w:val="16"/>
              </w:rPr>
              <w:t>Rezerva</w:t>
            </w:r>
          </w:p>
        </w:tc>
        <w:tc>
          <w:tcPr>
            <w:tcW w:w="1276" w:type="dxa"/>
            <w:tcBorders>
              <w:top w:val="nil"/>
              <w:left w:val="nil"/>
              <w:bottom w:val="single" w:sz="8" w:space="0" w:color="auto"/>
              <w:right w:val="single" w:sz="8" w:space="0" w:color="auto"/>
            </w:tcBorders>
            <w:shd w:val="clear" w:color="000000" w:fill="F2F2F2"/>
            <w:vAlign w:val="center"/>
            <w:hideMark/>
          </w:tcPr>
          <w:p w14:paraId="20B0BE3D" w14:textId="77777777" w:rsidR="007C250E" w:rsidRPr="007C250E" w:rsidRDefault="007C250E" w:rsidP="007C250E">
            <w:pPr>
              <w:jc w:val="right"/>
              <w:rPr>
                <w:b/>
                <w:bCs/>
                <w:i/>
                <w:iCs/>
                <w:noProof/>
                <w:sz w:val="16"/>
                <w:szCs w:val="16"/>
              </w:rPr>
            </w:pPr>
            <w:r>
              <w:rPr>
                <w:b/>
                <w:i/>
                <w:noProof/>
                <w:sz w:val="16"/>
              </w:rPr>
              <w:t>367 854 887</w:t>
            </w:r>
          </w:p>
        </w:tc>
        <w:tc>
          <w:tcPr>
            <w:tcW w:w="1276" w:type="dxa"/>
            <w:tcBorders>
              <w:top w:val="nil"/>
              <w:left w:val="nil"/>
              <w:bottom w:val="single" w:sz="8" w:space="0" w:color="auto"/>
              <w:right w:val="single" w:sz="8" w:space="0" w:color="auto"/>
            </w:tcBorders>
            <w:shd w:val="clear" w:color="000000" w:fill="F2F2F2"/>
            <w:vAlign w:val="center"/>
            <w:hideMark/>
          </w:tcPr>
          <w:p w14:paraId="377EFB4F" w14:textId="77777777" w:rsidR="007C250E" w:rsidRPr="007C250E" w:rsidRDefault="007C250E" w:rsidP="007C250E">
            <w:pPr>
              <w:jc w:val="right"/>
              <w:rPr>
                <w:b/>
                <w:bCs/>
                <w:i/>
                <w:iCs/>
                <w:noProof/>
                <w:sz w:val="16"/>
                <w:szCs w:val="16"/>
              </w:rPr>
            </w:pPr>
            <w:r>
              <w:rPr>
                <w:b/>
                <w:i/>
                <w:noProof/>
                <w:sz w:val="16"/>
              </w:rPr>
              <w:t>30 608 289 300</w:t>
            </w:r>
          </w:p>
        </w:tc>
        <w:tc>
          <w:tcPr>
            <w:tcW w:w="1134" w:type="dxa"/>
            <w:tcBorders>
              <w:top w:val="nil"/>
              <w:left w:val="nil"/>
              <w:bottom w:val="single" w:sz="8" w:space="0" w:color="auto"/>
              <w:right w:val="single" w:sz="8" w:space="0" w:color="auto"/>
            </w:tcBorders>
            <w:shd w:val="clear" w:color="000000" w:fill="F2F2F2"/>
            <w:vAlign w:val="center"/>
            <w:hideMark/>
          </w:tcPr>
          <w:p w14:paraId="1D7BD4AD"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329AB58F" w14:textId="77777777" w:rsidR="007C250E" w:rsidRPr="007C250E" w:rsidRDefault="007C250E" w:rsidP="007C250E">
            <w:pPr>
              <w:jc w:val="right"/>
              <w:rPr>
                <w:b/>
                <w:bCs/>
                <w:i/>
                <w:iCs/>
                <w:noProof/>
                <w:sz w:val="16"/>
                <w:szCs w:val="16"/>
              </w:rPr>
            </w:pPr>
            <w:r>
              <w:rPr>
                <w:b/>
                <w:i/>
                <w:noProof/>
                <w:sz w:val="16"/>
              </w:rPr>
              <w:t xml:space="preserve">67 411 900 </w:t>
            </w:r>
          </w:p>
        </w:tc>
        <w:tc>
          <w:tcPr>
            <w:tcW w:w="1275" w:type="dxa"/>
            <w:tcBorders>
              <w:top w:val="nil"/>
              <w:left w:val="nil"/>
              <w:bottom w:val="single" w:sz="8" w:space="0" w:color="auto"/>
              <w:right w:val="single" w:sz="8" w:space="0" w:color="auto"/>
            </w:tcBorders>
            <w:shd w:val="clear" w:color="000000" w:fill="F2F2F2"/>
            <w:vAlign w:val="center"/>
            <w:hideMark/>
          </w:tcPr>
          <w:p w14:paraId="7433F814" w14:textId="77777777" w:rsidR="007C250E" w:rsidRPr="007C250E" w:rsidRDefault="007C250E" w:rsidP="007C250E">
            <w:pPr>
              <w:jc w:val="right"/>
              <w:rPr>
                <w:b/>
                <w:bCs/>
                <w:i/>
                <w:iCs/>
                <w:noProof/>
                <w:sz w:val="16"/>
                <w:szCs w:val="16"/>
              </w:rPr>
            </w:pPr>
            <w:r>
              <w:rPr>
                <w:b/>
                <w:i/>
                <w:noProof/>
                <w:sz w:val="16"/>
              </w:rPr>
              <w:t xml:space="preserve">367 854 887 </w:t>
            </w:r>
          </w:p>
        </w:tc>
        <w:tc>
          <w:tcPr>
            <w:tcW w:w="1276" w:type="dxa"/>
            <w:tcBorders>
              <w:top w:val="nil"/>
              <w:left w:val="nil"/>
              <w:bottom w:val="single" w:sz="8" w:space="0" w:color="auto"/>
              <w:right w:val="single" w:sz="8" w:space="0" w:color="auto"/>
            </w:tcBorders>
            <w:shd w:val="clear" w:color="000000" w:fill="F2F2F2"/>
            <w:vAlign w:val="center"/>
            <w:hideMark/>
          </w:tcPr>
          <w:p w14:paraId="08C0FBE6" w14:textId="77777777" w:rsidR="007C250E" w:rsidRPr="007C250E" w:rsidRDefault="007C250E" w:rsidP="007C250E">
            <w:pPr>
              <w:jc w:val="right"/>
              <w:rPr>
                <w:b/>
                <w:bCs/>
                <w:i/>
                <w:iCs/>
                <w:noProof/>
                <w:sz w:val="16"/>
                <w:szCs w:val="16"/>
              </w:rPr>
            </w:pPr>
            <w:r>
              <w:rPr>
                <w:b/>
                <w:i/>
                <w:noProof/>
                <w:sz w:val="16"/>
              </w:rPr>
              <w:t xml:space="preserve">30 675 701 200 </w:t>
            </w:r>
          </w:p>
        </w:tc>
      </w:tr>
      <w:tr w:rsidR="007C250E" w:rsidRPr="007C250E" w14:paraId="72C7BD8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19163A34" w14:textId="77777777" w:rsidR="007C250E" w:rsidRPr="007C250E" w:rsidRDefault="007C250E" w:rsidP="007C250E">
            <w:pPr>
              <w:jc w:val="right"/>
              <w:rPr>
                <w:b/>
                <w:bCs/>
                <w:noProof/>
                <w:sz w:val="16"/>
                <w:szCs w:val="16"/>
              </w:rPr>
            </w:pPr>
            <w:r>
              <w:rPr>
                <w:b/>
                <w:noProof/>
                <w:sz w:val="16"/>
              </w:rPr>
              <w:t>Rozpočtové prostriedky ako % HND</w:t>
            </w:r>
          </w:p>
        </w:tc>
        <w:tc>
          <w:tcPr>
            <w:tcW w:w="1276" w:type="dxa"/>
            <w:tcBorders>
              <w:top w:val="nil"/>
              <w:left w:val="nil"/>
              <w:bottom w:val="single" w:sz="8" w:space="0" w:color="auto"/>
              <w:right w:val="single" w:sz="8" w:space="0" w:color="auto"/>
            </w:tcBorders>
            <w:shd w:val="clear" w:color="000000" w:fill="BFBFBF"/>
            <w:vAlign w:val="center"/>
            <w:hideMark/>
          </w:tcPr>
          <w:p w14:paraId="04C3905F" w14:textId="77777777" w:rsidR="007C250E" w:rsidRPr="007C250E" w:rsidRDefault="007C250E" w:rsidP="007C250E">
            <w:pPr>
              <w:jc w:val="right"/>
              <w:rPr>
                <w:b/>
                <w:bCs/>
                <w:noProof/>
                <w:sz w:val="16"/>
                <w:szCs w:val="16"/>
              </w:rPr>
            </w:pPr>
            <w:r>
              <w:rPr>
                <w:b/>
                <w:noProof/>
                <w:sz w:val="16"/>
              </w:rPr>
              <w:t>1,06%</w:t>
            </w:r>
          </w:p>
        </w:tc>
        <w:tc>
          <w:tcPr>
            <w:tcW w:w="1276" w:type="dxa"/>
            <w:tcBorders>
              <w:top w:val="nil"/>
              <w:left w:val="nil"/>
              <w:bottom w:val="single" w:sz="8" w:space="0" w:color="auto"/>
              <w:right w:val="single" w:sz="8" w:space="0" w:color="auto"/>
            </w:tcBorders>
            <w:shd w:val="clear" w:color="000000" w:fill="BFBFBF"/>
            <w:vAlign w:val="center"/>
            <w:hideMark/>
          </w:tcPr>
          <w:p w14:paraId="5D8637D2" w14:textId="77777777" w:rsidR="007C250E" w:rsidRPr="007C250E" w:rsidRDefault="007C250E" w:rsidP="007C250E">
            <w:pPr>
              <w:jc w:val="right"/>
              <w:rPr>
                <w:b/>
                <w:bCs/>
                <w:noProof/>
                <w:sz w:val="16"/>
                <w:szCs w:val="16"/>
              </w:rPr>
            </w:pPr>
            <w:r>
              <w:rPr>
                <w:b/>
                <w:noProof/>
                <w:sz w:val="16"/>
              </w:rPr>
              <w:t>0,80%</w:t>
            </w:r>
          </w:p>
        </w:tc>
        <w:tc>
          <w:tcPr>
            <w:tcW w:w="1134" w:type="dxa"/>
            <w:tcBorders>
              <w:top w:val="nil"/>
              <w:left w:val="nil"/>
              <w:bottom w:val="single" w:sz="8" w:space="0" w:color="auto"/>
              <w:right w:val="single" w:sz="8" w:space="0" w:color="auto"/>
            </w:tcBorders>
            <w:shd w:val="clear" w:color="000000" w:fill="BFBFBF"/>
            <w:vAlign w:val="center"/>
            <w:hideMark/>
          </w:tcPr>
          <w:p w14:paraId="01184CAF" w14:textId="77777777" w:rsidR="007C250E" w:rsidRPr="007C250E" w:rsidRDefault="007C250E" w:rsidP="007C250E">
            <w:pPr>
              <w:jc w:val="right"/>
              <w:rPr>
                <w:b/>
                <w:bCs/>
                <w:noProof/>
                <w:sz w:val="16"/>
                <w:szCs w:val="16"/>
              </w:rPr>
            </w:pPr>
            <w:r>
              <w:rPr>
                <w:b/>
                <w:noProof/>
                <w:sz w:val="16"/>
              </w:rPr>
              <w:t>0,00%</w:t>
            </w:r>
          </w:p>
        </w:tc>
        <w:tc>
          <w:tcPr>
            <w:tcW w:w="1134" w:type="dxa"/>
            <w:tcBorders>
              <w:top w:val="nil"/>
              <w:left w:val="nil"/>
              <w:bottom w:val="single" w:sz="8" w:space="0" w:color="auto"/>
              <w:right w:val="single" w:sz="8" w:space="0" w:color="auto"/>
            </w:tcBorders>
            <w:shd w:val="clear" w:color="000000" w:fill="BFBFBF"/>
            <w:vAlign w:val="center"/>
            <w:hideMark/>
          </w:tcPr>
          <w:p w14:paraId="1C427D70" w14:textId="77777777" w:rsidR="007C250E" w:rsidRPr="007C250E" w:rsidRDefault="007C250E" w:rsidP="007C250E">
            <w:pPr>
              <w:jc w:val="right"/>
              <w:rPr>
                <w:b/>
                <w:bCs/>
                <w:noProof/>
                <w:sz w:val="16"/>
                <w:szCs w:val="16"/>
              </w:rPr>
            </w:pPr>
            <w:r>
              <w:rPr>
                <w:b/>
                <w:noProof/>
                <w:sz w:val="16"/>
              </w:rPr>
              <w:t>0,00%</w:t>
            </w:r>
          </w:p>
        </w:tc>
        <w:tc>
          <w:tcPr>
            <w:tcW w:w="1275" w:type="dxa"/>
            <w:tcBorders>
              <w:top w:val="nil"/>
              <w:left w:val="nil"/>
              <w:bottom w:val="single" w:sz="8" w:space="0" w:color="auto"/>
              <w:right w:val="single" w:sz="8" w:space="0" w:color="auto"/>
            </w:tcBorders>
            <w:shd w:val="clear" w:color="000000" w:fill="BFBFBF"/>
            <w:vAlign w:val="center"/>
            <w:hideMark/>
          </w:tcPr>
          <w:p w14:paraId="3DD2FD71" w14:textId="77777777" w:rsidR="007C250E" w:rsidRPr="007C250E" w:rsidRDefault="007C250E" w:rsidP="007C250E">
            <w:pPr>
              <w:jc w:val="right"/>
              <w:rPr>
                <w:b/>
                <w:bCs/>
                <w:noProof/>
                <w:sz w:val="16"/>
                <w:szCs w:val="16"/>
              </w:rPr>
            </w:pPr>
            <w:r>
              <w:rPr>
                <w:b/>
                <w:noProof/>
                <w:sz w:val="16"/>
              </w:rPr>
              <w:t>1,06%</w:t>
            </w:r>
          </w:p>
        </w:tc>
        <w:tc>
          <w:tcPr>
            <w:tcW w:w="1276" w:type="dxa"/>
            <w:tcBorders>
              <w:top w:val="nil"/>
              <w:left w:val="nil"/>
              <w:bottom w:val="single" w:sz="8" w:space="0" w:color="auto"/>
              <w:right w:val="single" w:sz="8" w:space="0" w:color="auto"/>
            </w:tcBorders>
            <w:shd w:val="clear" w:color="000000" w:fill="BFBFBF"/>
            <w:vAlign w:val="center"/>
            <w:hideMark/>
          </w:tcPr>
          <w:p w14:paraId="6251AF87" w14:textId="77777777" w:rsidR="007C250E" w:rsidRPr="007C250E" w:rsidRDefault="007C250E" w:rsidP="007C250E">
            <w:pPr>
              <w:jc w:val="right"/>
              <w:rPr>
                <w:b/>
                <w:bCs/>
                <w:noProof/>
                <w:sz w:val="16"/>
                <w:szCs w:val="16"/>
              </w:rPr>
            </w:pPr>
            <w:r>
              <w:rPr>
                <w:b/>
                <w:noProof/>
                <w:sz w:val="16"/>
              </w:rPr>
              <w:t>0,80%</w:t>
            </w:r>
          </w:p>
        </w:tc>
      </w:tr>
      <w:tr w:rsidR="007C250E" w:rsidRPr="007C250E" w14:paraId="78C5C07F"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73BF156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04A4C1CD" w14:textId="77777777" w:rsidR="007C250E" w:rsidRPr="007C250E" w:rsidRDefault="007C250E" w:rsidP="007C250E">
            <w:pPr>
              <w:jc w:val="right"/>
              <w:rPr>
                <w:b/>
                <w:bCs/>
                <w:noProof/>
                <w:sz w:val="16"/>
                <w:szCs w:val="16"/>
              </w:rPr>
            </w:pPr>
            <w:r>
              <w:rPr>
                <w:b/>
                <w:noProof/>
                <w:sz w:val="16"/>
              </w:rPr>
              <w:t>Tematické osobitné nástroje</w:t>
            </w:r>
          </w:p>
        </w:tc>
        <w:tc>
          <w:tcPr>
            <w:tcW w:w="1276" w:type="dxa"/>
            <w:tcBorders>
              <w:top w:val="nil"/>
              <w:left w:val="nil"/>
              <w:bottom w:val="single" w:sz="8" w:space="0" w:color="auto"/>
              <w:right w:val="single" w:sz="8" w:space="0" w:color="auto"/>
            </w:tcBorders>
            <w:shd w:val="clear" w:color="000000" w:fill="D9D9D9"/>
            <w:vAlign w:val="center"/>
            <w:hideMark/>
          </w:tcPr>
          <w:p w14:paraId="3FAB7D8F" w14:textId="77777777" w:rsidR="007C250E" w:rsidRPr="007C250E" w:rsidRDefault="007C250E" w:rsidP="007C250E">
            <w:pPr>
              <w:jc w:val="right"/>
              <w:rPr>
                <w:b/>
                <w:bCs/>
                <w:noProof/>
                <w:sz w:val="16"/>
                <w:szCs w:val="16"/>
              </w:rPr>
            </w:pPr>
            <w:r>
              <w:rPr>
                <w:b/>
                <w:noProof/>
                <w:sz w:val="16"/>
              </w:rPr>
              <w:t>1 560 861 211</w:t>
            </w:r>
          </w:p>
        </w:tc>
        <w:tc>
          <w:tcPr>
            <w:tcW w:w="1276" w:type="dxa"/>
            <w:tcBorders>
              <w:top w:val="nil"/>
              <w:left w:val="nil"/>
              <w:bottom w:val="single" w:sz="8" w:space="0" w:color="auto"/>
              <w:right w:val="single" w:sz="8" w:space="0" w:color="auto"/>
            </w:tcBorders>
            <w:shd w:val="clear" w:color="000000" w:fill="D9D9D9"/>
            <w:vAlign w:val="center"/>
            <w:hideMark/>
          </w:tcPr>
          <w:p w14:paraId="30FCB79C" w14:textId="77777777" w:rsidR="007C250E" w:rsidRPr="007C250E" w:rsidRDefault="007C250E" w:rsidP="007C250E">
            <w:pPr>
              <w:jc w:val="right"/>
              <w:rPr>
                <w:b/>
                <w:bCs/>
                <w:noProof/>
                <w:sz w:val="16"/>
                <w:szCs w:val="16"/>
              </w:rPr>
            </w:pPr>
            <w:r>
              <w:rPr>
                <w:b/>
                <w:noProof/>
                <w:sz w:val="16"/>
              </w:rPr>
              <w:t>1 371 395 001</w:t>
            </w:r>
          </w:p>
        </w:tc>
        <w:tc>
          <w:tcPr>
            <w:tcW w:w="1134" w:type="dxa"/>
            <w:tcBorders>
              <w:top w:val="nil"/>
              <w:left w:val="nil"/>
              <w:bottom w:val="single" w:sz="8" w:space="0" w:color="auto"/>
              <w:right w:val="single" w:sz="8" w:space="0" w:color="auto"/>
            </w:tcBorders>
            <w:shd w:val="clear" w:color="000000" w:fill="D9D9D9"/>
            <w:vAlign w:val="center"/>
            <w:hideMark/>
          </w:tcPr>
          <w:p w14:paraId="6A1C9B49"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667E2186"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0FD90200" w14:textId="77777777" w:rsidR="007C250E" w:rsidRPr="007C250E" w:rsidRDefault="007C250E" w:rsidP="007C250E">
            <w:pPr>
              <w:jc w:val="right"/>
              <w:rPr>
                <w:b/>
                <w:bCs/>
                <w:noProof/>
                <w:sz w:val="16"/>
                <w:szCs w:val="16"/>
              </w:rPr>
            </w:pPr>
            <w:r>
              <w:rPr>
                <w:b/>
                <w:noProof/>
                <w:sz w:val="16"/>
              </w:rPr>
              <w:t xml:space="preserve">1 560 861 211 </w:t>
            </w:r>
          </w:p>
        </w:tc>
        <w:tc>
          <w:tcPr>
            <w:tcW w:w="1276" w:type="dxa"/>
            <w:tcBorders>
              <w:top w:val="nil"/>
              <w:left w:val="nil"/>
              <w:bottom w:val="single" w:sz="8" w:space="0" w:color="auto"/>
              <w:right w:val="single" w:sz="8" w:space="0" w:color="auto"/>
            </w:tcBorders>
            <w:shd w:val="clear" w:color="000000" w:fill="D9D9D9"/>
            <w:vAlign w:val="center"/>
            <w:hideMark/>
          </w:tcPr>
          <w:p w14:paraId="132E7832" w14:textId="77777777" w:rsidR="007C250E" w:rsidRPr="007C250E" w:rsidRDefault="007C250E" w:rsidP="007C250E">
            <w:pPr>
              <w:jc w:val="right"/>
              <w:rPr>
                <w:b/>
                <w:bCs/>
                <w:noProof/>
                <w:sz w:val="16"/>
                <w:szCs w:val="16"/>
              </w:rPr>
            </w:pPr>
            <w:r>
              <w:rPr>
                <w:b/>
                <w:noProof/>
                <w:sz w:val="16"/>
              </w:rPr>
              <w:t xml:space="preserve">1 371 395 001 </w:t>
            </w:r>
          </w:p>
        </w:tc>
      </w:tr>
      <w:tr w:rsidR="007C250E" w:rsidRPr="007C250E" w14:paraId="68BD777E"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576BA0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6CB7BFA" w14:textId="77777777" w:rsidR="007C250E" w:rsidRPr="007C250E" w:rsidRDefault="007C250E" w:rsidP="007C250E">
            <w:pPr>
              <w:jc w:val="right"/>
              <w:rPr>
                <w:i/>
                <w:iCs/>
                <w:noProof/>
                <w:sz w:val="16"/>
                <w:szCs w:val="16"/>
              </w:rPr>
            </w:pPr>
            <w:r>
              <w:rPr>
                <w:i/>
                <w:noProof/>
                <w:sz w:val="16"/>
              </w:rPr>
              <w:t>Rezerva na solidaritu a núdzovú pomoc (SEAR)</w:t>
            </w:r>
          </w:p>
        </w:tc>
        <w:tc>
          <w:tcPr>
            <w:tcW w:w="1276" w:type="dxa"/>
            <w:tcBorders>
              <w:top w:val="nil"/>
              <w:left w:val="nil"/>
              <w:bottom w:val="single" w:sz="8" w:space="0" w:color="auto"/>
              <w:right w:val="single" w:sz="8" w:space="0" w:color="auto"/>
            </w:tcBorders>
            <w:shd w:val="clear" w:color="auto" w:fill="auto"/>
            <w:vAlign w:val="center"/>
            <w:hideMark/>
          </w:tcPr>
          <w:p w14:paraId="07601312" w14:textId="77777777" w:rsidR="007C250E" w:rsidRPr="007C250E" w:rsidRDefault="007C250E" w:rsidP="007C250E">
            <w:pPr>
              <w:jc w:val="right"/>
              <w:rPr>
                <w:i/>
                <w:iCs/>
                <w:noProof/>
                <w:sz w:val="16"/>
                <w:szCs w:val="16"/>
              </w:rPr>
            </w:pPr>
            <w:r>
              <w:rPr>
                <w:i/>
                <w:noProof/>
                <w:sz w:val="16"/>
              </w:rPr>
              <w:t>1 351 395 001</w:t>
            </w:r>
          </w:p>
        </w:tc>
        <w:tc>
          <w:tcPr>
            <w:tcW w:w="1276" w:type="dxa"/>
            <w:tcBorders>
              <w:top w:val="nil"/>
              <w:left w:val="nil"/>
              <w:bottom w:val="single" w:sz="8" w:space="0" w:color="auto"/>
              <w:right w:val="single" w:sz="8" w:space="0" w:color="auto"/>
            </w:tcBorders>
            <w:shd w:val="clear" w:color="auto" w:fill="auto"/>
            <w:vAlign w:val="center"/>
            <w:hideMark/>
          </w:tcPr>
          <w:p w14:paraId="0BC84693" w14:textId="77777777" w:rsidR="007C250E" w:rsidRPr="007C250E" w:rsidRDefault="007C250E" w:rsidP="007C250E">
            <w:pPr>
              <w:jc w:val="right"/>
              <w:rPr>
                <w:i/>
                <w:iCs/>
                <w:noProof/>
                <w:sz w:val="16"/>
                <w:szCs w:val="16"/>
              </w:rPr>
            </w:pPr>
            <w:r>
              <w:rPr>
                <w:i/>
                <w:noProof/>
                <w:sz w:val="16"/>
              </w:rPr>
              <w:t>1 351 395 001</w:t>
            </w:r>
          </w:p>
        </w:tc>
        <w:tc>
          <w:tcPr>
            <w:tcW w:w="1134" w:type="dxa"/>
            <w:tcBorders>
              <w:top w:val="nil"/>
              <w:left w:val="nil"/>
              <w:bottom w:val="single" w:sz="8" w:space="0" w:color="auto"/>
              <w:right w:val="single" w:sz="8" w:space="0" w:color="auto"/>
            </w:tcBorders>
            <w:shd w:val="clear" w:color="auto" w:fill="auto"/>
            <w:vAlign w:val="center"/>
            <w:hideMark/>
          </w:tcPr>
          <w:p w14:paraId="1D482F40"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49666A"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BEAEB3E" w14:textId="77777777" w:rsidR="007C250E" w:rsidRPr="007C250E" w:rsidRDefault="007C250E" w:rsidP="007C250E">
            <w:pPr>
              <w:jc w:val="right"/>
              <w:rPr>
                <w:i/>
                <w:iCs/>
                <w:noProof/>
                <w:sz w:val="16"/>
                <w:szCs w:val="16"/>
              </w:rPr>
            </w:pPr>
            <w:r>
              <w:rPr>
                <w:i/>
                <w:noProof/>
                <w:sz w:val="16"/>
              </w:rPr>
              <w:t xml:space="preserve">1 351 395 001 </w:t>
            </w:r>
          </w:p>
        </w:tc>
        <w:tc>
          <w:tcPr>
            <w:tcW w:w="1276" w:type="dxa"/>
            <w:tcBorders>
              <w:top w:val="nil"/>
              <w:left w:val="nil"/>
              <w:bottom w:val="single" w:sz="8" w:space="0" w:color="auto"/>
              <w:right w:val="single" w:sz="8" w:space="0" w:color="auto"/>
            </w:tcBorders>
            <w:shd w:val="clear" w:color="auto" w:fill="auto"/>
            <w:vAlign w:val="center"/>
            <w:hideMark/>
          </w:tcPr>
          <w:p w14:paraId="1E4F7162" w14:textId="77777777" w:rsidR="007C250E" w:rsidRPr="007C250E" w:rsidRDefault="007C250E" w:rsidP="007C250E">
            <w:pPr>
              <w:jc w:val="right"/>
              <w:rPr>
                <w:i/>
                <w:iCs/>
                <w:noProof/>
                <w:sz w:val="16"/>
                <w:szCs w:val="16"/>
              </w:rPr>
            </w:pPr>
            <w:r>
              <w:rPr>
                <w:i/>
                <w:noProof/>
                <w:sz w:val="16"/>
              </w:rPr>
              <w:t xml:space="preserve">1 351 395 001 </w:t>
            </w:r>
          </w:p>
        </w:tc>
      </w:tr>
      <w:tr w:rsidR="007C250E" w:rsidRPr="007C250E" w14:paraId="0C47B04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79E142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67743C1" w14:textId="77777777" w:rsidR="007C250E" w:rsidRPr="007C250E" w:rsidRDefault="007C250E" w:rsidP="007C250E">
            <w:pPr>
              <w:jc w:val="right"/>
              <w:rPr>
                <w:i/>
                <w:iCs/>
                <w:noProof/>
                <w:color w:val="000000"/>
                <w:sz w:val="16"/>
                <w:szCs w:val="16"/>
              </w:rPr>
            </w:pPr>
            <w:r>
              <w:rPr>
                <w:i/>
                <w:noProof/>
                <w:color w:val="000000"/>
                <w:sz w:val="16"/>
              </w:rPr>
              <w:t>Európsky fond na prispôsobenie sa globalizácii (EGF)</w:t>
            </w:r>
          </w:p>
        </w:tc>
        <w:tc>
          <w:tcPr>
            <w:tcW w:w="1276" w:type="dxa"/>
            <w:tcBorders>
              <w:top w:val="nil"/>
              <w:left w:val="nil"/>
              <w:bottom w:val="single" w:sz="8" w:space="0" w:color="auto"/>
              <w:right w:val="single" w:sz="8" w:space="0" w:color="auto"/>
            </w:tcBorders>
            <w:shd w:val="clear" w:color="auto" w:fill="auto"/>
            <w:vAlign w:val="center"/>
            <w:hideMark/>
          </w:tcPr>
          <w:p w14:paraId="786F1010" w14:textId="77777777" w:rsidR="007C250E" w:rsidRPr="007C250E" w:rsidRDefault="007C250E" w:rsidP="007C250E">
            <w:pPr>
              <w:jc w:val="right"/>
              <w:rPr>
                <w:i/>
                <w:iCs/>
                <w:noProof/>
                <w:color w:val="000000"/>
                <w:sz w:val="16"/>
                <w:szCs w:val="16"/>
              </w:rPr>
            </w:pPr>
            <w:r>
              <w:rPr>
                <w:i/>
                <w:noProof/>
                <w:color w:val="000000"/>
                <w:sz w:val="16"/>
              </w:rPr>
              <w:t>209 466 210</w:t>
            </w:r>
          </w:p>
        </w:tc>
        <w:tc>
          <w:tcPr>
            <w:tcW w:w="1276" w:type="dxa"/>
            <w:tcBorders>
              <w:top w:val="nil"/>
              <w:left w:val="nil"/>
              <w:bottom w:val="single" w:sz="8" w:space="0" w:color="auto"/>
              <w:right w:val="single" w:sz="8" w:space="0" w:color="auto"/>
            </w:tcBorders>
            <w:shd w:val="clear" w:color="auto" w:fill="auto"/>
            <w:vAlign w:val="center"/>
            <w:hideMark/>
          </w:tcPr>
          <w:p w14:paraId="57C8248E" w14:textId="77777777" w:rsidR="007C250E" w:rsidRPr="007C250E" w:rsidRDefault="007C250E" w:rsidP="007C250E">
            <w:pPr>
              <w:jc w:val="right"/>
              <w:rPr>
                <w:i/>
                <w:iCs/>
                <w:noProof/>
                <w:color w:val="000000"/>
                <w:sz w:val="16"/>
                <w:szCs w:val="16"/>
              </w:rPr>
            </w:pPr>
            <w:r>
              <w:rPr>
                <w:i/>
                <w:noProof/>
                <w:color w:val="000000"/>
                <w:sz w:val="16"/>
              </w:rPr>
              <w:t>20 000 000</w:t>
            </w:r>
          </w:p>
        </w:tc>
        <w:tc>
          <w:tcPr>
            <w:tcW w:w="1134" w:type="dxa"/>
            <w:tcBorders>
              <w:top w:val="nil"/>
              <w:left w:val="nil"/>
              <w:bottom w:val="single" w:sz="8" w:space="0" w:color="auto"/>
              <w:right w:val="single" w:sz="8" w:space="0" w:color="auto"/>
            </w:tcBorders>
            <w:shd w:val="clear" w:color="auto" w:fill="auto"/>
            <w:vAlign w:val="center"/>
            <w:hideMark/>
          </w:tcPr>
          <w:p w14:paraId="342F476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D3493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8AD3E38" w14:textId="77777777" w:rsidR="007C250E" w:rsidRPr="007C250E" w:rsidRDefault="007C250E" w:rsidP="007C250E">
            <w:pPr>
              <w:jc w:val="right"/>
              <w:rPr>
                <w:i/>
                <w:iCs/>
                <w:noProof/>
                <w:color w:val="000000"/>
                <w:sz w:val="16"/>
                <w:szCs w:val="16"/>
              </w:rPr>
            </w:pPr>
            <w:r>
              <w:rPr>
                <w:i/>
                <w:noProof/>
                <w:color w:val="000000"/>
                <w:sz w:val="16"/>
              </w:rPr>
              <w:t xml:space="preserve">209 466 210 </w:t>
            </w:r>
          </w:p>
        </w:tc>
        <w:tc>
          <w:tcPr>
            <w:tcW w:w="1276" w:type="dxa"/>
            <w:tcBorders>
              <w:top w:val="nil"/>
              <w:left w:val="nil"/>
              <w:bottom w:val="single" w:sz="8" w:space="0" w:color="auto"/>
              <w:right w:val="single" w:sz="8" w:space="0" w:color="auto"/>
            </w:tcBorders>
            <w:shd w:val="clear" w:color="auto" w:fill="auto"/>
            <w:vAlign w:val="center"/>
            <w:hideMark/>
          </w:tcPr>
          <w:p w14:paraId="79389F64" w14:textId="77777777" w:rsidR="007C250E" w:rsidRPr="007C250E" w:rsidRDefault="007C250E" w:rsidP="007C250E">
            <w:pPr>
              <w:jc w:val="right"/>
              <w:rPr>
                <w:i/>
                <w:iCs/>
                <w:noProof/>
                <w:color w:val="000000"/>
                <w:sz w:val="16"/>
                <w:szCs w:val="16"/>
              </w:rPr>
            </w:pPr>
            <w:r>
              <w:rPr>
                <w:i/>
                <w:noProof/>
                <w:color w:val="000000"/>
                <w:sz w:val="16"/>
              </w:rPr>
              <w:t xml:space="preserve">20 000 000 </w:t>
            </w:r>
          </w:p>
        </w:tc>
      </w:tr>
      <w:tr w:rsidR="007C250E" w:rsidRPr="007C250E" w14:paraId="517A62A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3541308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0EFD4D5" w14:textId="77777777" w:rsidR="007C250E" w:rsidRPr="007C250E" w:rsidRDefault="007C250E" w:rsidP="007C250E">
            <w:pPr>
              <w:jc w:val="right"/>
              <w:rPr>
                <w:i/>
                <w:iCs/>
                <w:noProof/>
                <w:color w:val="000000"/>
                <w:sz w:val="16"/>
                <w:szCs w:val="16"/>
              </w:rPr>
            </w:pPr>
            <w:r>
              <w:rPr>
                <w:i/>
                <w:noProof/>
                <w:color w:val="000000"/>
                <w:sz w:val="16"/>
              </w:rPr>
              <w:t>Pobrexitová adaptačná rezerva (BAR)</w:t>
            </w:r>
          </w:p>
        </w:tc>
        <w:tc>
          <w:tcPr>
            <w:tcW w:w="1276" w:type="dxa"/>
            <w:tcBorders>
              <w:top w:val="nil"/>
              <w:left w:val="nil"/>
              <w:bottom w:val="single" w:sz="8" w:space="0" w:color="auto"/>
              <w:right w:val="single" w:sz="8" w:space="0" w:color="auto"/>
            </w:tcBorders>
            <w:shd w:val="clear" w:color="auto" w:fill="auto"/>
            <w:vAlign w:val="center"/>
            <w:hideMark/>
          </w:tcPr>
          <w:p w14:paraId="2BC4B9C9" w14:textId="77777777" w:rsidR="007C250E" w:rsidRPr="007C250E" w:rsidRDefault="007C250E" w:rsidP="007C250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351815A8" w14:textId="77777777" w:rsidR="007C250E" w:rsidRPr="007C250E" w:rsidRDefault="007C250E" w:rsidP="007C250E">
            <w:pPr>
              <w:jc w:val="right"/>
              <w:rPr>
                <w:i/>
                <w:iCs/>
                <w:noProof/>
                <w:color w:val="000000"/>
                <w:sz w:val="16"/>
                <w:szCs w:val="16"/>
              </w:rPr>
            </w:pPr>
            <w:r>
              <w:rPr>
                <w:i/>
                <w:noProof/>
                <w:color w:val="000000"/>
                <w:sz w:val="16"/>
              </w:rPr>
              <w:t>p.m.</w:t>
            </w:r>
          </w:p>
        </w:tc>
        <w:tc>
          <w:tcPr>
            <w:tcW w:w="1134" w:type="dxa"/>
            <w:tcBorders>
              <w:top w:val="nil"/>
              <w:left w:val="nil"/>
              <w:bottom w:val="single" w:sz="8" w:space="0" w:color="auto"/>
              <w:right w:val="single" w:sz="8" w:space="0" w:color="auto"/>
            </w:tcBorders>
            <w:shd w:val="clear" w:color="auto" w:fill="auto"/>
            <w:vAlign w:val="center"/>
            <w:hideMark/>
          </w:tcPr>
          <w:p w14:paraId="7803AC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F85FE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684CF8E" w14:textId="77777777" w:rsidR="007C250E" w:rsidRPr="007C250E" w:rsidRDefault="007C250E" w:rsidP="007C250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201B46DD" w14:textId="77777777" w:rsidR="007C250E" w:rsidRPr="007C250E" w:rsidRDefault="007C250E" w:rsidP="007C250E">
            <w:pPr>
              <w:jc w:val="right"/>
              <w:rPr>
                <w:i/>
                <w:iCs/>
                <w:noProof/>
                <w:color w:val="000000"/>
                <w:sz w:val="16"/>
                <w:szCs w:val="16"/>
              </w:rPr>
            </w:pPr>
            <w:r>
              <w:rPr>
                <w:i/>
                <w:noProof/>
                <w:color w:val="000000"/>
                <w:sz w:val="16"/>
              </w:rPr>
              <w:t>p.m.</w:t>
            </w:r>
          </w:p>
        </w:tc>
      </w:tr>
      <w:tr w:rsidR="007C250E" w:rsidRPr="007C250E" w14:paraId="729EB3D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F28713F" w14:textId="77777777" w:rsidR="007C250E" w:rsidRPr="007C250E" w:rsidRDefault="007C250E" w:rsidP="007C250E">
            <w:pPr>
              <w:jc w:val="right"/>
              <w:rPr>
                <w:b/>
                <w:bCs/>
                <w:noProof/>
                <w:sz w:val="16"/>
                <w:szCs w:val="16"/>
              </w:rPr>
            </w:pPr>
            <w:r>
              <w:rPr>
                <w:b/>
                <w:noProof/>
                <w:sz w:val="16"/>
              </w:rPr>
              <w:t xml:space="preserve">Rozpočtové prostriedky spolu </w:t>
            </w:r>
          </w:p>
        </w:tc>
        <w:tc>
          <w:tcPr>
            <w:tcW w:w="1276" w:type="dxa"/>
            <w:tcBorders>
              <w:top w:val="nil"/>
              <w:left w:val="nil"/>
              <w:bottom w:val="single" w:sz="8" w:space="0" w:color="auto"/>
              <w:right w:val="single" w:sz="8" w:space="0" w:color="auto"/>
            </w:tcBorders>
            <w:shd w:val="clear" w:color="000000" w:fill="BFBFBF"/>
            <w:vAlign w:val="center"/>
            <w:hideMark/>
          </w:tcPr>
          <w:p w14:paraId="2D8D5508" w14:textId="77777777" w:rsidR="007C250E" w:rsidRPr="007C250E" w:rsidRDefault="007C250E" w:rsidP="007C250E">
            <w:pPr>
              <w:jc w:val="right"/>
              <w:rPr>
                <w:b/>
                <w:bCs/>
                <w:noProof/>
                <w:sz w:val="16"/>
                <w:szCs w:val="16"/>
              </w:rPr>
            </w:pPr>
            <w:r>
              <w:rPr>
                <w:b/>
                <w:noProof/>
                <w:sz w:val="16"/>
              </w:rPr>
              <w:t>189 340 977 539</w:t>
            </w:r>
          </w:p>
        </w:tc>
        <w:tc>
          <w:tcPr>
            <w:tcW w:w="1276" w:type="dxa"/>
            <w:tcBorders>
              <w:top w:val="nil"/>
              <w:left w:val="nil"/>
              <w:bottom w:val="single" w:sz="8" w:space="0" w:color="auto"/>
              <w:right w:val="single" w:sz="8" w:space="0" w:color="auto"/>
            </w:tcBorders>
            <w:shd w:val="clear" w:color="000000" w:fill="BFBFBF"/>
            <w:vAlign w:val="center"/>
            <w:hideMark/>
          </w:tcPr>
          <w:p w14:paraId="2203D0E6" w14:textId="77777777" w:rsidR="007C250E" w:rsidRPr="007C250E" w:rsidRDefault="007C250E" w:rsidP="007C250E">
            <w:pPr>
              <w:jc w:val="right"/>
              <w:rPr>
                <w:b/>
                <w:bCs/>
                <w:noProof/>
                <w:sz w:val="16"/>
                <w:szCs w:val="16"/>
              </w:rPr>
            </w:pPr>
            <w:r>
              <w:rPr>
                <w:b/>
                <w:noProof/>
                <w:sz w:val="16"/>
              </w:rPr>
              <w:t>143 053 378 017</w:t>
            </w:r>
          </w:p>
        </w:tc>
        <w:tc>
          <w:tcPr>
            <w:tcW w:w="1134" w:type="dxa"/>
            <w:tcBorders>
              <w:top w:val="nil"/>
              <w:left w:val="nil"/>
              <w:bottom w:val="single" w:sz="8" w:space="0" w:color="auto"/>
              <w:right w:val="single" w:sz="8" w:space="0" w:color="auto"/>
            </w:tcBorders>
            <w:shd w:val="clear" w:color="000000" w:fill="BFBFBF"/>
            <w:vAlign w:val="center"/>
            <w:hideMark/>
          </w:tcPr>
          <w:p w14:paraId="0771DBDA" w14:textId="77777777" w:rsidR="007C250E" w:rsidRPr="007C250E" w:rsidRDefault="007C250E" w:rsidP="007C250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360BFAEF" w14:textId="77777777" w:rsidR="007C250E" w:rsidRPr="007C250E" w:rsidRDefault="007C250E" w:rsidP="007C250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04A67A45" w14:textId="77777777" w:rsidR="007C250E" w:rsidRPr="007C250E" w:rsidRDefault="007C250E" w:rsidP="007C250E">
            <w:pPr>
              <w:jc w:val="right"/>
              <w:rPr>
                <w:b/>
                <w:bCs/>
                <w:noProof/>
                <w:sz w:val="16"/>
                <w:szCs w:val="16"/>
              </w:rPr>
            </w:pPr>
            <w:r>
              <w:rPr>
                <w:b/>
                <w:noProof/>
                <w:sz w:val="16"/>
              </w:rPr>
              <w:t xml:space="preserve">189 273 565 639 </w:t>
            </w:r>
          </w:p>
        </w:tc>
        <w:tc>
          <w:tcPr>
            <w:tcW w:w="1276" w:type="dxa"/>
            <w:tcBorders>
              <w:top w:val="nil"/>
              <w:left w:val="nil"/>
              <w:bottom w:val="single" w:sz="8" w:space="0" w:color="auto"/>
              <w:right w:val="single" w:sz="8" w:space="0" w:color="auto"/>
            </w:tcBorders>
            <w:shd w:val="clear" w:color="000000" w:fill="BFBFBF"/>
            <w:vAlign w:val="center"/>
            <w:hideMark/>
          </w:tcPr>
          <w:p w14:paraId="01AD5B92" w14:textId="77777777" w:rsidR="007C250E" w:rsidRPr="007C250E" w:rsidRDefault="007C250E" w:rsidP="007C250E">
            <w:pPr>
              <w:jc w:val="right"/>
              <w:rPr>
                <w:b/>
                <w:bCs/>
                <w:noProof/>
                <w:sz w:val="16"/>
                <w:szCs w:val="16"/>
              </w:rPr>
            </w:pPr>
            <w:r>
              <w:rPr>
                <w:b/>
                <w:noProof/>
                <w:sz w:val="16"/>
              </w:rPr>
              <w:t xml:space="preserve">142 985 966 117 </w:t>
            </w:r>
          </w:p>
        </w:tc>
      </w:tr>
    </w:tbl>
    <w:p w14:paraId="027B4328" w14:textId="53FF734B" w:rsidR="00051699" w:rsidRDefault="00051699" w:rsidP="00051699">
      <w:pPr>
        <w:pStyle w:val="Text1"/>
        <w:ind w:left="0"/>
        <w:rPr>
          <w:noProof/>
        </w:rPr>
      </w:pPr>
    </w:p>
    <w:p w14:paraId="09F6DAB8" w14:textId="6432CD50" w:rsidR="00051699" w:rsidRPr="00051699" w:rsidRDefault="00051699" w:rsidP="00051699">
      <w:pPr>
        <w:pStyle w:val="Text1"/>
        <w:ind w:left="0"/>
        <w:rPr>
          <w:noProof/>
        </w:rPr>
      </w:pPr>
    </w:p>
    <w:sectPr w:rsidR="00051699" w:rsidRPr="00051699" w:rsidSect="00BD4680">
      <w:headerReference w:type="even" r:id="rId25"/>
      <w:headerReference w:type="default" r:id="rId26"/>
      <w:footerReference w:type="even" r:id="rId27"/>
      <w:footerReference w:type="default" r:id="rId28"/>
      <w:headerReference w:type="first" r:id="rId29"/>
      <w:footerReference w:type="first" r:id="rId30"/>
      <w:pgSz w:w="11907" w:h="16839"/>
      <w:pgMar w:top="720" w:right="1021" w:bottom="600" w:left="1021" w:header="28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F05C" w14:textId="77777777" w:rsidR="00EF62A7" w:rsidRDefault="00EF62A7">
      <w:r>
        <w:separator/>
      </w:r>
    </w:p>
  </w:endnote>
  <w:endnote w:type="continuationSeparator" w:id="0">
    <w:p w14:paraId="6EAE0041" w14:textId="77777777" w:rsidR="00EF62A7" w:rsidRDefault="00EF62A7">
      <w:r>
        <w:continuationSeparator/>
      </w:r>
    </w:p>
  </w:endnote>
  <w:endnote w:type="continuationNotice" w:id="1">
    <w:p w14:paraId="2BE1D1B7" w14:textId="77777777" w:rsidR="00EF62A7" w:rsidRDefault="00EF6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KOJOD P+ Adv T T 5843c 57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FA65" w14:textId="3CB62C13" w:rsidR="00FB4466" w:rsidRPr="003A0828" w:rsidRDefault="00FB4466" w:rsidP="003A0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87BB" w14:textId="0EA77860" w:rsidR="00FB4466" w:rsidRPr="003A0828" w:rsidRDefault="003A0828" w:rsidP="003A0828">
    <w:pPr>
      <w:pStyle w:val="FooterCoverPage"/>
      <w:rPr>
        <w:rFonts w:ascii="Arial" w:hAnsi="Arial" w:cs="Arial"/>
        <w:b/>
        <w:sz w:val="48"/>
      </w:rPr>
    </w:pPr>
    <w:r w:rsidRPr="003A0828">
      <w:rPr>
        <w:rFonts w:ascii="Arial" w:hAnsi="Arial" w:cs="Arial"/>
        <w:b/>
        <w:sz w:val="48"/>
      </w:rPr>
      <w:t>SK</w:t>
    </w:r>
    <w:r w:rsidRPr="003A0828">
      <w:rPr>
        <w:rFonts w:ascii="Arial" w:hAnsi="Arial" w:cs="Arial"/>
        <w:b/>
        <w:sz w:val="48"/>
      </w:rPr>
      <w:tab/>
    </w:r>
    <w:r w:rsidRPr="003A0828">
      <w:rPr>
        <w:rFonts w:ascii="Arial" w:hAnsi="Arial" w:cs="Arial"/>
        <w:b/>
        <w:sz w:val="48"/>
      </w:rPr>
      <w:tab/>
    </w:r>
    <w:r w:rsidRPr="003A0828">
      <w:tab/>
    </w:r>
    <w:r w:rsidRPr="003A0828">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DEB4" w14:textId="77777777" w:rsidR="003A0828" w:rsidRPr="003A0828" w:rsidRDefault="003A0828" w:rsidP="003A082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D37B" w14:textId="77777777" w:rsidR="0049753C" w:rsidRDefault="004975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FCC6" w14:textId="038E4ABC" w:rsidR="0049753C" w:rsidRPr="002F688D" w:rsidRDefault="0049753C">
    <w:pPr>
      <w:pStyle w:val="Footer"/>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3A0828">
      <w:rPr>
        <w:noProof/>
        <w:sz w:val="20"/>
      </w:rPr>
      <w:t>1</w:t>
    </w:r>
    <w:r>
      <w:rPr>
        <w:color w:val="2B579A"/>
        <w:sz w:val="20"/>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DE61" w14:textId="77777777" w:rsidR="0049753C" w:rsidRDefault="004975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031C" w14:textId="77777777" w:rsidR="0049753C" w:rsidRDefault="004975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C4C8" w14:textId="79568C12" w:rsidR="0049753C" w:rsidRPr="002F688D" w:rsidRDefault="0049753C">
    <w:pPr>
      <w:pStyle w:val="Footer"/>
      <w:tabs>
        <w:tab w:val="clear" w:pos="4535"/>
        <w:tab w:val="center" w:pos="5040"/>
      </w:tabs>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3A0828">
      <w:rPr>
        <w:noProof/>
        <w:sz w:val="20"/>
      </w:rPr>
      <w:t>13</w:t>
    </w:r>
    <w:r>
      <w:rPr>
        <w:color w:val="2B579A"/>
        <w:sz w:val="20"/>
      </w:rPr>
      <w:fldChar w:fldCharType="end"/>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555" w14:textId="77777777" w:rsidR="0049753C" w:rsidRDefault="0049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62B4" w14:textId="77777777" w:rsidR="00EF62A7" w:rsidRDefault="00EF62A7">
      <w:r>
        <w:separator/>
      </w:r>
    </w:p>
  </w:footnote>
  <w:footnote w:type="continuationSeparator" w:id="0">
    <w:p w14:paraId="50A0F159" w14:textId="77777777" w:rsidR="00EF62A7" w:rsidRDefault="00EF62A7">
      <w:r>
        <w:continuationSeparator/>
      </w:r>
    </w:p>
  </w:footnote>
  <w:footnote w:type="continuationNotice" w:id="1">
    <w:p w14:paraId="48D29232" w14:textId="77777777" w:rsidR="00EF62A7" w:rsidRDefault="00EF62A7"/>
  </w:footnote>
  <w:footnote w:id="2">
    <w:p w14:paraId="0C762AC7" w14:textId="3BD86CD0" w:rsidR="0049753C" w:rsidRDefault="0049753C">
      <w:pPr>
        <w:pStyle w:val="FootnoteText"/>
      </w:pPr>
      <w:r>
        <w:rPr>
          <w:rStyle w:val="FootnoteReference"/>
        </w:rPr>
        <w:footnoteRef/>
      </w:r>
      <w:r>
        <w:t xml:space="preserve"> </w:t>
      </w:r>
      <w:r>
        <w:tab/>
        <w:t>Rozhodnutie Rady (EÚ, Euratom) 2020/2053 zo 14. decembra 2020</w:t>
      </w:r>
      <w:r w:rsidR="00A029FE">
        <w:t xml:space="preserve"> o </w:t>
      </w:r>
      <w:r>
        <w:t>systéme vlastných zdrojov Európskej únie</w:t>
      </w:r>
      <w:r w:rsidR="00A029FE">
        <w:t xml:space="preserve"> a o </w:t>
      </w:r>
      <w:r>
        <w:t>zrušení rozhodnutia 2014/335/EÚ, Euratom (Ú. v. EÚ L 424, 15.12.2020).</w:t>
      </w:r>
    </w:p>
  </w:footnote>
  <w:footnote w:id="3">
    <w:p w14:paraId="2C53D76E" w14:textId="77777777" w:rsidR="0049753C" w:rsidRDefault="0049753C">
      <w:pPr>
        <w:pStyle w:val="FootnoteText"/>
      </w:pPr>
      <w:r>
        <w:rPr>
          <w:rStyle w:val="FootnoteReference"/>
        </w:rPr>
        <w:footnoteRef/>
      </w:r>
      <w:r>
        <w:tab/>
        <w:t>Ú. v. EÚ L 193, 30.7.2018, s. 1.</w:t>
      </w:r>
    </w:p>
  </w:footnote>
  <w:footnote w:id="4">
    <w:p w14:paraId="277C6736" w14:textId="51EE508F" w:rsidR="0049753C" w:rsidRDefault="0049753C">
      <w:pPr>
        <w:pStyle w:val="FootnoteText"/>
      </w:pPr>
      <w:r>
        <w:rPr>
          <w:rStyle w:val="FootnoteReference"/>
        </w:rPr>
        <w:footnoteRef/>
      </w:r>
      <w:r>
        <w:tab/>
        <w:t>COM(2023) 300 final, 5.7.2023.</w:t>
      </w:r>
    </w:p>
  </w:footnote>
  <w:footnote w:id="5">
    <w:p w14:paraId="2B21DED8" w14:textId="5A1C6E20" w:rsidR="0049753C" w:rsidRPr="00855868" w:rsidRDefault="0049753C">
      <w:pPr>
        <w:pStyle w:val="FootnoteText"/>
      </w:pPr>
      <w:r>
        <w:rPr>
          <w:rStyle w:val="FootnoteReference"/>
        </w:rPr>
        <w:footnoteRef/>
      </w:r>
      <w:r>
        <w:t xml:space="preserve"> </w:t>
      </w:r>
      <w:r>
        <w:tab/>
        <w:t>Nariadenie Európskeho parlamentu</w:t>
      </w:r>
      <w:r w:rsidR="00A029FE">
        <w:t xml:space="preserve"> a </w:t>
      </w:r>
      <w:r>
        <w:t>Rady (EÚ) 2021/1060</w:t>
      </w:r>
      <w:r w:rsidR="00A029FE">
        <w:t xml:space="preserve"> z </w:t>
      </w:r>
      <w:r>
        <w:t>24. júna 2021, ktorým sa stanovujú spoločné ustanovenia</w:t>
      </w:r>
      <w:r w:rsidR="00A029FE">
        <w:t xml:space="preserve"> o </w:t>
      </w:r>
      <w:r>
        <w:t>Európskom fonde regionálneho rozvoja, Európskom sociálnom fonde plus, Kohéznom fonde, Fonde na spravodlivú transformáciu</w:t>
      </w:r>
      <w:r w:rsidR="00A029FE">
        <w:t xml:space="preserve"> a </w:t>
      </w:r>
      <w:r>
        <w:t>Európskom námornom, rybolovnom</w:t>
      </w:r>
      <w:r w:rsidR="00A029FE">
        <w:t xml:space="preserve"> a </w:t>
      </w:r>
      <w:r>
        <w:t>akvakultúrnom fonde</w:t>
      </w:r>
      <w:r w:rsidR="00A029FE">
        <w:t xml:space="preserve"> a </w:t>
      </w:r>
      <w:r>
        <w:t>rozpočtové pravidlá pre uvedené fondy, ako aj pre Fond pre azyl, migráciu</w:t>
      </w:r>
      <w:r w:rsidR="00A029FE">
        <w:t xml:space="preserve"> a </w:t>
      </w:r>
      <w:r>
        <w:t>integráciu, Fond pre vnútornú bezpečnosť</w:t>
      </w:r>
      <w:r w:rsidR="00A029FE">
        <w:t xml:space="preserve"> a </w:t>
      </w:r>
      <w:r>
        <w:t>Nástroj finančnej podpory na riadenie hraníc</w:t>
      </w:r>
      <w:r w:rsidR="00A029FE">
        <w:t xml:space="preserve"> a </w:t>
      </w:r>
      <w:r>
        <w:t>vízovú politiku (Ú. v. EÚ L 231, 30.6.2021, s. 159 – 706).</w:t>
      </w:r>
    </w:p>
  </w:footnote>
  <w:footnote w:id="6">
    <w:p w14:paraId="0D3C48A7" w14:textId="4C2EDA4B" w:rsidR="0049753C" w:rsidRDefault="0049753C" w:rsidP="003D701A">
      <w:pPr>
        <w:pStyle w:val="FootnoteText"/>
      </w:pPr>
      <w:r>
        <w:rPr>
          <w:rStyle w:val="FootnoteReference"/>
        </w:rPr>
        <w:footnoteRef/>
      </w:r>
      <w:r>
        <w:t xml:space="preserve"> </w:t>
      </w:r>
      <w:r>
        <w:tab/>
        <w:t>Objem potrieb zodpovedá novým rozpočtovým prostriedkom vo výške 40 602,1 mil. EUR</w:t>
      </w:r>
      <w:r w:rsidR="00A029FE">
        <w:t xml:space="preserve"> a </w:t>
      </w:r>
      <w:r>
        <w:t>pripísaným príjmom vo výške 848,5 mil. EUR.</w:t>
      </w:r>
    </w:p>
  </w:footnote>
  <w:footnote w:id="7">
    <w:p w14:paraId="1E372790" w14:textId="6059E135" w:rsidR="0049753C" w:rsidRPr="00C6472F" w:rsidRDefault="0049753C">
      <w:pPr>
        <w:pStyle w:val="FootnoteText"/>
      </w:pPr>
      <w:r>
        <w:rPr>
          <w:rStyle w:val="FootnoteReference"/>
        </w:rPr>
        <w:footnoteRef/>
      </w:r>
      <w:r>
        <w:t xml:space="preserve"> </w:t>
      </w:r>
      <w:r>
        <w:tab/>
        <w:t>Nariadenie Európskeho parlamentu</w:t>
      </w:r>
      <w:r w:rsidR="00A029FE">
        <w:t xml:space="preserve"> a </w:t>
      </w:r>
      <w:r>
        <w:t>Rady (EÚ) 2021/2116</w:t>
      </w:r>
      <w:r w:rsidR="00A029FE">
        <w:t xml:space="preserve"> z </w:t>
      </w:r>
      <w:r>
        <w:t>2. decembra 2021</w:t>
      </w:r>
      <w:r w:rsidR="00A029FE">
        <w:t xml:space="preserve"> o </w:t>
      </w:r>
      <w:r>
        <w:t>financovaní, riadení</w:t>
      </w:r>
      <w:r w:rsidR="00A029FE">
        <w:t xml:space="preserve"> a </w:t>
      </w:r>
      <w:r>
        <w:t>monitorovaní spoločnej poľnohospodárskej politiky</w:t>
      </w:r>
      <w:r w:rsidR="00A029FE">
        <w:t xml:space="preserve"> a o </w:t>
      </w:r>
      <w:r>
        <w:t>zrušení nariadenia (EÚ) č. 1306/2013 (Ú. v. EÚ L 435, 6.12.2021, s. 187 – 261).</w:t>
      </w:r>
    </w:p>
  </w:footnote>
  <w:footnote w:id="8">
    <w:p w14:paraId="124EB731" w14:textId="64E07EB6" w:rsidR="0049753C" w:rsidRDefault="0049753C" w:rsidP="00A02662">
      <w:pPr>
        <w:pStyle w:val="FootnoteText"/>
      </w:pPr>
      <w:r>
        <w:rPr>
          <w:rStyle w:val="FootnoteReference"/>
        </w:rPr>
        <w:footnoteRef/>
      </w:r>
      <w:r>
        <w:t xml:space="preserve"> </w:t>
      </w:r>
      <w:r>
        <w:tab/>
        <w:t>Medziinštitucionálna dohoda medzi Európskym parlamentom, Radou Európskej únie</w:t>
      </w:r>
      <w:r w:rsidR="00A029FE">
        <w:t xml:space="preserve"> a </w:t>
      </w:r>
      <w:r>
        <w:t>Európskou komisiou</w:t>
      </w:r>
      <w:r w:rsidR="00A029FE">
        <w:t xml:space="preserve"> o </w:t>
      </w:r>
      <w:r>
        <w:t>rozpočtovej disciplíne, spolupráci</w:t>
      </w:r>
      <w:r w:rsidR="00A029FE">
        <w:t xml:space="preserve"> v </w:t>
      </w:r>
      <w:r>
        <w:t>rozpočtových záležitostiach</w:t>
      </w:r>
      <w:r w:rsidR="00A029FE">
        <w:t xml:space="preserve"> a </w:t>
      </w:r>
      <w:r>
        <w:t>správnom finančnom riadení, ako aj</w:t>
      </w:r>
      <w:r w:rsidR="00A029FE">
        <w:t xml:space="preserve"> o </w:t>
      </w:r>
      <w:r>
        <w:t>nových vlastných zdrojoch vrátane plánu na zavedenie nových vlastných zdrojov (Ú. v. EÚ L 433, 20.12.2020, s. 28).</w:t>
      </w:r>
    </w:p>
  </w:footnote>
  <w:footnote w:id="9">
    <w:p w14:paraId="3C3960EC" w14:textId="0E60C89B" w:rsidR="0049753C" w:rsidRPr="00C84646" w:rsidRDefault="0049753C">
      <w:pPr>
        <w:pStyle w:val="FootnoteText"/>
      </w:pPr>
      <w:r>
        <w:rPr>
          <w:rStyle w:val="FootnoteReference"/>
        </w:rPr>
        <w:footnoteRef/>
      </w:r>
      <w:r>
        <w:t xml:space="preserve"> </w:t>
      </w:r>
      <w:r>
        <w:tab/>
        <w:t>COM(2023) 530.</w:t>
      </w:r>
    </w:p>
  </w:footnote>
  <w:footnote w:id="10">
    <w:p w14:paraId="374B4B0D" w14:textId="31FC932A" w:rsidR="0049753C" w:rsidRPr="00EC7DDD" w:rsidRDefault="0049753C">
      <w:pPr>
        <w:pStyle w:val="FootnoteText"/>
      </w:pPr>
      <w:r>
        <w:rPr>
          <w:rStyle w:val="FootnoteReference"/>
        </w:rPr>
        <w:footnoteRef/>
      </w:r>
      <w:r>
        <w:t xml:space="preserve"> </w:t>
      </w:r>
      <w:r>
        <w:tab/>
        <w:t>COM(2022) 658.</w:t>
      </w:r>
    </w:p>
  </w:footnote>
  <w:footnote w:id="11">
    <w:p w14:paraId="342AFFC2" w14:textId="41A67638" w:rsidR="0049753C" w:rsidRPr="00EC7DDD" w:rsidRDefault="0049753C">
      <w:pPr>
        <w:pStyle w:val="FootnoteText"/>
      </w:pPr>
      <w:r>
        <w:rPr>
          <w:rStyle w:val="FootnoteReference"/>
        </w:rPr>
        <w:footnoteRef/>
      </w:r>
      <w:r>
        <w:t xml:space="preserve"> </w:t>
      </w:r>
      <w:r>
        <w:tab/>
        <w:t>COM(2021) 561.</w:t>
      </w:r>
    </w:p>
  </w:footnote>
  <w:footnote w:id="12">
    <w:p w14:paraId="1DDF7B17" w14:textId="433CE1B9" w:rsidR="0049753C" w:rsidRPr="00EC7DDD" w:rsidRDefault="0049753C">
      <w:pPr>
        <w:pStyle w:val="FootnoteText"/>
      </w:pPr>
      <w:r>
        <w:rPr>
          <w:rStyle w:val="FootnoteReference"/>
        </w:rPr>
        <w:footnoteRef/>
      </w:r>
      <w:r>
        <w:t xml:space="preserve"> </w:t>
      </w:r>
      <w:r>
        <w:tab/>
        <w:t>Ú. v. EÚ L 234, 22.9.2023, s. 48 – 100.</w:t>
      </w:r>
    </w:p>
  </w:footnote>
  <w:footnote w:id="13">
    <w:p w14:paraId="0260D0AB" w14:textId="125D396F" w:rsidR="0049753C" w:rsidRPr="00EC7DDD" w:rsidRDefault="0049753C">
      <w:pPr>
        <w:pStyle w:val="FootnoteText"/>
      </w:pPr>
      <w:r>
        <w:rPr>
          <w:rStyle w:val="FootnoteReference"/>
        </w:rPr>
        <w:footnoteRef/>
      </w:r>
      <w:r>
        <w:t xml:space="preserve"> </w:t>
      </w:r>
      <w:r>
        <w:tab/>
        <w:t>COM(2021) 725.</w:t>
      </w:r>
    </w:p>
  </w:footnote>
  <w:footnote w:id="14">
    <w:p w14:paraId="2724AA18" w14:textId="581E7826" w:rsidR="0049753C" w:rsidRPr="00586908" w:rsidRDefault="0049753C" w:rsidP="00BA114A">
      <w:pPr>
        <w:pStyle w:val="FootnoteText"/>
      </w:pPr>
      <w:r>
        <w:rPr>
          <w:rStyle w:val="FootnoteReference"/>
        </w:rPr>
        <w:footnoteRef/>
      </w:r>
      <w:r>
        <w:t xml:space="preserve"> </w:t>
      </w:r>
      <w:r>
        <w:tab/>
        <w:t>COM(2023) 3269.</w:t>
      </w:r>
    </w:p>
  </w:footnote>
  <w:footnote w:id="15">
    <w:p w14:paraId="3970CA16" w14:textId="3B191548" w:rsidR="002D5315" w:rsidRPr="002D5315" w:rsidRDefault="002D5315">
      <w:pPr>
        <w:pStyle w:val="FootnoteText"/>
      </w:pPr>
      <w:r>
        <w:rPr>
          <w:rStyle w:val="FootnoteReference"/>
        </w:rPr>
        <w:footnoteRef/>
      </w:r>
      <w:r>
        <w:t xml:space="preserve"> </w:t>
      </w:r>
      <w:r>
        <w:tab/>
        <w:t>C(2023) 5001 final, 11.7.2023.</w:t>
      </w:r>
    </w:p>
  </w:footnote>
  <w:footnote w:id="16">
    <w:p w14:paraId="12C7ED46" w14:textId="6D095D5D" w:rsidR="0049753C" w:rsidRPr="002743D0" w:rsidRDefault="0049753C">
      <w:pPr>
        <w:pStyle w:val="FootnoteText"/>
      </w:pPr>
      <w:r>
        <w:rPr>
          <w:rStyle w:val="FootnoteReference"/>
        </w:rPr>
        <w:footnoteRef/>
      </w:r>
      <w:r>
        <w:t xml:space="preserve"> </w:t>
      </w:r>
      <w:r>
        <w:tab/>
        <w:t>Nariadenie Európskeho parlamentu</w:t>
      </w:r>
      <w:r w:rsidR="00A029FE">
        <w:t xml:space="preserve"> a </w:t>
      </w:r>
      <w:r>
        <w:t>Rady (EÚ) 2023/1525</w:t>
      </w:r>
      <w:r w:rsidR="00A029FE">
        <w:t xml:space="preserve"> z </w:t>
      </w:r>
      <w:r>
        <w:t>20. júla 2023</w:t>
      </w:r>
      <w:r w:rsidR="00A029FE">
        <w:t xml:space="preserve"> o </w:t>
      </w:r>
      <w:r>
        <w:t>podpore výroby munície (Ú. v. EÚ L 185, 24.7.2023, s. 7 – 25).</w:t>
      </w:r>
    </w:p>
  </w:footnote>
  <w:footnote w:id="17">
    <w:p w14:paraId="6500D42F" w14:textId="5C281747" w:rsidR="0049753C" w:rsidRPr="00E57726" w:rsidRDefault="0049753C">
      <w:pPr>
        <w:pStyle w:val="FootnoteText"/>
      </w:pPr>
      <w:r>
        <w:rPr>
          <w:rStyle w:val="FootnoteReference"/>
        </w:rPr>
        <w:footnoteRef/>
      </w:r>
      <w:r>
        <w:t xml:space="preserve"> </w:t>
      </w:r>
      <w:r>
        <w:tab/>
        <w:t>Nariadenie Európskeho parlamentu</w:t>
      </w:r>
      <w:r w:rsidR="00A029FE">
        <w:t xml:space="preserve"> a </w:t>
      </w:r>
      <w:r>
        <w:t>Rady (EÚ) 2023/xxx</w:t>
      </w:r>
      <w:r w:rsidR="00A029FE">
        <w:t xml:space="preserve"> z </w:t>
      </w:r>
      <w:r>
        <w:t>xx. septembra 2023</w:t>
      </w:r>
      <w:r w:rsidR="00A029FE">
        <w:t xml:space="preserve"> o </w:t>
      </w:r>
      <w:r>
        <w:t>posilnení európskeho obranného priemyslu prostredníctvom aktu</w:t>
      </w:r>
      <w:r w:rsidR="00A029FE">
        <w:t xml:space="preserve"> o </w:t>
      </w:r>
      <w:r>
        <w:t>spoločnom obstarávaní (Ú. v. EÚ L xxx, xx.10.2023, 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40325" w14:textId="77777777" w:rsidR="003A0828" w:rsidRPr="003A0828" w:rsidRDefault="003A0828" w:rsidP="003A0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E0E6" w14:textId="77777777" w:rsidR="003A0828" w:rsidRPr="003A0828" w:rsidRDefault="003A0828" w:rsidP="003A082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15E9" w14:textId="77777777" w:rsidR="003A0828" w:rsidRPr="003A0828" w:rsidRDefault="003A0828" w:rsidP="003A082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53AA" w14:textId="77777777" w:rsidR="0049753C" w:rsidRDefault="004975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08EB" w14:textId="77777777" w:rsidR="0049753C" w:rsidRDefault="004975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D607" w14:textId="77777777" w:rsidR="0049753C" w:rsidRDefault="004975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50D9" w14:textId="77777777" w:rsidR="0049753C" w:rsidRDefault="004975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6C14" w14:textId="77777777" w:rsidR="0049753C" w:rsidRDefault="0049753C">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A376" w14:textId="77777777" w:rsidR="0049753C" w:rsidRDefault="0049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F2A9A2"/>
    <w:lvl w:ilvl="0">
      <w:start w:val="1"/>
      <w:numFmt w:val="bullet"/>
      <w:pStyle w:val="ListBullet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769E46"/>
    <w:lvl w:ilvl="0">
      <w:start w:val="1"/>
      <w:numFmt w:val="bullet"/>
      <w:pStyle w:val="ListNumber5"/>
      <w:lvlText w:val=""/>
      <w:lvlJc w:val="left"/>
      <w:pPr>
        <w:tabs>
          <w:tab w:val="num" w:pos="360"/>
        </w:tabs>
        <w:ind w:left="360" w:hanging="360"/>
      </w:pPr>
      <w:rPr>
        <w:rFonts w:ascii="Symbol" w:hAnsi="Symbol" w:hint="default"/>
      </w:rPr>
    </w:lvl>
  </w:abstractNum>
  <w:abstractNum w:abstractNumId="2" w15:restartNumberingAfterBreak="0">
    <w:nsid w:val="01095784"/>
    <w:multiLevelType w:val="hybridMultilevel"/>
    <w:tmpl w:val="F32EC4C8"/>
    <w:lvl w:ilvl="0" w:tplc="425C5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A57DC"/>
    <w:multiLevelType w:val="hybridMultilevel"/>
    <w:tmpl w:val="B042469C"/>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70122"/>
    <w:multiLevelType w:val="hybridMultilevel"/>
    <w:tmpl w:val="FADC51DA"/>
    <w:lvl w:ilvl="0" w:tplc="A86A583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2D319D6"/>
    <w:multiLevelType w:val="hybridMultilevel"/>
    <w:tmpl w:val="96060D4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C579"/>
    <w:multiLevelType w:val="hybridMultilevel"/>
    <w:tmpl w:val="341EC514"/>
    <w:lvl w:ilvl="0" w:tplc="4B2AD822">
      <w:start w:val="1"/>
      <w:numFmt w:val="bullet"/>
      <w:lvlText w:val="-"/>
      <w:lvlJc w:val="left"/>
      <w:pPr>
        <w:ind w:left="720" w:hanging="360"/>
      </w:pPr>
      <w:rPr>
        <w:rFonts w:ascii="Calibri" w:hAnsi="Calibri" w:hint="default"/>
      </w:rPr>
    </w:lvl>
    <w:lvl w:ilvl="1" w:tplc="11FE8378">
      <w:start w:val="1"/>
      <w:numFmt w:val="bullet"/>
      <w:lvlText w:val="o"/>
      <w:lvlJc w:val="left"/>
      <w:pPr>
        <w:ind w:left="1440" w:hanging="360"/>
      </w:pPr>
      <w:rPr>
        <w:rFonts w:ascii="Courier New" w:hAnsi="Courier New" w:hint="default"/>
      </w:rPr>
    </w:lvl>
    <w:lvl w:ilvl="2" w:tplc="00843BF2">
      <w:start w:val="1"/>
      <w:numFmt w:val="bullet"/>
      <w:lvlText w:val=""/>
      <w:lvlJc w:val="left"/>
      <w:pPr>
        <w:ind w:left="2160" w:hanging="360"/>
      </w:pPr>
      <w:rPr>
        <w:rFonts w:ascii="Wingdings" w:hAnsi="Wingdings" w:hint="default"/>
      </w:rPr>
    </w:lvl>
    <w:lvl w:ilvl="3" w:tplc="17BC0858">
      <w:start w:val="1"/>
      <w:numFmt w:val="bullet"/>
      <w:lvlText w:val=""/>
      <w:lvlJc w:val="left"/>
      <w:pPr>
        <w:ind w:left="2880" w:hanging="360"/>
      </w:pPr>
      <w:rPr>
        <w:rFonts w:ascii="Symbol" w:hAnsi="Symbol" w:hint="default"/>
      </w:rPr>
    </w:lvl>
    <w:lvl w:ilvl="4" w:tplc="93941D6C">
      <w:start w:val="1"/>
      <w:numFmt w:val="bullet"/>
      <w:lvlText w:val="o"/>
      <w:lvlJc w:val="left"/>
      <w:pPr>
        <w:ind w:left="3600" w:hanging="360"/>
      </w:pPr>
      <w:rPr>
        <w:rFonts w:ascii="Courier New" w:hAnsi="Courier New" w:hint="default"/>
      </w:rPr>
    </w:lvl>
    <w:lvl w:ilvl="5" w:tplc="2410015C">
      <w:start w:val="1"/>
      <w:numFmt w:val="bullet"/>
      <w:lvlText w:val=""/>
      <w:lvlJc w:val="left"/>
      <w:pPr>
        <w:ind w:left="4320" w:hanging="360"/>
      </w:pPr>
      <w:rPr>
        <w:rFonts w:ascii="Wingdings" w:hAnsi="Wingdings" w:hint="default"/>
      </w:rPr>
    </w:lvl>
    <w:lvl w:ilvl="6" w:tplc="A8265C1A">
      <w:start w:val="1"/>
      <w:numFmt w:val="bullet"/>
      <w:lvlText w:val=""/>
      <w:lvlJc w:val="left"/>
      <w:pPr>
        <w:ind w:left="5040" w:hanging="360"/>
      </w:pPr>
      <w:rPr>
        <w:rFonts w:ascii="Symbol" w:hAnsi="Symbol" w:hint="default"/>
      </w:rPr>
    </w:lvl>
    <w:lvl w:ilvl="7" w:tplc="E13E9088">
      <w:start w:val="1"/>
      <w:numFmt w:val="bullet"/>
      <w:lvlText w:val="o"/>
      <w:lvlJc w:val="left"/>
      <w:pPr>
        <w:ind w:left="5760" w:hanging="360"/>
      </w:pPr>
      <w:rPr>
        <w:rFonts w:ascii="Courier New" w:hAnsi="Courier New" w:hint="default"/>
      </w:rPr>
    </w:lvl>
    <w:lvl w:ilvl="8" w:tplc="28605BC2">
      <w:start w:val="1"/>
      <w:numFmt w:val="bullet"/>
      <w:lvlText w:val=""/>
      <w:lvlJc w:val="left"/>
      <w:pPr>
        <w:ind w:left="6480" w:hanging="360"/>
      </w:pPr>
      <w:rPr>
        <w:rFonts w:ascii="Wingdings" w:hAnsi="Wingdings" w:hint="default"/>
      </w:rPr>
    </w:lvl>
  </w:abstractNum>
  <w:abstractNum w:abstractNumId="7" w15:restartNumberingAfterBreak="0">
    <w:nsid w:val="1207441D"/>
    <w:multiLevelType w:val="hybridMultilevel"/>
    <w:tmpl w:val="A74C79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35C5869"/>
    <w:multiLevelType w:val="hybridMultilevel"/>
    <w:tmpl w:val="4A4818D4"/>
    <w:lvl w:ilvl="0" w:tplc="D6785FC4">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41085"/>
    <w:multiLevelType w:val="hybridMultilevel"/>
    <w:tmpl w:val="0846A4DA"/>
    <w:lvl w:ilvl="0" w:tplc="8A36BA8C">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87029EA"/>
    <w:multiLevelType w:val="hybridMultilevel"/>
    <w:tmpl w:val="5FD86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3" w15:restartNumberingAfterBreak="0">
    <w:nsid w:val="1BC50770"/>
    <w:multiLevelType w:val="hybridMultilevel"/>
    <w:tmpl w:val="1A92C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C1F1F"/>
    <w:multiLevelType w:val="hybridMultilevel"/>
    <w:tmpl w:val="19CCF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F911729"/>
    <w:multiLevelType w:val="multilevel"/>
    <w:tmpl w:val="EA30B10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13EA4"/>
    <w:multiLevelType w:val="hybridMultilevel"/>
    <w:tmpl w:val="9E047E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1" w15:restartNumberingAfterBreak="0">
    <w:nsid w:val="37D64D9A"/>
    <w:multiLevelType w:val="hybridMultilevel"/>
    <w:tmpl w:val="5A2C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6546C"/>
    <w:multiLevelType w:val="hybridMultilevel"/>
    <w:tmpl w:val="F9967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singleLevel"/>
    <w:tmpl w:val="0809000F"/>
    <w:lvl w:ilvl="0">
      <w:start w:val="1"/>
      <w:numFmt w:val="decimal"/>
      <w:pStyle w:val="ManualHeading2"/>
      <w:lvlText w:val="%1."/>
      <w:lvlJc w:val="left"/>
      <w:pPr>
        <w:ind w:left="720" w:hanging="360"/>
      </w:pPr>
    </w:lvl>
  </w:abstractNum>
  <w:abstractNum w:abstractNumId="24" w15:restartNumberingAfterBreak="0">
    <w:nsid w:val="444B45B2"/>
    <w:multiLevelType w:val="hybridMultilevel"/>
    <w:tmpl w:val="82BC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50426"/>
    <w:multiLevelType w:val="hybridMultilevel"/>
    <w:tmpl w:val="A1AA699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43E64"/>
    <w:multiLevelType w:val="hybridMultilevel"/>
    <w:tmpl w:val="B2063506"/>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EC16C19A">
      <w:numFmt w:val="bullet"/>
      <w:lvlText w:val="•"/>
      <w:lvlJc w:val="left"/>
      <w:pPr>
        <w:ind w:left="2340" w:hanging="720"/>
      </w:pPr>
      <w:rPr>
        <w:rFonts w:ascii="Times New Roman" w:eastAsia="Times New Roman" w:hAnsi="Times New Roman" w:cs="Times New Roman" w:hint="default"/>
      </w:rPr>
    </w:lvl>
    <w:lvl w:ilvl="3" w:tplc="AC466752">
      <w:start w:val="19"/>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514B7CB1"/>
    <w:multiLevelType w:val="hybridMultilevel"/>
    <w:tmpl w:val="0712B7FA"/>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C7C56"/>
    <w:multiLevelType w:val="hybridMultilevel"/>
    <w:tmpl w:val="64B869A6"/>
    <w:lvl w:ilvl="0" w:tplc="8A36BA8C">
      <w:numFmt w:val="bullet"/>
      <w:lvlText w:val=""/>
      <w:lvlJc w:val="left"/>
      <w:pPr>
        <w:ind w:left="360" w:hanging="360"/>
      </w:pPr>
      <w:rPr>
        <w:rFonts w:ascii="Symbol" w:eastAsia="Times New Roman" w:hAnsi="Symbol"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567D37AB"/>
    <w:multiLevelType w:val="hybridMultilevel"/>
    <w:tmpl w:val="AF5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7646D"/>
    <w:multiLevelType w:val="hybridMultilevel"/>
    <w:tmpl w:val="FEDAA060"/>
    <w:lvl w:ilvl="0" w:tplc="A0EE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2356"/>
    <w:multiLevelType w:val="hybridMultilevel"/>
    <w:tmpl w:val="9F4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A2513"/>
    <w:multiLevelType w:val="hybridMultilevel"/>
    <w:tmpl w:val="3C1C7B8A"/>
    <w:lvl w:ilvl="0" w:tplc="48D688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FC72DE3"/>
    <w:multiLevelType w:val="hybridMultilevel"/>
    <w:tmpl w:val="28801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ABCA9"/>
    <w:multiLevelType w:val="hybridMultilevel"/>
    <w:tmpl w:val="A22CF100"/>
    <w:lvl w:ilvl="0" w:tplc="2B721E66">
      <w:start w:val="1"/>
      <w:numFmt w:val="bullet"/>
      <w:lvlText w:val=""/>
      <w:lvlJc w:val="left"/>
      <w:pPr>
        <w:ind w:left="720" w:hanging="360"/>
      </w:pPr>
      <w:rPr>
        <w:rFonts w:ascii="Symbol" w:hAnsi="Symbol" w:hint="default"/>
      </w:rPr>
    </w:lvl>
    <w:lvl w:ilvl="1" w:tplc="7C5E7F0C">
      <w:start w:val="1"/>
      <w:numFmt w:val="bullet"/>
      <w:lvlText w:val="o"/>
      <w:lvlJc w:val="left"/>
      <w:pPr>
        <w:ind w:left="1440" w:hanging="360"/>
      </w:pPr>
      <w:rPr>
        <w:rFonts w:ascii="Courier New" w:hAnsi="Courier New" w:hint="default"/>
      </w:rPr>
    </w:lvl>
    <w:lvl w:ilvl="2" w:tplc="80360974">
      <w:start w:val="1"/>
      <w:numFmt w:val="bullet"/>
      <w:lvlText w:val=""/>
      <w:lvlJc w:val="left"/>
      <w:pPr>
        <w:ind w:left="2160" w:hanging="360"/>
      </w:pPr>
      <w:rPr>
        <w:rFonts w:ascii="Wingdings" w:hAnsi="Wingdings" w:hint="default"/>
      </w:rPr>
    </w:lvl>
    <w:lvl w:ilvl="3" w:tplc="EF122ED4">
      <w:start w:val="1"/>
      <w:numFmt w:val="bullet"/>
      <w:lvlText w:val=""/>
      <w:lvlJc w:val="left"/>
      <w:pPr>
        <w:ind w:left="2880" w:hanging="360"/>
      </w:pPr>
      <w:rPr>
        <w:rFonts w:ascii="Symbol" w:hAnsi="Symbol" w:hint="default"/>
      </w:rPr>
    </w:lvl>
    <w:lvl w:ilvl="4" w:tplc="0B482660">
      <w:start w:val="1"/>
      <w:numFmt w:val="bullet"/>
      <w:lvlText w:val="o"/>
      <w:lvlJc w:val="left"/>
      <w:pPr>
        <w:ind w:left="3600" w:hanging="360"/>
      </w:pPr>
      <w:rPr>
        <w:rFonts w:ascii="Courier New" w:hAnsi="Courier New" w:hint="default"/>
      </w:rPr>
    </w:lvl>
    <w:lvl w:ilvl="5" w:tplc="8EF0FF26">
      <w:start w:val="1"/>
      <w:numFmt w:val="bullet"/>
      <w:lvlText w:val=""/>
      <w:lvlJc w:val="left"/>
      <w:pPr>
        <w:ind w:left="4320" w:hanging="360"/>
      </w:pPr>
      <w:rPr>
        <w:rFonts w:ascii="Wingdings" w:hAnsi="Wingdings" w:hint="default"/>
      </w:rPr>
    </w:lvl>
    <w:lvl w:ilvl="6" w:tplc="DB78150A">
      <w:start w:val="1"/>
      <w:numFmt w:val="bullet"/>
      <w:lvlText w:val=""/>
      <w:lvlJc w:val="left"/>
      <w:pPr>
        <w:ind w:left="5040" w:hanging="360"/>
      </w:pPr>
      <w:rPr>
        <w:rFonts w:ascii="Symbol" w:hAnsi="Symbol" w:hint="default"/>
      </w:rPr>
    </w:lvl>
    <w:lvl w:ilvl="7" w:tplc="6A12AA84">
      <w:start w:val="1"/>
      <w:numFmt w:val="bullet"/>
      <w:lvlText w:val="o"/>
      <w:lvlJc w:val="left"/>
      <w:pPr>
        <w:ind w:left="5760" w:hanging="360"/>
      </w:pPr>
      <w:rPr>
        <w:rFonts w:ascii="Courier New" w:hAnsi="Courier New" w:hint="default"/>
      </w:rPr>
    </w:lvl>
    <w:lvl w:ilvl="8" w:tplc="26AA8C94">
      <w:start w:val="1"/>
      <w:numFmt w:val="bullet"/>
      <w:lvlText w:val=""/>
      <w:lvlJc w:val="left"/>
      <w:pPr>
        <w:ind w:left="6480" w:hanging="360"/>
      </w:pPr>
      <w:rPr>
        <w:rFonts w:ascii="Wingdings" w:hAnsi="Wingdings" w:hint="default"/>
      </w:rPr>
    </w:lvl>
  </w:abstractNum>
  <w:abstractNum w:abstractNumId="36" w15:restartNumberingAfterBreak="0">
    <w:nsid w:val="652A49C2"/>
    <w:multiLevelType w:val="hybridMultilevel"/>
    <w:tmpl w:val="B9AA5F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5A07CBB"/>
    <w:multiLevelType w:val="hybridMultilevel"/>
    <w:tmpl w:val="D0281760"/>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872AB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D3EEE"/>
    <w:multiLevelType w:val="hybridMultilevel"/>
    <w:tmpl w:val="F9E80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1" w15:restartNumberingAfterBreak="0">
    <w:nsid w:val="6DD8544D"/>
    <w:multiLevelType w:val="hybridMultilevel"/>
    <w:tmpl w:val="8952B6A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A5E3354"/>
    <w:multiLevelType w:val="hybridMultilevel"/>
    <w:tmpl w:val="C020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694F3E"/>
    <w:multiLevelType w:val="hybridMultilevel"/>
    <w:tmpl w:val="66C627DA"/>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D20EB"/>
    <w:multiLevelType w:val="hybridMultilevel"/>
    <w:tmpl w:val="1F8EF210"/>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2822CD"/>
    <w:multiLevelType w:val="hybridMultilevel"/>
    <w:tmpl w:val="94E81EF4"/>
    <w:lvl w:ilvl="0" w:tplc="E3E8BBB2">
      <w:start w:val="1"/>
      <w:numFmt w:val="bullet"/>
      <w:lvlText w:val=""/>
      <w:lvlJc w:val="left"/>
      <w:pPr>
        <w:ind w:left="720" w:hanging="360"/>
      </w:pPr>
      <w:rPr>
        <w:rFonts w:ascii="Symbol" w:hAnsi="Symbol" w:hint="default"/>
      </w:rPr>
    </w:lvl>
    <w:lvl w:ilvl="1" w:tplc="40184F24">
      <w:start w:val="1"/>
      <w:numFmt w:val="bullet"/>
      <w:lvlText w:val=""/>
      <w:lvlJc w:val="left"/>
      <w:pPr>
        <w:ind w:left="1440" w:hanging="360"/>
      </w:pPr>
      <w:rPr>
        <w:rFonts w:ascii="Symbol" w:hAnsi="Symbol" w:hint="default"/>
      </w:rPr>
    </w:lvl>
    <w:lvl w:ilvl="2" w:tplc="A72AA860">
      <w:start w:val="1"/>
      <w:numFmt w:val="bullet"/>
      <w:lvlText w:val=""/>
      <w:lvlJc w:val="left"/>
      <w:pPr>
        <w:ind w:left="2160" w:hanging="360"/>
      </w:pPr>
      <w:rPr>
        <w:rFonts w:ascii="Wingdings" w:hAnsi="Wingdings" w:hint="default"/>
      </w:rPr>
    </w:lvl>
    <w:lvl w:ilvl="3" w:tplc="ECA4EC2C">
      <w:start w:val="1"/>
      <w:numFmt w:val="bullet"/>
      <w:lvlText w:val=""/>
      <w:lvlJc w:val="left"/>
      <w:pPr>
        <w:ind w:left="2880" w:hanging="360"/>
      </w:pPr>
      <w:rPr>
        <w:rFonts w:ascii="Symbol" w:hAnsi="Symbol" w:hint="default"/>
      </w:rPr>
    </w:lvl>
    <w:lvl w:ilvl="4" w:tplc="DA1022D2">
      <w:start w:val="1"/>
      <w:numFmt w:val="bullet"/>
      <w:lvlText w:val="o"/>
      <w:lvlJc w:val="left"/>
      <w:pPr>
        <w:ind w:left="3600" w:hanging="360"/>
      </w:pPr>
      <w:rPr>
        <w:rFonts w:ascii="Courier New" w:hAnsi="Courier New" w:hint="default"/>
      </w:rPr>
    </w:lvl>
    <w:lvl w:ilvl="5" w:tplc="16E6B8AA">
      <w:start w:val="1"/>
      <w:numFmt w:val="bullet"/>
      <w:lvlText w:val=""/>
      <w:lvlJc w:val="left"/>
      <w:pPr>
        <w:ind w:left="4320" w:hanging="360"/>
      </w:pPr>
      <w:rPr>
        <w:rFonts w:ascii="Wingdings" w:hAnsi="Wingdings" w:hint="default"/>
      </w:rPr>
    </w:lvl>
    <w:lvl w:ilvl="6" w:tplc="063437B2">
      <w:start w:val="1"/>
      <w:numFmt w:val="bullet"/>
      <w:lvlText w:val=""/>
      <w:lvlJc w:val="left"/>
      <w:pPr>
        <w:ind w:left="5040" w:hanging="360"/>
      </w:pPr>
      <w:rPr>
        <w:rFonts w:ascii="Symbol" w:hAnsi="Symbol" w:hint="default"/>
      </w:rPr>
    </w:lvl>
    <w:lvl w:ilvl="7" w:tplc="2092C87E">
      <w:start w:val="1"/>
      <w:numFmt w:val="bullet"/>
      <w:lvlText w:val="o"/>
      <w:lvlJc w:val="left"/>
      <w:pPr>
        <w:ind w:left="5760" w:hanging="360"/>
      </w:pPr>
      <w:rPr>
        <w:rFonts w:ascii="Courier New" w:hAnsi="Courier New" w:hint="default"/>
      </w:rPr>
    </w:lvl>
    <w:lvl w:ilvl="8" w:tplc="25A0F88C">
      <w:start w:val="1"/>
      <w:numFmt w:val="bullet"/>
      <w:lvlText w:val=""/>
      <w:lvlJc w:val="left"/>
      <w:pPr>
        <w:ind w:left="6480" w:hanging="360"/>
      </w:pPr>
      <w:rPr>
        <w:rFonts w:ascii="Wingdings" w:hAnsi="Wingdings" w:hint="default"/>
      </w:rPr>
    </w:lvl>
  </w:abstractNum>
  <w:abstractNum w:abstractNumId="46" w15:restartNumberingAfterBreak="0">
    <w:nsid w:val="7F071480"/>
    <w:multiLevelType w:val="hybridMultilevel"/>
    <w:tmpl w:val="7D00E074"/>
    <w:lvl w:ilvl="0" w:tplc="12F6CE44">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45"/>
  </w:num>
  <w:num w:numId="4">
    <w:abstractNumId w:val="1"/>
  </w:num>
  <w:num w:numId="5">
    <w:abstractNumId w:val="0"/>
  </w:num>
  <w:num w:numId="6">
    <w:abstractNumId w:val="20"/>
  </w:num>
  <w:num w:numId="7">
    <w:abstractNumId w:val="40"/>
  </w:num>
  <w:num w:numId="8">
    <w:abstractNumId w:val="23"/>
  </w:num>
  <w:num w:numId="9">
    <w:abstractNumId w:val="16"/>
  </w:num>
  <w:num w:numId="10">
    <w:abstractNumId w:val="33"/>
  </w:num>
  <w:num w:numId="11">
    <w:abstractNumId w:val="12"/>
  </w:num>
  <w:num w:numId="12">
    <w:abstractNumId w:val="39"/>
  </w:num>
  <w:num w:numId="13">
    <w:abstractNumId w:val="28"/>
  </w:num>
  <w:num w:numId="14">
    <w:abstractNumId w:val="26"/>
  </w:num>
  <w:num w:numId="15">
    <w:abstractNumId w:val="14"/>
  </w:num>
  <w:num w:numId="16">
    <w:abstractNumId w:val="10"/>
  </w:num>
  <w:num w:numId="17">
    <w:abstractNumId w:val="3"/>
  </w:num>
  <w:num w:numId="18">
    <w:abstractNumId w:val="37"/>
  </w:num>
  <w:num w:numId="19">
    <w:abstractNumId w:val="43"/>
  </w:num>
  <w:num w:numId="20">
    <w:abstractNumId w:val="17"/>
  </w:num>
  <w:num w:numId="21">
    <w:abstractNumId w:val="18"/>
  </w:num>
  <w:num w:numId="22">
    <w:abstractNumId w:val="31"/>
  </w:num>
  <w:num w:numId="23">
    <w:abstractNumId w:val="13"/>
  </w:num>
  <w:num w:numId="24">
    <w:abstractNumId w:val="41"/>
  </w:num>
  <w:num w:numId="25">
    <w:abstractNumId w:val="27"/>
  </w:num>
  <w:num w:numId="26">
    <w:abstractNumId w:val="44"/>
  </w:num>
  <w:num w:numId="27">
    <w:abstractNumId w:val="32"/>
  </w:num>
  <w:num w:numId="28">
    <w:abstractNumId w:val="21"/>
  </w:num>
  <w:num w:numId="29">
    <w:abstractNumId w:val="25"/>
  </w:num>
  <w:num w:numId="30">
    <w:abstractNumId w:val="42"/>
  </w:num>
  <w:num w:numId="31">
    <w:abstractNumId w:val="5"/>
  </w:num>
  <w:num w:numId="32">
    <w:abstractNumId w:val="24"/>
  </w:num>
  <w:num w:numId="33">
    <w:abstractNumId w:val="9"/>
  </w:num>
  <w:num w:numId="34">
    <w:abstractNumId w:val="29"/>
  </w:num>
  <w:num w:numId="35">
    <w:abstractNumId w:val="34"/>
  </w:num>
  <w:num w:numId="36">
    <w:abstractNumId w:val="15"/>
  </w:num>
  <w:num w:numId="37">
    <w:abstractNumId w:val="21"/>
  </w:num>
  <w:num w:numId="38">
    <w:abstractNumId w:val="2"/>
  </w:num>
  <w:num w:numId="39">
    <w:abstractNumId w:val="38"/>
  </w:num>
  <w:num w:numId="40">
    <w:abstractNumId w:val="8"/>
  </w:num>
  <w:num w:numId="41">
    <w:abstractNumId w:val="4"/>
  </w:num>
  <w:num w:numId="42">
    <w:abstractNumId w:val="19"/>
  </w:num>
  <w:num w:numId="43">
    <w:abstractNumId w:val="11"/>
  </w:num>
  <w:num w:numId="44">
    <w:abstractNumId w:val="7"/>
  </w:num>
  <w:num w:numId="45">
    <w:abstractNumId w:val="36"/>
  </w:num>
  <w:num w:numId="46">
    <w:abstractNumId w:val="46"/>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7274606-286E-43F8-9691-8D5B77245DA1"/>
    <w:docVar w:name="LW_COVERPAGE_TYPE" w:val="1"/>
    <w:docVar w:name="LW_CROSSREFERENCE" w:val="&lt;UNUSED&gt;"/>
    <w:docVar w:name="LW_DocType" w:val="NORMAL"/>
    <w:docVar w:name="LW_EMISSION" w:val="9. 10. 2023"/>
    <w:docVar w:name="LW_EMISSION_ISODATE" w:val="2023-10-09"/>
    <w:docVar w:name="LW_EMISSION_LOCATION" w:val="BRX"/>
    <w:docVar w:name="LW_EMISSION_PREFIX" w:val="V Bruseli"/>
    <w:docVar w:name="LW_EMISSION_SUFFIX" w:val=" "/>
    <w:docVar w:name="LW_ID_DOCTYPE_NONLW" w:val="CP-032"/>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BUD"/>
    <w:docVar w:name="LW_REF.II.NEW.CP_NUMBER" w:val="0264"/>
    <w:docVar w:name="LW_REF.II.NEW.CP_YEAR" w:val="2023"/>
    <w:docVar w:name="LW_REF.INST.NEW" w:val="COM"/>
    <w:docVar w:name="LW_REF.INST.NEW_ADOPTED" w:val="final"/>
    <w:docVar w:name="LW_REF.INST.NEW_TEXT" w:val="(2023) 53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Návrh"/>
    <w:docVar w:name="LW_STATUT.CP" w:val="Návrh"/>
    <w:docVar w:name="LW_SUPERTITRE" w:val="&lt;UNUSED&gt;"/>
    <w:docVar w:name="LW_TITRE.OBJ.CP" w:val="_x000d__x000d__x000d__x000d__x000d__x000d__x000b__x000d__x000d__x000d__x000d__x000d__x000d__x000b_Aktualizované odhadované potreby týkajúce sa poľnohospodárskych výdavkov_x000d__x000d__x000d__x000d__x000d__x000d__x000b_Iné úpravy a technické aktualizácie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b_"/>
    <w:docVar w:name="LW_TYPE.DOC.CP" w:val="OPRAVNÝ LIST č. 1 K NÁVRHU VŠEOBECNÉHO ROZPOČTU NA ROK 2024"/>
    <w:docVar w:name="LwApiVersions" w:val="LW4CoDe 1.23.2.0; LW 8.0, Build 20211117"/>
  </w:docVars>
  <w:rsids>
    <w:rsidRoot w:val="00F16A2C"/>
    <w:rsid w:val="000021D2"/>
    <w:rsid w:val="000021DB"/>
    <w:rsid w:val="0000370B"/>
    <w:rsid w:val="00003C40"/>
    <w:rsid w:val="00006417"/>
    <w:rsid w:val="0001163F"/>
    <w:rsid w:val="00014F4E"/>
    <w:rsid w:val="000207FE"/>
    <w:rsid w:val="00026858"/>
    <w:rsid w:val="00030032"/>
    <w:rsid w:val="000419B1"/>
    <w:rsid w:val="00044A30"/>
    <w:rsid w:val="000450E6"/>
    <w:rsid w:val="00050A38"/>
    <w:rsid w:val="0005117B"/>
    <w:rsid w:val="00051699"/>
    <w:rsid w:val="0005272B"/>
    <w:rsid w:val="00052CAC"/>
    <w:rsid w:val="00057A60"/>
    <w:rsid w:val="000606DB"/>
    <w:rsid w:val="000643FD"/>
    <w:rsid w:val="00064DFF"/>
    <w:rsid w:val="00065129"/>
    <w:rsid w:val="00065236"/>
    <w:rsid w:val="000659FD"/>
    <w:rsid w:val="00066630"/>
    <w:rsid w:val="0006798C"/>
    <w:rsid w:val="000703D6"/>
    <w:rsid w:val="00072B63"/>
    <w:rsid w:val="00073B71"/>
    <w:rsid w:val="00073D61"/>
    <w:rsid w:val="0007482B"/>
    <w:rsid w:val="00075223"/>
    <w:rsid w:val="000752BE"/>
    <w:rsid w:val="0007752A"/>
    <w:rsid w:val="0008039F"/>
    <w:rsid w:val="00080752"/>
    <w:rsid w:val="00081FCA"/>
    <w:rsid w:val="00081FE2"/>
    <w:rsid w:val="00084EBF"/>
    <w:rsid w:val="0008687A"/>
    <w:rsid w:val="00086A47"/>
    <w:rsid w:val="00086CB5"/>
    <w:rsid w:val="00090A31"/>
    <w:rsid w:val="000915CF"/>
    <w:rsid w:val="000926DE"/>
    <w:rsid w:val="00093092"/>
    <w:rsid w:val="00093D12"/>
    <w:rsid w:val="000952EB"/>
    <w:rsid w:val="00095349"/>
    <w:rsid w:val="00095929"/>
    <w:rsid w:val="0009703D"/>
    <w:rsid w:val="000A37D8"/>
    <w:rsid w:val="000A4F6E"/>
    <w:rsid w:val="000A6B17"/>
    <w:rsid w:val="000A7804"/>
    <w:rsid w:val="000B158E"/>
    <w:rsid w:val="000B16A6"/>
    <w:rsid w:val="000B4BB6"/>
    <w:rsid w:val="000B68FB"/>
    <w:rsid w:val="000C0FFA"/>
    <w:rsid w:val="000C1C2A"/>
    <w:rsid w:val="000C2E8F"/>
    <w:rsid w:val="000C3AD9"/>
    <w:rsid w:val="000C3D34"/>
    <w:rsid w:val="000C3D6E"/>
    <w:rsid w:val="000C458F"/>
    <w:rsid w:val="000C71E1"/>
    <w:rsid w:val="000C78A2"/>
    <w:rsid w:val="000D29D0"/>
    <w:rsid w:val="000D2EDA"/>
    <w:rsid w:val="000D61C4"/>
    <w:rsid w:val="000E30AE"/>
    <w:rsid w:val="000F7C19"/>
    <w:rsid w:val="001020C9"/>
    <w:rsid w:val="0010586A"/>
    <w:rsid w:val="00105922"/>
    <w:rsid w:val="001071C0"/>
    <w:rsid w:val="00110CE6"/>
    <w:rsid w:val="00111CB9"/>
    <w:rsid w:val="00111FC1"/>
    <w:rsid w:val="001125A7"/>
    <w:rsid w:val="001126AC"/>
    <w:rsid w:val="00116B66"/>
    <w:rsid w:val="00116DF1"/>
    <w:rsid w:val="00117A16"/>
    <w:rsid w:val="00122FD9"/>
    <w:rsid w:val="00124551"/>
    <w:rsid w:val="001257B4"/>
    <w:rsid w:val="001261A4"/>
    <w:rsid w:val="00130CFB"/>
    <w:rsid w:val="0013139D"/>
    <w:rsid w:val="00133966"/>
    <w:rsid w:val="001353A2"/>
    <w:rsid w:val="00145AC5"/>
    <w:rsid w:val="00150240"/>
    <w:rsid w:val="00155AE2"/>
    <w:rsid w:val="00156A63"/>
    <w:rsid w:val="00157146"/>
    <w:rsid w:val="00157606"/>
    <w:rsid w:val="00161297"/>
    <w:rsid w:val="00161B9A"/>
    <w:rsid w:val="00161E47"/>
    <w:rsid w:val="0016372D"/>
    <w:rsid w:val="00170F75"/>
    <w:rsid w:val="001710E0"/>
    <w:rsid w:val="001723B8"/>
    <w:rsid w:val="00172E43"/>
    <w:rsid w:val="00177282"/>
    <w:rsid w:val="001779BA"/>
    <w:rsid w:val="00180F53"/>
    <w:rsid w:val="0018658D"/>
    <w:rsid w:val="00186823"/>
    <w:rsid w:val="00187037"/>
    <w:rsid w:val="0019020C"/>
    <w:rsid w:val="00192698"/>
    <w:rsid w:val="00194C35"/>
    <w:rsid w:val="001952FD"/>
    <w:rsid w:val="001971B7"/>
    <w:rsid w:val="0019773C"/>
    <w:rsid w:val="00197ED9"/>
    <w:rsid w:val="001A0BA8"/>
    <w:rsid w:val="001A555B"/>
    <w:rsid w:val="001A714C"/>
    <w:rsid w:val="001B008E"/>
    <w:rsid w:val="001B00A9"/>
    <w:rsid w:val="001B078E"/>
    <w:rsid w:val="001B1187"/>
    <w:rsid w:val="001B3F30"/>
    <w:rsid w:val="001B6BCF"/>
    <w:rsid w:val="001B703E"/>
    <w:rsid w:val="001C5EFE"/>
    <w:rsid w:val="001C62B6"/>
    <w:rsid w:val="001C75A9"/>
    <w:rsid w:val="001C7E8A"/>
    <w:rsid w:val="001D1D1B"/>
    <w:rsid w:val="001D1F52"/>
    <w:rsid w:val="001D42D1"/>
    <w:rsid w:val="001D5B14"/>
    <w:rsid w:val="001E41EB"/>
    <w:rsid w:val="001E54E6"/>
    <w:rsid w:val="001F00C2"/>
    <w:rsid w:val="001F54AE"/>
    <w:rsid w:val="0020371C"/>
    <w:rsid w:val="00205233"/>
    <w:rsid w:val="002065F4"/>
    <w:rsid w:val="00206E01"/>
    <w:rsid w:val="00211DE0"/>
    <w:rsid w:val="00211EBD"/>
    <w:rsid w:val="002138F1"/>
    <w:rsid w:val="002160DC"/>
    <w:rsid w:val="00220F4E"/>
    <w:rsid w:val="00222FCF"/>
    <w:rsid w:val="00225DBC"/>
    <w:rsid w:val="00226B8A"/>
    <w:rsid w:val="002271B9"/>
    <w:rsid w:val="00230883"/>
    <w:rsid w:val="00230E0D"/>
    <w:rsid w:val="00233A5B"/>
    <w:rsid w:val="00233DA5"/>
    <w:rsid w:val="00237B7B"/>
    <w:rsid w:val="00240300"/>
    <w:rsid w:val="002405E1"/>
    <w:rsid w:val="00240D8D"/>
    <w:rsid w:val="002413C0"/>
    <w:rsid w:val="00242D25"/>
    <w:rsid w:val="002446ED"/>
    <w:rsid w:val="002472ED"/>
    <w:rsid w:val="00247678"/>
    <w:rsid w:val="00250776"/>
    <w:rsid w:val="00252798"/>
    <w:rsid w:val="0025430B"/>
    <w:rsid w:val="00255AE7"/>
    <w:rsid w:val="0026117B"/>
    <w:rsid w:val="00261775"/>
    <w:rsid w:val="00261D99"/>
    <w:rsid w:val="002622F7"/>
    <w:rsid w:val="00265904"/>
    <w:rsid w:val="00270FDF"/>
    <w:rsid w:val="00271B42"/>
    <w:rsid w:val="00272E4A"/>
    <w:rsid w:val="002737C7"/>
    <w:rsid w:val="002743D0"/>
    <w:rsid w:val="00275E54"/>
    <w:rsid w:val="00281095"/>
    <w:rsid w:val="002816C8"/>
    <w:rsid w:val="00283473"/>
    <w:rsid w:val="00283989"/>
    <w:rsid w:val="00295C22"/>
    <w:rsid w:val="002A0116"/>
    <w:rsid w:val="002A0F20"/>
    <w:rsid w:val="002A1136"/>
    <w:rsid w:val="002A20B6"/>
    <w:rsid w:val="002A3A8A"/>
    <w:rsid w:val="002A7100"/>
    <w:rsid w:val="002B2C5E"/>
    <w:rsid w:val="002B3D05"/>
    <w:rsid w:val="002B4E0A"/>
    <w:rsid w:val="002B67DA"/>
    <w:rsid w:val="002B70BF"/>
    <w:rsid w:val="002B740C"/>
    <w:rsid w:val="002BA14C"/>
    <w:rsid w:val="002C01DA"/>
    <w:rsid w:val="002C208E"/>
    <w:rsid w:val="002C2FEE"/>
    <w:rsid w:val="002C66CA"/>
    <w:rsid w:val="002C73BB"/>
    <w:rsid w:val="002C7AD5"/>
    <w:rsid w:val="002C7BFD"/>
    <w:rsid w:val="002D2B00"/>
    <w:rsid w:val="002D46D4"/>
    <w:rsid w:val="002D50F4"/>
    <w:rsid w:val="002D5315"/>
    <w:rsid w:val="002D609D"/>
    <w:rsid w:val="002D6500"/>
    <w:rsid w:val="002D7308"/>
    <w:rsid w:val="002D7BD6"/>
    <w:rsid w:val="002D7D49"/>
    <w:rsid w:val="002D7F35"/>
    <w:rsid w:val="002E1916"/>
    <w:rsid w:val="002E1BAB"/>
    <w:rsid w:val="002E2A76"/>
    <w:rsid w:val="002F11D3"/>
    <w:rsid w:val="002F3EAA"/>
    <w:rsid w:val="002F42CE"/>
    <w:rsid w:val="002F646E"/>
    <w:rsid w:val="002F688D"/>
    <w:rsid w:val="002F6E1D"/>
    <w:rsid w:val="00302615"/>
    <w:rsid w:val="00302630"/>
    <w:rsid w:val="003035C1"/>
    <w:rsid w:val="00303B6D"/>
    <w:rsid w:val="00304099"/>
    <w:rsid w:val="0030596F"/>
    <w:rsid w:val="003122A5"/>
    <w:rsid w:val="00315456"/>
    <w:rsid w:val="0032069C"/>
    <w:rsid w:val="00323469"/>
    <w:rsid w:val="00327D25"/>
    <w:rsid w:val="003310D0"/>
    <w:rsid w:val="003312D8"/>
    <w:rsid w:val="003315B1"/>
    <w:rsid w:val="00333862"/>
    <w:rsid w:val="0033501E"/>
    <w:rsid w:val="0033509E"/>
    <w:rsid w:val="003351D3"/>
    <w:rsid w:val="003352FC"/>
    <w:rsid w:val="00337640"/>
    <w:rsid w:val="003403E7"/>
    <w:rsid w:val="00343D17"/>
    <w:rsid w:val="00344BA2"/>
    <w:rsid w:val="00344CA7"/>
    <w:rsid w:val="0035336E"/>
    <w:rsid w:val="00353584"/>
    <w:rsid w:val="003554C4"/>
    <w:rsid w:val="00355521"/>
    <w:rsid w:val="003559DD"/>
    <w:rsid w:val="00355BA7"/>
    <w:rsid w:val="00356AE4"/>
    <w:rsid w:val="003571DF"/>
    <w:rsid w:val="00357691"/>
    <w:rsid w:val="00357735"/>
    <w:rsid w:val="0036064B"/>
    <w:rsid w:val="00361148"/>
    <w:rsid w:val="00361370"/>
    <w:rsid w:val="00364419"/>
    <w:rsid w:val="00367511"/>
    <w:rsid w:val="00373892"/>
    <w:rsid w:val="0037557F"/>
    <w:rsid w:val="00376050"/>
    <w:rsid w:val="00376B81"/>
    <w:rsid w:val="00382315"/>
    <w:rsid w:val="003857D4"/>
    <w:rsid w:val="003858A0"/>
    <w:rsid w:val="00390A75"/>
    <w:rsid w:val="003916EF"/>
    <w:rsid w:val="0039347A"/>
    <w:rsid w:val="003965F0"/>
    <w:rsid w:val="00396BE7"/>
    <w:rsid w:val="00396D3F"/>
    <w:rsid w:val="003A0828"/>
    <w:rsid w:val="003A16BD"/>
    <w:rsid w:val="003A23AB"/>
    <w:rsid w:val="003A4305"/>
    <w:rsid w:val="003A5EE8"/>
    <w:rsid w:val="003A933C"/>
    <w:rsid w:val="003B0A7D"/>
    <w:rsid w:val="003B1EF5"/>
    <w:rsid w:val="003B3DDF"/>
    <w:rsid w:val="003B6069"/>
    <w:rsid w:val="003C1D20"/>
    <w:rsid w:val="003C2B6E"/>
    <w:rsid w:val="003C3928"/>
    <w:rsid w:val="003C3ABB"/>
    <w:rsid w:val="003C5CED"/>
    <w:rsid w:val="003C67A0"/>
    <w:rsid w:val="003C69E2"/>
    <w:rsid w:val="003C7099"/>
    <w:rsid w:val="003D0708"/>
    <w:rsid w:val="003D1294"/>
    <w:rsid w:val="003D1689"/>
    <w:rsid w:val="003D1FCB"/>
    <w:rsid w:val="003D69E3"/>
    <w:rsid w:val="003D701A"/>
    <w:rsid w:val="003D7AFB"/>
    <w:rsid w:val="003E2E3F"/>
    <w:rsid w:val="003E7E99"/>
    <w:rsid w:val="003F133E"/>
    <w:rsid w:val="003F2CAA"/>
    <w:rsid w:val="003F3AC6"/>
    <w:rsid w:val="003F3E56"/>
    <w:rsid w:val="003F50DE"/>
    <w:rsid w:val="00400018"/>
    <w:rsid w:val="00401D9E"/>
    <w:rsid w:val="00402058"/>
    <w:rsid w:val="004040F5"/>
    <w:rsid w:val="0040740F"/>
    <w:rsid w:val="00407D5E"/>
    <w:rsid w:val="00407DE3"/>
    <w:rsid w:val="004100EC"/>
    <w:rsid w:val="004109E1"/>
    <w:rsid w:val="00411C9A"/>
    <w:rsid w:val="00417957"/>
    <w:rsid w:val="00417B19"/>
    <w:rsid w:val="00424419"/>
    <w:rsid w:val="0042591E"/>
    <w:rsid w:val="00426B0D"/>
    <w:rsid w:val="00431D29"/>
    <w:rsid w:val="00441153"/>
    <w:rsid w:val="004429BC"/>
    <w:rsid w:val="00442F48"/>
    <w:rsid w:val="004449F6"/>
    <w:rsid w:val="0044551C"/>
    <w:rsid w:val="00447708"/>
    <w:rsid w:val="00452739"/>
    <w:rsid w:val="0045283A"/>
    <w:rsid w:val="004541D5"/>
    <w:rsid w:val="00455CC8"/>
    <w:rsid w:val="00457AD8"/>
    <w:rsid w:val="0046075E"/>
    <w:rsid w:val="004622E3"/>
    <w:rsid w:val="0046251B"/>
    <w:rsid w:val="00467DEB"/>
    <w:rsid w:val="00470871"/>
    <w:rsid w:val="004716ED"/>
    <w:rsid w:val="00471C23"/>
    <w:rsid w:val="00472CCE"/>
    <w:rsid w:val="00473886"/>
    <w:rsid w:val="00473D7D"/>
    <w:rsid w:val="004744BE"/>
    <w:rsid w:val="00474E31"/>
    <w:rsid w:val="00477D38"/>
    <w:rsid w:val="004806AE"/>
    <w:rsid w:val="004806B3"/>
    <w:rsid w:val="00480745"/>
    <w:rsid w:val="004822C2"/>
    <w:rsid w:val="0049540B"/>
    <w:rsid w:val="00496492"/>
    <w:rsid w:val="00497388"/>
    <w:rsid w:val="0049753C"/>
    <w:rsid w:val="004A2856"/>
    <w:rsid w:val="004A664F"/>
    <w:rsid w:val="004A7383"/>
    <w:rsid w:val="004B0188"/>
    <w:rsid w:val="004B18C8"/>
    <w:rsid w:val="004B2BDF"/>
    <w:rsid w:val="004B6CA6"/>
    <w:rsid w:val="004B78F6"/>
    <w:rsid w:val="004C0346"/>
    <w:rsid w:val="004C502E"/>
    <w:rsid w:val="004C6BAD"/>
    <w:rsid w:val="004C6FAA"/>
    <w:rsid w:val="004D133B"/>
    <w:rsid w:val="004D1EAE"/>
    <w:rsid w:val="004D23EC"/>
    <w:rsid w:val="004D3807"/>
    <w:rsid w:val="004D7EB0"/>
    <w:rsid w:val="004D9C96"/>
    <w:rsid w:val="004E411F"/>
    <w:rsid w:val="004ECFF9"/>
    <w:rsid w:val="004F0302"/>
    <w:rsid w:val="004F46E5"/>
    <w:rsid w:val="004F6DFA"/>
    <w:rsid w:val="00500176"/>
    <w:rsid w:val="0050119C"/>
    <w:rsid w:val="00503A1A"/>
    <w:rsid w:val="00503B01"/>
    <w:rsid w:val="005059F6"/>
    <w:rsid w:val="0050638B"/>
    <w:rsid w:val="005066BD"/>
    <w:rsid w:val="00512D22"/>
    <w:rsid w:val="0051781E"/>
    <w:rsid w:val="00517BB1"/>
    <w:rsid w:val="005214C9"/>
    <w:rsid w:val="00523C1A"/>
    <w:rsid w:val="00527204"/>
    <w:rsid w:val="005304B5"/>
    <w:rsid w:val="00531E89"/>
    <w:rsid w:val="00537A0B"/>
    <w:rsid w:val="00540959"/>
    <w:rsid w:val="00541E36"/>
    <w:rsid w:val="0054378C"/>
    <w:rsid w:val="0054648B"/>
    <w:rsid w:val="00547982"/>
    <w:rsid w:val="00550A8E"/>
    <w:rsid w:val="00551C71"/>
    <w:rsid w:val="00552382"/>
    <w:rsid w:val="00561596"/>
    <w:rsid w:val="005668BF"/>
    <w:rsid w:val="00570CF2"/>
    <w:rsid w:val="0057464E"/>
    <w:rsid w:val="00576F5C"/>
    <w:rsid w:val="005771EA"/>
    <w:rsid w:val="00581633"/>
    <w:rsid w:val="00586908"/>
    <w:rsid w:val="00586E76"/>
    <w:rsid w:val="005902A4"/>
    <w:rsid w:val="0059043C"/>
    <w:rsid w:val="00590FDA"/>
    <w:rsid w:val="00592F5F"/>
    <w:rsid w:val="005A0538"/>
    <w:rsid w:val="005A42B8"/>
    <w:rsid w:val="005B4468"/>
    <w:rsid w:val="005B6975"/>
    <w:rsid w:val="005B750B"/>
    <w:rsid w:val="005C47FF"/>
    <w:rsid w:val="005C52BB"/>
    <w:rsid w:val="005C7B4B"/>
    <w:rsid w:val="005C7F42"/>
    <w:rsid w:val="005D0C2A"/>
    <w:rsid w:val="005D0CE1"/>
    <w:rsid w:val="005D2CA2"/>
    <w:rsid w:val="005E04CC"/>
    <w:rsid w:val="005E3317"/>
    <w:rsid w:val="005E581E"/>
    <w:rsid w:val="005F66B5"/>
    <w:rsid w:val="005F6C3A"/>
    <w:rsid w:val="005F6FAE"/>
    <w:rsid w:val="00602C73"/>
    <w:rsid w:val="00604723"/>
    <w:rsid w:val="006061CE"/>
    <w:rsid w:val="00606979"/>
    <w:rsid w:val="00606BE2"/>
    <w:rsid w:val="00606CE1"/>
    <w:rsid w:val="00607769"/>
    <w:rsid w:val="00613A75"/>
    <w:rsid w:val="0061418C"/>
    <w:rsid w:val="006149BE"/>
    <w:rsid w:val="00616245"/>
    <w:rsid w:val="00616946"/>
    <w:rsid w:val="00616B21"/>
    <w:rsid w:val="006213DC"/>
    <w:rsid w:val="00621B88"/>
    <w:rsid w:val="00623995"/>
    <w:rsid w:val="00623D9A"/>
    <w:rsid w:val="00624532"/>
    <w:rsid w:val="00626434"/>
    <w:rsid w:val="00627F80"/>
    <w:rsid w:val="006309F9"/>
    <w:rsid w:val="006330B6"/>
    <w:rsid w:val="006331DE"/>
    <w:rsid w:val="0063392D"/>
    <w:rsid w:val="00633C14"/>
    <w:rsid w:val="00634480"/>
    <w:rsid w:val="00635F70"/>
    <w:rsid w:val="006374B1"/>
    <w:rsid w:val="00637B3E"/>
    <w:rsid w:val="00640037"/>
    <w:rsid w:val="0064182A"/>
    <w:rsid w:val="006421CB"/>
    <w:rsid w:val="00642EB5"/>
    <w:rsid w:val="006437CE"/>
    <w:rsid w:val="00644EFB"/>
    <w:rsid w:val="00645B31"/>
    <w:rsid w:val="00651C06"/>
    <w:rsid w:val="00652994"/>
    <w:rsid w:val="0065402B"/>
    <w:rsid w:val="006541A4"/>
    <w:rsid w:val="00654A41"/>
    <w:rsid w:val="00655863"/>
    <w:rsid w:val="00661D8F"/>
    <w:rsid w:val="00664F63"/>
    <w:rsid w:val="006673A3"/>
    <w:rsid w:val="00667956"/>
    <w:rsid w:val="0067299E"/>
    <w:rsid w:val="0067326B"/>
    <w:rsid w:val="00673461"/>
    <w:rsid w:val="006744B3"/>
    <w:rsid w:val="00677082"/>
    <w:rsid w:val="00680B0F"/>
    <w:rsid w:val="0068221C"/>
    <w:rsid w:val="006836D1"/>
    <w:rsid w:val="00683759"/>
    <w:rsid w:val="006905BB"/>
    <w:rsid w:val="00691E12"/>
    <w:rsid w:val="00692727"/>
    <w:rsid w:val="006932EB"/>
    <w:rsid w:val="00693CF6"/>
    <w:rsid w:val="00693F87"/>
    <w:rsid w:val="00694813"/>
    <w:rsid w:val="0069651A"/>
    <w:rsid w:val="006A0C74"/>
    <w:rsid w:val="006A0EF2"/>
    <w:rsid w:val="006A38A0"/>
    <w:rsid w:val="006A4C47"/>
    <w:rsid w:val="006A5DD7"/>
    <w:rsid w:val="006A5FF9"/>
    <w:rsid w:val="006A761F"/>
    <w:rsid w:val="006B0763"/>
    <w:rsid w:val="006B11F0"/>
    <w:rsid w:val="006B2308"/>
    <w:rsid w:val="006B2E92"/>
    <w:rsid w:val="006B4D89"/>
    <w:rsid w:val="006B4F8E"/>
    <w:rsid w:val="006B6ED6"/>
    <w:rsid w:val="006B72F4"/>
    <w:rsid w:val="006C054C"/>
    <w:rsid w:val="006C1A41"/>
    <w:rsid w:val="006C27D4"/>
    <w:rsid w:val="006C2A81"/>
    <w:rsid w:val="006C3D8D"/>
    <w:rsid w:val="006C40E7"/>
    <w:rsid w:val="006C496D"/>
    <w:rsid w:val="006C5427"/>
    <w:rsid w:val="006C7C01"/>
    <w:rsid w:val="006D3C83"/>
    <w:rsid w:val="006E4534"/>
    <w:rsid w:val="006E5D56"/>
    <w:rsid w:val="006E6664"/>
    <w:rsid w:val="006E6788"/>
    <w:rsid w:val="006F0BB3"/>
    <w:rsid w:val="006F67F7"/>
    <w:rsid w:val="00701032"/>
    <w:rsid w:val="0070132B"/>
    <w:rsid w:val="00703452"/>
    <w:rsid w:val="007036B6"/>
    <w:rsid w:val="00704CED"/>
    <w:rsid w:val="007057B5"/>
    <w:rsid w:val="0071291A"/>
    <w:rsid w:val="0071582C"/>
    <w:rsid w:val="007203FB"/>
    <w:rsid w:val="00720760"/>
    <w:rsid w:val="00720EBF"/>
    <w:rsid w:val="007237A2"/>
    <w:rsid w:val="007255FC"/>
    <w:rsid w:val="007263F5"/>
    <w:rsid w:val="00731F37"/>
    <w:rsid w:val="00732ABF"/>
    <w:rsid w:val="007337D4"/>
    <w:rsid w:val="00734F18"/>
    <w:rsid w:val="00736D0A"/>
    <w:rsid w:val="007400AF"/>
    <w:rsid w:val="0074198B"/>
    <w:rsid w:val="00743F35"/>
    <w:rsid w:val="00745676"/>
    <w:rsid w:val="00745F60"/>
    <w:rsid w:val="0074715E"/>
    <w:rsid w:val="0074EC27"/>
    <w:rsid w:val="00751738"/>
    <w:rsid w:val="00752EB1"/>
    <w:rsid w:val="0075333A"/>
    <w:rsid w:val="00761196"/>
    <w:rsid w:val="0076791C"/>
    <w:rsid w:val="00767D1A"/>
    <w:rsid w:val="00773030"/>
    <w:rsid w:val="007749EA"/>
    <w:rsid w:val="0077646D"/>
    <w:rsid w:val="00776796"/>
    <w:rsid w:val="007835F8"/>
    <w:rsid w:val="00786B94"/>
    <w:rsid w:val="007874EB"/>
    <w:rsid w:val="00787651"/>
    <w:rsid w:val="00787A96"/>
    <w:rsid w:val="007900F7"/>
    <w:rsid w:val="00792BB1"/>
    <w:rsid w:val="00793CC9"/>
    <w:rsid w:val="00794A31"/>
    <w:rsid w:val="00795AE0"/>
    <w:rsid w:val="007A1984"/>
    <w:rsid w:val="007A46D7"/>
    <w:rsid w:val="007A52CE"/>
    <w:rsid w:val="007A71BE"/>
    <w:rsid w:val="007A7792"/>
    <w:rsid w:val="007A7F64"/>
    <w:rsid w:val="007B1749"/>
    <w:rsid w:val="007B2110"/>
    <w:rsid w:val="007B3725"/>
    <w:rsid w:val="007B5A72"/>
    <w:rsid w:val="007B6579"/>
    <w:rsid w:val="007B766F"/>
    <w:rsid w:val="007B7E96"/>
    <w:rsid w:val="007C0D4D"/>
    <w:rsid w:val="007C250E"/>
    <w:rsid w:val="007C2671"/>
    <w:rsid w:val="007C323B"/>
    <w:rsid w:val="007C349A"/>
    <w:rsid w:val="007C4977"/>
    <w:rsid w:val="007C5EB8"/>
    <w:rsid w:val="007C64C6"/>
    <w:rsid w:val="007C6FCA"/>
    <w:rsid w:val="007D16E2"/>
    <w:rsid w:val="007D2F92"/>
    <w:rsid w:val="007E28AC"/>
    <w:rsid w:val="007E358B"/>
    <w:rsid w:val="007E3726"/>
    <w:rsid w:val="007E3966"/>
    <w:rsid w:val="007E7CEC"/>
    <w:rsid w:val="007F030D"/>
    <w:rsid w:val="007F19BA"/>
    <w:rsid w:val="007F4F5E"/>
    <w:rsid w:val="007F6135"/>
    <w:rsid w:val="007F6D9C"/>
    <w:rsid w:val="007F797F"/>
    <w:rsid w:val="0080074B"/>
    <w:rsid w:val="00801B52"/>
    <w:rsid w:val="00802CB9"/>
    <w:rsid w:val="0080413D"/>
    <w:rsid w:val="008045D1"/>
    <w:rsid w:val="00805267"/>
    <w:rsid w:val="008079B7"/>
    <w:rsid w:val="0081068A"/>
    <w:rsid w:val="00812269"/>
    <w:rsid w:val="00816722"/>
    <w:rsid w:val="00820D2D"/>
    <w:rsid w:val="00822765"/>
    <w:rsid w:val="00822EA2"/>
    <w:rsid w:val="00822F3B"/>
    <w:rsid w:val="0082325A"/>
    <w:rsid w:val="00823F15"/>
    <w:rsid w:val="008254CA"/>
    <w:rsid w:val="008257E0"/>
    <w:rsid w:val="00834274"/>
    <w:rsid w:val="008354F0"/>
    <w:rsid w:val="008404F5"/>
    <w:rsid w:val="008466D4"/>
    <w:rsid w:val="00850597"/>
    <w:rsid w:val="0085191B"/>
    <w:rsid w:val="00854A71"/>
    <w:rsid w:val="00855868"/>
    <w:rsid w:val="00860CB8"/>
    <w:rsid w:val="00864C13"/>
    <w:rsid w:val="00865008"/>
    <w:rsid w:val="008651FD"/>
    <w:rsid w:val="00865BAC"/>
    <w:rsid w:val="0086631C"/>
    <w:rsid w:val="00871FC9"/>
    <w:rsid w:val="0087372C"/>
    <w:rsid w:val="00882E03"/>
    <w:rsid w:val="0088443B"/>
    <w:rsid w:val="0088512E"/>
    <w:rsid w:val="0088570C"/>
    <w:rsid w:val="00885900"/>
    <w:rsid w:val="00891B34"/>
    <w:rsid w:val="00892A65"/>
    <w:rsid w:val="00893156"/>
    <w:rsid w:val="00896A42"/>
    <w:rsid w:val="008A03CD"/>
    <w:rsid w:val="008A0891"/>
    <w:rsid w:val="008A0E01"/>
    <w:rsid w:val="008A1947"/>
    <w:rsid w:val="008A1996"/>
    <w:rsid w:val="008A35B9"/>
    <w:rsid w:val="008A5400"/>
    <w:rsid w:val="008A65AC"/>
    <w:rsid w:val="008A7077"/>
    <w:rsid w:val="008A7B5E"/>
    <w:rsid w:val="008C201F"/>
    <w:rsid w:val="008D1976"/>
    <w:rsid w:val="008D3404"/>
    <w:rsid w:val="008D5E06"/>
    <w:rsid w:val="008D620F"/>
    <w:rsid w:val="008E2393"/>
    <w:rsid w:val="008E3B96"/>
    <w:rsid w:val="008E517B"/>
    <w:rsid w:val="008E58EF"/>
    <w:rsid w:val="008E6052"/>
    <w:rsid w:val="008E70D4"/>
    <w:rsid w:val="008E7EED"/>
    <w:rsid w:val="008F0E7D"/>
    <w:rsid w:val="008F25EE"/>
    <w:rsid w:val="008F3918"/>
    <w:rsid w:val="008F4551"/>
    <w:rsid w:val="008F73B8"/>
    <w:rsid w:val="00902A43"/>
    <w:rsid w:val="00904BE0"/>
    <w:rsid w:val="00906950"/>
    <w:rsid w:val="009143EB"/>
    <w:rsid w:val="009166F2"/>
    <w:rsid w:val="00916A55"/>
    <w:rsid w:val="00917581"/>
    <w:rsid w:val="009221D8"/>
    <w:rsid w:val="009230A8"/>
    <w:rsid w:val="009241D9"/>
    <w:rsid w:val="009243EF"/>
    <w:rsid w:val="00924C52"/>
    <w:rsid w:val="00927A4E"/>
    <w:rsid w:val="00930EAA"/>
    <w:rsid w:val="00936046"/>
    <w:rsid w:val="00937B4C"/>
    <w:rsid w:val="0094206F"/>
    <w:rsid w:val="009432A9"/>
    <w:rsid w:val="00944A14"/>
    <w:rsid w:val="00947BC9"/>
    <w:rsid w:val="00950AAE"/>
    <w:rsid w:val="00954119"/>
    <w:rsid w:val="009541AA"/>
    <w:rsid w:val="00955022"/>
    <w:rsid w:val="009562DE"/>
    <w:rsid w:val="00957675"/>
    <w:rsid w:val="009634A9"/>
    <w:rsid w:val="00963BE4"/>
    <w:rsid w:val="00972AB6"/>
    <w:rsid w:val="00973B35"/>
    <w:rsid w:val="009742EB"/>
    <w:rsid w:val="00975F43"/>
    <w:rsid w:val="00976166"/>
    <w:rsid w:val="00980316"/>
    <w:rsid w:val="00980B32"/>
    <w:rsid w:val="00981DC6"/>
    <w:rsid w:val="00985E5C"/>
    <w:rsid w:val="0098711B"/>
    <w:rsid w:val="0098795E"/>
    <w:rsid w:val="00992170"/>
    <w:rsid w:val="00992339"/>
    <w:rsid w:val="00992897"/>
    <w:rsid w:val="009937AD"/>
    <w:rsid w:val="00994278"/>
    <w:rsid w:val="00994AA7"/>
    <w:rsid w:val="00997F9B"/>
    <w:rsid w:val="009A0A41"/>
    <w:rsid w:val="009A0CDA"/>
    <w:rsid w:val="009A3A3F"/>
    <w:rsid w:val="009A4E89"/>
    <w:rsid w:val="009A5A3A"/>
    <w:rsid w:val="009B0115"/>
    <w:rsid w:val="009B0781"/>
    <w:rsid w:val="009B0783"/>
    <w:rsid w:val="009B1526"/>
    <w:rsid w:val="009B56F5"/>
    <w:rsid w:val="009C4246"/>
    <w:rsid w:val="009C564E"/>
    <w:rsid w:val="009C70DE"/>
    <w:rsid w:val="009C728B"/>
    <w:rsid w:val="009D0FB6"/>
    <w:rsid w:val="009D3DD6"/>
    <w:rsid w:val="009D4921"/>
    <w:rsid w:val="009D7190"/>
    <w:rsid w:val="009E039A"/>
    <w:rsid w:val="009E0B7E"/>
    <w:rsid w:val="009E13E9"/>
    <w:rsid w:val="009E1BAC"/>
    <w:rsid w:val="009E2F2A"/>
    <w:rsid w:val="009E57D2"/>
    <w:rsid w:val="009E5A5A"/>
    <w:rsid w:val="009E6FA6"/>
    <w:rsid w:val="009E788A"/>
    <w:rsid w:val="009F24FE"/>
    <w:rsid w:val="009F34DA"/>
    <w:rsid w:val="009F7122"/>
    <w:rsid w:val="00A009A4"/>
    <w:rsid w:val="00A02662"/>
    <w:rsid w:val="00A029FE"/>
    <w:rsid w:val="00A02C0B"/>
    <w:rsid w:val="00A03E2B"/>
    <w:rsid w:val="00A04C82"/>
    <w:rsid w:val="00A10B94"/>
    <w:rsid w:val="00A118C0"/>
    <w:rsid w:val="00A16167"/>
    <w:rsid w:val="00A16843"/>
    <w:rsid w:val="00A16896"/>
    <w:rsid w:val="00A17006"/>
    <w:rsid w:val="00A17B63"/>
    <w:rsid w:val="00A17BB5"/>
    <w:rsid w:val="00A214D1"/>
    <w:rsid w:val="00A21AD3"/>
    <w:rsid w:val="00A22909"/>
    <w:rsid w:val="00A263F6"/>
    <w:rsid w:val="00A267C2"/>
    <w:rsid w:val="00A30DF9"/>
    <w:rsid w:val="00A311A8"/>
    <w:rsid w:val="00A31970"/>
    <w:rsid w:val="00A31FD6"/>
    <w:rsid w:val="00A33EAA"/>
    <w:rsid w:val="00A35DF6"/>
    <w:rsid w:val="00A40F99"/>
    <w:rsid w:val="00A438F9"/>
    <w:rsid w:val="00A44C99"/>
    <w:rsid w:val="00A508DC"/>
    <w:rsid w:val="00A511D9"/>
    <w:rsid w:val="00A53D2A"/>
    <w:rsid w:val="00A53DD0"/>
    <w:rsid w:val="00A56A11"/>
    <w:rsid w:val="00A56E91"/>
    <w:rsid w:val="00A57D93"/>
    <w:rsid w:val="00A633BC"/>
    <w:rsid w:val="00A64517"/>
    <w:rsid w:val="00A66D4A"/>
    <w:rsid w:val="00A72E48"/>
    <w:rsid w:val="00A730E9"/>
    <w:rsid w:val="00A77627"/>
    <w:rsid w:val="00A81691"/>
    <w:rsid w:val="00A828EF"/>
    <w:rsid w:val="00A83110"/>
    <w:rsid w:val="00A840BD"/>
    <w:rsid w:val="00A844BC"/>
    <w:rsid w:val="00A868BD"/>
    <w:rsid w:val="00A950C8"/>
    <w:rsid w:val="00A96E4E"/>
    <w:rsid w:val="00AA05E2"/>
    <w:rsid w:val="00AA16E4"/>
    <w:rsid w:val="00AA6580"/>
    <w:rsid w:val="00AB4280"/>
    <w:rsid w:val="00AB4644"/>
    <w:rsid w:val="00AB642E"/>
    <w:rsid w:val="00AC36D7"/>
    <w:rsid w:val="00AC3F01"/>
    <w:rsid w:val="00AC512A"/>
    <w:rsid w:val="00AC5785"/>
    <w:rsid w:val="00AD0E19"/>
    <w:rsid w:val="00AD1124"/>
    <w:rsid w:val="00AD39E9"/>
    <w:rsid w:val="00AD4B6C"/>
    <w:rsid w:val="00AE360C"/>
    <w:rsid w:val="00AE38D2"/>
    <w:rsid w:val="00AE4EF6"/>
    <w:rsid w:val="00AF0BB8"/>
    <w:rsid w:val="00AF22C6"/>
    <w:rsid w:val="00AF453A"/>
    <w:rsid w:val="00AF5A08"/>
    <w:rsid w:val="00AF6A6E"/>
    <w:rsid w:val="00B007E0"/>
    <w:rsid w:val="00B02B18"/>
    <w:rsid w:val="00B0407D"/>
    <w:rsid w:val="00B043AF"/>
    <w:rsid w:val="00B05016"/>
    <w:rsid w:val="00B06360"/>
    <w:rsid w:val="00B11BC8"/>
    <w:rsid w:val="00B131F5"/>
    <w:rsid w:val="00B22938"/>
    <w:rsid w:val="00B25119"/>
    <w:rsid w:val="00B3028A"/>
    <w:rsid w:val="00B30908"/>
    <w:rsid w:val="00B36146"/>
    <w:rsid w:val="00B36A8D"/>
    <w:rsid w:val="00B36DDF"/>
    <w:rsid w:val="00B37189"/>
    <w:rsid w:val="00B37587"/>
    <w:rsid w:val="00B4528B"/>
    <w:rsid w:val="00B46397"/>
    <w:rsid w:val="00B51B81"/>
    <w:rsid w:val="00B54B1C"/>
    <w:rsid w:val="00B55191"/>
    <w:rsid w:val="00B56810"/>
    <w:rsid w:val="00B6103B"/>
    <w:rsid w:val="00B61405"/>
    <w:rsid w:val="00B61417"/>
    <w:rsid w:val="00B616D6"/>
    <w:rsid w:val="00B6401C"/>
    <w:rsid w:val="00B70FD5"/>
    <w:rsid w:val="00B73A23"/>
    <w:rsid w:val="00B76801"/>
    <w:rsid w:val="00B77829"/>
    <w:rsid w:val="00B77C02"/>
    <w:rsid w:val="00B8090B"/>
    <w:rsid w:val="00B819C2"/>
    <w:rsid w:val="00B81E6A"/>
    <w:rsid w:val="00B82141"/>
    <w:rsid w:val="00B829C0"/>
    <w:rsid w:val="00B86671"/>
    <w:rsid w:val="00B90A73"/>
    <w:rsid w:val="00B91496"/>
    <w:rsid w:val="00B9287A"/>
    <w:rsid w:val="00B93602"/>
    <w:rsid w:val="00B9486C"/>
    <w:rsid w:val="00B97432"/>
    <w:rsid w:val="00BA114A"/>
    <w:rsid w:val="00BA1522"/>
    <w:rsid w:val="00BA18AA"/>
    <w:rsid w:val="00BA1B3D"/>
    <w:rsid w:val="00BA496C"/>
    <w:rsid w:val="00BA4BE0"/>
    <w:rsid w:val="00BA5E5A"/>
    <w:rsid w:val="00BB062C"/>
    <w:rsid w:val="00BB2004"/>
    <w:rsid w:val="00BB3ECD"/>
    <w:rsid w:val="00BB3EFF"/>
    <w:rsid w:val="00BB59FE"/>
    <w:rsid w:val="00BB5E3B"/>
    <w:rsid w:val="00BB6C5E"/>
    <w:rsid w:val="00BC36A5"/>
    <w:rsid w:val="00BC3C6A"/>
    <w:rsid w:val="00BC4579"/>
    <w:rsid w:val="00BC6233"/>
    <w:rsid w:val="00BD054A"/>
    <w:rsid w:val="00BD3288"/>
    <w:rsid w:val="00BD4680"/>
    <w:rsid w:val="00BD4BAB"/>
    <w:rsid w:val="00BD65FD"/>
    <w:rsid w:val="00BD6EB3"/>
    <w:rsid w:val="00BD6EB7"/>
    <w:rsid w:val="00BE1988"/>
    <w:rsid w:val="00BE2EF7"/>
    <w:rsid w:val="00BE60F7"/>
    <w:rsid w:val="00BF21DF"/>
    <w:rsid w:val="00BF30DC"/>
    <w:rsid w:val="00BF417E"/>
    <w:rsid w:val="00BF746E"/>
    <w:rsid w:val="00C00315"/>
    <w:rsid w:val="00C00EFB"/>
    <w:rsid w:val="00C05FF5"/>
    <w:rsid w:val="00C10E84"/>
    <w:rsid w:val="00C11608"/>
    <w:rsid w:val="00C12C25"/>
    <w:rsid w:val="00C165E3"/>
    <w:rsid w:val="00C259EB"/>
    <w:rsid w:val="00C26F56"/>
    <w:rsid w:val="00C33E34"/>
    <w:rsid w:val="00C402D8"/>
    <w:rsid w:val="00C40A78"/>
    <w:rsid w:val="00C42CFD"/>
    <w:rsid w:val="00C42DB3"/>
    <w:rsid w:val="00C446CD"/>
    <w:rsid w:val="00C46426"/>
    <w:rsid w:val="00C469F7"/>
    <w:rsid w:val="00C4793A"/>
    <w:rsid w:val="00C5239E"/>
    <w:rsid w:val="00C53EE7"/>
    <w:rsid w:val="00C573BA"/>
    <w:rsid w:val="00C64097"/>
    <w:rsid w:val="00C6472F"/>
    <w:rsid w:val="00C64F65"/>
    <w:rsid w:val="00C65E7B"/>
    <w:rsid w:val="00C67D3A"/>
    <w:rsid w:val="00C738D3"/>
    <w:rsid w:val="00C754E2"/>
    <w:rsid w:val="00C76B89"/>
    <w:rsid w:val="00C76E94"/>
    <w:rsid w:val="00C84140"/>
    <w:rsid w:val="00C841BA"/>
    <w:rsid w:val="00C84646"/>
    <w:rsid w:val="00C84886"/>
    <w:rsid w:val="00C875EC"/>
    <w:rsid w:val="00C91094"/>
    <w:rsid w:val="00C92271"/>
    <w:rsid w:val="00C927E4"/>
    <w:rsid w:val="00C94B68"/>
    <w:rsid w:val="00CA2E62"/>
    <w:rsid w:val="00CA3898"/>
    <w:rsid w:val="00CA5062"/>
    <w:rsid w:val="00CA6CA7"/>
    <w:rsid w:val="00CB2DE4"/>
    <w:rsid w:val="00CB4AD3"/>
    <w:rsid w:val="00CB6DAB"/>
    <w:rsid w:val="00CB8406"/>
    <w:rsid w:val="00CC2F4E"/>
    <w:rsid w:val="00CC37FB"/>
    <w:rsid w:val="00CC4617"/>
    <w:rsid w:val="00CC5C80"/>
    <w:rsid w:val="00CC6269"/>
    <w:rsid w:val="00CD1FAB"/>
    <w:rsid w:val="00CD35E9"/>
    <w:rsid w:val="00CD41C6"/>
    <w:rsid w:val="00CD4322"/>
    <w:rsid w:val="00CD5471"/>
    <w:rsid w:val="00CD5E8A"/>
    <w:rsid w:val="00CD6D1F"/>
    <w:rsid w:val="00CE031D"/>
    <w:rsid w:val="00CE177D"/>
    <w:rsid w:val="00CE204A"/>
    <w:rsid w:val="00CE55E0"/>
    <w:rsid w:val="00CF3200"/>
    <w:rsid w:val="00CF3235"/>
    <w:rsid w:val="00D00662"/>
    <w:rsid w:val="00D03235"/>
    <w:rsid w:val="00D063D3"/>
    <w:rsid w:val="00D06E83"/>
    <w:rsid w:val="00D12D62"/>
    <w:rsid w:val="00D13272"/>
    <w:rsid w:val="00D13FBD"/>
    <w:rsid w:val="00D14002"/>
    <w:rsid w:val="00D15F6B"/>
    <w:rsid w:val="00D24592"/>
    <w:rsid w:val="00D24FDA"/>
    <w:rsid w:val="00D2654D"/>
    <w:rsid w:val="00D3040C"/>
    <w:rsid w:val="00D319DA"/>
    <w:rsid w:val="00D3275B"/>
    <w:rsid w:val="00D32765"/>
    <w:rsid w:val="00D33183"/>
    <w:rsid w:val="00D34739"/>
    <w:rsid w:val="00D34D72"/>
    <w:rsid w:val="00D34FFE"/>
    <w:rsid w:val="00D3546A"/>
    <w:rsid w:val="00D42542"/>
    <w:rsid w:val="00D4355D"/>
    <w:rsid w:val="00D43B80"/>
    <w:rsid w:val="00D44D94"/>
    <w:rsid w:val="00D44E9B"/>
    <w:rsid w:val="00D52E96"/>
    <w:rsid w:val="00D56F0E"/>
    <w:rsid w:val="00D63527"/>
    <w:rsid w:val="00D6390A"/>
    <w:rsid w:val="00D64ABF"/>
    <w:rsid w:val="00D65358"/>
    <w:rsid w:val="00D6716A"/>
    <w:rsid w:val="00D67C5B"/>
    <w:rsid w:val="00D724E0"/>
    <w:rsid w:val="00D74388"/>
    <w:rsid w:val="00D74A60"/>
    <w:rsid w:val="00D81682"/>
    <w:rsid w:val="00D82E31"/>
    <w:rsid w:val="00D83413"/>
    <w:rsid w:val="00D90420"/>
    <w:rsid w:val="00D90C31"/>
    <w:rsid w:val="00D91051"/>
    <w:rsid w:val="00D93046"/>
    <w:rsid w:val="00D976D6"/>
    <w:rsid w:val="00DA09DF"/>
    <w:rsid w:val="00DA2641"/>
    <w:rsid w:val="00DB1C5B"/>
    <w:rsid w:val="00DB4DB6"/>
    <w:rsid w:val="00DB7AB5"/>
    <w:rsid w:val="00DC270F"/>
    <w:rsid w:val="00DD0674"/>
    <w:rsid w:val="00DD0D51"/>
    <w:rsid w:val="00DD242E"/>
    <w:rsid w:val="00DE098F"/>
    <w:rsid w:val="00DE127E"/>
    <w:rsid w:val="00DE27F5"/>
    <w:rsid w:val="00DF0FD8"/>
    <w:rsid w:val="00DF1D9A"/>
    <w:rsid w:val="00DF1F83"/>
    <w:rsid w:val="00E00182"/>
    <w:rsid w:val="00E004CC"/>
    <w:rsid w:val="00E008AB"/>
    <w:rsid w:val="00E02EB3"/>
    <w:rsid w:val="00E03F8F"/>
    <w:rsid w:val="00E0423C"/>
    <w:rsid w:val="00E077DB"/>
    <w:rsid w:val="00E10CA6"/>
    <w:rsid w:val="00E10F7E"/>
    <w:rsid w:val="00E11339"/>
    <w:rsid w:val="00E13B52"/>
    <w:rsid w:val="00E171EE"/>
    <w:rsid w:val="00E21EFB"/>
    <w:rsid w:val="00E22054"/>
    <w:rsid w:val="00E22C23"/>
    <w:rsid w:val="00E25BDD"/>
    <w:rsid w:val="00E26325"/>
    <w:rsid w:val="00E26AB5"/>
    <w:rsid w:val="00E276E6"/>
    <w:rsid w:val="00E303C8"/>
    <w:rsid w:val="00E3329E"/>
    <w:rsid w:val="00E360A6"/>
    <w:rsid w:val="00E36165"/>
    <w:rsid w:val="00E40411"/>
    <w:rsid w:val="00E4041D"/>
    <w:rsid w:val="00E40699"/>
    <w:rsid w:val="00E429EA"/>
    <w:rsid w:val="00E43703"/>
    <w:rsid w:val="00E451BB"/>
    <w:rsid w:val="00E46539"/>
    <w:rsid w:val="00E46757"/>
    <w:rsid w:val="00E46882"/>
    <w:rsid w:val="00E5131D"/>
    <w:rsid w:val="00E52B37"/>
    <w:rsid w:val="00E566D6"/>
    <w:rsid w:val="00E573FF"/>
    <w:rsid w:val="00E57726"/>
    <w:rsid w:val="00E605F5"/>
    <w:rsid w:val="00E62F3F"/>
    <w:rsid w:val="00E642EF"/>
    <w:rsid w:val="00E66336"/>
    <w:rsid w:val="00E70941"/>
    <w:rsid w:val="00E710D1"/>
    <w:rsid w:val="00E73C77"/>
    <w:rsid w:val="00E8031C"/>
    <w:rsid w:val="00E80588"/>
    <w:rsid w:val="00E805BF"/>
    <w:rsid w:val="00E81D21"/>
    <w:rsid w:val="00E8516E"/>
    <w:rsid w:val="00E90CD3"/>
    <w:rsid w:val="00E90F44"/>
    <w:rsid w:val="00E92A5B"/>
    <w:rsid w:val="00E96513"/>
    <w:rsid w:val="00EA1272"/>
    <w:rsid w:val="00EA2321"/>
    <w:rsid w:val="00EA3798"/>
    <w:rsid w:val="00EA4621"/>
    <w:rsid w:val="00EA4E41"/>
    <w:rsid w:val="00EA6007"/>
    <w:rsid w:val="00EA7FE6"/>
    <w:rsid w:val="00EB267F"/>
    <w:rsid w:val="00EB319A"/>
    <w:rsid w:val="00EB45F9"/>
    <w:rsid w:val="00EB5E50"/>
    <w:rsid w:val="00EB65FD"/>
    <w:rsid w:val="00EB664E"/>
    <w:rsid w:val="00EC7DDD"/>
    <w:rsid w:val="00ED0521"/>
    <w:rsid w:val="00ED0B1D"/>
    <w:rsid w:val="00ED1745"/>
    <w:rsid w:val="00ED239E"/>
    <w:rsid w:val="00ED588D"/>
    <w:rsid w:val="00EE05B4"/>
    <w:rsid w:val="00EE2CC0"/>
    <w:rsid w:val="00EE4EBB"/>
    <w:rsid w:val="00EE5FA8"/>
    <w:rsid w:val="00EE6171"/>
    <w:rsid w:val="00EE6679"/>
    <w:rsid w:val="00EF04CB"/>
    <w:rsid w:val="00EF46D4"/>
    <w:rsid w:val="00EF62A7"/>
    <w:rsid w:val="00EF7068"/>
    <w:rsid w:val="00F03CB9"/>
    <w:rsid w:val="00F05039"/>
    <w:rsid w:val="00F057ED"/>
    <w:rsid w:val="00F0655D"/>
    <w:rsid w:val="00F0663A"/>
    <w:rsid w:val="00F112F3"/>
    <w:rsid w:val="00F127CA"/>
    <w:rsid w:val="00F13893"/>
    <w:rsid w:val="00F13A0E"/>
    <w:rsid w:val="00F13C61"/>
    <w:rsid w:val="00F16840"/>
    <w:rsid w:val="00F16A2C"/>
    <w:rsid w:val="00F20819"/>
    <w:rsid w:val="00F2240F"/>
    <w:rsid w:val="00F2484B"/>
    <w:rsid w:val="00F250EB"/>
    <w:rsid w:val="00F2536F"/>
    <w:rsid w:val="00F26260"/>
    <w:rsid w:val="00F3092E"/>
    <w:rsid w:val="00F35E95"/>
    <w:rsid w:val="00F42CC3"/>
    <w:rsid w:val="00F43ADB"/>
    <w:rsid w:val="00F4578F"/>
    <w:rsid w:val="00F462FA"/>
    <w:rsid w:val="00F477AC"/>
    <w:rsid w:val="00F47E3B"/>
    <w:rsid w:val="00F51C90"/>
    <w:rsid w:val="00F53486"/>
    <w:rsid w:val="00F53B37"/>
    <w:rsid w:val="00F541D6"/>
    <w:rsid w:val="00F5433D"/>
    <w:rsid w:val="00F56CB9"/>
    <w:rsid w:val="00F601C2"/>
    <w:rsid w:val="00F61271"/>
    <w:rsid w:val="00F62018"/>
    <w:rsid w:val="00F65157"/>
    <w:rsid w:val="00F65574"/>
    <w:rsid w:val="00F65969"/>
    <w:rsid w:val="00F67932"/>
    <w:rsid w:val="00F7055F"/>
    <w:rsid w:val="00F709BB"/>
    <w:rsid w:val="00F726A3"/>
    <w:rsid w:val="00F73DE6"/>
    <w:rsid w:val="00F83B58"/>
    <w:rsid w:val="00F8450F"/>
    <w:rsid w:val="00FA05BA"/>
    <w:rsid w:val="00FA0837"/>
    <w:rsid w:val="00FA0D79"/>
    <w:rsid w:val="00FA1D46"/>
    <w:rsid w:val="00FA1FA4"/>
    <w:rsid w:val="00FA29C9"/>
    <w:rsid w:val="00FA3589"/>
    <w:rsid w:val="00FA3E0E"/>
    <w:rsid w:val="00FA5633"/>
    <w:rsid w:val="00FA79CB"/>
    <w:rsid w:val="00FB4466"/>
    <w:rsid w:val="00FB6948"/>
    <w:rsid w:val="00FC2ABC"/>
    <w:rsid w:val="00FC5287"/>
    <w:rsid w:val="00FC6193"/>
    <w:rsid w:val="00FE11B3"/>
    <w:rsid w:val="00FE62DD"/>
    <w:rsid w:val="00FE6B63"/>
    <w:rsid w:val="00FE6F9A"/>
    <w:rsid w:val="00FE7A53"/>
    <w:rsid w:val="00FE7AB1"/>
    <w:rsid w:val="00FF1D72"/>
    <w:rsid w:val="00FF3200"/>
    <w:rsid w:val="011456CE"/>
    <w:rsid w:val="01396536"/>
    <w:rsid w:val="0145F27D"/>
    <w:rsid w:val="016BB1FB"/>
    <w:rsid w:val="016C03CB"/>
    <w:rsid w:val="0186F263"/>
    <w:rsid w:val="0199877D"/>
    <w:rsid w:val="01B62F9B"/>
    <w:rsid w:val="01B7CC79"/>
    <w:rsid w:val="01E376E5"/>
    <w:rsid w:val="022400B5"/>
    <w:rsid w:val="022E8991"/>
    <w:rsid w:val="024D4C3D"/>
    <w:rsid w:val="02527990"/>
    <w:rsid w:val="025E6ED7"/>
    <w:rsid w:val="02861EA2"/>
    <w:rsid w:val="02938117"/>
    <w:rsid w:val="02D53597"/>
    <w:rsid w:val="030D300D"/>
    <w:rsid w:val="032C5B0E"/>
    <w:rsid w:val="033F85B5"/>
    <w:rsid w:val="037F4746"/>
    <w:rsid w:val="03AC450B"/>
    <w:rsid w:val="0439ECEC"/>
    <w:rsid w:val="04408042"/>
    <w:rsid w:val="0497FE8A"/>
    <w:rsid w:val="04BCE560"/>
    <w:rsid w:val="04BE9325"/>
    <w:rsid w:val="05357565"/>
    <w:rsid w:val="0543FE8F"/>
    <w:rsid w:val="057F8E22"/>
    <w:rsid w:val="058609B1"/>
    <w:rsid w:val="05869899"/>
    <w:rsid w:val="059B402D"/>
    <w:rsid w:val="05B08BB5"/>
    <w:rsid w:val="05BFAFBC"/>
    <w:rsid w:val="05E8338C"/>
    <w:rsid w:val="062A4107"/>
    <w:rsid w:val="064C7490"/>
    <w:rsid w:val="06830A8F"/>
    <w:rsid w:val="06B9D413"/>
    <w:rsid w:val="06F92691"/>
    <w:rsid w:val="0705CB14"/>
    <w:rsid w:val="07240CEA"/>
    <w:rsid w:val="0726A507"/>
    <w:rsid w:val="074BBE01"/>
    <w:rsid w:val="07537183"/>
    <w:rsid w:val="07C6FB15"/>
    <w:rsid w:val="07DFA06B"/>
    <w:rsid w:val="07F44138"/>
    <w:rsid w:val="07FEB601"/>
    <w:rsid w:val="080E3E67"/>
    <w:rsid w:val="0823AC78"/>
    <w:rsid w:val="0837FEAB"/>
    <w:rsid w:val="083A59E5"/>
    <w:rsid w:val="08606A72"/>
    <w:rsid w:val="088B8FE6"/>
    <w:rsid w:val="088C173F"/>
    <w:rsid w:val="088D067E"/>
    <w:rsid w:val="08F7FAD3"/>
    <w:rsid w:val="08F95127"/>
    <w:rsid w:val="0946043E"/>
    <w:rsid w:val="097E4B27"/>
    <w:rsid w:val="09E7935C"/>
    <w:rsid w:val="09ED1247"/>
    <w:rsid w:val="09EE88CA"/>
    <w:rsid w:val="09F3D1C8"/>
    <w:rsid w:val="09F59103"/>
    <w:rsid w:val="0A11578E"/>
    <w:rsid w:val="0A12C0C7"/>
    <w:rsid w:val="0A23038D"/>
    <w:rsid w:val="0A25AB03"/>
    <w:rsid w:val="0A85BBA8"/>
    <w:rsid w:val="0A9B42DE"/>
    <w:rsid w:val="0AC6E42A"/>
    <w:rsid w:val="0AD6D7CE"/>
    <w:rsid w:val="0B1CF7D1"/>
    <w:rsid w:val="0BC330A8"/>
    <w:rsid w:val="0BCC5AB0"/>
    <w:rsid w:val="0BEDC36E"/>
    <w:rsid w:val="0BF6F360"/>
    <w:rsid w:val="0C0FFF42"/>
    <w:rsid w:val="0C27114A"/>
    <w:rsid w:val="0C46B896"/>
    <w:rsid w:val="0C819FC6"/>
    <w:rsid w:val="0CB29B57"/>
    <w:rsid w:val="0CB80BAB"/>
    <w:rsid w:val="0CE1B6DC"/>
    <w:rsid w:val="0CF88118"/>
    <w:rsid w:val="0D1839C2"/>
    <w:rsid w:val="0D2CA9EF"/>
    <w:rsid w:val="0D34CBD3"/>
    <w:rsid w:val="0D36473E"/>
    <w:rsid w:val="0D48FBA9"/>
    <w:rsid w:val="0D4F185A"/>
    <w:rsid w:val="0D5F0109"/>
    <w:rsid w:val="0D6077A1"/>
    <w:rsid w:val="0D674F10"/>
    <w:rsid w:val="0D726D17"/>
    <w:rsid w:val="0D8D0D6B"/>
    <w:rsid w:val="0DEC76C1"/>
    <w:rsid w:val="0E11043F"/>
    <w:rsid w:val="0E129749"/>
    <w:rsid w:val="0E1D5E8B"/>
    <w:rsid w:val="0E390450"/>
    <w:rsid w:val="0E549893"/>
    <w:rsid w:val="0E7B66EA"/>
    <w:rsid w:val="0EA2D5B2"/>
    <w:rsid w:val="0EB4F42E"/>
    <w:rsid w:val="0F189C30"/>
    <w:rsid w:val="0F725FC0"/>
    <w:rsid w:val="0F9E292C"/>
    <w:rsid w:val="0FA541E5"/>
    <w:rsid w:val="0FAACC05"/>
    <w:rsid w:val="0FB3325D"/>
    <w:rsid w:val="0FEAA2E6"/>
    <w:rsid w:val="10237D51"/>
    <w:rsid w:val="102C436D"/>
    <w:rsid w:val="10307F70"/>
    <w:rsid w:val="104D7F90"/>
    <w:rsid w:val="10981863"/>
    <w:rsid w:val="109CC77D"/>
    <w:rsid w:val="10A6CD47"/>
    <w:rsid w:val="10B46C91"/>
    <w:rsid w:val="10DC3E61"/>
    <w:rsid w:val="10EE1DBA"/>
    <w:rsid w:val="10EE7557"/>
    <w:rsid w:val="1131430C"/>
    <w:rsid w:val="115C00EC"/>
    <w:rsid w:val="115D55A1"/>
    <w:rsid w:val="1183EDD0"/>
    <w:rsid w:val="118C3955"/>
    <w:rsid w:val="11A19F37"/>
    <w:rsid w:val="12471803"/>
    <w:rsid w:val="124BF344"/>
    <w:rsid w:val="124CBAEA"/>
    <w:rsid w:val="125CD364"/>
    <w:rsid w:val="12795C9E"/>
    <w:rsid w:val="127BAF31"/>
    <w:rsid w:val="1281C268"/>
    <w:rsid w:val="128A45B8"/>
    <w:rsid w:val="12C1FF23"/>
    <w:rsid w:val="12C84443"/>
    <w:rsid w:val="131FBE31"/>
    <w:rsid w:val="132C9659"/>
    <w:rsid w:val="1379A865"/>
    <w:rsid w:val="13A775A4"/>
    <w:rsid w:val="13B5AEBE"/>
    <w:rsid w:val="13E5DFEB"/>
    <w:rsid w:val="14491887"/>
    <w:rsid w:val="144E2240"/>
    <w:rsid w:val="147774B2"/>
    <w:rsid w:val="14AAB1BA"/>
    <w:rsid w:val="14C113A0"/>
    <w:rsid w:val="14CE2387"/>
    <w:rsid w:val="151083AB"/>
    <w:rsid w:val="152CDE7E"/>
    <w:rsid w:val="1545E117"/>
    <w:rsid w:val="154A86AC"/>
    <w:rsid w:val="15529B54"/>
    <w:rsid w:val="156AB075"/>
    <w:rsid w:val="156CD814"/>
    <w:rsid w:val="156EB557"/>
    <w:rsid w:val="1614C8E7"/>
    <w:rsid w:val="1675AB5F"/>
    <w:rsid w:val="16837382"/>
    <w:rsid w:val="16992EB4"/>
    <w:rsid w:val="16A624F2"/>
    <w:rsid w:val="16C6C9FE"/>
    <w:rsid w:val="16C8B1CF"/>
    <w:rsid w:val="16DC15BE"/>
    <w:rsid w:val="16E925E0"/>
    <w:rsid w:val="16FC666B"/>
    <w:rsid w:val="17A040D9"/>
    <w:rsid w:val="17AC8B6D"/>
    <w:rsid w:val="17B13221"/>
    <w:rsid w:val="17B31151"/>
    <w:rsid w:val="17B3AC3D"/>
    <w:rsid w:val="18261E48"/>
    <w:rsid w:val="185033E8"/>
    <w:rsid w:val="18713498"/>
    <w:rsid w:val="188BBDB8"/>
    <w:rsid w:val="18BB34C8"/>
    <w:rsid w:val="18C06A8B"/>
    <w:rsid w:val="18F741FC"/>
    <w:rsid w:val="190055CE"/>
    <w:rsid w:val="19033CBA"/>
    <w:rsid w:val="1918112F"/>
    <w:rsid w:val="19700A9A"/>
    <w:rsid w:val="19D0CF76"/>
    <w:rsid w:val="19EC670B"/>
    <w:rsid w:val="1A49CFC4"/>
    <w:rsid w:val="1A69F84A"/>
    <w:rsid w:val="1AB1DC84"/>
    <w:rsid w:val="1ABB5C5F"/>
    <w:rsid w:val="1AC4222F"/>
    <w:rsid w:val="1ADDBAC6"/>
    <w:rsid w:val="1AE6EA7C"/>
    <w:rsid w:val="1B2B2E15"/>
    <w:rsid w:val="1B3FE50C"/>
    <w:rsid w:val="1B6F5353"/>
    <w:rsid w:val="1B6FEBB8"/>
    <w:rsid w:val="1B7F50E9"/>
    <w:rsid w:val="1B90EC3F"/>
    <w:rsid w:val="1BD56840"/>
    <w:rsid w:val="1C20E9EC"/>
    <w:rsid w:val="1C8562F2"/>
    <w:rsid w:val="1CF57DDE"/>
    <w:rsid w:val="1D0D50BF"/>
    <w:rsid w:val="1D2831B9"/>
    <w:rsid w:val="1D4B5742"/>
    <w:rsid w:val="1D53B583"/>
    <w:rsid w:val="1D8861D7"/>
    <w:rsid w:val="1DA2BAC4"/>
    <w:rsid w:val="1DA47D03"/>
    <w:rsid w:val="1DB9DEE2"/>
    <w:rsid w:val="1E0BE5A3"/>
    <w:rsid w:val="1E0EB510"/>
    <w:rsid w:val="1E155B88"/>
    <w:rsid w:val="1E5FB02B"/>
    <w:rsid w:val="1ECE4926"/>
    <w:rsid w:val="1ECEA6CC"/>
    <w:rsid w:val="1F1B1A32"/>
    <w:rsid w:val="1F1C6DAD"/>
    <w:rsid w:val="1F769B10"/>
    <w:rsid w:val="1FAC90BF"/>
    <w:rsid w:val="1FEB8FCA"/>
    <w:rsid w:val="1FFEB83C"/>
    <w:rsid w:val="20062EBF"/>
    <w:rsid w:val="202282ED"/>
    <w:rsid w:val="202CCDDF"/>
    <w:rsid w:val="2032B5C5"/>
    <w:rsid w:val="204E9643"/>
    <w:rsid w:val="20C7685E"/>
    <w:rsid w:val="212A0614"/>
    <w:rsid w:val="2148AD3F"/>
    <w:rsid w:val="2175B029"/>
    <w:rsid w:val="217C56B1"/>
    <w:rsid w:val="21977753"/>
    <w:rsid w:val="21A089A6"/>
    <w:rsid w:val="21CF4A0D"/>
    <w:rsid w:val="21D331FD"/>
    <w:rsid w:val="220670A0"/>
    <w:rsid w:val="220F5BD4"/>
    <w:rsid w:val="222C986B"/>
    <w:rsid w:val="222D585C"/>
    <w:rsid w:val="223610AF"/>
    <w:rsid w:val="228314EE"/>
    <w:rsid w:val="22C811D2"/>
    <w:rsid w:val="22D6C940"/>
    <w:rsid w:val="22DA39CF"/>
    <w:rsid w:val="22DC9A8C"/>
    <w:rsid w:val="22FE18C3"/>
    <w:rsid w:val="23051493"/>
    <w:rsid w:val="231C9EEF"/>
    <w:rsid w:val="2352B0B8"/>
    <w:rsid w:val="235DFBBB"/>
    <w:rsid w:val="237F037D"/>
    <w:rsid w:val="2391F0CE"/>
    <w:rsid w:val="23A0D111"/>
    <w:rsid w:val="23C928BD"/>
    <w:rsid w:val="242FDED3"/>
    <w:rsid w:val="2457F613"/>
    <w:rsid w:val="24611D41"/>
    <w:rsid w:val="24749FE0"/>
    <w:rsid w:val="2485E6E9"/>
    <w:rsid w:val="24BA0D20"/>
    <w:rsid w:val="24ED0A74"/>
    <w:rsid w:val="251AFF69"/>
    <w:rsid w:val="2530AD16"/>
    <w:rsid w:val="2545BF19"/>
    <w:rsid w:val="25618494"/>
    <w:rsid w:val="2561E23F"/>
    <w:rsid w:val="256E0A9F"/>
    <w:rsid w:val="25707279"/>
    <w:rsid w:val="25A22EF3"/>
    <w:rsid w:val="25A2AF51"/>
    <w:rsid w:val="25C21054"/>
    <w:rsid w:val="263CB555"/>
    <w:rsid w:val="267A5EA9"/>
    <w:rsid w:val="26A86602"/>
    <w:rsid w:val="26B6CFCA"/>
    <w:rsid w:val="26E6EC19"/>
    <w:rsid w:val="272FDFAF"/>
    <w:rsid w:val="27CAC93A"/>
    <w:rsid w:val="28195BE3"/>
    <w:rsid w:val="2839D24B"/>
    <w:rsid w:val="283D0277"/>
    <w:rsid w:val="28D92E15"/>
    <w:rsid w:val="28F3F429"/>
    <w:rsid w:val="29239D62"/>
    <w:rsid w:val="29527C55"/>
    <w:rsid w:val="296FAF6F"/>
    <w:rsid w:val="297BF036"/>
    <w:rsid w:val="29A8089F"/>
    <w:rsid w:val="29DC6244"/>
    <w:rsid w:val="2A537C34"/>
    <w:rsid w:val="2A9A4090"/>
    <w:rsid w:val="2A9E6B80"/>
    <w:rsid w:val="2AA05328"/>
    <w:rsid w:val="2AE8BAC8"/>
    <w:rsid w:val="2B366034"/>
    <w:rsid w:val="2B39A4BA"/>
    <w:rsid w:val="2B40E6BD"/>
    <w:rsid w:val="2B765A1B"/>
    <w:rsid w:val="2B8105E6"/>
    <w:rsid w:val="2B965D03"/>
    <w:rsid w:val="2BAE90E1"/>
    <w:rsid w:val="2BC68BA0"/>
    <w:rsid w:val="2BF014B3"/>
    <w:rsid w:val="2C2873C8"/>
    <w:rsid w:val="2CBCED46"/>
    <w:rsid w:val="2D34308A"/>
    <w:rsid w:val="2D8AE78D"/>
    <w:rsid w:val="2DBFAA5C"/>
    <w:rsid w:val="2DE336AD"/>
    <w:rsid w:val="2DF4259A"/>
    <w:rsid w:val="2E1F214F"/>
    <w:rsid w:val="2E3D50AB"/>
    <w:rsid w:val="2E41C349"/>
    <w:rsid w:val="2E428E43"/>
    <w:rsid w:val="2E4CBAD6"/>
    <w:rsid w:val="2E590281"/>
    <w:rsid w:val="2EB36D4F"/>
    <w:rsid w:val="2EFE2C62"/>
    <w:rsid w:val="2FAE2756"/>
    <w:rsid w:val="2FF23812"/>
    <w:rsid w:val="2FF964FE"/>
    <w:rsid w:val="30252B30"/>
    <w:rsid w:val="309885D2"/>
    <w:rsid w:val="30BC3402"/>
    <w:rsid w:val="30F2AA2A"/>
    <w:rsid w:val="31293CDE"/>
    <w:rsid w:val="31461D48"/>
    <w:rsid w:val="31503B7B"/>
    <w:rsid w:val="315F0342"/>
    <w:rsid w:val="316B7A3E"/>
    <w:rsid w:val="318E6B04"/>
    <w:rsid w:val="31A18004"/>
    <w:rsid w:val="31DB1845"/>
    <w:rsid w:val="31DBBE21"/>
    <w:rsid w:val="320A4822"/>
    <w:rsid w:val="32294D12"/>
    <w:rsid w:val="32382361"/>
    <w:rsid w:val="32407051"/>
    <w:rsid w:val="32C3D85A"/>
    <w:rsid w:val="33075969"/>
    <w:rsid w:val="33086A5F"/>
    <w:rsid w:val="330F86C5"/>
    <w:rsid w:val="333D5065"/>
    <w:rsid w:val="333EAD6B"/>
    <w:rsid w:val="337BA8A0"/>
    <w:rsid w:val="33A72296"/>
    <w:rsid w:val="33C93D85"/>
    <w:rsid w:val="33D08A68"/>
    <w:rsid w:val="33D192A6"/>
    <w:rsid w:val="33D3F3C2"/>
    <w:rsid w:val="3415C383"/>
    <w:rsid w:val="341DD457"/>
    <w:rsid w:val="344B8E74"/>
    <w:rsid w:val="34646FF0"/>
    <w:rsid w:val="34BBDE7F"/>
    <w:rsid w:val="35331289"/>
    <w:rsid w:val="35563228"/>
    <w:rsid w:val="35603980"/>
    <w:rsid w:val="3586CEE6"/>
    <w:rsid w:val="358B1BB4"/>
    <w:rsid w:val="35A8C063"/>
    <w:rsid w:val="36400B21"/>
    <w:rsid w:val="36AB7AA3"/>
    <w:rsid w:val="36B1267D"/>
    <w:rsid w:val="36BFAD83"/>
    <w:rsid w:val="36D0B62A"/>
    <w:rsid w:val="370B9484"/>
    <w:rsid w:val="37179ADB"/>
    <w:rsid w:val="373BD0FF"/>
    <w:rsid w:val="376B4E1A"/>
    <w:rsid w:val="37827916"/>
    <w:rsid w:val="3794E551"/>
    <w:rsid w:val="37A91B19"/>
    <w:rsid w:val="37B3DA59"/>
    <w:rsid w:val="37C9DC9A"/>
    <w:rsid w:val="380E035C"/>
    <w:rsid w:val="3815F41C"/>
    <w:rsid w:val="384ADE17"/>
    <w:rsid w:val="3854F019"/>
    <w:rsid w:val="386960FC"/>
    <w:rsid w:val="38A7D4CA"/>
    <w:rsid w:val="39636E44"/>
    <w:rsid w:val="396F889D"/>
    <w:rsid w:val="399C17FB"/>
    <w:rsid w:val="3A0693B4"/>
    <w:rsid w:val="3A148AA2"/>
    <w:rsid w:val="3A2D8CAE"/>
    <w:rsid w:val="3A4DD87E"/>
    <w:rsid w:val="3A5AC356"/>
    <w:rsid w:val="3A653EDC"/>
    <w:rsid w:val="3A8DE60C"/>
    <w:rsid w:val="3AD90BC3"/>
    <w:rsid w:val="3AF5299A"/>
    <w:rsid w:val="3AF701DC"/>
    <w:rsid w:val="3B159343"/>
    <w:rsid w:val="3B2383D0"/>
    <w:rsid w:val="3B31FF72"/>
    <w:rsid w:val="3B3A5D45"/>
    <w:rsid w:val="3B4ED1A8"/>
    <w:rsid w:val="3B68B3A7"/>
    <w:rsid w:val="3BCA939E"/>
    <w:rsid w:val="3C28992E"/>
    <w:rsid w:val="3C32DFCA"/>
    <w:rsid w:val="3C4FC1FB"/>
    <w:rsid w:val="3C5AAA16"/>
    <w:rsid w:val="3C6CAADA"/>
    <w:rsid w:val="3C7FE073"/>
    <w:rsid w:val="3CCEC11F"/>
    <w:rsid w:val="3CD91B3D"/>
    <w:rsid w:val="3D3AB29E"/>
    <w:rsid w:val="3D98475E"/>
    <w:rsid w:val="3D9CB539"/>
    <w:rsid w:val="3DC4934F"/>
    <w:rsid w:val="3DEBBD63"/>
    <w:rsid w:val="3E0A9DDF"/>
    <w:rsid w:val="3E2BCD1B"/>
    <w:rsid w:val="3E930B06"/>
    <w:rsid w:val="3EABFD7F"/>
    <w:rsid w:val="3EAD0A23"/>
    <w:rsid w:val="3EBE6341"/>
    <w:rsid w:val="3ED344BF"/>
    <w:rsid w:val="3EE4C160"/>
    <w:rsid w:val="3EFF326F"/>
    <w:rsid w:val="3F07A49A"/>
    <w:rsid w:val="3F20DB1B"/>
    <w:rsid w:val="3F615159"/>
    <w:rsid w:val="3FAF94B2"/>
    <w:rsid w:val="3FCDC50A"/>
    <w:rsid w:val="3FEBE2AA"/>
    <w:rsid w:val="40069C2E"/>
    <w:rsid w:val="40ABF569"/>
    <w:rsid w:val="40DC20C2"/>
    <w:rsid w:val="40F2F70F"/>
    <w:rsid w:val="411295F7"/>
    <w:rsid w:val="418D9465"/>
    <w:rsid w:val="420131DB"/>
    <w:rsid w:val="420746F8"/>
    <w:rsid w:val="421368D1"/>
    <w:rsid w:val="428255DA"/>
    <w:rsid w:val="42918777"/>
    <w:rsid w:val="4298B6CC"/>
    <w:rsid w:val="42ADA089"/>
    <w:rsid w:val="42EA40D1"/>
    <w:rsid w:val="42F39EC9"/>
    <w:rsid w:val="42F7BF03"/>
    <w:rsid w:val="4302925A"/>
    <w:rsid w:val="43591474"/>
    <w:rsid w:val="43ABC0D8"/>
    <w:rsid w:val="43D4AF29"/>
    <w:rsid w:val="43E418B9"/>
    <w:rsid w:val="43F7247E"/>
    <w:rsid w:val="441B11EA"/>
    <w:rsid w:val="442359C5"/>
    <w:rsid w:val="4441AA46"/>
    <w:rsid w:val="444E5E78"/>
    <w:rsid w:val="445882F9"/>
    <w:rsid w:val="44664734"/>
    <w:rsid w:val="44684ADB"/>
    <w:rsid w:val="44803770"/>
    <w:rsid w:val="44A0CE2D"/>
    <w:rsid w:val="44A8A575"/>
    <w:rsid w:val="44A983FA"/>
    <w:rsid w:val="44AF1A1B"/>
    <w:rsid w:val="44DB8442"/>
    <w:rsid w:val="44EFF09A"/>
    <w:rsid w:val="4509C2A3"/>
    <w:rsid w:val="450A002B"/>
    <w:rsid w:val="4519A419"/>
    <w:rsid w:val="451FAA40"/>
    <w:rsid w:val="4531E136"/>
    <w:rsid w:val="45367C60"/>
    <w:rsid w:val="453B3E46"/>
    <w:rsid w:val="457256D9"/>
    <w:rsid w:val="458DD573"/>
    <w:rsid w:val="45AD5777"/>
    <w:rsid w:val="45BD0A65"/>
    <w:rsid w:val="45D9FB97"/>
    <w:rsid w:val="45E8CA2E"/>
    <w:rsid w:val="45FECE78"/>
    <w:rsid w:val="46024E10"/>
    <w:rsid w:val="461A41E1"/>
    <w:rsid w:val="4624A80A"/>
    <w:rsid w:val="462F0A0A"/>
    <w:rsid w:val="46759644"/>
    <w:rsid w:val="467BFDE9"/>
    <w:rsid w:val="4683B33B"/>
    <w:rsid w:val="468DC33E"/>
    <w:rsid w:val="46C891A9"/>
    <w:rsid w:val="46D097DE"/>
    <w:rsid w:val="46DAA8F0"/>
    <w:rsid w:val="46E89F1C"/>
    <w:rsid w:val="46F07C8A"/>
    <w:rsid w:val="47674952"/>
    <w:rsid w:val="4779BA60"/>
    <w:rsid w:val="47C06BD6"/>
    <w:rsid w:val="47C0786B"/>
    <w:rsid w:val="47F97539"/>
    <w:rsid w:val="47FCEF9E"/>
    <w:rsid w:val="483BB298"/>
    <w:rsid w:val="483CDA95"/>
    <w:rsid w:val="486981F8"/>
    <w:rsid w:val="487BA684"/>
    <w:rsid w:val="487E840B"/>
    <w:rsid w:val="488964FB"/>
    <w:rsid w:val="488BC640"/>
    <w:rsid w:val="48B1F3A9"/>
    <w:rsid w:val="48C53453"/>
    <w:rsid w:val="48C6EA5C"/>
    <w:rsid w:val="48D49BAC"/>
    <w:rsid w:val="48F452D5"/>
    <w:rsid w:val="492FD398"/>
    <w:rsid w:val="49414BD8"/>
    <w:rsid w:val="495CA285"/>
    <w:rsid w:val="49D3361E"/>
    <w:rsid w:val="49D9229D"/>
    <w:rsid w:val="4A481E39"/>
    <w:rsid w:val="4A499AF5"/>
    <w:rsid w:val="4A614696"/>
    <w:rsid w:val="4A67CEC4"/>
    <w:rsid w:val="4A89EDFA"/>
    <w:rsid w:val="4AA04FE0"/>
    <w:rsid w:val="4AC0A825"/>
    <w:rsid w:val="4AF8192D"/>
    <w:rsid w:val="4B3BDD8D"/>
    <w:rsid w:val="4B3E9489"/>
    <w:rsid w:val="4B7BF8A3"/>
    <w:rsid w:val="4BE3EE9A"/>
    <w:rsid w:val="4BFA66A2"/>
    <w:rsid w:val="4C32209C"/>
    <w:rsid w:val="4C5A59E8"/>
    <w:rsid w:val="4C740935"/>
    <w:rsid w:val="4C99109D"/>
    <w:rsid w:val="4CC2A56B"/>
    <w:rsid w:val="4CD50C6A"/>
    <w:rsid w:val="4D0E59A3"/>
    <w:rsid w:val="4D1C5F58"/>
    <w:rsid w:val="4D593E8C"/>
    <w:rsid w:val="4DB9D72F"/>
    <w:rsid w:val="4DBE819F"/>
    <w:rsid w:val="4DD46591"/>
    <w:rsid w:val="4DEA22EB"/>
    <w:rsid w:val="4DF73254"/>
    <w:rsid w:val="4E1550DF"/>
    <w:rsid w:val="4E169192"/>
    <w:rsid w:val="4E1B626A"/>
    <w:rsid w:val="4E1FE13C"/>
    <w:rsid w:val="4E30AF93"/>
    <w:rsid w:val="4E4508FA"/>
    <w:rsid w:val="4E4FE8E7"/>
    <w:rsid w:val="4E9EB0FB"/>
    <w:rsid w:val="4EA292C6"/>
    <w:rsid w:val="4EEE375E"/>
    <w:rsid w:val="4F16E28A"/>
    <w:rsid w:val="4F220C0F"/>
    <w:rsid w:val="4F7670AE"/>
    <w:rsid w:val="4FAB9C4B"/>
    <w:rsid w:val="4FCA5ACB"/>
    <w:rsid w:val="5026246F"/>
    <w:rsid w:val="50364169"/>
    <w:rsid w:val="50950D5D"/>
    <w:rsid w:val="50DDFFCF"/>
    <w:rsid w:val="511E41CF"/>
    <w:rsid w:val="5129061C"/>
    <w:rsid w:val="5147DF30"/>
    <w:rsid w:val="5166E454"/>
    <w:rsid w:val="51F841F9"/>
    <w:rsid w:val="52112148"/>
    <w:rsid w:val="5213F17E"/>
    <w:rsid w:val="5216F7A6"/>
    <w:rsid w:val="5223D8CF"/>
    <w:rsid w:val="526C86BA"/>
    <w:rsid w:val="52BABC24"/>
    <w:rsid w:val="53524BD6"/>
    <w:rsid w:val="53747F01"/>
    <w:rsid w:val="53970157"/>
    <w:rsid w:val="53B2C807"/>
    <w:rsid w:val="53C1EB08"/>
    <w:rsid w:val="53C46B75"/>
    <w:rsid w:val="543521FD"/>
    <w:rsid w:val="547D7E1A"/>
    <w:rsid w:val="547F72B1"/>
    <w:rsid w:val="549FF792"/>
    <w:rsid w:val="54EB1548"/>
    <w:rsid w:val="54F99592"/>
    <w:rsid w:val="55270001"/>
    <w:rsid w:val="5618E73A"/>
    <w:rsid w:val="56369C17"/>
    <w:rsid w:val="5640617C"/>
    <w:rsid w:val="5652C7B3"/>
    <w:rsid w:val="568C7122"/>
    <w:rsid w:val="56CF0F9C"/>
    <w:rsid w:val="57053CB7"/>
    <w:rsid w:val="572E8EC7"/>
    <w:rsid w:val="5759878A"/>
    <w:rsid w:val="57AD19A4"/>
    <w:rsid w:val="57B6E85E"/>
    <w:rsid w:val="57BE147A"/>
    <w:rsid w:val="58200A05"/>
    <w:rsid w:val="58532180"/>
    <w:rsid w:val="586FCD5F"/>
    <w:rsid w:val="589542BA"/>
    <w:rsid w:val="5899A69D"/>
    <w:rsid w:val="589B884D"/>
    <w:rsid w:val="58B10715"/>
    <w:rsid w:val="58C152EF"/>
    <w:rsid w:val="58CC5CC8"/>
    <w:rsid w:val="58CCDD9C"/>
    <w:rsid w:val="58DA5BE5"/>
    <w:rsid w:val="58DFF2A8"/>
    <w:rsid w:val="596131BF"/>
    <w:rsid w:val="596DB7A3"/>
    <w:rsid w:val="598A6875"/>
    <w:rsid w:val="59AB1E4D"/>
    <w:rsid w:val="59B3B2AD"/>
    <w:rsid w:val="59C3B29B"/>
    <w:rsid w:val="59D6EB7E"/>
    <w:rsid w:val="59E32D8C"/>
    <w:rsid w:val="5A1FBFA0"/>
    <w:rsid w:val="5A26EFEE"/>
    <w:rsid w:val="5AC0737F"/>
    <w:rsid w:val="5AD53050"/>
    <w:rsid w:val="5B000847"/>
    <w:rsid w:val="5B29E279"/>
    <w:rsid w:val="5B8D06D9"/>
    <w:rsid w:val="5B8D9665"/>
    <w:rsid w:val="5B9CC03A"/>
    <w:rsid w:val="5BAE9245"/>
    <w:rsid w:val="5BBAA30E"/>
    <w:rsid w:val="5BEFEA46"/>
    <w:rsid w:val="5C03C2EB"/>
    <w:rsid w:val="5C3B8426"/>
    <w:rsid w:val="5C4519AA"/>
    <w:rsid w:val="5C54AC83"/>
    <w:rsid w:val="5C6CB703"/>
    <w:rsid w:val="5C893853"/>
    <w:rsid w:val="5C98D281"/>
    <w:rsid w:val="5CAB0977"/>
    <w:rsid w:val="5CBB0760"/>
    <w:rsid w:val="5CD9D409"/>
    <w:rsid w:val="5D09A752"/>
    <w:rsid w:val="5D2C61A7"/>
    <w:rsid w:val="5D7AFF7F"/>
    <w:rsid w:val="5DB7EC5B"/>
    <w:rsid w:val="5DB92E59"/>
    <w:rsid w:val="5DBFCB70"/>
    <w:rsid w:val="5DE51F57"/>
    <w:rsid w:val="5E050FEC"/>
    <w:rsid w:val="5E18AED1"/>
    <w:rsid w:val="5E1FE57C"/>
    <w:rsid w:val="5EB41308"/>
    <w:rsid w:val="5EBC69F8"/>
    <w:rsid w:val="5ECB7579"/>
    <w:rsid w:val="5ED28D23"/>
    <w:rsid w:val="5EFDD592"/>
    <w:rsid w:val="5F253AE6"/>
    <w:rsid w:val="5F2B1850"/>
    <w:rsid w:val="5F849D74"/>
    <w:rsid w:val="5F8F7916"/>
    <w:rsid w:val="5FAD2393"/>
    <w:rsid w:val="5FCE1D06"/>
    <w:rsid w:val="5FF94195"/>
    <w:rsid w:val="5FFC9473"/>
    <w:rsid w:val="600DE2C8"/>
    <w:rsid w:val="603BFC75"/>
    <w:rsid w:val="606088F2"/>
    <w:rsid w:val="6063657D"/>
    <w:rsid w:val="607CCB8B"/>
    <w:rsid w:val="60966F1E"/>
    <w:rsid w:val="60A9695B"/>
    <w:rsid w:val="60B2672E"/>
    <w:rsid w:val="60B45434"/>
    <w:rsid w:val="60C286A3"/>
    <w:rsid w:val="60FF662A"/>
    <w:rsid w:val="610D7EB1"/>
    <w:rsid w:val="611AE57F"/>
    <w:rsid w:val="6163494D"/>
    <w:rsid w:val="6169ED67"/>
    <w:rsid w:val="617BFE16"/>
    <w:rsid w:val="617DACBA"/>
    <w:rsid w:val="61B4BBEE"/>
    <w:rsid w:val="61CDFA10"/>
    <w:rsid w:val="61F6C1C3"/>
    <w:rsid w:val="6225F23E"/>
    <w:rsid w:val="62853F3C"/>
    <w:rsid w:val="62910F56"/>
    <w:rsid w:val="62944BC1"/>
    <w:rsid w:val="629F4870"/>
    <w:rsid w:val="62CDC26F"/>
    <w:rsid w:val="62CFE736"/>
    <w:rsid w:val="63D7DD1B"/>
    <w:rsid w:val="645D219D"/>
    <w:rsid w:val="646A0E3D"/>
    <w:rsid w:val="6477B9BD"/>
    <w:rsid w:val="64A6B238"/>
    <w:rsid w:val="64B5C27B"/>
    <w:rsid w:val="64CC609C"/>
    <w:rsid w:val="64EC6A97"/>
    <w:rsid w:val="6516BD3A"/>
    <w:rsid w:val="6558B734"/>
    <w:rsid w:val="6559EA42"/>
    <w:rsid w:val="658564B0"/>
    <w:rsid w:val="6593A1CE"/>
    <w:rsid w:val="65A3F936"/>
    <w:rsid w:val="65C3D6F8"/>
    <w:rsid w:val="660C25DC"/>
    <w:rsid w:val="666D8EF4"/>
    <w:rsid w:val="66985DAD"/>
    <w:rsid w:val="66D0C150"/>
    <w:rsid w:val="66E137BA"/>
    <w:rsid w:val="66EEA484"/>
    <w:rsid w:val="6717F8DF"/>
    <w:rsid w:val="672E9157"/>
    <w:rsid w:val="67ABF07A"/>
    <w:rsid w:val="69126422"/>
    <w:rsid w:val="69306CDA"/>
    <w:rsid w:val="69576784"/>
    <w:rsid w:val="69B17A07"/>
    <w:rsid w:val="69EB5555"/>
    <w:rsid w:val="6A0E750A"/>
    <w:rsid w:val="6A23AAB0"/>
    <w:rsid w:val="6A8A9366"/>
    <w:rsid w:val="6AEC53CD"/>
    <w:rsid w:val="6B2EBF40"/>
    <w:rsid w:val="6B31E6B5"/>
    <w:rsid w:val="6B4CCE49"/>
    <w:rsid w:val="6B583CD5"/>
    <w:rsid w:val="6B7535B2"/>
    <w:rsid w:val="6B9D1A70"/>
    <w:rsid w:val="6BCCF629"/>
    <w:rsid w:val="6C13A29E"/>
    <w:rsid w:val="6C148ED7"/>
    <w:rsid w:val="6C27D180"/>
    <w:rsid w:val="6C4C4526"/>
    <w:rsid w:val="6C52E058"/>
    <w:rsid w:val="6C613058"/>
    <w:rsid w:val="6D0F752F"/>
    <w:rsid w:val="6D1783FA"/>
    <w:rsid w:val="6D9CB4C4"/>
    <w:rsid w:val="6E04574F"/>
    <w:rsid w:val="6E246B29"/>
    <w:rsid w:val="6E3C0B10"/>
    <w:rsid w:val="6E7B9B09"/>
    <w:rsid w:val="6E8B4686"/>
    <w:rsid w:val="6EB5C1FC"/>
    <w:rsid w:val="6EC05746"/>
    <w:rsid w:val="6F2D5960"/>
    <w:rsid w:val="6F4C2F99"/>
    <w:rsid w:val="6F50DA85"/>
    <w:rsid w:val="6F61EEBF"/>
    <w:rsid w:val="6F8656A5"/>
    <w:rsid w:val="70250717"/>
    <w:rsid w:val="7048A6D5"/>
    <w:rsid w:val="704E5325"/>
    <w:rsid w:val="705E034E"/>
    <w:rsid w:val="707A9A51"/>
    <w:rsid w:val="70963402"/>
    <w:rsid w:val="709D44CD"/>
    <w:rsid w:val="70C929C1"/>
    <w:rsid w:val="70D803C3"/>
    <w:rsid w:val="70EBE2CA"/>
    <w:rsid w:val="711EDA5C"/>
    <w:rsid w:val="718DBB1B"/>
    <w:rsid w:val="7197FAEE"/>
    <w:rsid w:val="7209F0A1"/>
    <w:rsid w:val="722E9FF6"/>
    <w:rsid w:val="7260AA70"/>
    <w:rsid w:val="72B0BCAE"/>
    <w:rsid w:val="72E3C030"/>
    <w:rsid w:val="7326066D"/>
    <w:rsid w:val="73537772"/>
    <w:rsid w:val="7368ACAA"/>
    <w:rsid w:val="739B8B1F"/>
    <w:rsid w:val="73BF19B6"/>
    <w:rsid w:val="73C70AF3"/>
    <w:rsid w:val="73DE4D73"/>
    <w:rsid w:val="73EB0828"/>
    <w:rsid w:val="73F56BA6"/>
    <w:rsid w:val="744D7164"/>
    <w:rsid w:val="7467D7C2"/>
    <w:rsid w:val="747AF664"/>
    <w:rsid w:val="74906229"/>
    <w:rsid w:val="74E6BFF4"/>
    <w:rsid w:val="7517EC3F"/>
    <w:rsid w:val="752B39BF"/>
    <w:rsid w:val="760077BC"/>
    <w:rsid w:val="7603CA18"/>
    <w:rsid w:val="7620B92B"/>
    <w:rsid w:val="76338631"/>
    <w:rsid w:val="765AFFA0"/>
    <w:rsid w:val="76855812"/>
    <w:rsid w:val="769054CF"/>
    <w:rsid w:val="76D20290"/>
    <w:rsid w:val="76DBD801"/>
    <w:rsid w:val="771788D1"/>
    <w:rsid w:val="777358AA"/>
    <w:rsid w:val="77CD7AFA"/>
    <w:rsid w:val="77D1AACC"/>
    <w:rsid w:val="77D59C42"/>
    <w:rsid w:val="782C68E5"/>
    <w:rsid w:val="78516579"/>
    <w:rsid w:val="7859CDB8"/>
    <w:rsid w:val="787260D3"/>
    <w:rsid w:val="787D6DBD"/>
    <w:rsid w:val="78840BCB"/>
    <w:rsid w:val="78B8F6B1"/>
    <w:rsid w:val="78CC4388"/>
    <w:rsid w:val="78E315A8"/>
    <w:rsid w:val="78F03C0F"/>
    <w:rsid w:val="78F33182"/>
    <w:rsid w:val="796B26F3"/>
    <w:rsid w:val="79FB78F3"/>
    <w:rsid w:val="7A2398AC"/>
    <w:rsid w:val="7A8231EA"/>
    <w:rsid w:val="7B3CE8E5"/>
    <w:rsid w:val="7B42E594"/>
    <w:rsid w:val="7B522781"/>
    <w:rsid w:val="7B6D11B3"/>
    <w:rsid w:val="7BAA427A"/>
    <w:rsid w:val="7BBACD77"/>
    <w:rsid w:val="7BF06329"/>
    <w:rsid w:val="7C0DE2C4"/>
    <w:rsid w:val="7C1AB66A"/>
    <w:rsid w:val="7C436430"/>
    <w:rsid w:val="7C5519F2"/>
    <w:rsid w:val="7CB6E016"/>
    <w:rsid w:val="7CC2C818"/>
    <w:rsid w:val="7CE49C19"/>
    <w:rsid w:val="7CEFDFBD"/>
    <w:rsid w:val="7D0514E6"/>
    <w:rsid w:val="7D08E214"/>
    <w:rsid w:val="7D275A46"/>
    <w:rsid w:val="7D9FB4AB"/>
    <w:rsid w:val="7E394463"/>
    <w:rsid w:val="7E4BAFA0"/>
    <w:rsid w:val="7E4FE816"/>
    <w:rsid w:val="7E5634E8"/>
    <w:rsid w:val="7E8A6C86"/>
    <w:rsid w:val="7E8B8A18"/>
    <w:rsid w:val="7E9E801C"/>
    <w:rsid w:val="7EB027E0"/>
    <w:rsid w:val="7EBC0C28"/>
    <w:rsid w:val="7EE8F678"/>
    <w:rsid w:val="7F85D1A5"/>
    <w:rsid w:val="7F8DC785"/>
    <w:rsid w:val="7F99B3C0"/>
    <w:rsid w:val="7FC6B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4DE19D"/>
  <w15:docId w15:val="{88BF1E2A-04A5-4FF1-BC82-8B62110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rPr>
      <w:rFonts w:ascii="Arial" w:eastAsia="Times New Roman" w:hAnsi="Arial" w:cs="Arial"/>
      <w:b/>
      <w:bCs/>
      <w:i/>
      <w:sz w:val="26"/>
      <w:szCs w:val="26"/>
      <w:lang w:eastAsia="en-GB"/>
    </w:rPr>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4"/>
      <w:szCs w:val="28"/>
      <w:lang w:eastAsia="de-DE"/>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Char Char Char Char Char Char,Char Char Char"/>
    <w:basedOn w:val="Normal"/>
    <w:link w:val="FootnoteTextChar"/>
    <w:uiPriority w:val="99"/>
    <w:qFormat/>
    <w:pPr>
      <w:ind w:left="720" w:hanging="720"/>
      <w:jc w:val="both"/>
    </w:pPr>
    <w:rPr>
      <w:sz w:val="20"/>
      <w:szCs w:val="20"/>
      <w:lang w:eastAsia="de-D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Pr>
      <w:rFonts w:ascii="Times New Roman" w:eastAsia="Times New Roman" w:hAnsi="Times New Roman" w:cs="Times New Roman"/>
      <w:sz w:val="20"/>
      <w:szCs w:val="20"/>
      <w:lang w:val="sk-SK"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uiPriority w:val="99"/>
    <w:qFormat/>
    <w:rPr>
      <w:rFonts w:cs="Times New Roman"/>
      <w:vertAlign w:val="superscript"/>
    </w:rPr>
  </w:style>
  <w:style w:type="paragraph" w:customStyle="1" w:styleId="Text1">
    <w:name w:val="Text 1"/>
    <w:basedOn w:val="Normal"/>
    <w:qFormat/>
    <w:pPr>
      <w:spacing w:before="120" w:after="120"/>
      <w:ind w:left="850"/>
      <w:jc w:val="both"/>
    </w:pPr>
    <w:rPr>
      <w:lang w:eastAsia="de-DE"/>
    </w:rPr>
  </w:style>
  <w:style w:type="paragraph" w:customStyle="1" w:styleId="Tiret0">
    <w:name w:val="Tiret 0"/>
    <w:basedOn w:val="Normal"/>
    <w:uiPriority w:val="99"/>
    <w:pPr>
      <w:numPr>
        <w:numId w:val="6"/>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numPr>
        <w:numId w:val="8"/>
      </w:numPr>
      <w:spacing w:before="360" w:after="120"/>
      <w:jc w:val="both"/>
      <w:outlineLvl w:val="1"/>
    </w:pPr>
    <w:rPr>
      <w:b/>
      <w:noProof/>
      <w:lang w:eastAsia="en-US"/>
    </w:rPr>
  </w:style>
  <w:style w:type="paragraph" w:customStyle="1" w:styleId="ListDash">
    <w:name w:val="List Dash"/>
    <w:basedOn w:val="Normal"/>
    <w:link w:val="ListDashChar"/>
    <w:uiPriority w:val="99"/>
    <w:pPr>
      <w:spacing w:before="120" w:after="120"/>
      <w:jc w:val="both"/>
    </w:pPr>
    <w:rPr>
      <w:szCs w:val="20"/>
      <w:lang w:eastAsia="de-DE"/>
    </w:rPr>
  </w:style>
  <w:style w:type="paragraph" w:styleId="TOCHeading">
    <w:name w:val="TOC Heading"/>
    <w:basedOn w:val="Normal"/>
    <w:next w:val="Normal"/>
    <w:uiPriority w:val="99"/>
    <w:qFormat/>
    <w:pPr>
      <w:spacing w:before="120" w:after="240"/>
      <w:jc w:val="center"/>
    </w:pPr>
    <w:rPr>
      <w:b/>
      <w:sz w:val="28"/>
      <w:lang w:eastAsia="de-DE"/>
    </w:rPr>
  </w:style>
  <w:style w:type="paragraph" w:customStyle="1" w:styleId="Prliminairetitre">
    <w:name w:val="Préliminaire titre"/>
    <w:basedOn w:val="Normal"/>
    <w:next w:val="Normal"/>
    <w:uiPriority w:val="99"/>
    <w:pPr>
      <w:spacing w:before="360" w:after="360"/>
      <w:jc w:val="center"/>
    </w:pPr>
    <w:rPr>
      <w:b/>
      <w:lang w:eastAsia="de-DE"/>
    </w:rPr>
  </w:style>
  <w:style w:type="paragraph" w:customStyle="1" w:styleId="Prliminairetype">
    <w:name w:val="Préliminaire type"/>
    <w:basedOn w:val="Normal"/>
    <w:next w:val="Normal"/>
    <w:uiPriority w:val="99"/>
    <w:pPr>
      <w:spacing w:before="360"/>
      <w:jc w:val="center"/>
    </w:pPr>
    <w:rPr>
      <w:b/>
      <w:lang w:eastAsia="de-DE"/>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rsid w:val="00F43ADB"/>
    <w:pPr>
      <w:tabs>
        <w:tab w:val="left" w:pos="720"/>
        <w:tab w:val="right" w:leader="dot" w:pos="9061"/>
      </w:tabs>
      <w:spacing w:before="20" w:after="20"/>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7"/>
      </w:numPr>
      <w:spacing w:before="120" w:after="120"/>
      <w:jc w:val="both"/>
    </w:pPr>
    <w:rPr>
      <w:lang w:eastAsia="de-DE"/>
    </w:rPr>
  </w:style>
  <w:style w:type="paragraph" w:customStyle="1" w:styleId="ListDash2">
    <w:name w:val="List Dash 2"/>
    <w:basedOn w:val="Normal"/>
    <w:uiPriority w:val="99"/>
    <w:pPr>
      <w:tabs>
        <w:tab w:val="num" w:pos="1134"/>
      </w:tabs>
      <w:spacing w:before="120" w:after="120"/>
      <w:ind w:left="1134" w:hanging="283"/>
      <w:jc w:val="both"/>
    </w:pPr>
    <w:rPr>
      <w:lang w:eastAsia="de-DE"/>
    </w:rPr>
  </w:style>
  <w:style w:type="paragraph" w:customStyle="1" w:styleId="ListBullet1">
    <w:name w:val="List Bullet 1"/>
    <w:basedOn w:val="Text1"/>
    <w:uiPriority w:val="99"/>
    <w:pPr>
      <w:tabs>
        <w:tab w:val="num" w:pos="765"/>
      </w:tabs>
      <w:spacing w:before="0" w:after="240"/>
      <w:ind w:left="765" w:hanging="283"/>
    </w:pPr>
    <w:rPr>
      <w:szCs w:val="20"/>
      <w:lang w:eastAsia="en-US"/>
    </w:rPr>
  </w:style>
  <w:style w:type="paragraph" w:styleId="ListBullet2">
    <w:name w:val="List Bullet 2"/>
    <w:basedOn w:val="Normal"/>
    <w:uiPriority w:val="99"/>
    <w:pPr>
      <w:numPr>
        <w:numId w:val="9"/>
      </w:numPr>
      <w:spacing w:after="240"/>
      <w:jc w:val="both"/>
    </w:pPr>
    <w:rPr>
      <w:szCs w:val="20"/>
      <w:lang w:eastAsia="en-US"/>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Emphasis">
    <w:name w:val="Emphasis"/>
    <w:basedOn w:val="DefaultParagraphFont"/>
    <w:uiPriority w:val="20"/>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uiPriority w:val="99"/>
    <w:pPr>
      <w:numPr>
        <w:numId w:val="10"/>
      </w:numPr>
      <w:spacing w:before="120" w:after="120"/>
      <w:jc w:val="both"/>
    </w:pPr>
    <w:rPr>
      <w:lang w:eastAsia="de-DE"/>
    </w:rPr>
  </w:style>
  <w:style w:type="paragraph" w:customStyle="1" w:styleId="ListNumberLevel2">
    <w:name w:val="List Number (Level 2)"/>
    <w:basedOn w:val="Normal"/>
    <w:uiPriority w:val="99"/>
    <w:pPr>
      <w:numPr>
        <w:ilvl w:val="1"/>
        <w:numId w:val="10"/>
      </w:numPr>
      <w:spacing w:before="120" w:after="120"/>
      <w:jc w:val="both"/>
    </w:pPr>
    <w:rPr>
      <w:lang w:eastAsia="de-DE"/>
    </w:rPr>
  </w:style>
  <w:style w:type="paragraph" w:customStyle="1" w:styleId="ListNumberLevel3">
    <w:name w:val="List Number (Level 3)"/>
    <w:basedOn w:val="Normal"/>
    <w:uiPriority w:val="99"/>
    <w:pPr>
      <w:numPr>
        <w:ilvl w:val="2"/>
        <w:numId w:val="10"/>
      </w:numPr>
      <w:spacing w:before="120" w:after="120"/>
      <w:jc w:val="both"/>
    </w:pPr>
    <w:rPr>
      <w:lang w:eastAsia="de-DE"/>
    </w:rPr>
  </w:style>
  <w:style w:type="paragraph" w:customStyle="1" w:styleId="ListNumberLevel4">
    <w:name w:val="List Number (Level 4)"/>
    <w:basedOn w:val="Normal"/>
    <w:uiPriority w:val="99"/>
    <w:pPr>
      <w:numPr>
        <w:ilvl w:val="3"/>
        <w:numId w:val="10"/>
      </w:numPr>
      <w:spacing w:before="120" w:after="120"/>
      <w:jc w:val="both"/>
    </w:pPr>
    <w:rPr>
      <w:lang w:eastAsia="de-DE"/>
    </w:rPr>
  </w:style>
  <w:style w:type="character" w:customStyle="1" w:styleId="ListDashChar">
    <w:name w:val="List Dash Char"/>
    <w:link w:val="ListDash"/>
    <w:uiPriority w:val="99"/>
    <w:locked/>
    <w:rPr>
      <w:rFonts w:ascii="Times New Roman" w:eastAsia="Times New Roman" w:hAnsi="Times New Roman" w:cs="Times New Roman"/>
      <w:sz w:val="24"/>
      <w:szCs w:val="20"/>
      <w:lang w:val="sk-SK" w:eastAsia="de-DE"/>
    </w:rPr>
  </w:style>
  <w:style w:type="paragraph" w:customStyle="1" w:styleId="StyleManualHeading2Italic">
    <w:name w:val="Style Manual Heading 2 + Italic"/>
    <w:basedOn w:val="ManualHeading2"/>
    <w:autoRedefine/>
    <w:uiPriority w:val="99"/>
    <w:pPr>
      <w:numPr>
        <w:numId w:val="0"/>
      </w:numPr>
      <w:spacing w:before="160" w:after="160"/>
    </w:pPr>
    <w:rPr>
      <w:bCs/>
      <w:i/>
      <w:iCs/>
    </w:rPr>
  </w:style>
  <w:style w:type="paragraph" w:customStyle="1" w:styleId="NormalCentered">
    <w:name w:val="Normal Centered"/>
    <w:basedOn w:val="Normal"/>
    <w:uiPriority w:val="99"/>
    <w:pPr>
      <w:spacing w:before="120" w:after="120"/>
      <w:jc w:val="center"/>
    </w:pPr>
    <w:rPr>
      <w:lang w:eastAsia="de-DE"/>
    </w:rPr>
  </w:style>
  <w:style w:type="paragraph" w:customStyle="1" w:styleId="NormalRight">
    <w:name w:val="Normal Right"/>
    <w:basedOn w:val="Normal"/>
    <w:uiPriority w:val="99"/>
    <w:pPr>
      <w:spacing w:before="120" w:after="120"/>
      <w:jc w:val="right"/>
    </w:pPr>
    <w:rPr>
      <w:lang w:eastAsia="de-DE"/>
    </w:rPr>
  </w:style>
  <w:style w:type="paragraph" w:customStyle="1" w:styleId="NormalLeft">
    <w:name w:val="Normal Left"/>
    <w:basedOn w:val="Normal"/>
    <w:uiPriority w:val="99"/>
    <w:pPr>
      <w:spacing w:before="120" w:after="120"/>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Statut">
    <w:name w:val="Statut"/>
    <w:basedOn w:val="Normal"/>
    <w:next w:val="Typedudocument"/>
    <w:uiPriority w:val="99"/>
    <w:pPr>
      <w:spacing w:before="360"/>
      <w:jc w:val="center"/>
    </w:pPr>
    <w:rPr>
      <w:szCs w:val="22"/>
      <w:lang w:eastAsia="en-US"/>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11"/>
      </w:numPr>
      <w:spacing w:before="120" w:after="120"/>
      <w:jc w:val="both"/>
    </w:pPr>
    <w:rPr>
      <w:szCs w:val="22"/>
    </w:rPr>
  </w:style>
  <w:style w:type="paragraph" w:customStyle="1" w:styleId="Point1number">
    <w:name w:val="Point 1 (number)"/>
    <w:basedOn w:val="Normal"/>
    <w:uiPriority w:val="99"/>
    <w:pPr>
      <w:numPr>
        <w:ilvl w:val="2"/>
        <w:numId w:val="11"/>
      </w:numPr>
      <w:spacing w:before="120" w:after="120"/>
      <w:jc w:val="both"/>
    </w:pPr>
    <w:rPr>
      <w:szCs w:val="22"/>
    </w:rPr>
  </w:style>
  <w:style w:type="paragraph" w:customStyle="1" w:styleId="Point2number">
    <w:name w:val="Point 2 (number)"/>
    <w:basedOn w:val="Normal"/>
    <w:uiPriority w:val="99"/>
    <w:pPr>
      <w:numPr>
        <w:ilvl w:val="4"/>
        <w:numId w:val="11"/>
      </w:numPr>
      <w:spacing w:before="120" w:after="120"/>
      <w:jc w:val="both"/>
    </w:pPr>
    <w:rPr>
      <w:szCs w:val="22"/>
    </w:rPr>
  </w:style>
  <w:style w:type="paragraph" w:customStyle="1" w:styleId="Point3number">
    <w:name w:val="Point 3 (number)"/>
    <w:basedOn w:val="Normal"/>
    <w:uiPriority w:val="99"/>
    <w:pPr>
      <w:numPr>
        <w:ilvl w:val="6"/>
        <w:numId w:val="11"/>
      </w:numPr>
      <w:spacing w:before="120" w:after="120"/>
      <w:jc w:val="both"/>
    </w:pPr>
    <w:rPr>
      <w:szCs w:val="22"/>
    </w:rPr>
  </w:style>
  <w:style w:type="paragraph" w:customStyle="1" w:styleId="Point0letter">
    <w:name w:val="Point 0 (letter)"/>
    <w:basedOn w:val="Normal"/>
    <w:uiPriority w:val="99"/>
    <w:pPr>
      <w:numPr>
        <w:ilvl w:val="1"/>
        <w:numId w:val="11"/>
      </w:numPr>
      <w:spacing w:before="120" w:after="120"/>
      <w:jc w:val="both"/>
    </w:pPr>
    <w:rPr>
      <w:szCs w:val="22"/>
    </w:rPr>
  </w:style>
  <w:style w:type="paragraph" w:customStyle="1" w:styleId="Point1letter">
    <w:name w:val="Point 1 (letter)"/>
    <w:basedOn w:val="Normal"/>
    <w:uiPriority w:val="99"/>
    <w:pPr>
      <w:numPr>
        <w:ilvl w:val="3"/>
        <w:numId w:val="11"/>
      </w:numPr>
      <w:spacing w:before="120" w:after="120"/>
      <w:jc w:val="both"/>
    </w:pPr>
    <w:rPr>
      <w:szCs w:val="22"/>
    </w:rPr>
  </w:style>
  <w:style w:type="paragraph" w:customStyle="1" w:styleId="Point2letter">
    <w:name w:val="Point 2 (letter)"/>
    <w:basedOn w:val="Normal"/>
    <w:uiPriority w:val="99"/>
    <w:pPr>
      <w:numPr>
        <w:ilvl w:val="5"/>
        <w:numId w:val="11"/>
      </w:numPr>
      <w:spacing w:before="120" w:after="120"/>
      <w:jc w:val="both"/>
    </w:pPr>
    <w:rPr>
      <w:szCs w:val="22"/>
    </w:rPr>
  </w:style>
  <w:style w:type="paragraph" w:customStyle="1" w:styleId="Point3letter">
    <w:name w:val="Point 3 (letter)"/>
    <w:basedOn w:val="Normal"/>
    <w:uiPriority w:val="99"/>
    <w:pPr>
      <w:numPr>
        <w:ilvl w:val="7"/>
        <w:numId w:val="11"/>
      </w:numPr>
      <w:spacing w:before="120" w:after="120"/>
      <w:jc w:val="both"/>
    </w:pPr>
    <w:rPr>
      <w:szCs w:val="22"/>
    </w:rPr>
  </w:style>
  <w:style w:type="paragraph" w:customStyle="1" w:styleId="Point4letter">
    <w:name w:val="Point 4 (letter)"/>
    <w:basedOn w:val="Normal"/>
    <w:uiPriority w:val="99"/>
    <w:pPr>
      <w:numPr>
        <w:ilvl w:val="8"/>
        <w:numId w:val="11"/>
      </w:numPr>
      <w:spacing w:before="120" w:after="120"/>
      <w:jc w:val="both"/>
    </w:pPr>
    <w:rPr>
      <w:szCs w:val="22"/>
    </w:rPr>
  </w:style>
  <w:style w:type="paragraph" w:customStyle="1" w:styleId="Tiret2">
    <w:name w:val="Tiret 2"/>
    <w:basedOn w:val="Normal"/>
    <w:uiPriority w:val="99"/>
    <w:pPr>
      <w:numPr>
        <w:numId w:val="12"/>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0"/>
      <w:lang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cs="Times New Roman"/>
      <w:szCs w:val="20"/>
      <w:lang w:val="sk-SK" w:eastAsia="de-DE"/>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lang w:eastAsia="de-DE"/>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sk-SK" w:eastAsia="de-DE"/>
    </w:rPr>
  </w:style>
  <w:style w:type="paragraph" w:styleId="ListNumber5">
    <w:name w:val="List Number 5"/>
    <w:basedOn w:val="Normal"/>
    <w:uiPriority w:val="99"/>
    <w:pPr>
      <w:numPr>
        <w:numId w:val="4"/>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5"/>
      </w:numPr>
      <w:tabs>
        <w:tab w:val="clear" w:pos="643"/>
        <w:tab w:val="num" w:pos="926"/>
      </w:tabs>
      <w:spacing w:before="120" w:after="120"/>
      <w:ind w:left="926"/>
      <w:contextualSpacing/>
      <w:jc w:val="both"/>
    </w:pPr>
    <w:rPr>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lang w:eastAsia="en-US"/>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ilvl w:val="1"/>
        <w:numId w:val="16"/>
      </w:numPr>
    </w:pPr>
  </w:style>
  <w:style w:type="paragraph" w:customStyle="1" w:styleId="Style3">
    <w:name w:val="Style3"/>
    <w:basedOn w:val="ManualHeading1"/>
    <w:autoRedefine/>
    <w:qFormat/>
    <w:pPr>
      <w:numPr>
        <w:numId w:val="15"/>
      </w:numPr>
    </w:pPr>
    <w:rPr>
      <w:noProof/>
    </w:rPr>
  </w:style>
  <w:style w:type="paragraph" w:customStyle="1" w:styleId="CM1">
    <w:name w:val="CM1"/>
    <w:basedOn w:val="Default"/>
    <w:next w:val="Default"/>
    <w:uiPriority w:val="99"/>
    <w:rPr>
      <w:rFonts w:ascii="KOJOD P+ Adv T T 5843c 571" w:hAnsi="KOJOD P+ Adv T T 5843c 571"/>
      <w:color w:val="auto"/>
      <w:lang w:eastAsia="de-DE"/>
    </w:rPr>
  </w:style>
  <w:style w:type="paragraph" w:customStyle="1" w:styleId="CM3">
    <w:name w:val="CM3"/>
    <w:basedOn w:val="Default"/>
    <w:next w:val="Default"/>
    <w:uiPriority w:val="99"/>
    <w:rPr>
      <w:rFonts w:ascii="KOJOD P+ Adv T T 5843c 571" w:hAnsi="KOJOD P+ Adv T T 5843c 571"/>
      <w:color w:val="auto"/>
      <w:lang w:eastAsia="de-DE"/>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st">
    <w:name w:val="st"/>
    <w:basedOn w:val="DefaultParagraphFont"/>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customStyle="1" w:styleId="acopre">
    <w:name w:val="acopre"/>
    <w:basedOn w:val="DefaultParagraphFont"/>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C94B68"/>
    <w:rPr>
      <w:sz w:val="20"/>
      <w:szCs w:val="20"/>
    </w:rPr>
  </w:style>
  <w:style w:type="character" w:customStyle="1" w:styleId="EndnoteTextChar">
    <w:name w:val="Endnote Text Char"/>
    <w:basedOn w:val="DefaultParagraphFont"/>
    <w:link w:val="EndnoteText"/>
    <w:uiPriority w:val="99"/>
    <w:semiHidden/>
    <w:rsid w:val="00C94B6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94B68"/>
    <w:rPr>
      <w:vertAlign w:val="superscript"/>
    </w:rPr>
  </w:style>
  <w:style w:type="paragraph" w:customStyle="1" w:styleId="msonormal0">
    <w:name w:val="msonormal"/>
    <w:basedOn w:val="Normal"/>
    <w:rsid w:val="00761196"/>
    <w:pPr>
      <w:spacing w:before="100" w:beforeAutospacing="1" w:after="100" w:afterAutospacing="1"/>
    </w:pPr>
    <w:rPr>
      <w:lang w:eastAsia="en-IE"/>
    </w:rPr>
  </w:style>
  <w:style w:type="paragraph" w:customStyle="1" w:styleId="font5">
    <w:name w:val="font5"/>
    <w:basedOn w:val="Normal"/>
    <w:rsid w:val="00761196"/>
    <w:pPr>
      <w:spacing w:before="100" w:beforeAutospacing="1" w:after="100" w:afterAutospacing="1"/>
    </w:pPr>
    <w:rPr>
      <w:rFonts w:ascii="Tahoma" w:hAnsi="Tahoma" w:cs="Tahoma"/>
      <w:color w:val="000000"/>
      <w:sz w:val="18"/>
      <w:szCs w:val="18"/>
      <w:lang w:eastAsia="en-IE"/>
    </w:rPr>
  </w:style>
  <w:style w:type="paragraph" w:customStyle="1" w:styleId="font6">
    <w:name w:val="font6"/>
    <w:basedOn w:val="Normal"/>
    <w:rsid w:val="00761196"/>
    <w:pPr>
      <w:spacing w:before="100" w:beforeAutospacing="1" w:after="100" w:afterAutospacing="1"/>
    </w:pPr>
    <w:rPr>
      <w:rFonts w:ascii="Tahoma" w:hAnsi="Tahoma" w:cs="Tahoma"/>
      <w:b/>
      <w:bCs/>
      <w:color w:val="000000"/>
      <w:sz w:val="18"/>
      <w:szCs w:val="18"/>
      <w:lang w:eastAsia="en-IE"/>
    </w:rPr>
  </w:style>
  <w:style w:type="paragraph" w:customStyle="1" w:styleId="xl65">
    <w:name w:val="xl6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6">
    <w:name w:val="xl6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7">
    <w:name w:val="xl6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68">
    <w:name w:val="xl68"/>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69">
    <w:name w:val="xl69"/>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70">
    <w:name w:val="xl70"/>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1">
    <w:name w:val="xl71"/>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72">
    <w:name w:val="xl72"/>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color w:val="000000"/>
      <w:sz w:val="16"/>
      <w:szCs w:val="16"/>
      <w:lang w:eastAsia="en-IE"/>
    </w:rPr>
  </w:style>
  <w:style w:type="paragraph" w:customStyle="1" w:styleId="xl73">
    <w:name w:val="xl73"/>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74">
    <w:name w:val="xl74"/>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5">
    <w:name w:val="xl7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6">
    <w:name w:val="xl7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7">
    <w:name w:val="xl7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78">
    <w:name w:val="xl78"/>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79">
    <w:name w:val="xl7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80">
    <w:name w:val="xl80"/>
    <w:basedOn w:val="Normal"/>
    <w:rsid w:val="00761196"/>
    <w:pPr>
      <w:pBdr>
        <w:left w:val="single" w:sz="8" w:space="0" w:color="auto"/>
        <w:bottom w:val="single" w:sz="8" w:space="0" w:color="auto"/>
      </w:pBdr>
      <w:shd w:val="clear" w:color="000000" w:fill="FFFFFF"/>
      <w:spacing w:before="100" w:beforeAutospacing="1" w:after="100" w:afterAutospacing="1"/>
      <w:jc w:val="both"/>
      <w:textAlignment w:val="center"/>
    </w:pPr>
    <w:rPr>
      <w:sz w:val="16"/>
      <w:szCs w:val="16"/>
      <w:lang w:eastAsia="en-IE"/>
    </w:rPr>
  </w:style>
  <w:style w:type="paragraph" w:customStyle="1" w:styleId="xl81">
    <w:name w:val="xl81"/>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2">
    <w:name w:val="xl8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3">
    <w:name w:val="xl83"/>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4">
    <w:name w:val="xl8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85">
    <w:name w:val="xl85"/>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86">
    <w:name w:val="xl86"/>
    <w:basedOn w:val="Normal"/>
    <w:rsid w:val="00761196"/>
    <w:pPr>
      <w:spacing w:before="100" w:beforeAutospacing="1" w:after="100" w:afterAutospacing="1"/>
    </w:pPr>
    <w:rPr>
      <w:color w:val="FF0000"/>
      <w:lang w:eastAsia="en-IE"/>
    </w:rPr>
  </w:style>
  <w:style w:type="paragraph" w:customStyle="1" w:styleId="xl87">
    <w:name w:val="xl8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88">
    <w:name w:val="xl88"/>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9">
    <w:name w:val="xl89"/>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0">
    <w:name w:val="xl9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1">
    <w:name w:val="xl91"/>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2">
    <w:name w:val="xl92"/>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93">
    <w:name w:val="xl9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4">
    <w:name w:val="xl9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95">
    <w:name w:val="xl9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6">
    <w:name w:val="xl96"/>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7">
    <w:name w:val="xl97"/>
    <w:basedOn w:val="Normal"/>
    <w:rsid w:val="00761196"/>
    <w:pPr>
      <w:spacing w:before="100" w:beforeAutospacing="1" w:after="100" w:afterAutospacing="1"/>
    </w:pPr>
    <w:rPr>
      <w:lang w:eastAsia="en-IE"/>
    </w:rPr>
  </w:style>
  <w:style w:type="paragraph" w:customStyle="1" w:styleId="xl98">
    <w:name w:val="xl9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99">
    <w:name w:val="xl99"/>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00">
    <w:name w:val="xl100"/>
    <w:basedOn w:val="Normal"/>
    <w:rsid w:val="00761196"/>
    <w:pPr>
      <w:pBdr>
        <w:top w:val="single" w:sz="8" w:space="0" w:color="auto"/>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1">
    <w:name w:val="xl10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2">
    <w:name w:val="xl102"/>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103">
    <w:name w:val="xl103"/>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sz w:val="16"/>
      <w:szCs w:val="16"/>
      <w:lang w:eastAsia="en-IE"/>
    </w:rPr>
  </w:style>
  <w:style w:type="paragraph" w:customStyle="1" w:styleId="xl104">
    <w:name w:val="xl104"/>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5">
    <w:name w:val="xl105"/>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6">
    <w:name w:val="xl106"/>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07">
    <w:name w:val="xl107"/>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8">
    <w:name w:val="xl108"/>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9">
    <w:name w:val="xl10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10">
    <w:name w:val="xl11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11">
    <w:name w:val="xl111"/>
    <w:basedOn w:val="Normal"/>
    <w:rsid w:val="00761196"/>
    <w:pPr>
      <w:pBdr>
        <w:left w:val="single" w:sz="8" w:space="0" w:color="auto"/>
        <w:bottom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2">
    <w:name w:val="xl112"/>
    <w:basedOn w:val="Normal"/>
    <w:rsid w:val="00761196"/>
    <w:pPr>
      <w:pBdr>
        <w:bottom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3">
    <w:name w:val="xl113"/>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4">
    <w:name w:val="xl114"/>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5">
    <w:name w:val="xl115"/>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6">
    <w:name w:val="xl116"/>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7">
    <w:name w:val="xl117"/>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8">
    <w:name w:val="xl118"/>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9">
    <w:name w:val="xl119"/>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0">
    <w:name w:val="xl120"/>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1">
    <w:name w:val="xl121"/>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2">
    <w:name w:val="xl122"/>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3">
    <w:name w:val="xl123"/>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4">
    <w:name w:val="xl124"/>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5">
    <w:name w:val="xl125"/>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eastAsia="en-IE"/>
    </w:rPr>
  </w:style>
  <w:style w:type="paragraph" w:customStyle="1" w:styleId="xl126">
    <w:name w:val="xl126"/>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27">
    <w:name w:val="xl127"/>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8">
    <w:name w:val="xl128"/>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9">
    <w:name w:val="xl129"/>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30">
    <w:name w:val="xl13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31">
    <w:name w:val="xl13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2">
    <w:name w:val="xl132"/>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3">
    <w:name w:val="xl133"/>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4">
    <w:name w:val="xl134"/>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5">
    <w:name w:val="xl135"/>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6">
    <w:name w:val="xl136"/>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7">
    <w:name w:val="xl13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138">
    <w:name w:val="xl13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139">
    <w:name w:val="xl139"/>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140">
    <w:name w:val="xl14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1">
    <w:name w:val="xl141"/>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42">
    <w:name w:val="xl14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143">
    <w:name w:val="xl14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44">
    <w:name w:val="xl14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45">
    <w:name w:val="xl14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6">
    <w:name w:val="xl146"/>
    <w:basedOn w:val="Normal"/>
    <w:rsid w:val="00761196"/>
    <w:pPr>
      <w:pBdr>
        <w:top w:val="single" w:sz="8" w:space="0" w:color="auto"/>
        <w:lef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7">
    <w:name w:val="xl147"/>
    <w:basedOn w:val="Normal"/>
    <w:rsid w:val="00761196"/>
    <w:pPr>
      <w:pBdr>
        <w:top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8">
    <w:name w:val="xl148"/>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lang w:eastAsia="en-IE"/>
    </w:rPr>
  </w:style>
  <w:style w:type="paragraph" w:customStyle="1" w:styleId="xl149">
    <w:name w:val="xl149"/>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lang w:eastAsia="en-IE"/>
    </w:rPr>
  </w:style>
  <w:style w:type="paragraph" w:customStyle="1" w:styleId="xl63">
    <w:name w:val="xl63"/>
    <w:basedOn w:val="Normal"/>
    <w:rsid w:val="00E0423C"/>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4">
    <w:name w:val="xl64"/>
    <w:basedOn w:val="Normal"/>
    <w:rsid w:val="00E0423C"/>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731">
      <w:bodyDiv w:val="1"/>
      <w:marLeft w:val="0"/>
      <w:marRight w:val="0"/>
      <w:marTop w:val="0"/>
      <w:marBottom w:val="0"/>
      <w:divBdr>
        <w:top w:val="none" w:sz="0" w:space="0" w:color="auto"/>
        <w:left w:val="none" w:sz="0" w:space="0" w:color="auto"/>
        <w:bottom w:val="none" w:sz="0" w:space="0" w:color="auto"/>
        <w:right w:val="none" w:sz="0" w:space="0" w:color="auto"/>
      </w:divBdr>
    </w:div>
    <w:div w:id="100801549">
      <w:bodyDiv w:val="1"/>
      <w:marLeft w:val="0"/>
      <w:marRight w:val="0"/>
      <w:marTop w:val="0"/>
      <w:marBottom w:val="0"/>
      <w:divBdr>
        <w:top w:val="none" w:sz="0" w:space="0" w:color="auto"/>
        <w:left w:val="none" w:sz="0" w:space="0" w:color="auto"/>
        <w:bottom w:val="none" w:sz="0" w:space="0" w:color="auto"/>
        <w:right w:val="none" w:sz="0" w:space="0" w:color="auto"/>
      </w:divBdr>
    </w:div>
    <w:div w:id="115678989">
      <w:bodyDiv w:val="1"/>
      <w:marLeft w:val="0"/>
      <w:marRight w:val="0"/>
      <w:marTop w:val="0"/>
      <w:marBottom w:val="0"/>
      <w:divBdr>
        <w:top w:val="none" w:sz="0" w:space="0" w:color="auto"/>
        <w:left w:val="none" w:sz="0" w:space="0" w:color="auto"/>
        <w:bottom w:val="none" w:sz="0" w:space="0" w:color="auto"/>
        <w:right w:val="none" w:sz="0" w:space="0" w:color="auto"/>
      </w:divBdr>
    </w:div>
    <w:div w:id="118183194">
      <w:bodyDiv w:val="1"/>
      <w:marLeft w:val="0"/>
      <w:marRight w:val="0"/>
      <w:marTop w:val="0"/>
      <w:marBottom w:val="0"/>
      <w:divBdr>
        <w:top w:val="none" w:sz="0" w:space="0" w:color="auto"/>
        <w:left w:val="none" w:sz="0" w:space="0" w:color="auto"/>
        <w:bottom w:val="none" w:sz="0" w:space="0" w:color="auto"/>
        <w:right w:val="none" w:sz="0" w:space="0" w:color="auto"/>
      </w:divBdr>
    </w:div>
    <w:div w:id="121971116">
      <w:bodyDiv w:val="1"/>
      <w:marLeft w:val="0"/>
      <w:marRight w:val="0"/>
      <w:marTop w:val="0"/>
      <w:marBottom w:val="0"/>
      <w:divBdr>
        <w:top w:val="none" w:sz="0" w:space="0" w:color="auto"/>
        <w:left w:val="none" w:sz="0" w:space="0" w:color="auto"/>
        <w:bottom w:val="none" w:sz="0" w:space="0" w:color="auto"/>
        <w:right w:val="none" w:sz="0" w:space="0" w:color="auto"/>
      </w:divBdr>
    </w:div>
    <w:div w:id="135994391">
      <w:bodyDiv w:val="1"/>
      <w:marLeft w:val="0"/>
      <w:marRight w:val="0"/>
      <w:marTop w:val="0"/>
      <w:marBottom w:val="0"/>
      <w:divBdr>
        <w:top w:val="none" w:sz="0" w:space="0" w:color="auto"/>
        <w:left w:val="none" w:sz="0" w:space="0" w:color="auto"/>
        <w:bottom w:val="none" w:sz="0" w:space="0" w:color="auto"/>
        <w:right w:val="none" w:sz="0" w:space="0" w:color="auto"/>
      </w:divBdr>
    </w:div>
    <w:div w:id="144780543">
      <w:bodyDiv w:val="1"/>
      <w:marLeft w:val="0"/>
      <w:marRight w:val="0"/>
      <w:marTop w:val="0"/>
      <w:marBottom w:val="0"/>
      <w:divBdr>
        <w:top w:val="none" w:sz="0" w:space="0" w:color="auto"/>
        <w:left w:val="none" w:sz="0" w:space="0" w:color="auto"/>
        <w:bottom w:val="none" w:sz="0" w:space="0" w:color="auto"/>
        <w:right w:val="none" w:sz="0" w:space="0" w:color="auto"/>
      </w:divBdr>
    </w:div>
    <w:div w:id="146629716">
      <w:bodyDiv w:val="1"/>
      <w:marLeft w:val="0"/>
      <w:marRight w:val="0"/>
      <w:marTop w:val="0"/>
      <w:marBottom w:val="0"/>
      <w:divBdr>
        <w:top w:val="none" w:sz="0" w:space="0" w:color="auto"/>
        <w:left w:val="none" w:sz="0" w:space="0" w:color="auto"/>
        <w:bottom w:val="none" w:sz="0" w:space="0" w:color="auto"/>
        <w:right w:val="none" w:sz="0" w:space="0" w:color="auto"/>
      </w:divBdr>
    </w:div>
    <w:div w:id="157774381">
      <w:bodyDiv w:val="1"/>
      <w:marLeft w:val="0"/>
      <w:marRight w:val="0"/>
      <w:marTop w:val="0"/>
      <w:marBottom w:val="0"/>
      <w:divBdr>
        <w:top w:val="none" w:sz="0" w:space="0" w:color="auto"/>
        <w:left w:val="none" w:sz="0" w:space="0" w:color="auto"/>
        <w:bottom w:val="none" w:sz="0" w:space="0" w:color="auto"/>
        <w:right w:val="none" w:sz="0" w:space="0" w:color="auto"/>
      </w:divBdr>
    </w:div>
    <w:div w:id="161823401">
      <w:bodyDiv w:val="1"/>
      <w:marLeft w:val="0"/>
      <w:marRight w:val="0"/>
      <w:marTop w:val="0"/>
      <w:marBottom w:val="0"/>
      <w:divBdr>
        <w:top w:val="none" w:sz="0" w:space="0" w:color="auto"/>
        <w:left w:val="none" w:sz="0" w:space="0" w:color="auto"/>
        <w:bottom w:val="none" w:sz="0" w:space="0" w:color="auto"/>
        <w:right w:val="none" w:sz="0" w:space="0" w:color="auto"/>
      </w:divBdr>
    </w:div>
    <w:div w:id="170419442">
      <w:bodyDiv w:val="1"/>
      <w:marLeft w:val="0"/>
      <w:marRight w:val="0"/>
      <w:marTop w:val="0"/>
      <w:marBottom w:val="0"/>
      <w:divBdr>
        <w:top w:val="none" w:sz="0" w:space="0" w:color="auto"/>
        <w:left w:val="none" w:sz="0" w:space="0" w:color="auto"/>
        <w:bottom w:val="none" w:sz="0" w:space="0" w:color="auto"/>
        <w:right w:val="none" w:sz="0" w:space="0" w:color="auto"/>
      </w:divBdr>
    </w:div>
    <w:div w:id="172570039">
      <w:bodyDiv w:val="1"/>
      <w:marLeft w:val="0"/>
      <w:marRight w:val="0"/>
      <w:marTop w:val="0"/>
      <w:marBottom w:val="0"/>
      <w:divBdr>
        <w:top w:val="none" w:sz="0" w:space="0" w:color="auto"/>
        <w:left w:val="none" w:sz="0" w:space="0" w:color="auto"/>
        <w:bottom w:val="none" w:sz="0" w:space="0" w:color="auto"/>
        <w:right w:val="none" w:sz="0" w:space="0" w:color="auto"/>
      </w:divBdr>
    </w:div>
    <w:div w:id="198906587">
      <w:bodyDiv w:val="1"/>
      <w:marLeft w:val="0"/>
      <w:marRight w:val="0"/>
      <w:marTop w:val="0"/>
      <w:marBottom w:val="0"/>
      <w:divBdr>
        <w:top w:val="none" w:sz="0" w:space="0" w:color="auto"/>
        <w:left w:val="none" w:sz="0" w:space="0" w:color="auto"/>
        <w:bottom w:val="none" w:sz="0" w:space="0" w:color="auto"/>
        <w:right w:val="none" w:sz="0" w:space="0" w:color="auto"/>
      </w:divBdr>
    </w:div>
    <w:div w:id="219633445">
      <w:bodyDiv w:val="1"/>
      <w:marLeft w:val="0"/>
      <w:marRight w:val="0"/>
      <w:marTop w:val="0"/>
      <w:marBottom w:val="0"/>
      <w:divBdr>
        <w:top w:val="none" w:sz="0" w:space="0" w:color="auto"/>
        <w:left w:val="none" w:sz="0" w:space="0" w:color="auto"/>
        <w:bottom w:val="none" w:sz="0" w:space="0" w:color="auto"/>
        <w:right w:val="none" w:sz="0" w:space="0" w:color="auto"/>
      </w:divBdr>
    </w:div>
    <w:div w:id="230769782">
      <w:bodyDiv w:val="1"/>
      <w:marLeft w:val="0"/>
      <w:marRight w:val="0"/>
      <w:marTop w:val="0"/>
      <w:marBottom w:val="0"/>
      <w:divBdr>
        <w:top w:val="none" w:sz="0" w:space="0" w:color="auto"/>
        <w:left w:val="none" w:sz="0" w:space="0" w:color="auto"/>
        <w:bottom w:val="none" w:sz="0" w:space="0" w:color="auto"/>
        <w:right w:val="none" w:sz="0" w:space="0" w:color="auto"/>
      </w:divBdr>
    </w:div>
    <w:div w:id="231743852">
      <w:bodyDiv w:val="1"/>
      <w:marLeft w:val="0"/>
      <w:marRight w:val="0"/>
      <w:marTop w:val="0"/>
      <w:marBottom w:val="0"/>
      <w:divBdr>
        <w:top w:val="none" w:sz="0" w:space="0" w:color="auto"/>
        <w:left w:val="none" w:sz="0" w:space="0" w:color="auto"/>
        <w:bottom w:val="none" w:sz="0" w:space="0" w:color="auto"/>
        <w:right w:val="none" w:sz="0" w:space="0" w:color="auto"/>
      </w:divBdr>
    </w:div>
    <w:div w:id="245501343">
      <w:bodyDiv w:val="1"/>
      <w:marLeft w:val="0"/>
      <w:marRight w:val="0"/>
      <w:marTop w:val="0"/>
      <w:marBottom w:val="0"/>
      <w:divBdr>
        <w:top w:val="none" w:sz="0" w:space="0" w:color="auto"/>
        <w:left w:val="none" w:sz="0" w:space="0" w:color="auto"/>
        <w:bottom w:val="none" w:sz="0" w:space="0" w:color="auto"/>
        <w:right w:val="none" w:sz="0" w:space="0" w:color="auto"/>
      </w:divBdr>
    </w:div>
    <w:div w:id="248538674">
      <w:bodyDiv w:val="1"/>
      <w:marLeft w:val="0"/>
      <w:marRight w:val="0"/>
      <w:marTop w:val="0"/>
      <w:marBottom w:val="0"/>
      <w:divBdr>
        <w:top w:val="none" w:sz="0" w:space="0" w:color="auto"/>
        <w:left w:val="none" w:sz="0" w:space="0" w:color="auto"/>
        <w:bottom w:val="none" w:sz="0" w:space="0" w:color="auto"/>
        <w:right w:val="none" w:sz="0" w:space="0" w:color="auto"/>
      </w:divBdr>
    </w:div>
    <w:div w:id="251937083">
      <w:bodyDiv w:val="1"/>
      <w:marLeft w:val="0"/>
      <w:marRight w:val="0"/>
      <w:marTop w:val="0"/>
      <w:marBottom w:val="0"/>
      <w:divBdr>
        <w:top w:val="none" w:sz="0" w:space="0" w:color="auto"/>
        <w:left w:val="none" w:sz="0" w:space="0" w:color="auto"/>
        <w:bottom w:val="none" w:sz="0" w:space="0" w:color="auto"/>
        <w:right w:val="none" w:sz="0" w:space="0" w:color="auto"/>
      </w:divBdr>
    </w:div>
    <w:div w:id="258220463">
      <w:bodyDiv w:val="1"/>
      <w:marLeft w:val="0"/>
      <w:marRight w:val="0"/>
      <w:marTop w:val="0"/>
      <w:marBottom w:val="0"/>
      <w:divBdr>
        <w:top w:val="none" w:sz="0" w:space="0" w:color="auto"/>
        <w:left w:val="none" w:sz="0" w:space="0" w:color="auto"/>
        <w:bottom w:val="none" w:sz="0" w:space="0" w:color="auto"/>
        <w:right w:val="none" w:sz="0" w:space="0" w:color="auto"/>
      </w:divBdr>
    </w:div>
    <w:div w:id="263734906">
      <w:bodyDiv w:val="1"/>
      <w:marLeft w:val="0"/>
      <w:marRight w:val="0"/>
      <w:marTop w:val="0"/>
      <w:marBottom w:val="0"/>
      <w:divBdr>
        <w:top w:val="none" w:sz="0" w:space="0" w:color="auto"/>
        <w:left w:val="none" w:sz="0" w:space="0" w:color="auto"/>
        <w:bottom w:val="none" w:sz="0" w:space="0" w:color="auto"/>
        <w:right w:val="none" w:sz="0" w:space="0" w:color="auto"/>
      </w:divBdr>
    </w:div>
    <w:div w:id="300575776">
      <w:bodyDiv w:val="1"/>
      <w:marLeft w:val="0"/>
      <w:marRight w:val="0"/>
      <w:marTop w:val="0"/>
      <w:marBottom w:val="0"/>
      <w:divBdr>
        <w:top w:val="none" w:sz="0" w:space="0" w:color="auto"/>
        <w:left w:val="none" w:sz="0" w:space="0" w:color="auto"/>
        <w:bottom w:val="none" w:sz="0" w:space="0" w:color="auto"/>
        <w:right w:val="none" w:sz="0" w:space="0" w:color="auto"/>
      </w:divBdr>
    </w:div>
    <w:div w:id="302198510">
      <w:bodyDiv w:val="1"/>
      <w:marLeft w:val="0"/>
      <w:marRight w:val="0"/>
      <w:marTop w:val="0"/>
      <w:marBottom w:val="0"/>
      <w:divBdr>
        <w:top w:val="none" w:sz="0" w:space="0" w:color="auto"/>
        <w:left w:val="none" w:sz="0" w:space="0" w:color="auto"/>
        <w:bottom w:val="none" w:sz="0" w:space="0" w:color="auto"/>
        <w:right w:val="none" w:sz="0" w:space="0" w:color="auto"/>
      </w:divBdr>
    </w:div>
    <w:div w:id="333267779">
      <w:bodyDiv w:val="1"/>
      <w:marLeft w:val="0"/>
      <w:marRight w:val="0"/>
      <w:marTop w:val="0"/>
      <w:marBottom w:val="0"/>
      <w:divBdr>
        <w:top w:val="none" w:sz="0" w:space="0" w:color="auto"/>
        <w:left w:val="none" w:sz="0" w:space="0" w:color="auto"/>
        <w:bottom w:val="none" w:sz="0" w:space="0" w:color="auto"/>
        <w:right w:val="none" w:sz="0" w:space="0" w:color="auto"/>
      </w:divBdr>
    </w:div>
    <w:div w:id="338000063">
      <w:bodyDiv w:val="1"/>
      <w:marLeft w:val="0"/>
      <w:marRight w:val="0"/>
      <w:marTop w:val="0"/>
      <w:marBottom w:val="0"/>
      <w:divBdr>
        <w:top w:val="none" w:sz="0" w:space="0" w:color="auto"/>
        <w:left w:val="none" w:sz="0" w:space="0" w:color="auto"/>
        <w:bottom w:val="none" w:sz="0" w:space="0" w:color="auto"/>
        <w:right w:val="none" w:sz="0" w:space="0" w:color="auto"/>
      </w:divBdr>
    </w:div>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352000930">
      <w:bodyDiv w:val="1"/>
      <w:marLeft w:val="0"/>
      <w:marRight w:val="0"/>
      <w:marTop w:val="0"/>
      <w:marBottom w:val="0"/>
      <w:divBdr>
        <w:top w:val="none" w:sz="0" w:space="0" w:color="auto"/>
        <w:left w:val="none" w:sz="0" w:space="0" w:color="auto"/>
        <w:bottom w:val="none" w:sz="0" w:space="0" w:color="auto"/>
        <w:right w:val="none" w:sz="0" w:space="0" w:color="auto"/>
      </w:divBdr>
    </w:div>
    <w:div w:id="354353186">
      <w:bodyDiv w:val="1"/>
      <w:marLeft w:val="0"/>
      <w:marRight w:val="0"/>
      <w:marTop w:val="0"/>
      <w:marBottom w:val="0"/>
      <w:divBdr>
        <w:top w:val="none" w:sz="0" w:space="0" w:color="auto"/>
        <w:left w:val="none" w:sz="0" w:space="0" w:color="auto"/>
        <w:bottom w:val="none" w:sz="0" w:space="0" w:color="auto"/>
        <w:right w:val="none" w:sz="0" w:space="0" w:color="auto"/>
      </w:divBdr>
    </w:div>
    <w:div w:id="357051268">
      <w:bodyDiv w:val="1"/>
      <w:marLeft w:val="0"/>
      <w:marRight w:val="0"/>
      <w:marTop w:val="0"/>
      <w:marBottom w:val="0"/>
      <w:divBdr>
        <w:top w:val="none" w:sz="0" w:space="0" w:color="auto"/>
        <w:left w:val="none" w:sz="0" w:space="0" w:color="auto"/>
        <w:bottom w:val="none" w:sz="0" w:space="0" w:color="auto"/>
        <w:right w:val="none" w:sz="0" w:space="0" w:color="auto"/>
      </w:divBdr>
    </w:div>
    <w:div w:id="361790386">
      <w:bodyDiv w:val="1"/>
      <w:marLeft w:val="0"/>
      <w:marRight w:val="0"/>
      <w:marTop w:val="0"/>
      <w:marBottom w:val="0"/>
      <w:divBdr>
        <w:top w:val="none" w:sz="0" w:space="0" w:color="auto"/>
        <w:left w:val="none" w:sz="0" w:space="0" w:color="auto"/>
        <w:bottom w:val="none" w:sz="0" w:space="0" w:color="auto"/>
        <w:right w:val="none" w:sz="0" w:space="0" w:color="auto"/>
      </w:divBdr>
    </w:div>
    <w:div w:id="367877917">
      <w:bodyDiv w:val="1"/>
      <w:marLeft w:val="0"/>
      <w:marRight w:val="0"/>
      <w:marTop w:val="0"/>
      <w:marBottom w:val="0"/>
      <w:divBdr>
        <w:top w:val="none" w:sz="0" w:space="0" w:color="auto"/>
        <w:left w:val="none" w:sz="0" w:space="0" w:color="auto"/>
        <w:bottom w:val="none" w:sz="0" w:space="0" w:color="auto"/>
        <w:right w:val="none" w:sz="0" w:space="0" w:color="auto"/>
      </w:divBdr>
    </w:div>
    <w:div w:id="380905164">
      <w:bodyDiv w:val="1"/>
      <w:marLeft w:val="0"/>
      <w:marRight w:val="0"/>
      <w:marTop w:val="0"/>
      <w:marBottom w:val="0"/>
      <w:divBdr>
        <w:top w:val="none" w:sz="0" w:space="0" w:color="auto"/>
        <w:left w:val="none" w:sz="0" w:space="0" w:color="auto"/>
        <w:bottom w:val="none" w:sz="0" w:space="0" w:color="auto"/>
        <w:right w:val="none" w:sz="0" w:space="0" w:color="auto"/>
      </w:divBdr>
    </w:div>
    <w:div w:id="381052452">
      <w:bodyDiv w:val="1"/>
      <w:marLeft w:val="0"/>
      <w:marRight w:val="0"/>
      <w:marTop w:val="0"/>
      <w:marBottom w:val="0"/>
      <w:divBdr>
        <w:top w:val="none" w:sz="0" w:space="0" w:color="auto"/>
        <w:left w:val="none" w:sz="0" w:space="0" w:color="auto"/>
        <w:bottom w:val="none" w:sz="0" w:space="0" w:color="auto"/>
        <w:right w:val="none" w:sz="0" w:space="0" w:color="auto"/>
      </w:divBdr>
    </w:div>
    <w:div w:id="427698571">
      <w:bodyDiv w:val="1"/>
      <w:marLeft w:val="0"/>
      <w:marRight w:val="0"/>
      <w:marTop w:val="0"/>
      <w:marBottom w:val="0"/>
      <w:divBdr>
        <w:top w:val="none" w:sz="0" w:space="0" w:color="auto"/>
        <w:left w:val="none" w:sz="0" w:space="0" w:color="auto"/>
        <w:bottom w:val="none" w:sz="0" w:space="0" w:color="auto"/>
        <w:right w:val="none" w:sz="0" w:space="0" w:color="auto"/>
      </w:divBdr>
    </w:div>
    <w:div w:id="449472512">
      <w:bodyDiv w:val="1"/>
      <w:marLeft w:val="0"/>
      <w:marRight w:val="0"/>
      <w:marTop w:val="0"/>
      <w:marBottom w:val="0"/>
      <w:divBdr>
        <w:top w:val="none" w:sz="0" w:space="0" w:color="auto"/>
        <w:left w:val="none" w:sz="0" w:space="0" w:color="auto"/>
        <w:bottom w:val="none" w:sz="0" w:space="0" w:color="auto"/>
        <w:right w:val="none" w:sz="0" w:space="0" w:color="auto"/>
      </w:divBdr>
    </w:div>
    <w:div w:id="459958746">
      <w:bodyDiv w:val="1"/>
      <w:marLeft w:val="0"/>
      <w:marRight w:val="0"/>
      <w:marTop w:val="0"/>
      <w:marBottom w:val="0"/>
      <w:divBdr>
        <w:top w:val="none" w:sz="0" w:space="0" w:color="auto"/>
        <w:left w:val="none" w:sz="0" w:space="0" w:color="auto"/>
        <w:bottom w:val="none" w:sz="0" w:space="0" w:color="auto"/>
        <w:right w:val="none" w:sz="0" w:space="0" w:color="auto"/>
      </w:divBdr>
    </w:div>
    <w:div w:id="460655703">
      <w:bodyDiv w:val="1"/>
      <w:marLeft w:val="0"/>
      <w:marRight w:val="0"/>
      <w:marTop w:val="0"/>
      <w:marBottom w:val="0"/>
      <w:divBdr>
        <w:top w:val="none" w:sz="0" w:space="0" w:color="auto"/>
        <w:left w:val="none" w:sz="0" w:space="0" w:color="auto"/>
        <w:bottom w:val="none" w:sz="0" w:space="0" w:color="auto"/>
        <w:right w:val="none" w:sz="0" w:space="0" w:color="auto"/>
      </w:divBdr>
    </w:div>
    <w:div w:id="469246112">
      <w:bodyDiv w:val="1"/>
      <w:marLeft w:val="0"/>
      <w:marRight w:val="0"/>
      <w:marTop w:val="0"/>
      <w:marBottom w:val="0"/>
      <w:divBdr>
        <w:top w:val="none" w:sz="0" w:space="0" w:color="auto"/>
        <w:left w:val="none" w:sz="0" w:space="0" w:color="auto"/>
        <w:bottom w:val="none" w:sz="0" w:space="0" w:color="auto"/>
        <w:right w:val="none" w:sz="0" w:space="0" w:color="auto"/>
      </w:divBdr>
    </w:div>
    <w:div w:id="477767030">
      <w:bodyDiv w:val="1"/>
      <w:marLeft w:val="0"/>
      <w:marRight w:val="0"/>
      <w:marTop w:val="0"/>
      <w:marBottom w:val="0"/>
      <w:divBdr>
        <w:top w:val="none" w:sz="0" w:space="0" w:color="auto"/>
        <w:left w:val="none" w:sz="0" w:space="0" w:color="auto"/>
        <w:bottom w:val="none" w:sz="0" w:space="0" w:color="auto"/>
        <w:right w:val="none" w:sz="0" w:space="0" w:color="auto"/>
      </w:divBdr>
    </w:div>
    <w:div w:id="513302500">
      <w:bodyDiv w:val="1"/>
      <w:marLeft w:val="0"/>
      <w:marRight w:val="0"/>
      <w:marTop w:val="0"/>
      <w:marBottom w:val="0"/>
      <w:divBdr>
        <w:top w:val="none" w:sz="0" w:space="0" w:color="auto"/>
        <w:left w:val="none" w:sz="0" w:space="0" w:color="auto"/>
        <w:bottom w:val="none" w:sz="0" w:space="0" w:color="auto"/>
        <w:right w:val="none" w:sz="0" w:space="0" w:color="auto"/>
      </w:divBdr>
    </w:div>
    <w:div w:id="560868135">
      <w:bodyDiv w:val="1"/>
      <w:marLeft w:val="0"/>
      <w:marRight w:val="0"/>
      <w:marTop w:val="0"/>
      <w:marBottom w:val="0"/>
      <w:divBdr>
        <w:top w:val="none" w:sz="0" w:space="0" w:color="auto"/>
        <w:left w:val="none" w:sz="0" w:space="0" w:color="auto"/>
        <w:bottom w:val="none" w:sz="0" w:space="0" w:color="auto"/>
        <w:right w:val="none" w:sz="0" w:space="0" w:color="auto"/>
      </w:divBdr>
    </w:div>
    <w:div w:id="622808896">
      <w:bodyDiv w:val="1"/>
      <w:marLeft w:val="0"/>
      <w:marRight w:val="0"/>
      <w:marTop w:val="0"/>
      <w:marBottom w:val="0"/>
      <w:divBdr>
        <w:top w:val="none" w:sz="0" w:space="0" w:color="auto"/>
        <w:left w:val="none" w:sz="0" w:space="0" w:color="auto"/>
        <w:bottom w:val="none" w:sz="0" w:space="0" w:color="auto"/>
        <w:right w:val="none" w:sz="0" w:space="0" w:color="auto"/>
      </w:divBdr>
    </w:div>
    <w:div w:id="623778943">
      <w:bodyDiv w:val="1"/>
      <w:marLeft w:val="0"/>
      <w:marRight w:val="0"/>
      <w:marTop w:val="0"/>
      <w:marBottom w:val="0"/>
      <w:divBdr>
        <w:top w:val="none" w:sz="0" w:space="0" w:color="auto"/>
        <w:left w:val="none" w:sz="0" w:space="0" w:color="auto"/>
        <w:bottom w:val="none" w:sz="0" w:space="0" w:color="auto"/>
        <w:right w:val="none" w:sz="0" w:space="0" w:color="auto"/>
      </w:divBdr>
    </w:div>
    <w:div w:id="637994132">
      <w:bodyDiv w:val="1"/>
      <w:marLeft w:val="0"/>
      <w:marRight w:val="0"/>
      <w:marTop w:val="0"/>
      <w:marBottom w:val="0"/>
      <w:divBdr>
        <w:top w:val="none" w:sz="0" w:space="0" w:color="auto"/>
        <w:left w:val="none" w:sz="0" w:space="0" w:color="auto"/>
        <w:bottom w:val="none" w:sz="0" w:space="0" w:color="auto"/>
        <w:right w:val="none" w:sz="0" w:space="0" w:color="auto"/>
      </w:divBdr>
    </w:div>
    <w:div w:id="642539164">
      <w:bodyDiv w:val="1"/>
      <w:marLeft w:val="0"/>
      <w:marRight w:val="0"/>
      <w:marTop w:val="0"/>
      <w:marBottom w:val="0"/>
      <w:divBdr>
        <w:top w:val="none" w:sz="0" w:space="0" w:color="auto"/>
        <w:left w:val="none" w:sz="0" w:space="0" w:color="auto"/>
        <w:bottom w:val="none" w:sz="0" w:space="0" w:color="auto"/>
        <w:right w:val="none" w:sz="0" w:space="0" w:color="auto"/>
      </w:divBdr>
    </w:div>
    <w:div w:id="657423653">
      <w:bodyDiv w:val="1"/>
      <w:marLeft w:val="0"/>
      <w:marRight w:val="0"/>
      <w:marTop w:val="0"/>
      <w:marBottom w:val="0"/>
      <w:divBdr>
        <w:top w:val="none" w:sz="0" w:space="0" w:color="auto"/>
        <w:left w:val="none" w:sz="0" w:space="0" w:color="auto"/>
        <w:bottom w:val="none" w:sz="0" w:space="0" w:color="auto"/>
        <w:right w:val="none" w:sz="0" w:space="0" w:color="auto"/>
      </w:divBdr>
    </w:div>
    <w:div w:id="672298684">
      <w:bodyDiv w:val="1"/>
      <w:marLeft w:val="0"/>
      <w:marRight w:val="0"/>
      <w:marTop w:val="0"/>
      <w:marBottom w:val="0"/>
      <w:divBdr>
        <w:top w:val="none" w:sz="0" w:space="0" w:color="auto"/>
        <w:left w:val="none" w:sz="0" w:space="0" w:color="auto"/>
        <w:bottom w:val="none" w:sz="0" w:space="0" w:color="auto"/>
        <w:right w:val="none" w:sz="0" w:space="0" w:color="auto"/>
      </w:divBdr>
    </w:div>
    <w:div w:id="697702338">
      <w:bodyDiv w:val="1"/>
      <w:marLeft w:val="0"/>
      <w:marRight w:val="0"/>
      <w:marTop w:val="0"/>
      <w:marBottom w:val="0"/>
      <w:divBdr>
        <w:top w:val="none" w:sz="0" w:space="0" w:color="auto"/>
        <w:left w:val="none" w:sz="0" w:space="0" w:color="auto"/>
        <w:bottom w:val="none" w:sz="0" w:space="0" w:color="auto"/>
        <w:right w:val="none" w:sz="0" w:space="0" w:color="auto"/>
      </w:divBdr>
    </w:div>
    <w:div w:id="700017239">
      <w:bodyDiv w:val="1"/>
      <w:marLeft w:val="0"/>
      <w:marRight w:val="0"/>
      <w:marTop w:val="0"/>
      <w:marBottom w:val="0"/>
      <w:divBdr>
        <w:top w:val="none" w:sz="0" w:space="0" w:color="auto"/>
        <w:left w:val="none" w:sz="0" w:space="0" w:color="auto"/>
        <w:bottom w:val="none" w:sz="0" w:space="0" w:color="auto"/>
        <w:right w:val="none" w:sz="0" w:space="0" w:color="auto"/>
      </w:divBdr>
    </w:div>
    <w:div w:id="705300457">
      <w:bodyDiv w:val="1"/>
      <w:marLeft w:val="0"/>
      <w:marRight w:val="0"/>
      <w:marTop w:val="0"/>
      <w:marBottom w:val="0"/>
      <w:divBdr>
        <w:top w:val="none" w:sz="0" w:space="0" w:color="auto"/>
        <w:left w:val="none" w:sz="0" w:space="0" w:color="auto"/>
        <w:bottom w:val="none" w:sz="0" w:space="0" w:color="auto"/>
        <w:right w:val="none" w:sz="0" w:space="0" w:color="auto"/>
      </w:divBdr>
    </w:div>
    <w:div w:id="707684414">
      <w:bodyDiv w:val="1"/>
      <w:marLeft w:val="0"/>
      <w:marRight w:val="0"/>
      <w:marTop w:val="0"/>
      <w:marBottom w:val="0"/>
      <w:divBdr>
        <w:top w:val="none" w:sz="0" w:space="0" w:color="auto"/>
        <w:left w:val="none" w:sz="0" w:space="0" w:color="auto"/>
        <w:bottom w:val="none" w:sz="0" w:space="0" w:color="auto"/>
        <w:right w:val="none" w:sz="0" w:space="0" w:color="auto"/>
      </w:divBdr>
    </w:div>
    <w:div w:id="709764095">
      <w:bodyDiv w:val="1"/>
      <w:marLeft w:val="0"/>
      <w:marRight w:val="0"/>
      <w:marTop w:val="0"/>
      <w:marBottom w:val="0"/>
      <w:divBdr>
        <w:top w:val="none" w:sz="0" w:space="0" w:color="auto"/>
        <w:left w:val="none" w:sz="0" w:space="0" w:color="auto"/>
        <w:bottom w:val="none" w:sz="0" w:space="0" w:color="auto"/>
        <w:right w:val="none" w:sz="0" w:space="0" w:color="auto"/>
      </w:divBdr>
    </w:div>
    <w:div w:id="722605391">
      <w:bodyDiv w:val="1"/>
      <w:marLeft w:val="0"/>
      <w:marRight w:val="0"/>
      <w:marTop w:val="0"/>
      <w:marBottom w:val="0"/>
      <w:divBdr>
        <w:top w:val="none" w:sz="0" w:space="0" w:color="auto"/>
        <w:left w:val="none" w:sz="0" w:space="0" w:color="auto"/>
        <w:bottom w:val="none" w:sz="0" w:space="0" w:color="auto"/>
        <w:right w:val="none" w:sz="0" w:space="0" w:color="auto"/>
      </w:divBdr>
    </w:div>
    <w:div w:id="730542169">
      <w:bodyDiv w:val="1"/>
      <w:marLeft w:val="0"/>
      <w:marRight w:val="0"/>
      <w:marTop w:val="0"/>
      <w:marBottom w:val="0"/>
      <w:divBdr>
        <w:top w:val="none" w:sz="0" w:space="0" w:color="auto"/>
        <w:left w:val="none" w:sz="0" w:space="0" w:color="auto"/>
        <w:bottom w:val="none" w:sz="0" w:space="0" w:color="auto"/>
        <w:right w:val="none" w:sz="0" w:space="0" w:color="auto"/>
      </w:divBdr>
    </w:div>
    <w:div w:id="746926844">
      <w:bodyDiv w:val="1"/>
      <w:marLeft w:val="0"/>
      <w:marRight w:val="0"/>
      <w:marTop w:val="0"/>
      <w:marBottom w:val="0"/>
      <w:divBdr>
        <w:top w:val="none" w:sz="0" w:space="0" w:color="auto"/>
        <w:left w:val="none" w:sz="0" w:space="0" w:color="auto"/>
        <w:bottom w:val="none" w:sz="0" w:space="0" w:color="auto"/>
        <w:right w:val="none" w:sz="0" w:space="0" w:color="auto"/>
      </w:divBdr>
    </w:div>
    <w:div w:id="749043347">
      <w:bodyDiv w:val="1"/>
      <w:marLeft w:val="0"/>
      <w:marRight w:val="0"/>
      <w:marTop w:val="0"/>
      <w:marBottom w:val="0"/>
      <w:divBdr>
        <w:top w:val="none" w:sz="0" w:space="0" w:color="auto"/>
        <w:left w:val="none" w:sz="0" w:space="0" w:color="auto"/>
        <w:bottom w:val="none" w:sz="0" w:space="0" w:color="auto"/>
        <w:right w:val="none" w:sz="0" w:space="0" w:color="auto"/>
      </w:divBdr>
    </w:div>
    <w:div w:id="779687320">
      <w:bodyDiv w:val="1"/>
      <w:marLeft w:val="0"/>
      <w:marRight w:val="0"/>
      <w:marTop w:val="0"/>
      <w:marBottom w:val="0"/>
      <w:divBdr>
        <w:top w:val="none" w:sz="0" w:space="0" w:color="auto"/>
        <w:left w:val="none" w:sz="0" w:space="0" w:color="auto"/>
        <w:bottom w:val="none" w:sz="0" w:space="0" w:color="auto"/>
        <w:right w:val="none" w:sz="0" w:space="0" w:color="auto"/>
      </w:divBdr>
    </w:div>
    <w:div w:id="781613614">
      <w:bodyDiv w:val="1"/>
      <w:marLeft w:val="0"/>
      <w:marRight w:val="0"/>
      <w:marTop w:val="0"/>
      <w:marBottom w:val="0"/>
      <w:divBdr>
        <w:top w:val="none" w:sz="0" w:space="0" w:color="auto"/>
        <w:left w:val="none" w:sz="0" w:space="0" w:color="auto"/>
        <w:bottom w:val="none" w:sz="0" w:space="0" w:color="auto"/>
        <w:right w:val="none" w:sz="0" w:space="0" w:color="auto"/>
      </w:divBdr>
    </w:div>
    <w:div w:id="783036941">
      <w:bodyDiv w:val="1"/>
      <w:marLeft w:val="0"/>
      <w:marRight w:val="0"/>
      <w:marTop w:val="0"/>
      <w:marBottom w:val="0"/>
      <w:divBdr>
        <w:top w:val="none" w:sz="0" w:space="0" w:color="auto"/>
        <w:left w:val="none" w:sz="0" w:space="0" w:color="auto"/>
        <w:bottom w:val="none" w:sz="0" w:space="0" w:color="auto"/>
        <w:right w:val="none" w:sz="0" w:space="0" w:color="auto"/>
      </w:divBdr>
    </w:div>
    <w:div w:id="797182144">
      <w:bodyDiv w:val="1"/>
      <w:marLeft w:val="0"/>
      <w:marRight w:val="0"/>
      <w:marTop w:val="0"/>
      <w:marBottom w:val="0"/>
      <w:divBdr>
        <w:top w:val="none" w:sz="0" w:space="0" w:color="auto"/>
        <w:left w:val="none" w:sz="0" w:space="0" w:color="auto"/>
        <w:bottom w:val="none" w:sz="0" w:space="0" w:color="auto"/>
        <w:right w:val="none" w:sz="0" w:space="0" w:color="auto"/>
      </w:divBdr>
    </w:div>
    <w:div w:id="803549771">
      <w:bodyDiv w:val="1"/>
      <w:marLeft w:val="0"/>
      <w:marRight w:val="0"/>
      <w:marTop w:val="0"/>
      <w:marBottom w:val="0"/>
      <w:divBdr>
        <w:top w:val="none" w:sz="0" w:space="0" w:color="auto"/>
        <w:left w:val="none" w:sz="0" w:space="0" w:color="auto"/>
        <w:bottom w:val="none" w:sz="0" w:space="0" w:color="auto"/>
        <w:right w:val="none" w:sz="0" w:space="0" w:color="auto"/>
      </w:divBdr>
    </w:div>
    <w:div w:id="815728302">
      <w:bodyDiv w:val="1"/>
      <w:marLeft w:val="0"/>
      <w:marRight w:val="0"/>
      <w:marTop w:val="0"/>
      <w:marBottom w:val="0"/>
      <w:divBdr>
        <w:top w:val="none" w:sz="0" w:space="0" w:color="auto"/>
        <w:left w:val="none" w:sz="0" w:space="0" w:color="auto"/>
        <w:bottom w:val="none" w:sz="0" w:space="0" w:color="auto"/>
        <w:right w:val="none" w:sz="0" w:space="0" w:color="auto"/>
      </w:divBdr>
    </w:div>
    <w:div w:id="883835045">
      <w:bodyDiv w:val="1"/>
      <w:marLeft w:val="0"/>
      <w:marRight w:val="0"/>
      <w:marTop w:val="0"/>
      <w:marBottom w:val="0"/>
      <w:divBdr>
        <w:top w:val="none" w:sz="0" w:space="0" w:color="auto"/>
        <w:left w:val="none" w:sz="0" w:space="0" w:color="auto"/>
        <w:bottom w:val="none" w:sz="0" w:space="0" w:color="auto"/>
        <w:right w:val="none" w:sz="0" w:space="0" w:color="auto"/>
      </w:divBdr>
    </w:div>
    <w:div w:id="895968351">
      <w:bodyDiv w:val="1"/>
      <w:marLeft w:val="0"/>
      <w:marRight w:val="0"/>
      <w:marTop w:val="0"/>
      <w:marBottom w:val="0"/>
      <w:divBdr>
        <w:top w:val="none" w:sz="0" w:space="0" w:color="auto"/>
        <w:left w:val="none" w:sz="0" w:space="0" w:color="auto"/>
        <w:bottom w:val="none" w:sz="0" w:space="0" w:color="auto"/>
        <w:right w:val="none" w:sz="0" w:space="0" w:color="auto"/>
      </w:divBdr>
    </w:div>
    <w:div w:id="927928244">
      <w:bodyDiv w:val="1"/>
      <w:marLeft w:val="0"/>
      <w:marRight w:val="0"/>
      <w:marTop w:val="0"/>
      <w:marBottom w:val="0"/>
      <w:divBdr>
        <w:top w:val="none" w:sz="0" w:space="0" w:color="auto"/>
        <w:left w:val="none" w:sz="0" w:space="0" w:color="auto"/>
        <w:bottom w:val="none" w:sz="0" w:space="0" w:color="auto"/>
        <w:right w:val="none" w:sz="0" w:space="0" w:color="auto"/>
      </w:divBdr>
    </w:div>
    <w:div w:id="944733297">
      <w:bodyDiv w:val="1"/>
      <w:marLeft w:val="0"/>
      <w:marRight w:val="0"/>
      <w:marTop w:val="0"/>
      <w:marBottom w:val="0"/>
      <w:divBdr>
        <w:top w:val="none" w:sz="0" w:space="0" w:color="auto"/>
        <w:left w:val="none" w:sz="0" w:space="0" w:color="auto"/>
        <w:bottom w:val="none" w:sz="0" w:space="0" w:color="auto"/>
        <w:right w:val="none" w:sz="0" w:space="0" w:color="auto"/>
      </w:divBdr>
    </w:div>
    <w:div w:id="950741565">
      <w:bodyDiv w:val="1"/>
      <w:marLeft w:val="0"/>
      <w:marRight w:val="0"/>
      <w:marTop w:val="0"/>
      <w:marBottom w:val="0"/>
      <w:divBdr>
        <w:top w:val="none" w:sz="0" w:space="0" w:color="auto"/>
        <w:left w:val="none" w:sz="0" w:space="0" w:color="auto"/>
        <w:bottom w:val="none" w:sz="0" w:space="0" w:color="auto"/>
        <w:right w:val="none" w:sz="0" w:space="0" w:color="auto"/>
      </w:divBdr>
    </w:div>
    <w:div w:id="962880849">
      <w:bodyDiv w:val="1"/>
      <w:marLeft w:val="0"/>
      <w:marRight w:val="0"/>
      <w:marTop w:val="0"/>
      <w:marBottom w:val="0"/>
      <w:divBdr>
        <w:top w:val="none" w:sz="0" w:space="0" w:color="auto"/>
        <w:left w:val="none" w:sz="0" w:space="0" w:color="auto"/>
        <w:bottom w:val="none" w:sz="0" w:space="0" w:color="auto"/>
        <w:right w:val="none" w:sz="0" w:space="0" w:color="auto"/>
      </w:divBdr>
    </w:div>
    <w:div w:id="972829013">
      <w:bodyDiv w:val="1"/>
      <w:marLeft w:val="0"/>
      <w:marRight w:val="0"/>
      <w:marTop w:val="0"/>
      <w:marBottom w:val="0"/>
      <w:divBdr>
        <w:top w:val="none" w:sz="0" w:space="0" w:color="auto"/>
        <w:left w:val="none" w:sz="0" w:space="0" w:color="auto"/>
        <w:bottom w:val="none" w:sz="0" w:space="0" w:color="auto"/>
        <w:right w:val="none" w:sz="0" w:space="0" w:color="auto"/>
      </w:divBdr>
    </w:div>
    <w:div w:id="988560726">
      <w:bodyDiv w:val="1"/>
      <w:marLeft w:val="0"/>
      <w:marRight w:val="0"/>
      <w:marTop w:val="0"/>
      <w:marBottom w:val="0"/>
      <w:divBdr>
        <w:top w:val="none" w:sz="0" w:space="0" w:color="auto"/>
        <w:left w:val="none" w:sz="0" w:space="0" w:color="auto"/>
        <w:bottom w:val="none" w:sz="0" w:space="0" w:color="auto"/>
        <w:right w:val="none" w:sz="0" w:space="0" w:color="auto"/>
      </w:divBdr>
    </w:div>
    <w:div w:id="997461037">
      <w:bodyDiv w:val="1"/>
      <w:marLeft w:val="0"/>
      <w:marRight w:val="0"/>
      <w:marTop w:val="0"/>
      <w:marBottom w:val="0"/>
      <w:divBdr>
        <w:top w:val="none" w:sz="0" w:space="0" w:color="auto"/>
        <w:left w:val="none" w:sz="0" w:space="0" w:color="auto"/>
        <w:bottom w:val="none" w:sz="0" w:space="0" w:color="auto"/>
        <w:right w:val="none" w:sz="0" w:space="0" w:color="auto"/>
      </w:divBdr>
    </w:div>
    <w:div w:id="1024482620">
      <w:bodyDiv w:val="1"/>
      <w:marLeft w:val="0"/>
      <w:marRight w:val="0"/>
      <w:marTop w:val="0"/>
      <w:marBottom w:val="0"/>
      <w:divBdr>
        <w:top w:val="none" w:sz="0" w:space="0" w:color="auto"/>
        <w:left w:val="none" w:sz="0" w:space="0" w:color="auto"/>
        <w:bottom w:val="none" w:sz="0" w:space="0" w:color="auto"/>
        <w:right w:val="none" w:sz="0" w:space="0" w:color="auto"/>
      </w:divBdr>
    </w:div>
    <w:div w:id="1047218506">
      <w:bodyDiv w:val="1"/>
      <w:marLeft w:val="0"/>
      <w:marRight w:val="0"/>
      <w:marTop w:val="0"/>
      <w:marBottom w:val="0"/>
      <w:divBdr>
        <w:top w:val="none" w:sz="0" w:space="0" w:color="auto"/>
        <w:left w:val="none" w:sz="0" w:space="0" w:color="auto"/>
        <w:bottom w:val="none" w:sz="0" w:space="0" w:color="auto"/>
        <w:right w:val="none" w:sz="0" w:space="0" w:color="auto"/>
      </w:divBdr>
    </w:div>
    <w:div w:id="1063262624">
      <w:bodyDiv w:val="1"/>
      <w:marLeft w:val="0"/>
      <w:marRight w:val="0"/>
      <w:marTop w:val="0"/>
      <w:marBottom w:val="0"/>
      <w:divBdr>
        <w:top w:val="none" w:sz="0" w:space="0" w:color="auto"/>
        <w:left w:val="none" w:sz="0" w:space="0" w:color="auto"/>
        <w:bottom w:val="none" w:sz="0" w:space="0" w:color="auto"/>
        <w:right w:val="none" w:sz="0" w:space="0" w:color="auto"/>
      </w:divBdr>
    </w:div>
    <w:div w:id="1092118226">
      <w:bodyDiv w:val="1"/>
      <w:marLeft w:val="0"/>
      <w:marRight w:val="0"/>
      <w:marTop w:val="0"/>
      <w:marBottom w:val="0"/>
      <w:divBdr>
        <w:top w:val="none" w:sz="0" w:space="0" w:color="auto"/>
        <w:left w:val="none" w:sz="0" w:space="0" w:color="auto"/>
        <w:bottom w:val="none" w:sz="0" w:space="0" w:color="auto"/>
        <w:right w:val="none" w:sz="0" w:space="0" w:color="auto"/>
      </w:divBdr>
    </w:div>
    <w:div w:id="1137458779">
      <w:bodyDiv w:val="1"/>
      <w:marLeft w:val="0"/>
      <w:marRight w:val="0"/>
      <w:marTop w:val="0"/>
      <w:marBottom w:val="0"/>
      <w:divBdr>
        <w:top w:val="none" w:sz="0" w:space="0" w:color="auto"/>
        <w:left w:val="none" w:sz="0" w:space="0" w:color="auto"/>
        <w:bottom w:val="none" w:sz="0" w:space="0" w:color="auto"/>
        <w:right w:val="none" w:sz="0" w:space="0" w:color="auto"/>
      </w:divBdr>
    </w:div>
    <w:div w:id="1166870647">
      <w:bodyDiv w:val="1"/>
      <w:marLeft w:val="0"/>
      <w:marRight w:val="0"/>
      <w:marTop w:val="0"/>
      <w:marBottom w:val="0"/>
      <w:divBdr>
        <w:top w:val="none" w:sz="0" w:space="0" w:color="auto"/>
        <w:left w:val="none" w:sz="0" w:space="0" w:color="auto"/>
        <w:bottom w:val="none" w:sz="0" w:space="0" w:color="auto"/>
        <w:right w:val="none" w:sz="0" w:space="0" w:color="auto"/>
      </w:divBdr>
      <w:divsChild>
        <w:div w:id="1197425566">
          <w:marLeft w:val="0"/>
          <w:marRight w:val="0"/>
          <w:marTop w:val="0"/>
          <w:marBottom w:val="0"/>
          <w:divBdr>
            <w:top w:val="none" w:sz="0" w:space="0" w:color="auto"/>
            <w:left w:val="none" w:sz="0" w:space="0" w:color="auto"/>
            <w:bottom w:val="none" w:sz="0" w:space="0" w:color="auto"/>
            <w:right w:val="none" w:sz="0" w:space="0" w:color="auto"/>
          </w:divBdr>
          <w:divsChild>
            <w:div w:id="319162477">
              <w:marLeft w:val="0"/>
              <w:marRight w:val="0"/>
              <w:marTop w:val="0"/>
              <w:marBottom w:val="0"/>
              <w:divBdr>
                <w:top w:val="none" w:sz="0" w:space="0" w:color="auto"/>
                <w:left w:val="none" w:sz="0" w:space="0" w:color="auto"/>
                <w:bottom w:val="none" w:sz="0" w:space="0" w:color="auto"/>
                <w:right w:val="none" w:sz="0" w:space="0" w:color="auto"/>
              </w:divBdr>
              <w:divsChild>
                <w:div w:id="4780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2622">
      <w:bodyDiv w:val="1"/>
      <w:marLeft w:val="0"/>
      <w:marRight w:val="0"/>
      <w:marTop w:val="0"/>
      <w:marBottom w:val="0"/>
      <w:divBdr>
        <w:top w:val="none" w:sz="0" w:space="0" w:color="auto"/>
        <w:left w:val="none" w:sz="0" w:space="0" w:color="auto"/>
        <w:bottom w:val="none" w:sz="0" w:space="0" w:color="auto"/>
        <w:right w:val="none" w:sz="0" w:space="0" w:color="auto"/>
      </w:divBdr>
      <w:divsChild>
        <w:div w:id="1517381040">
          <w:marLeft w:val="0"/>
          <w:marRight w:val="0"/>
          <w:marTop w:val="0"/>
          <w:marBottom w:val="0"/>
          <w:divBdr>
            <w:top w:val="none" w:sz="0" w:space="0" w:color="auto"/>
            <w:left w:val="none" w:sz="0" w:space="0" w:color="auto"/>
            <w:bottom w:val="none" w:sz="0" w:space="0" w:color="auto"/>
            <w:right w:val="none" w:sz="0" w:space="0" w:color="auto"/>
          </w:divBdr>
          <w:divsChild>
            <w:div w:id="17802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1074">
      <w:bodyDiv w:val="1"/>
      <w:marLeft w:val="0"/>
      <w:marRight w:val="0"/>
      <w:marTop w:val="0"/>
      <w:marBottom w:val="0"/>
      <w:divBdr>
        <w:top w:val="none" w:sz="0" w:space="0" w:color="auto"/>
        <w:left w:val="none" w:sz="0" w:space="0" w:color="auto"/>
        <w:bottom w:val="none" w:sz="0" w:space="0" w:color="auto"/>
        <w:right w:val="none" w:sz="0" w:space="0" w:color="auto"/>
      </w:divBdr>
    </w:div>
    <w:div w:id="1185435934">
      <w:bodyDiv w:val="1"/>
      <w:marLeft w:val="0"/>
      <w:marRight w:val="0"/>
      <w:marTop w:val="0"/>
      <w:marBottom w:val="0"/>
      <w:divBdr>
        <w:top w:val="none" w:sz="0" w:space="0" w:color="auto"/>
        <w:left w:val="none" w:sz="0" w:space="0" w:color="auto"/>
        <w:bottom w:val="none" w:sz="0" w:space="0" w:color="auto"/>
        <w:right w:val="none" w:sz="0" w:space="0" w:color="auto"/>
      </w:divBdr>
    </w:div>
    <w:div w:id="1191987678">
      <w:bodyDiv w:val="1"/>
      <w:marLeft w:val="0"/>
      <w:marRight w:val="0"/>
      <w:marTop w:val="0"/>
      <w:marBottom w:val="0"/>
      <w:divBdr>
        <w:top w:val="none" w:sz="0" w:space="0" w:color="auto"/>
        <w:left w:val="none" w:sz="0" w:space="0" w:color="auto"/>
        <w:bottom w:val="none" w:sz="0" w:space="0" w:color="auto"/>
        <w:right w:val="none" w:sz="0" w:space="0" w:color="auto"/>
      </w:divBdr>
    </w:div>
    <w:div w:id="1192955474">
      <w:bodyDiv w:val="1"/>
      <w:marLeft w:val="0"/>
      <w:marRight w:val="0"/>
      <w:marTop w:val="0"/>
      <w:marBottom w:val="0"/>
      <w:divBdr>
        <w:top w:val="none" w:sz="0" w:space="0" w:color="auto"/>
        <w:left w:val="none" w:sz="0" w:space="0" w:color="auto"/>
        <w:bottom w:val="none" w:sz="0" w:space="0" w:color="auto"/>
        <w:right w:val="none" w:sz="0" w:space="0" w:color="auto"/>
      </w:divBdr>
    </w:div>
    <w:div w:id="1206794049">
      <w:bodyDiv w:val="1"/>
      <w:marLeft w:val="0"/>
      <w:marRight w:val="0"/>
      <w:marTop w:val="0"/>
      <w:marBottom w:val="0"/>
      <w:divBdr>
        <w:top w:val="none" w:sz="0" w:space="0" w:color="auto"/>
        <w:left w:val="none" w:sz="0" w:space="0" w:color="auto"/>
        <w:bottom w:val="none" w:sz="0" w:space="0" w:color="auto"/>
        <w:right w:val="none" w:sz="0" w:space="0" w:color="auto"/>
      </w:divBdr>
    </w:div>
    <w:div w:id="1215234627">
      <w:bodyDiv w:val="1"/>
      <w:marLeft w:val="0"/>
      <w:marRight w:val="0"/>
      <w:marTop w:val="0"/>
      <w:marBottom w:val="0"/>
      <w:divBdr>
        <w:top w:val="none" w:sz="0" w:space="0" w:color="auto"/>
        <w:left w:val="none" w:sz="0" w:space="0" w:color="auto"/>
        <w:bottom w:val="none" w:sz="0" w:space="0" w:color="auto"/>
        <w:right w:val="none" w:sz="0" w:space="0" w:color="auto"/>
      </w:divBdr>
    </w:div>
    <w:div w:id="1215895553">
      <w:bodyDiv w:val="1"/>
      <w:marLeft w:val="0"/>
      <w:marRight w:val="0"/>
      <w:marTop w:val="0"/>
      <w:marBottom w:val="0"/>
      <w:divBdr>
        <w:top w:val="none" w:sz="0" w:space="0" w:color="auto"/>
        <w:left w:val="none" w:sz="0" w:space="0" w:color="auto"/>
        <w:bottom w:val="none" w:sz="0" w:space="0" w:color="auto"/>
        <w:right w:val="none" w:sz="0" w:space="0" w:color="auto"/>
      </w:divBdr>
    </w:div>
    <w:div w:id="1229656472">
      <w:bodyDiv w:val="1"/>
      <w:marLeft w:val="0"/>
      <w:marRight w:val="0"/>
      <w:marTop w:val="0"/>
      <w:marBottom w:val="0"/>
      <w:divBdr>
        <w:top w:val="none" w:sz="0" w:space="0" w:color="auto"/>
        <w:left w:val="none" w:sz="0" w:space="0" w:color="auto"/>
        <w:bottom w:val="none" w:sz="0" w:space="0" w:color="auto"/>
        <w:right w:val="none" w:sz="0" w:space="0" w:color="auto"/>
      </w:divBdr>
    </w:div>
    <w:div w:id="1253706765">
      <w:bodyDiv w:val="1"/>
      <w:marLeft w:val="0"/>
      <w:marRight w:val="0"/>
      <w:marTop w:val="0"/>
      <w:marBottom w:val="0"/>
      <w:divBdr>
        <w:top w:val="none" w:sz="0" w:space="0" w:color="auto"/>
        <w:left w:val="none" w:sz="0" w:space="0" w:color="auto"/>
        <w:bottom w:val="none" w:sz="0" w:space="0" w:color="auto"/>
        <w:right w:val="none" w:sz="0" w:space="0" w:color="auto"/>
      </w:divBdr>
    </w:div>
    <w:div w:id="1263294929">
      <w:bodyDiv w:val="1"/>
      <w:marLeft w:val="0"/>
      <w:marRight w:val="0"/>
      <w:marTop w:val="0"/>
      <w:marBottom w:val="0"/>
      <w:divBdr>
        <w:top w:val="none" w:sz="0" w:space="0" w:color="auto"/>
        <w:left w:val="none" w:sz="0" w:space="0" w:color="auto"/>
        <w:bottom w:val="none" w:sz="0" w:space="0" w:color="auto"/>
        <w:right w:val="none" w:sz="0" w:space="0" w:color="auto"/>
      </w:divBdr>
    </w:div>
    <w:div w:id="1278565576">
      <w:bodyDiv w:val="1"/>
      <w:marLeft w:val="0"/>
      <w:marRight w:val="0"/>
      <w:marTop w:val="0"/>
      <w:marBottom w:val="0"/>
      <w:divBdr>
        <w:top w:val="none" w:sz="0" w:space="0" w:color="auto"/>
        <w:left w:val="none" w:sz="0" w:space="0" w:color="auto"/>
        <w:bottom w:val="none" w:sz="0" w:space="0" w:color="auto"/>
        <w:right w:val="none" w:sz="0" w:space="0" w:color="auto"/>
      </w:divBdr>
    </w:div>
    <w:div w:id="1289629196">
      <w:bodyDiv w:val="1"/>
      <w:marLeft w:val="0"/>
      <w:marRight w:val="0"/>
      <w:marTop w:val="0"/>
      <w:marBottom w:val="0"/>
      <w:divBdr>
        <w:top w:val="none" w:sz="0" w:space="0" w:color="auto"/>
        <w:left w:val="none" w:sz="0" w:space="0" w:color="auto"/>
        <w:bottom w:val="none" w:sz="0" w:space="0" w:color="auto"/>
        <w:right w:val="none" w:sz="0" w:space="0" w:color="auto"/>
      </w:divBdr>
    </w:div>
    <w:div w:id="1296181019">
      <w:bodyDiv w:val="1"/>
      <w:marLeft w:val="0"/>
      <w:marRight w:val="0"/>
      <w:marTop w:val="0"/>
      <w:marBottom w:val="0"/>
      <w:divBdr>
        <w:top w:val="none" w:sz="0" w:space="0" w:color="auto"/>
        <w:left w:val="none" w:sz="0" w:space="0" w:color="auto"/>
        <w:bottom w:val="none" w:sz="0" w:space="0" w:color="auto"/>
        <w:right w:val="none" w:sz="0" w:space="0" w:color="auto"/>
      </w:divBdr>
    </w:div>
    <w:div w:id="1297561529">
      <w:bodyDiv w:val="1"/>
      <w:marLeft w:val="0"/>
      <w:marRight w:val="0"/>
      <w:marTop w:val="0"/>
      <w:marBottom w:val="0"/>
      <w:divBdr>
        <w:top w:val="none" w:sz="0" w:space="0" w:color="auto"/>
        <w:left w:val="none" w:sz="0" w:space="0" w:color="auto"/>
        <w:bottom w:val="none" w:sz="0" w:space="0" w:color="auto"/>
        <w:right w:val="none" w:sz="0" w:space="0" w:color="auto"/>
      </w:divBdr>
    </w:div>
    <w:div w:id="1306819201">
      <w:bodyDiv w:val="1"/>
      <w:marLeft w:val="0"/>
      <w:marRight w:val="0"/>
      <w:marTop w:val="0"/>
      <w:marBottom w:val="0"/>
      <w:divBdr>
        <w:top w:val="none" w:sz="0" w:space="0" w:color="auto"/>
        <w:left w:val="none" w:sz="0" w:space="0" w:color="auto"/>
        <w:bottom w:val="none" w:sz="0" w:space="0" w:color="auto"/>
        <w:right w:val="none" w:sz="0" w:space="0" w:color="auto"/>
      </w:divBdr>
    </w:div>
    <w:div w:id="1331983426">
      <w:bodyDiv w:val="1"/>
      <w:marLeft w:val="0"/>
      <w:marRight w:val="0"/>
      <w:marTop w:val="0"/>
      <w:marBottom w:val="0"/>
      <w:divBdr>
        <w:top w:val="none" w:sz="0" w:space="0" w:color="auto"/>
        <w:left w:val="none" w:sz="0" w:space="0" w:color="auto"/>
        <w:bottom w:val="none" w:sz="0" w:space="0" w:color="auto"/>
        <w:right w:val="none" w:sz="0" w:space="0" w:color="auto"/>
      </w:divBdr>
    </w:div>
    <w:div w:id="1358695405">
      <w:bodyDiv w:val="1"/>
      <w:marLeft w:val="0"/>
      <w:marRight w:val="0"/>
      <w:marTop w:val="0"/>
      <w:marBottom w:val="0"/>
      <w:divBdr>
        <w:top w:val="none" w:sz="0" w:space="0" w:color="auto"/>
        <w:left w:val="none" w:sz="0" w:space="0" w:color="auto"/>
        <w:bottom w:val="none" w:sz="0" w:space="0" w:color="auto"/>
        <w:right w:val="none" w:sz="0" w:space="0" w:color="auto"/>
      </w:divBdr>
    </w:div>
    <w:div w:id="1379205867">
      <w:bodyDiv w:val="1"/>
      <w:marLeft w:val="0"/>
      <w:marRight w:val="0"/>
      <w:marTop w:val="0"/>
      <w:marBottom w:val="0"/>
      <w:divBdr>
        <w:top w:val="none" w:sz="0" w:space="0" w:color="auto"/>
        <w:left w:val="none" w:sz="0" w:space="0" w:color="auto"/>
        <w:bottom w:val="none" w:sz="0" w:space="0" w:color="auto"/>
        <w:right w:val="none" w:sz="0" w:space="0" w:color="auto"/>
      </w:divBdr>
    </w:div>
    <w:div w:id="1406411229">
      <w:bodyDiv w:val="1"/>
      <w:marLeft w:val="0"/>
      <w:marRight w:val="0"/>
      <w:marTop w:val="0"/>
      <w:marBottom w:val="0"/>
      <w:divBdr>
        <w:top w:val="none" w:sz="0" w:space="0" w:color="auto"/>
        <w:left w:val="none" w:sz="0" w:space="0" w:color="auto"/>
        <w:bottom w:val="none" w:sz="0" w:space="0" w:color="auto"/>
        <w:right w:val="none" w:sz="0" w:space="0" w:color="auto"/>
      </w:divBdr>
    </w:div>
    <w:div w:id="1419904572">
      <w:bodyDiv w:val="1"/>
      <w:marLeft w:val="0"/>
      <w:marRight w:val="0"/>
      <w:marTop w:val="0"/>
      <w:marBottom w:val="0"/>
      <w:divBdr>
        <w:top w:val="none" w:sz="0" w:space="0" w:color="auto"/>
        <w:left w:val="none" w:sz="0" w:space="0" w:color="auto"/>
        <w:bottom w:val="none" w:sz="0" w:space="0" w:color="auto"/>
        <w:right w:val="none" w:sz="0" w:space="0" w:color="auto"/>
      </w:divBdr>
    </w:div>
    <w:div w:id="1424834332">
      <w:bodyDiv w:val="1"/>
      <w:marLeft w:val="0"/>
      <w:marRight w:val="0"/>
      <w:marTop w:val="0"/>
      <w:marBottom w:val="0"/>
      <w:divBdr>
        <w:top w:val="none" w:sz="0" w:space="0" w:color="auto"/>
        <w:left w:val="none" w:sz="0" w:space="0" w:color="auto"/>
        <w:bottom w:val="none" w:sz="0" w:space="0" w:color="auto"/>
        <w:right w:val="none" w:sz="0" w:space="0" w:color="auto"/>
      </w:divBdr>
    </w:div>
    <w:div w:id="1431271280">
      <w:bodyDiv w:val="1"/>
      <w:marLeft w:val="0"/>
      <w:marRight w:val="0"/>
      <w:marTop w:val="0"/>
      <w:marBottom w:val="0"/>
      <w:divBdr>
        <w:top w:val="none" w:sz="0" w:space="0" w:color="auto"/>
        <w:left w:val="none" w:sz="0" w:space="0" w:color="auto"/>
        <w:bottom w:val="none" w:sz="0" w:space="0" w:color="auto"/>
        <w:right w:val="none" w:sz="0" w:space="0" w:color="auto"/>
      </w:divBdr>
    </w:div>
    <w:div w:id="1445613035">
      <w:bodyDiv w:val="1"/>
      <w:marLeft w:val="0"/>
      <w:marRight w:val="0"/>
      <w:marTop w:val="0"/>
      <w:marBottom w:val="0"/>
      <w:divBdr>
        <w:top w:val="none" w:sz="0" w:space="0" w:color="auto"/>
        <w:left w:val="none" w:sz="0" w:space="0" w:color="auto"/>
        <w:bottom w:val="none" w:sz="0" w:space="0" w:color="auto"/>
        <w:right w:val="none" w:sz="0" w:space="0" w:color="auto"/>
      </w:divBdr>
    </w:div>
    <w:div w:id="1460490682">
      <w:bodyDiv w:val="1"/>
      <w:marLeft w:val="0"/>
      <w:marRight w:val="0"/>
      <w:marTop w:val="0"/>
      <w:marBottom w:val="0"/>
      <w:divBdr>
        <w:top w:val="none" w:sz="0" w:space="0" w:color="auto"/>
        <w:left w:val="none" w:sz="0" w:space="0" w:color="auto"/>
        <w:bottom w:val="none" w:sz="0" w:space="0" w:color="auto"/>
        <w:right w:val="none" w:sz="0" w:space="0" w:color="auto"/>
      </w:divBdr>
    </w:div>
    <w:div w:id="1465656486">
      <w:bodyDiv w:val="1"/>
      <w:marLeft w:val="0"/>
      <w:marRight w:val="0"/>
      <w:marTop w:val="0"/>
      <w:marBottom w:val="0"/>
      <w:divBdr>
        <w:top w:val="none" w:sz="0" w:space="0" w:color="auto"/>
        <w:left w:val="none" w:sz="0" w:space="0" w:color="auto"/>
        <w:bottom w:val="none" w:sz="0" w:space="0" w:color="auto"/>
        <w:right w:val="none" w:sz="0" w:space="0" w:color="auto"/>
      </w:divBdr>
    </w:div>
    <w:div w:id="1475760442">
      <w:bodyDiv w:val="1"/>
      <w:marLeft w:val="0"/>
      <w:marRight w:val="0"/>
      <w:marTop w:val="0"/>
      <w:marBottom w:val="0"/>
      <w:divBdr>
        <w:top w:val="none" w:sz="0" w:space="0" w:color="auto"/>
        <w:left w:val="none" w:sz="0" w:space="0" w:color="auto"/>
        <w:bottom w:val="none" w:sz="0" w:space="0" w:color="auto"/>
        <w:right w:val="none" w:sz="0" w:space="0" w:color="auto"/>
      </w:divBdr>
    </w:div>
    <w:div w:id="1480154110">
      <w:bodyDiv w:val="1"/>
      <w:marLeft w:val="0"/>
      <w:marRight w:val="0"/>
      <w:marTop w:val="0"/>
      <w:marBottom w:val="0"/>
      <w:divBdr>
        <w:top w:val="none" w:sz="0" w:space="0" w:color="auto"/>
        <w:left w:val="none" w:sz="0" w:space="0" w:color="auto"/>
        <w:bottom w:val="none" w:sz="0" w:space="0" w:color="auto"/>
        <w:right w:val="none" w:sz="0" w:space="0" w:color="auto"/>
      </w:divBdr>
    </w:div>
    <w:div w:id="1482384682">
      <w:bodyDiv w:val="1"/>
      <w:marLeft w:val="0"/>
      <w:marRight w:val="0"/>
      <w:marTop w:val="0"/>
      <w:marBottom w:val="0"/>
      <w:divBdr>
        <w:top w:val="none" w:sz="0" w:space="0" w:color="auto"/>
        <w:left w:val="none" w:sz="0" w:space="0" w:color="auto"/>
        <w:bottom w:val="none" w:sz="0" w:space="0" w:color="auto"/>
        <w:right w:val="none" w:sz="0" w:space="0" w:color="auto"/>
      </w:divBdr>
    </w:div>
    <w:div w:id="1485122562">
      <w:bodyDiv w:val="1"/>
      <w:marLeft w:val="0"/>
      <w:marRight w:val="0"/>
      <w:marTop w:val="0"/>
      <w:marBottom w:val="0"/>
      <w:divBdr>
        <w:top w:val="none" w:sz="0" w:space="0" w:color="auto"/>
        <w:left w:val="none" w:sz="0" w:space="0" w:color="auto"/>
        <w:bottom w:val="none" w:sz="0" w:space="0" w:color="auto"/>
        <w:right w:val="none" w:sz="0" w:space="0" w:color="auto"/>
      </w:divBdr>
    </w:div>
    <w:div w:id="1496140486">
      <w:bodyDiv w:val="1"/>
      <w:marLeft w:val="0"/>
      <w:marRight w:val="0"/>
      <w:marTop w:val="0"/>
      <w:marBottom w:val="0"/>
      <w:divBdr>
        <w:top w:val="none" w:sz="0" w:space="0" w:color="auto"/>
        <w:left w:val="none" w:sz="0" w:space="0" w:color="auto"/>
        <w:bottom w:val="none" w:sz="0" w:space="0" w:color="auto"/>
        <w:right w:val="none" w:sz="0" w:space="0" w:color="auto"/>
      </w:divBdr>
    </w:div>
    <w:div w:id="1498837865">
      <w:bodyDiv w:val="1"/>
      <w:marLeft w:val="0"/>
      <w:marRight w:val="0"/>
      <w:marTop w:val="0"/>
      <w:marBottom w:val="0"/>
      <w:divBdr>
        <w:top w:val="none" w:sz="0" w:space="0" w:color="auto"/>
        <w:left w:val="none" w:sz="0" w:space="0" w:color="auto"/>
        <w:bottom w:val="none" w:sz="0" w:space="0" w:color="auto"/>
        <w:right w:val="none" w:sz="0" w:space="0" w:color="auto"/>
      </w:divBdr>
    </w:div>
    <w:div w:id="1498888538">
      <w:bodyDiv w:val="1"/>
      <w:marLeft w:val="0"/>
      <w:marRight w:val="0"/>
      <w:marTop w:val="0"/>
      <w:marBottom w:val="0"/>
      <w:divBdr>
        <w:top w:val="none" w:sz="0" w:space="0" w:color="auto"/>
        <w:left w:val="none" w:sz="0" w:space="0" w:color="auto"/>
        <w:bottom w:val="none" w:sz="0" w:space="0" w:color="auto"/>
        <w:right w:val="none" w:sz="0" w:space="0" w:color="auto"/>
      </w:divBdr>
    </w:div>
    <w:div w:id="1510487881">
      <w:bodyDiv w:val="1"/>
      <w:marLeft w:val="0"/>
      <w:marRight w:val="0"/>
      <w:marTop w:val="0"/>
      <w:marBottom w:val="0"/>
      <w:divBdr>
        <w:top w:val="none" w:sz="0" w:space="0" w:color="auto"/>
        <w:left w:val="none" w:sz="0" w:space="0" w:color="auto"/>
        <w:bottom w:val="none" w:sz="0" w:space="0" w:color="auto"/>
        <w:right w:val="none" w:sz="0" w:space="0" w:color="auto"/>
      </w:divBdr>
    </w:div>
    <w:div w:id="1516723175">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46135753">
      <w:bodyDiv w:val="1"/>
      <w:marLeft w:val="0"/>
      <w:marRight w:val="0"/>
      <w:marTop w:val="0"/>
      <w:marBottom w:val="0"/>
      <w:divBdr>
        <w:top w:val="none" w:sz="0" w:space="0" w:color="auto"/>
        <w:left w:val="none" w:sz="0" w:space="0" w:color="auto"/>
        <w:bottom w:val="none" w:sz="0" w:space="0" w:color="auto"/>
        <w:right w:val="none" w:sz="0" w:space="0" w:color="auto"/>
      </w:divBdr>
    </w:div>
    <w:div w:id="1550799911">
      <w:bodyDiv w:val="1"/>
      <w:marLeft w:val="0"/>
      <w:marRight w:val="0"/>
      <w:marTop w:val="0"/>
      <w:marBottom w:val="0"/>
      <w:divBdr>
        <w:top w:val="none" w:sz="0" w:space="0" w:color="auto"/>
        <w:left w:val="none" w:sz="0" w:space="0" w:color="auto"/>
        <w:bottom w:val="none" w:sz="0" w:space="0" w:color="auto"/>
        <w:right w:val="none" w:sz="0" w:space="0" w:color="auto"/>
      </w:divBdr>
    </w:div>
    <w:div w:id="1552889078">
      <w:bodyDiv w:val="1"/>
      <w:marLeft w:val="0"/>
      <w:marRight w:val="0"/>
      <w:marTop w:val="0"/>
      <w:marBottom w:val="0"/>
      <w:divBdr>
        <w:top w:val="none" w:sz="0" w:space="0" w:color="auto"/>
        <w:left w:val="none" w:sz="0" w:space="0" w:color="auto"/>
        <w:bottom w:val="none" w:sz="0" w:space="0" w:color="auto"/>
        <w:right w:val="none" w:sz="0" w:space="0" w:color="auto"/>
      </w:divBdr>
    </w:div>
    <w:div w:id="1561596928">
      <w:bodyDiv w:val="1"/>
      <w:marLeft w:val="0"/>
      <w:marRight w:val="0"/>
      <w:marTop w:val="0"/>
      <w:marBottom w:val="0"/>
      <w:divBdr>
        <w:top w:val="none" w:sz="0" w:space="0" w:color="auto"/>
        <w:left w:val="none" w:sz="0" w:space="0" w:color="auto"/>
        <w:bottom w:val="none" w:sz="0" w:space="0" w:color="auto"/>
        <w:right w:val="none" w:sz="0" w:space="0" w:color="auto"/>
      </w:divBdr>
    </w:div>
    <w:div w:id="1572733826">
      <w:bodyDiv w:val="1"/>
      <w:marLeft w:val="0"/>
      <w:marRight w:val="0"/>
      <w:marTop w:val="0"/>
      <w:marBottom w:val="0"/>
      <w:divBdr>
        <w:top w:val="none" w:sz="0" w:space="0" w:color="auto"/>
        <w:left w:val="none" w:sz="0" w:space="0" w:color="auto"/>
        <w:bottom w:val="none" w:sz="0" w:space="0" w:color="auto"/>
        <w:right w:val="none" w:sz="0" w:space="0" w:color="auto"/>
      </w:divBdr>
    </w:div>
    <w:div w:id="1601059119">
      <w:bodyDiv w:val="1"/>
      <w:marLeft w:val="0"/>
      <w:marRight w:val="0"/>
      <w:marTop w:val="0"/>
      <w:marBottom w:val="0"/>
      <w:divBdr>
        <w:top w:val="none" w:sz="0" w:space="0" w:color="auto"/>
        <w:left w:val="none" w:sz="0" w:space="0" w:color="auto"/>
        <w:bottom w:val="none" w:sz="0" w:space="0" w:color="auto"/>
        <w:right w:val="none" w:sz="0" w:space="0" w:color="auto"/>
      </w:divBdr>
    </w:div>
    <w:div w:id="1629896554">
      <w:bodyDiv w:val="1"/>
      <w:marLeft w:val="0"/>
      <w:marRight w:val="0"/>
      <w:marTop w:val="0"/>
      <w:marBottom w:val="0"/>
      <w:divBdr>
        <w:top w:val="none" w:sz="0" w:space="0" w:color="auto"/>
        <w:left w:val="none" w:sz="0" w:space="0" w:color="auto"/>
        <w:bottom w:val="none" w:sz="0" w:space="0" w:color="auto"/>
        <w:right w:val="none" w:sz="0" w:space="0" w:color="auto"/>
      </w:divBdr>
    </w:div>
    <w:div w:id="1637024089">
      <w:bodyDiv w:val="1"/>
      <w:marLeft w:val="0"/>
      <w:marRight w:val="0"/>
      <w:marTop w:val="0"/>
      <w:marBottom w:val="0"/>
      <w:divBdr>
        <w:top w:val="none" w:sz="0" w:space="0" w:color="auto"/>
        <w:left w:val="none" w:sz="0" w:space="0" w:color="auto"/>
        <w:bottom w:val="none" w:sz="0" w:space="0" w:color="auto"/>
        <w:right w:val="none" w:sz="0" w:space="0" w:color="auto"/>
      </w:divBdr>
    </w:div>
    <w:div w:id="1644115864">
      <w:bodyDiv w:val="1"/>
      <w:marLeft w:val="0"/>
      <w:marRight w:val="0"/>
      <w:marTop w:val="0"/>
      <w:marBottom w:val="0"/>
      <w:divBdr>
        <w:top w:val="none" w:sz="0" w:space="0" w:color="auto"/>
        <w:left w:val="none" w:sz="0" w:space="0" w:color="auto"/>
        <w:bottom w:val="none" w:sz="0" w:space="0" w:color="auto"/>
        <w:right w:val="none" w:sz="0" w:space="0" w:color="auto"/>
      </w:divBdr>
    </w:div>
    <w:div w:id="1647272341">
      <w:bodyDiv w:val="1"/>
      <w:marLeft w:val="0"/>
      <w:marRight w:val="0"/>
      <w:marTop w:val="0"/>
      <w:marBottom w:val="0"/>
      <w:divBdr>
        <w:top w:val="none" w:sz="0" w:space="0" w:color="auto"/>
        <w:left w:val="none" w:sz="0" w:space="0" w:color="auto"/>
        <w:bottom w:val="none" w:sz="0" w:space="0" w:color="auto"/>
        <w:right w:val="none" w:sz="0" w:space="0" w:color="auto"/>
      </w:divBdr>
    </w:div>
    <w:div w:id="1651179692">
      <w:bodyDiv w:val="1"/>
      <w:marLeft w:val="0"/>
      <w:marRight w:val="0"/>
      <w:marTop w:val="0"/>
      <w:marBottom w:val="0"/>
      <w:divBdr>
        <w:top w:val="none" w:sz="0" w:space="0" w:color="auto"/>
        <w:left w:val="none" w:sz="0" w:space="0" w:color="auto"/>
        <w:bottom w:val="none" w:sz="0" w:space="0" w:color="auto"/>
        <w:right w:val="none" w:sz="0" w:space="0" w:color="auto"/>
      </w:divBdr>
    </w:div>
    <w:div w:id="1687826205">
      <w:bodyDiv w:val="1"/>
      <w:marLeft w:val="0"/>
      <w:marRight w:val="0"/>
      <w:marTop w:val="0"/>
      <w:marBottom w:val="0"/>
      <w:divBdr>
        <w:top w:val="none" w:sz="0" w:space="0" w:color="auto"/>
        <w:left w:val="none" w:sz="0" w:space="0" w:color="auto"/>
        <w:bottom w:val="none" w:sz="0" w:space="0" w:color="auto"/>
        <w:right w:val="none" w:sz="0" w:space="0" w:color="auto"/>
      </w:divBdr>
    </w:div>
    <w:div w:id="1693649028">
      <w:bodyDiv w:val="1"/>
      <w:marLeft w:val="0"/>
      <w:marRight w:val="0"/>
      <w:marTop w:val="0"/>
      <w:marBottom w:val="0"/>
      <w:divBdr>
        <w:top w:val="none" w:sz="0" w:space="0" w:color="auto"/>
        <w:left w:val="none" w:sz="0" w:space="0" w:color="auto"/>
        <w:bottom w:val="none" w:sz="0" w:space="0" w:color="auto"/>
        <w:right w:val="none" w:sz="0" w:space="0" w:color="auto"/>
      </w:divBdr>
    </w:div>
    <w:div w:id="1705519963">
      <w:bodyDiv w:val="1"/>
      <w:marLeft w:val="0"/>
      <w:marRight w:val="0"/>
      <w:marTop w:val="0"/>
      <w:marBottom w:val="0"/>
      <w:divBdr>
        <w:top w:val="none" w:sz="0" w:space="0" w:color="auto"/>
        <w:left w:val="none" w:sz="0" w:space="0" w:color="auto"/>
        <w:bottom w:val="none" w:sz="0" w:space="0" w:color="auto"/>
        <w:right w:val="none" w:sz="0" w:space="0" w:color="auto"/>
      </w:divBdr>
    </w:div>
    <w:div w:id="1715537719">
      <w:bodyDiv w:val="1"/>
      <w:marLeft w:val="0"/>
      <w:marRight w:val="0"/>
      <w:marTop w:val="0"/>
      <w:marBottom w:val="0"/>
      <w:divBdr>
        <w:top w:val="none" w:sz="0" w:space="0" w:color="auto"/>
        <w:left w:val="none" w:sz="0" w:space="0" w:color="auto"/>
        <w:bottom w:val="none" w:sz="0" w:space="0" w:color="auto"/>
        <w:right w:val="none" w:sz="0" w:space="0" w:color="auto"/>
      </w:divBdr>
    </w:div>
    <w:div w:id="1725833797">
      <w:bodyDiv w:val="1"/>
      <w:marLeft w:val="0"/>
      <w:marRight w:val="0"/>
      <w:marTop w:val="0"/>
      <w:marBottom w:val="0"/>
      <w:divBdr>
        <w:top w:val="none" w:sz="0" w:space="0" w:color="auto"/>
        <w:left w:val="none" w:sz="0" w:space="0" w:color="auto"/>
        <w:bottom w:val="none" w:sz="0" w:space="0" w:color="auto"/>
        <w:right w:val="none" w:sz="0" w:space="0" w:color="auto"/>
      </w:divBdr>
    </w:div>
    <w:div w:id="1729183599">
      <w:bodyDiv w:val="1"/>
      <w:marLeft w:val="0"/>
      <w:marRight w:val="0"/>
      <w:marTop w:val="0"/>
      <w:marBottom w:val="0"/>
      <w:divBdr>
        <w:top w:val="none" w:sz="0" w:space="0" w:color="auto"/>
        <w:left w:val="none" w:sz="0" w:space="0" w:color="auto"/>
        <w:bottom w:val="none" w:sz="0" w:space="0" w:color="auto"/>
        <w:right w:val="none" w:sz="0" w:space="0" w:color="auto"/>
      </w:divBdr>
    </w:div>
    <w:div w:id="1738285337">
      <w:bodyDiv w:val="1"/>
      <w:marLeft w:val="0"/>
      <w:marRight w:val="0"/>
      <w:marTop w:val="0"/>
      <w:marBottom w:val="0"/>
      <w:divBdr>
        <w:top w:val="none" w:sz="0" w:space="0" w:color="auto"/>
        <w:left w:val="none" w:sz="0" w:space="0" w:color="auto"/>
        <w:bottom w:val="none" w:sz="0" w:space="0" w:color="auto"/>
        <w:right w:val="none" w:sz="0" w:space="0" w:color="auto"/>
      </w:divBdr>
    </w:div>
    <w:div w:id="1764379179">
      <w:bodyDiv w:val="1"/>
      <w:marLeft w:val="0"/>
      <w:marRight w:val="0"/>
      <w:marTop w:val="0"/>
      <w:marBottom w:val="0"/>
      <w:divBdr>
        <w:top w:val="none" w:sz="0" w:space="0" w:color="auto"/>
        <w:left w:val="none" w:sz="0" w:space="0" w:color="auto"/>
        <w:bottom w:val="none" w:sz="0" w:space="0" w:color="auto"/>
        <w:right w:val="none" w:sz="0" w:space="0" w:color="auto"/>
      </w:divBdr>
    </w:div>
    <w:div w:id="1780686599">
      <w:bodyDiv w:val="1"/>
      <w:marLeft w:val="0"/>
      <w:marRight w:val="0"/>
      <w:marTop w:val="0"/>
      <w:marBottom w:val="0"/>
      <w:divBdr>
        <w:top w:val="none" w:sz="0" w:space="0" w:color="auto"/>
        <w:left w:val="none" w:sz="0" w:space="0" w:color="auto"/>
        <w:bottom w:val="none" w:sz="0" w:space="0" w:color="auto"/>
        <w:right w:val="none" w:sz="0" w:space="0" w:color="auto"/>
      </w:divBdr>
    </w:div>
    <w:div w:id="1786845937">
      <w:bodyDiv w:val="1"/>
      <w:marLeft w:val="0"/>
      <w:marRight w:val="0"/>
      <w:marTop w:val="0"/>
      <w:marBottom w:val="0"/>
      <w:divBdr>
        <w:top w:val="none" w:sz="0" w:space="0" w:color="auto"/>
        <w:left w:val="none" w:sz="0" w:space="0" w:color="auto"/>
        <w:bottom w:val="none" w:sz="0" w:space="0" w:color="auto"/>
        <w:right w:val="none" w:sz="0" w:space="0" w:color="auto"/>
      </w:divBdr>
    </w:div>
    <w:div w:id="1809398168">
      <w:bodyDiv w:val="1"/>
      <w:marLeft w:val="0"/>
      <w:marRight w:val="0"/>
      <w:marTop w:val="0"/>
      <w:marBottom w:val="0"/>
      <w:divBdr>
        <w:top w:val="none" w:sz="0" w:space="0" w:color="auto"/>
        <w:left w:val="none" w:sz="0" w:space="0" w:color="auto"/>
        <w:bottom w:val="none" w:sz="0" w:space="0" w:color="auto"/>
        <w:right w:val="none" w:sz="0" w:space="0" w:color="auto"/>
      </w:divBdr>
    </w:div>
    <w:div w:id="1810438150">
      <w:bodyDiv w:val="1"/>
      <w:marLeft w:val="0"/>
      <w:marRight w:val="0"/>
      <w:marTop w:val="0"/>
      <w:marBottom w:val="0"/>
      <w:divBdr>
        <w:top w:val="none" w:sz="0" w:space="0" w:color="auto"/>
        <w:left w:val="none" w:sz="0" w:space="0" w:color="auto"/>
        <w:bottom w:val="none" w:sz="0" w:space="0" w:color="auto"/>
        <w:right w:val="none" w:sz="0" w:space="0" w:color="auto"/>
      </w:divBdr>
    </w:div>
    <w:div w:id="1816413424">
      <w:bodyDiv w:val="1"/>
      <w:marLeft w:val="0"/>
      <w:marRight w:val="0"/>
      <w:marTop w:val="0"/>
      <w:marBottom w:val="0"/>
      <w:divBdr>
        <w:top w:val="none" w:sz="0" w:space="0" w:color="auto"/>
        <w:left w:val="none" w:sz="0" w:space="0" w:color="auto"/>
        <w:bottom w:val="none" w:sz="0" w:space="0" w:color="auto"/>
        <w:right w:val="none" w:sz="0" w:space="0" w:color="auto"/>
      </w:divBdr>
    </w:div>
    <w:div w:id="1832721176">
      <w:bodyDiv w:val="1"/>
      <w:marLeft w:val="0"/>
      <w:marRight w:val="0"/>
      <w:marTop w:val="0"/>
      <w:marBottom w:val="0"/>
      <w:divBdr>
        <w:top w:val="none" w:sz="0" w:space="0" w:color="auto"/>
        <w:left w:val="none" w:sz="0" w:space="0" w:color="auto"/>
        <w:bottom w:val="none" w:sz="0" w:space="0" w:color="auto"/>
        <w:right w:val="none" w:sz="0" w:space="0" w:color="auto"/>
      </w:divBdr>
    </w:div>
    <w:div w:id="1839732316">
      <w:bodyDiv w:val="1"/>
      <w:marLeft w:val="0"/>
      <w:marRight w:val="0"/>
      <w:marTop w:val="0"/>
      <w:marBottom w:val="0"/>
      <w:divBdr>
        <w:top w:val="none" w:sz="0" w:space="0" w:color="auto"/>
        <w:left w:val="none" w:sz="0" w:space="0" w:color="auto"/>
        <w:bottom w:val="none" w:sz="0" w:space="0" w:color="auto"/>
        <w:right w:val="none" w:sz="0" w:space="0" w:color="auto"/>
      </w:divBdr>
    </w:div>
    <w:div w:id="1848403290">
      <w:bodyDiv w:val="1"/>
      <w:marLeft w:val="0"/>
      <w:marRight w:val="0"/>
      <w:marTop w:val="0"/>
      <w:marBottom w:val="0"/>
      <w:divBdr>
        <w:top w:val="none" w:sz="0" w:space="0" w:color="auto"/>
        <w:left w:val="none" w:sz="0" w:space="0" w:color="auto"/>
        <w:bottom w:val="none" w:sz="0" w:space="0" w:color="auto"/>
        <w:right w:val="none" w:sz="0" w:space="0" w:color="auto"/>
      </w:divBdr>
    </w:div>
    <w:div w:id="1849755493">
      <w:bodyDiv w:val="1"/>
      <w:marLeft w:val="0"/>
      <w:marRight w:val="0"/>
      <w:marTop w:val="0"/>
      <w:marBottom w:val="0"/>
      <w:divBdr>
        <w:top w:val="none" w:sz="0" w:space="0" w:color="auto"/>
        <w:left w:val="none" w:sz="0" w:space="0" w:color="auto"/>
        <w:bottom w:val="none" w:sz="0" w:space="0" w:color="auto"/>
        <w:right w:val="none" w:sz="0" w:space="0" w:color="auto"/>
      </w:divBdr>
    </w:div>
    <w:div w:id="1873612693">
      <w:bodyDiv w:val="1"/>
      <w:marLeft w:val="0"/>
      <w:marRight w:val="0"/>
      <w:marTop w:val="0"/>
      <w:marBottom w:val="0"/>
      <w:divBdr>
        <w:top w:val="none" w:sz="0" w:space="0" w:color="auto"/>
        <w:left w:val="none" w:sz="0" w:space="0" w:color="auto"/>
        <w:bottom w:val="none" w:sz="0" w:space="0" w:color="auto"/>
        <w:right w:val="none" w:sz="0" w:space="0" w:color="auto"/>
      </w:divBdr>
    </w:div>
    <w:div w:id="1897084572">
      <w:bodyDiv w:val="1"/>
      <w:marLeft w:val="0"/>
      <w:marRight w:val="0"/>
      <w:marTop w:val="0"/>
      <w:marBottom w:val="0"/>
      <w:divBdr>
        <w:top w:val="none" w:sz="0" w:space="0" w:color="auto"/>
        <w:left w:val="none" w:sz="0" w:space="0" w:color="auto"/>
        <w:bottom w:val="none" w:sz="0" w:space="0" w:color="auto"/>
        <w:right w:val="none" w:sz="0" w:space="0" w:color="auto"/>
      </w:divBdr>
    </w:div>
    <w:div w:id="1923637665">
      <w:bodyDiv w:val="1"/>
      <w:marLeft w:val="0"/>
      <w:marRight w:val="0"/>
      <w:marTop w:val="0"/>
      <w:marBottom w:val="0"/>
      <w:divBdr>
        <w:top w:val="none" w:sz="0" w:space="0" w:color="auto"/>
        <w:left w:val="none" w:sz="0" w:space="0" w:color="auto"/>
        <w:bottom w:val="none" w:sz="0" w:space="0" w:color="auto"/>
        <w:right w:val="none" w:sz="0" w:space="0" w:color="auto"/>
      </w:divBdr>
    </w:div>
    <w:div w:id="1942377828">
      <w:bodyDiv w:val="1"/>
      <w:marLeft w:val="0"/>
      <w:marRight w:val="0"/>
      <w:marTop w:val="0"/>
      <w:marBottom w:val="0"/>
      <w:divBdr>
        <w:top w:val="none" w:sz="0" w:space="0" w:color="auto"/>
        <w:left w:val="none" w:sz="0" w:space="0" w:color="auto"/>
        <w:bottom w:val="none" w:sz="0" w:space="0" w:color="auto"/>
        <w:right w:val="none" w:sz="0" w:space="0" w:color="auto"/>
      </w:divBdr>
    </w:div>
    <w:div w:id="1961449543">
      <w:bodyDiv w:val="1"/>
      <w:marLeft w:val="0"/>
      <w:marRight w:val="0"/>
      <w:marTop w:val="0"/>
      <w:marBottom w:val="0"/>
      <w:divBdr>
        <w:top w:val="none" w:sz="0" w:space="0" w:color="auto"/>
        <w:left w:val="none" w:sz="0" w:space="0" w:color="auto"/>
        <w:bottom w:val="none" w:sz="0" w:space="0" w:color="auto"/>
        <w:right w:val="none" w:sz="0" w:space="0" w:color="auto"/>
      </w:divBdr>
    </w:div>
    <w:div w:id="1972981541">
      <w:bodyDiv w:val="1"/>
      <w:marLeft w:val="0"/>
      <w:marRight w:val="0"/>
      <w:marTop w:val="0"/>
      <w:marBottom w:val="0"/>
      <w:divBdr>
        <w:top w:val="none" w:sz="0" w:space="0" w:color="auto"/>
        <w:left w:val="none" w:sz="0" w:space="0" w:color="auto"/>
        <w:bottom w:val="none" w:sz="0" w:space="0" w:color="auto"/>
        <w:right w:val="none" w:sz="0" w:space="0" w:color="auto"/>
      </w:divBdr>
    </w:div>
    <w:div w:id="1977298352">
      <w:bodyDiv w:val="1"/>
      <w:marLeft w:val="0"/>
      <w:marRight w:val="0"/>
      <w:marTop w:val="0"/>
      <w:marBottom w:val="0"/>
      <w:divBdr>
        <w:top w:val="none" w:sz="0" w:space="0" w:color="auto"/>
        <w:left w:val="none" w:sz="0" w:space="0" w:color="auto"/>
        <w:bottom w:val="none" w:sz="0" w:space="0" w:color="auto"/>
        <w:right w:val="none" w:sz="0" w:space="0" w:color="auto"/>
      </w:divBdr>
    </w:div>
    <w:div w:id="1978298225">
      <w:bodyDiv w:val="1"/>
      <w:marLeft w:val="0"/>
      <w:marRight w:val="0"/>
      <w:marTop w:val="0"/>
      <w:marBottom w:val="0"/>
      <w:divBdr>
        <w:top w:val="none" w:sz="0" w:space="0" w:color="auto"/>
        <w:left w:val="none" w:sz="0" w:space="0" w:color="auto"/>
        <w:bottom w:val="none" w:sz="0" w:space="0" w:color="auto"/>
        <w:right w:val="none" w:sz="0" w:space="0" w:color="auto"/>
      </w:divBdr>
    </w:div>
    <w:div w:id="1981686913">
      <w:bodyDiv w:val="1"/>
      <w:marLeft w:val="0"/>
      <w:marRight w:val="0"/>
      <w:marTop w:val="0"/>
      <w:marBottom w:val="0"/>
      <w:divBdr>
        <w:top w:val="none" w:sz="0" w:space="0" w:color="auto"/>
        <w:left w:val="none" w:sz="0" w:space="0" w:color="auto"/>
        <w:bottom w:val="none" w:sz="0" w:space="0" w:color="auto"/>
        <w:right w:val="none" w:sz="0" w:space="0" w:color="auto"/>
      </w:divBdr>
    </w:div>
    <w:div w:id="1981837707">
      <w:bodyDiv w:val="1"/>
      <w:marLeft w:val="0"/>
      <w:marRight w:val="0"/>
      <w:marTop w:val="0"/>
      <w:marBottom w:val="0"/>
      <w:divBdr>
        <w:top w:val="none" w:sz="0" w:space="0" w:color="auto"/>
        <w:left w:val="none" w:sz="0" w:space="0" w:color="auto"/>
        <w:bottom w:val="none" w:sz="0" w:space="0" w:color="auto"/>
        <w:right w:val="none" w:sz="0" w:space="0" w:color="auto"/>
      </w:divBdr>
    </w:div>
    <w:div w:id="1991903758">
      <w:bodyDiv w:val="1"/>
      <w:marLeft w:val="0"/>
      <w:marRight w:val="0"/>
      <w:marTop w:val="0"/>
      <w:marBottom w:val="0"/>
      <w:divBdr>
        <w:top w:val="none" w:sz="0" w:space="0" w:color="auto"/>
        <w:left w:val="none" w:sz="0" w:space="0" w:color="auto"/>
        <w:bottom w:val="none" w:sz="0" w:space="0" w:color="auto"/>
        <w:right w:val="none" w:sz="0" w:space="0" w:color="auto"/>
      </w:divBdr>
    </w:div>
    <w:div w:id="1997492637">
      <w:bodyDiv w:val="1"/>
      <w:marLeft w:val="0"/>
      <w:marRight w:val="0"/>
      <w:marTop w:val="0"/>
      <w:marBottom w:val="0"/>
      <w:divBdr>
        <w:top w:val="none" w:sz="0" w:space="0" w:color="auto"/>
        <w:left w:val="none" w:sz="0" w:space="0" w:color="auto"/>
        <w:bottom w:val="none" w:sz="0" w:space="0" w:color="auto"/>
        <w:right w:val="none" w:sz="0" w:space="0" w:color="auto"/>
      </w:divBdr>
    </w:div>
    <w:div w:id="2000159158">
      <w:bodyDiv w:val="1"/>
      <w:marLeft w:val="0"/>
      <w:marRight w:val="0"/>
      <w:marTop w:val="0"/>
      <w:marBottom w:val="0"/>
      <w:divBdr>
        <w:top w:val="none" w:sz="0" w:space="0" w:color="auto"/>
        <w:left w:val="none" w:sz="0" w:space="0" w:color="auto"/>
        <w:bottom w:val="none" w:sz="0" w:space="0" w:color="auto"/>
        <w:right w:val="none" w:sz="0" w:space="0" w:color="auto"/>
      </w:divBdr>
    </w:div>
    <w:div w:id="2022048808">
      <w:bodyDiv w:val="1"/>
      <w:marLeft w:val="0"/>
      <w:marRight w:val="0"/>
      <w:marTop w:val="0"/>
      <w:marBottom w:val="0"/>
      <w:divBdr>
        <w:top w:val="none" w:sz="0" w:space="0" w:color="auto"/>
        <w:left w:val="none" w:sz="0" w:space="0" w:color="auto"/>
        <w:bottom w:val="none" w:sz="0" w:space="0" w:color="auto"/>
        <w:right w:val="none" w:sz="0" w:space="0" w:color="auto"/>
      </w:divBdr>
    </w:div>
    <w:div w:id="2031832290">
      <w:bodyDiv w:val="1"/>
      <w:marLeft w:val="0"/>
      <w:marRight w:val="0"/>
      <w:marTop w:val="0"/>
      <w:marBottom w:val="0"/>
      <w:divBdr>
        <w:top w:val="none" w:sz="0" w:space="0" w:color="auto"/>
        <w:left w:val="none" w:sz="0" w:space="0" w:color="auto"/>
        <w:bottom w:val="none" w:sz="0" w:space="0" w:color="auto"/>
        <w:right w:val="none" w:sz="0" w:space="0" w:color="auto"/>
      </w:divBdr>
    </w:div>
    <w:div w:id="2049329771">
      <w:bodyDiv w:val="1"/>
      <w:marLeft w:val="0"/>
      <w:marRight w:val="0"/>
      <w:marTop w:val="0"/>
      <w:marBottom w:val="0"/>
      <w:divBdr>
        <w:top w:val="none" w:sz="0" w:space="0" w:color="auto"/>
        <w:left w:val="none" w:sz="0" w:space="0" w:color="auto"/>
        <w:bottom w:val="none" w:sz="0" w:space="0" w:color="auto"/>
        <w:right w:val="none" w:sz="0" w:space="0" w:color="auto"/>
      </w:divBdr>
    </w:div>
    <w:div w:id="2058359187">
      <w:bodyDiv w:val="1"/>
      <w:marLeft w:val="0"/>
      <w:marRight w:val="0"/>
      <w:marTop w:val="0"/>
      <w:marBottom w:val="0"/>
      <w:divBdr>
        <w:top w:val="none" w:sz="0" w:space="0" w:color="auto"/>
        <w:left w:val="none" w:sz="0" w:space="0" w:color="auto"/>
        <w:bottom w:val="none" w:sz="0" w:space="0" w:color="auto"/>
        <w:right w:val="none" w:sz="0" w:space="0" w:color="auto"/>
      </w:divBdr>
    </w:div>
    <w:div w:id="2076196347">
      <w:bodyDiv w:val="1"/>
      <w:marLeft w:val="0"/>
      <w:marRight w:val="0"/>
      <w:marTop w:val="0"/>
      <w:marBottom w:val="0"/>
      <w:divBdr>
        <w:top w:val="none" w:sz="0" w:space="0" w:color="auto"/>
        <w:left w:val="none" w:sz="0" w:space="0" w:color="auto"/>
        <w:bottom w:val="none" w:sz="0" w:space="0" w:color="auto"/>
        <w:right w:val="none" w:sz="0" w:space="0" w:color="auto"/>
      </w:divBdr>
    </w:div>
    <w:div w:id="2090762236">
      <w:bodyDiv w:val="1"/>
      <w:marLeft w:val="0"/>
      <w:marRight w:val="0"/>
      <w:marTop w:val="0"/>
      <w:marBottom w:val="0"/>
      <w:divBdr>
        <w:top w:val="none" w:sz="0" w:space="0" w:color="auto"/>
        <w:left w:val="none" w:sz="0" w:space="0" w:color="auto"/>
        <w:bottom w:val="none" w:sz="0" w:space="0" w:color="auto"/>
        <w:right w:val="none" w:sz="0" w:space="0" w:color="auto"/>
      </w:divBdr>
    </w:div>
    <w:div w:id="2095786129">
      <w:bodyDiv w:val="1"/>
      <w:marLeft w:val="0"/>
      <w:marRight w:val="0"/>
      <w:marTop w:val="0"/>
      <w:marBottom w:val="0"/>
      <w:divBdr>
        <w:top w:val="none" w:sz="0" w:space="0" w:color="auto"/>
        <w:left w:val="none" w:sz="0" w:space="0" w:color="auto"/>
        <w:bottom w:val="none" w:sz="0" w:space="0" w:color="auto"/>
        <w:right w:val="none" w:sz="0" w:space="0" w:color="auto"/>
      </w:divBdr>
    </w:div>
    <w:div w:id="2096856546">
      <w:bodyDiv w:val="1"/>
      <w:marLeft w:val="0"/>
      <w:marRight w:val="0"/>
      <w:marTop w:val="0"/>
      <w:marBottom w:val="0"/>
      <w:divBdr>
        <w:top w:val="none" w:sz="0" w:space="0" w:color="auto"/>
        <w:left w:val="none" w:sz="0" w:space="0" w:color="auto"/>
        <w:bottom w:val="none" w:sz="0" w:space="0" w:color="auto"/>
        <w:right w:val="none" w:sz="0" w:space="0" w:color="auto"/>
      </w:divBdr>
    </w:div>
    <w:div w:id="2100325624">
      <w:bodyDiv w:val="1"/>
      <w:marLeft w:val="0"/>
      <w:marRight w:val="0"/>
      <w:marTop w:val="0"/>
      <w:marBottom w:val="0"/>
      <w:divBdr>
        <w:top w:val="none" w:sz="0" w:space="0" w:color="auto"/>
        <w:left w:val="none" w:sz="0" w:space="0" w:color="auto"/>
        <w:bottom w:val="none" w:sz="0" w:space="0" w:color="auto"/>
        <w:right w:val="none" w:sz="0" w:space="0" w:color="auto"/>
      </w:divBdr>
    </w:div>
    <w:div w:id="2117208286">
      <w:bodyDiv w:val="1"/>
      <w:marLeft w:val="0"/>
      <w:marRight w:val="0"/>
      <w:marTop w:val="0"/>
      <w:marBottom w:val="0"/>
      <w:divBdr>
        <w:top w:val="none" w:sz="0" w:space="0" w:color="auto"/>
        <w:left w:val="none" w:sz="0" w:space="0" w:color="auto"/>
        <w:bottom w:val="none" w:sz="0" w:space="0" w:color="auto"/>
        <w:right w:val="none" w:sz="0" w:space="0" w:color="auto"/>
      </w:divBdr>
    </w:div>
    <w:div w:id="2117477312">
      <w:bodyDiv w:val="1"/>
      <w:marLeft w:val="0"/>
      <w:marRight w:val="0"/>
      <w:marTop w:val="0"/>
      <w:marBottom w:val="0"/>
      <w:divBdr>
        <w:top w:val="none" w:sz="0" w:space="0" w:color="auto"/>
        <w:left w:val="none" w:sz="0" w:space="0" w:color="auto"/>
        <w:bottom w:val="none" w:sz="0" w:space="0" w:color="auto"/>
        <w:right w:val="none" w:sz="0" w:space="0" w:color="auto"/>
      </w:divBdr>
    </w:div>
    <w:div w:id="21467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sk.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C5025165-BF64-47A0-A84D-FEB16D0ED423}">
    <t:Anchor>
      <t:Comment id="753012541"/>
    </t:Anchor>
    <t:History>
      <t:Event id="{F79FE02A-338C-4614-B7D1-9586B262355F}" time="2023-09-11T15:17:40.351Z">
        <t:Attribution userId="S::francesco.bonanomi@ec.europa.eu::a2e356af-e8c1-4d65-96e9-8f24c3c1833e" userProvider="AD" userName="BONANOMI Francesco (BUDG)"/>
        <t:Anchor>
          <t:Comment id="687149150"/>
        </t:Anchor>
        <t:Create/>
      </t:Event>
      <t:Event id="{82338177-A392-4DDD-99F1-E4EFC6D92FBA}" time="2023-09-11T15:17:40.351Z">
        <t:Attribution userId="S::francesco.bonanomi@ec.europa.eu::a2e356af-e8c1-4d65-96e9-8f24c3c1833e" userProvider="AD" userName="BONANOMI Francesco (BUDG)"/>
        <t:Anchor>
          <t:Comment id="687149150"/>
        </t:Anchor>
        <t:Assign userId="S::Jeremie.VIAILLY@ec.europa.eu::26a1d493-d36c-480b-93a3-320a36bd0fee" userProvider="AD" userName="VIAILLY Jeremie (BUDG)"/>
      </t:Event>
      <t:Event id="{E46F3AC7-2AC8-4EC6-8EEB-FB13067884A1}" time="2023-09-11T15:17:40.351Z">
        <t:Attribution userId="S::francesco.bonanomi@ec.europa.eu::a2e356af-e8c1-4d65-96e9-8f24c3c1833e" userProvider="AD" userName="BONANOMI Francesco (BUDG)"/>
        <t:Anchor>
          <t:Comment id="687149150"/>
        </t:Anchor>
        <t:SetTitle title="@VIAILLY Jeremie (BUDG) Jérémie, what do you think? For us (InvestEU etc) it was rather a matter for simplification but maybe for HE is OK like Atanas proposes it."/>
      </t:Event>
      <t:Event id="{E6D336BB-9B61-4E8B-88AE-2C184C88B592}" time="2023-09-13T08:40:49.225Z">
        <t:Attribution userId="S::jeremie.viailly@ec.europa.eu::26a1d493-d36c-480b-93a3-320a36bd0fee" userProvider="AD" userName="VIAILLY Jeremie (BUD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D9014476DED49B5A9ADBFCD58139D" ma:contentTypeVersion="8" ma:contentTypeDescription="Create a new document." ma:contentTypeScope="" ma:versionID="5c3a585ad91be72390332a1247289d1d">
  <xsd:schema xmlns:xsd="http://www.w3.org/2001/XMLSchema" xmlns:xs="http://www.w3.org/2001/XMLSchema" xmlns:p="http://schemas.microsoft.com/office/2006/metadata/properties" xmlns:ns2="cdf19970-b5ad-4197-8b86-34b0870b43f7" targetNamespace="http://schemas.microsoft.com/office/2006/metadata/properties" ma:root="true" ma:fieldsID="669d2a59ef20f03eaed17bac64da4fd4" ns2:_="">
    <xsd:import namespace="cdf19970-b5ad-4197-8b86-34b0870b43f7"/>
    <xsd:element name="properties">
      <xsd:complexType>
        <xsd:sequence>
          <xsd:element name="documentManagement">
            <xsd:complexType>
              <xsd:all>
                <xsd:element ref="ns2:Author0"/>
                <xsd:element ref="ns2:Year"/>
                <xsd:element ref="ns2:Step"/>
                <xsd:element ref="ns2:DocType"/>
                <xsd:element ref="ns2:FreeText" minOccurs="0"/>
                <xsd:element ref="ns2:FolderCod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19970-b5ad-4197-8b86-34b0870b43f7" elementFormDefault="qualified">
    <xsd:import namespace="http://schemas.microsoft.com/office/2006/documentManagement/types"/>
    <xsd:import namespace="http://schemas.microsoft.com/office/infopath/2007/PartnerControls"/>
    <xsd:element name="Author0" ma:index="8" ma:displayName="Author"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Year" ma:index="9"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element name="Step" ma:index="10" ma:displayName="Step" ma:format="Dropdown" ma:internalName="Step">
      <xsd:simpleType>
        <xsd:restriction base="dms:Choice">
          <xsd:enumeration value="dab_01"/>
          <xsd:enumeration value="dab_02"/>
          <xsd:enumeration value="dab_03"/>
          <xsd:enumeration value="dab_04"/>
          <xsd:enumeration value="dab_05"/>
          <xsd:enumeration value="dab_06"/>
          <xsd:enumeration value="dab_07"/>
          <xsd:enumeration value="dab_08"/>
          <xsd:enumeration value="dab_09"/>
          <xsd:enumeration value="dab_10"/>
          <xsd:enumeration value="hearings"/>
          <xsd:enumeration value="draft_budget_1"/>
          <xsd:enumeration value="parliament_1"/>
          <xsd:enumeration value="council_1"/>
          <xsd:enumeration value="amending_letter_1"/>
          <xsd:enumeration value="amending_letter_2"/>
          <xsd:enumeration value="draft_budget_2"/>
          <xsd:enumeration value="parliament_2"/>
          <xsd:enumeration value="council_2"/>
          <xsd:enumeration value="budget"/>
          <xsd:enumeration value="tufp"/>
          <xsd:enumeration value="other"/>
        </xsd:restriction>
      </xsd:simpleType>
    </xsd:element>
    <xsd:element name="DocType" ma:index="11" ma:displayName="DocType" ma:format="Dropdown" ma:internalName="DocType">
      <xsd:simpleType>
        <xsd:restriction base="dms:Choice">
          <xsd:enumeration value="Report"/>
          <xsd:enumeration value="Presentation"/>
          <xsd:enumeration value="Spreadsheet"/>
          <xsd:enumeration value="Other"/>
        </xsd:restriction>
      </xsd:simpleType>
    </xsd:element>
    <xsd:element name="FreeText" ma:index="12" nillable="true" ma:displayName="FreeText" ma:internalName="FreeText">
      <xsd:simpleType>
        <xsd:restriction base="dms:Text">
          <xsd:maxLength value="255"/>
        </xsd:restriction>
      </xsd:simpleType>
    </xsd:element>
    <xsd:element name="FolderCode" ma:index="13" nillable="true" ma:displayName="FolderCode" ma:internalName="FolderCod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ep xmlns="cdf19970-b5ad-4197-8b86-34b0870b43f7">amending_letter_1</Step>
    <DocType xmlns="cdf19970-b5ad-4197-8b86-34b0870b43f7">Report</DocType>
    <FreeText xmlns="cdf19970-b5ad-4197-8b86-34b0870b43f7" xsi:nil="true"/>
    <Author0 xmlns="cdf19970-b5ad-4197-8b86-34b0870b43f7">
      <UserInfo>
        <DisplayName>SAIL Etienne (BUDG)</DisplayName>
        <AccountId>12</AccountId>
        <AccountType/>
      </UserInfo>
    </Author0>
    <Year xmlns="cdf19970-b5ad-4197-8b86-34b0870b43f7">2024</Year>
    <FolderCode xmlns="cdf19970-b5ad-4197-8b86-34b0870b43f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3A9A-72D0-4430-A4F6-CAB7F404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19970-b5ad-4197-8b86-34b0870b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43907-64B4-4AEA-96E0-87CE585B63DE}">
  <ds:schemaRefs>
    <ds:schemaRef ds:uri="http://schemas.microsoft.com/office/2006/metadata/properties"/>
    <ds:schemaRef ds:uri="http://schemas.microsoft.com/office/infopath/2007/PartnerControls"/>
    <ds:schemaRef ds:uri="cdf19970-b5ad-4197-8b86-34b0870b43f7"/>
  </ds:schemaRefs>
</ds:datastoreItem>
</file>

<file path=customXml/itemProps3.xml><?xml version="1.0" encoding="utf-8"?>
<ds:datastoreItem xmlns:ds="http://schemas.openxmlformats.org/officeDocument/2006/customXml" ds:itemID="{6BC11443-88C5-4253-9C21-197A7DEA5E1E}">
  <ds:schemaRefs>
    <ds:schemaRef ds:uri="http://schemas.microsoft.com/sharepoint/v3/contenttype/forms"/>
  </ds:schemaRefs>
</ds:datastoreItem>
</file>

<file path=customXml/itemProps4.xml><?xml version="1.0" encoding="utf-8"?>
<ds:datastoreItem xmlns:ds="http://schemas.openxmlformats.org/officeDocument/2006/customXml" ds:itemID="{0F5796C6-904B-4E32-877A-8317AB36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14</Pages>
  <Words>5365</Words>
  <Characters>27528</Characters>
  <Application>Microsoft Office Word</Application>
  <DocSecurity>0</DocSecurity>
  <Lines>1529</Lines>
  <Paragraphs>843</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Amending Letter 1</dc:subject>
  <dc:creator/>
  <cp:keywords/>
  <dc:description/>
  <cp:lastModifiedBy/>
  <cp:revision>58</cp:revision>
  <cp:lastPrinted>2023-09-20T06:07:00Z</cp:lastPrinted>
  <dcterms:created xsi:type="dcterms:W3CDTF">2023-09-20T09:35:00Z</dcterms:created>
  <dcterms:modified xsi:type="dcterms:W3CDTF">2023-10-20T09:40:00Z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CPTemplateID">
    <vt:lpwstr>CP-032</vt:lpwstr>
  </property>
  <property fmtid="{D5CDD505-2E9C-101B-9397-08002B2CF9AE}" pid="8" name="_dlc_DocIdItemGuid">
    <vt:lpwstr>a6fba76c-7919-4b47-9f56-93c39888659a</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0x010100258AA79CEB83498886A3A08681123250005B26C1F49889DF4FB58022634B30FA7100ED1E91EEBF4B8B45A53D14591E83EDB5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2022-07-27T13:02:25Z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8026fe53-ad11-4692-804b-f509ddb786aa</vt:lpwstr>
  </property>
  <property fmtid="{D5CDD505-2E9C-101B-9397-08002B2CF9AE}" pid="16" name="MSIP_Label_6bd9ddd1-4d20-43f6-abfa-fc3c07406f94_ContentBits">
    <vt:lpwstr>0</vt:lpwstr>
  </property>
  <property fmtid="{D5CDD505-2E9C-101B-9397-08002B2CF9AE}" pid="17" name="ContentTypeId">
    <vt:lpwstr>0x010100DA7D9014476DED49B5A9ADBFCD58139D</vt:lpwstr>
  </property>
  <property fmtid="{D5CDD505-2E9C-101B-9397-08002B2CF9AE}" pid="18" name="Last edited using">
    <vt:lpwstr>LW 9.0, Build 20230317</vt:lpwstr>
  </property>
  <property name="OP_sanitized" fmtid="{D5CDD505-2E9C-101B-9397-08002B2CF9AE}" pid="19">
    <vt:lpwstr>True</vt:lpwstr>
  </property>
</Properties>
</file>