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E2378" w14:textId="7A913CAF" w:rsidR="005F4EDC" w:rsidRPr="00F65DC6" w:rsidRDefault="00A76489" w:rsidP="00A76489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5A40CF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4BF7E587-97DF-4786-9CD8-F60CC1A0B8F2" style="width:455.25pt;height:296.25pt">
            <v:imagedata r:id="rId8" o:title=""/>
          </v:shape>
        </w:pict>
      </w:r>
    </w:p>
    <w:bookmarkEnd w:id="0"/>
    <w:p w14:paraId="39B73C1F" w14:textId="77777777" w:rsidR="005F4EDC" w:rsidRPr="00F65DC6" w:rsidRDefault="005F4EDC" w:rsidP="005F4EDC">
      <w:pPr>
        <w:rPr>
          <w:rFonts w:ascii="Times New Roman" w:hAnsi="Times New Roman" w:cs="Times New Roman"/>
          <w:noProof/>
          <w:sz w:val="24"/>
          <w:szCs w:val="24"/>
        </w:rPr>
        <w:sectPr w:rsidR="005F4EDC" w:rsidRPr="00F65DC6" w:rsidSect="00A764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255ED8A" w14:textId="77777777" w:rsidR="00A70417" w:rsidRPr="00F65DC6" w:rsidRDefault="00A70417" w:rsidP="00D61044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noProof/>
          <w:sz w:val="24"/>
          <w:szCs w:val="24"/>
          <w:u w:val="single"/>
        </w:rPr>
      </w:pPr>
      <w:bookmarkStart w:id="1" w:name="_Hlk138074336"/>
      <w:bookmarkStart w:id="2" w:name="_GoBack"/>
      <w:bookmarkEnd w:id="2"/>
      <w:r w:rsidRPr="00F65DC6">
        <w:rPr>
          <w:rFonts w:ascii="Times New Roman" w:hAnsi="Times New Roman"/>
          <w:b/>
          <w:noProof/>
          <w:sz w:val="24"/>
          <w:u w:val="single"/>
        </w:rPr>
        <w:lastRenderedPageBreak/>
        <w:t>Úvod</w:t>
      </w:r>
    </w:p>
    <w:p w14:paraId="5D6CC8EB" w14:textId="027AECFF" w:rsidR="00F65DC6" w:rsidRDefault="00A70417" w:rsidP="003A3563">
      <w:pPr>
        <w:spacing w:after="120" w:line="240" w:lineRule="auto"/>
        <w:jc w:val="both"/>
        <w:rPr>
          <w:rFonts w:ascii="Times New Roman" w:hAnsi="Times New Roman"/>
          <w:noProof/>
          <w:sz w:val="24"/>
        </w:rPr>
      </w:pPr>
      <w:r w:rsidRPr="00F65DC6">
        <w:rPr>
          <w:rFonts w:ascii="Times New Roman" w:hAnsi="Times New Roman"/>
          <w:noProof/>
          <w:sz w:val="24"/>
        </w:rPr>
        <w:t>Modelové globálne pravidlá proti narúšaniu základu dane (pravidlá GloBE) týkajúce sa druhého piliera uvedeného vo vyhlásení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inkluzívnom rámci pre boj proti narúšaniu základu dane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presunu ziskov (inkluzívny rámec pre boj proti BEPS)</w:t>
      </w:r>
      <w:r w:rsidRPr="00F65DC6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1"/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októbra 2021 boli schválené 14</w:t>
      </w:r>
      <w:r w:rsidR="00F65DC6">
        <w:rPr>
          <w:rFonts w:ascii="Times New Roman" w:hAnsi="Times New Roman"/>
          <w:noProof/>
          <w:sz w:val="24"/>
        </w:rPr>
        <w:t>. decembra</w:t>
      </w:r>
      <w:r w:rsidRPr="00F65DC6">
        <w:rPr>
          <w:rFonts w:ascii="Times New Roman" w:hAnsi="Times New Roman"/>
          <w:noProof/>
          <w:sz w:val="24"/>
        </w:rPr>
        <w:t xml:space="preserve"> 2021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Organizácia pre hospodársku spoluprácu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rozvoj (OECD) ich zverejnila 20</w:t>
      </w:r>
      <w:r w:rsidR="00F65DC6">
        <w:rPr>
          <w:rFonts w:ascii="Times New Roman" w:hAnsi="Times New Roman"/>
          <w:noProof/>
          <w:sz w:val="24"/>
        </w:rPr>
        <w:t>. decembra</w:t>
      </w:r>
      <w:r w:rsidRPr="00F65DC6">
        <w:rPr>
          <w:rFonts w:ascii="Times New Roman" w:hAnsi="Times New Roman"/>
          <w:noProof/>
          <w:sz w:val="24"/>
        </w:rPr>
        <w:t xml:space="preserve"> 2021</w:t>
      </w:r>
      <w:r w:rsidRPr="00F65DC6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2"/>
      </w:r>
      <w:r w:rsidRPr="00F65DC6">
        <w:rPr>
          <w:rFonts w:ascii="Times New Roman" w:hAnsi="Times New Roman"/>
          <w:noProof/>
          <w:sz w:val="24"/>
        </w:rPr>
        <w:t>. OECD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súčasnosti dokončuje technickú prácu na určitých aspektoch administratívnych usmernení (vrátane pravidla bezpečného prístavu pre kvalifikovanú vnútroštátnu minimálnu dorovnávaciu daň, pravidla bezpečného prístavu pre prechodné pravidlo nedostatočne zdaneného zisku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oznámenia</w:t>
      </w:r>
      <w:r w:rsidR="00F65DC6">
        <w:rPr>
          <w:rFonts w:ascii="Times New Roman" w:hAnsi="Times New Roman"/>
          <w:noProof/>
          <w:sz w:val="24"/>
        </w:rPr>
        <w:t xml:space="preserve"> s </w:t>
      </w:r>
      <w:r w:rsidRPr="00F65DC6">
        <w:rPr>
          <w:rFonts w:ascii="Times New Roman" w:hAnsi="Times New Roman"/>
          <w:noProof/>
          <w:sz w:val="24"/>
        </w:rPr>
        <w:t>informáciami na určenie pravidiel GloBE)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plánuje ju dokončiť do júla 2023</w:t>
      </w:r>
      <w:r w:rsidR="00F65DC6">
        <w:rPr>
          <w:rFonts w:ascii="Times New Roman" w:hAnsi="Times New Roman"/>
          <w:noProof/>
          <w:sz w:val="24"/>
        </w:rPr>
        <w:t>.</w:t>
      </w:r>
    </w:p>
    <w:p w14:paraId="5A1E6612" w14:textId="5122A2AF" w:rsidR="00F173FE" w:rsidRPr="00F65DC6" w:rsidRDefault="00A70417" w:rsidP="00D61044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Modelové pravidlá GloBE týkajúce sa druhého piliera boli zavedené do práva EÚ prostredníctvom smernice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zabezpečení globálnej minimálnej úrovne zdanenia nadnárodných skupín podnikov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veľkých vnútroštátnych skupín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Únii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15</w:t>
      </w:r>
      <w:r w:rsidR="00F65DC6">
        <w:rPr>
          <w:rFonts w:ascii="Times New Roman" w:hAnsi="Times New Roman"/>
          <w:noProof/>
          <w:sz w:val="24"/>
        </w:rPr>
        <w:t>. decembra</w:t>
      </w:r>
      <w:r w:rsidRPr="00F65DC6">
        <w:rPr>
          <w:rFonts w:ascii="Times New Roman" w:hAnsi="Times New Roman"/>
          <w:noProof/>
          <w:sz w:val="24"/>
        </w:rPr>
        <w:t xml:space="preserve"> 2022 (smernica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druhom pilieri)</w:t>
      </w:r>
      <w:r w:rsidRPr="00F65DC6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3"/>
      </w:r>
      <w:r w:rsidRPr="00F65DC6">
        <w:rPr>
          <w:noProof/>
        </w:rPr>
        <w:t>.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článku 57 smernice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druhom pilieri sa vyžaduje, aby Komisia do 30</w:t>
      </w:r>
      <w:r w:rsidR="00F65DC6">
        <w:rPr>
          <w:rFonts w:ascii="Times New Roman" w:hAnsi="Times New Roman"/>
          <w:noProof/>
          <w:sz w:val="24"/>
        </w:rPr>
        <w:t>. júna</w:t>
      </w:r>
      <w:r w:rsidRPr="00F65DC6">
        <w:rPr>
          <w:rFonts w:ascii="Times New Roman" w:hAnsi="Times New Roman"/>
          <w:noProof/>
          <w:sz w:val="24"/>
        </w:rPr>
        <w:t xml:space="preserve"> 2023 predložila Rade správu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implementácii prvého piliera uvedeného vo vyhlásení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októbra 2021. Táto správa obsahuje stručné posúdenie súčasného stavu rokovaní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prvom pilieri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OECD. Keďže práca na prvom pilieri na úrovni OECD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súčasnosti stále prebieha,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tejto správe sa uvádza posúdenie implementácie prvého piliera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čase vypracovania tejto správy.</w:t>
      </w:r>
    </w:p>
    <w:p w14:paraId="3926B519" w14:textId="77777777" w:rsidR="00882246" w:rsidRPr="00F65DC6" w:rsidRDefault="00882246" w:rsidP="00D61044">
      <w:pPr>
        <w:spacing w:after="12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bookmarkEnd w:id="1"/>
    <w:p w14:paraId="30EF2438" w14:textId="77777777" w:rsidR="004D53CF" w:rsidRPr="00F65DC6" w:rsidRDefault="004D53CF" w:rsidP="00D61044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 w:rsidRPr="00F65DC6">
        <w:rPr>
          <w:rFonts w:ascii="Times New Roman" w:hAnsi="Times New Roman"/>
          <w:b/>
          <w:noProof/>
          <w:sz w:val="24"/>
          <w:u w:val="single"/>
        </w:rPr>
        <w:t>Posúdenie implementácie prvého piliera</w:t>
      </w:r>
    </w:p>
    <w:p w14:paraId="38CDC8D9" w14:textId="753B0131" w:rsidR="00F65DC6" w:rsidRDefault="00882246" w:rsidP="00D61044">
      <w:pPr>
        <w:spacing w:after="120" w:line="240" w:lineRule="auto"/>
        <w:jc w:val="both"/>
        <w:rPr>
          <w:rFonts w:ascii="Times New Roman" w:hAnsi="Times New Roman"/>
          <w:noProof/>
          <w:sz w:val="24"/>
        </w:rPr>
      </w:pPr>
      <w:r w:rsidRPr="00F65DC6">
        <w:rPr>
          <w:rFonts w:ascii="Times New Roman" w:hAnsi="Times New Roman"/>
          <w:noProof/>
          <w:sz w:val="24"/>
        </w:rPr>
        <w:t>Prvý pilier tvoria dve hlavné zložky</w:t>
      </w:r>
      <w:r w:rsidRPr="00F65DC6">
        <w:rPr>
          <w:rFonts w:ascii="Times New Roman" w:hAnsi="Times New Roman" w:cs="Times New Roman"/>
          <w:noProof/>
          <w:sz w:val="24"/>
          <w:szCs w:val="24"/>
          <w:vertAlign w:val="superscript"/>
        </w:rPr>
        <w:footnoteReference w:id="4"/>
      </w:r>
      <w:r w:rsidRPr="00F65DC6">
        <w:rPr>
          <w:rFonts w:ascii="Times New Roman" w:hAnsi="Times New Roman"/>
          <w:noProof/>
          <w:sz w:val="24"/>
        </w:rPr>
        <w:t>. Suma A poskytuje trhovým jurisdikciám nové právo zdaňovať časť zostatkových ziskov</w:t>
      </w:r>
      <w:r w:rsidRPr="00F65DC6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5"/>
      </w:r>
      <w:r w:rsidRPr="00F65DC6">
        <w:rPr>
          <w:rFonts w:ascii="Times New Roman" w:hAnsi="Times New Roman"/>
          <w:noProof/>
          <w:sz w:val="24"/>
        </w:rPr>
        <w:t xml:space="preserve"> najväčších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najziskovejších nadnárodných podnikov na svete. Účelom sumy B je zjednodušiť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zefektívniť uplatňovanie princípu nezávislého vzťahu na základné marketingové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distribučné činnosti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rámci krajiny</w:t>
      </w:r>
      <w:r w:rsidRPr="00F65DC6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6"/>
      </w:r>
      <w:r w:rsidR="00F65DC6">
        <w:rPr>
          <w:rFonts w:ascii="Times New Roman" w:hAnsi="Times New Roman"/>
          <w:noProof/>
          <w:sz w:val="24"/>
        </w:rPr>
        <w:t>.</w:t>
      </w:r>
    </w:p>
    <w:p w14:paraId="3C35503E" w14:textId="08FE265A" w:rsidR="00F65DC6" w:rsidRDefault="00A70417" w:rsidP="00882246">
      <w:pPr>
        <w:spacing w:after="120" w:line="240" w:lineRule="auto"/>
        <w:jc w:val="both"/>
        <w:rPr>
          <w:rFonts w:ascii="Times New Roman" w:hAnsi="Times New Roman"/>
          <w:noProof/>
          <w:sz w:val="24"/>
        </w:rPr>
      </w:pPr>
      <w:r w:rsidRPr="00F65DC6">
        <w:rPr>
          <w:rFonts w:ascii="Times New Roman" w:hAnsi="Times New Roman"/>
          <w:noProof/>
          <w:sz w:val="24"/>
        </w:rPr>
        <w:t>Vo vyhlásení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októbra 2021 sa uvádza, že vďaka inkluzívnemu rámcu pre boj proti BEPS sa sformovala dohoda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kľúčových prvkoch sumy A. Na základe tohto inkluzívneho rámca získala pracovná skupina pre digitálne hospodárstvo (pracovná skupina TFDE) poverenie na to, aby pokračovala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technickej práci.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správe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pokroku týkajúcej sa sumy A prvého piliera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júla 2022</w:t>
      </w:r>
      <w:r w:rsidRPr="00F65DC6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7"/>
      </w:r>
      <w:r w:rsidRPr="00F65DC6">
        <w:rPr>
          <w:rFonts w:ascii="Times New Roman" w:hAnsi="Times New Roman"/>
          <w:noProof/>
          <w:sz w:val="24"/>
        </w:rPr>
        <w:t xml:space="preserve"> boli identifikované tieto základné prvky sumy A</w:t>
      </w:r>
      <w:r w:rsidR="00F65DC6">
        <w:rPr>
          <w:rFonts w:ascii="Times New Roman" w:hAnsi="Times New Roman"/>
          <w:noProof/>
          <w:sz w:val="24"/>
        </w:rPr>
        <w:t>:</w:t>
      </w:r>
    </w:p>
    <w:p w14:paraId="66D4F3C5" w14:textId="475EE1BD" w:rsidR="004D53CF" w:rsidRPr="00F65DC6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pravidlá rozsahu obsahujúce prahové hodnoty na zabezpečenie toho, aby sa suma A vzťahovala len na veľké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vysoko ziskové skupiny. Na základe týchto pravidiel sa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rozsahu sumy A vylučujú príjmy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zisky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ťažobných činností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regulovaných finančných služieb,</w:t>
      </w:r>
    </w:p>
    <w:p w14:paraId="1298B984" w14:textId="5EF78E76" w:rsidR="004D53CF" w:rsidRPr="00F65DC6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osobitné účelovo vytvorené prepojenie, na základe ktorého sa identifikujú jurisdikcie oprávnené na sumu A, podrobné pravidlá týkajúce sa zdrojov príjmov,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ktorých sa uvádza metodika na určenie toho, kde sa tvoria príjmy skupiny,</w:t>
      </w:r>
    </w:p>
    <w:p w14:paraId="0811B47B" w14:textId="67187FA0" w:rsidR="004D53CF" w:rsidRPr="00F65DC6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pravidlá základu dane stanovujúce kroky na výpočet zisku (alebo straty) skupiny, ktoré sa použijú na vypočítanie sumy A,</w:t>
      </w:r>
    </w:p>
    <w:p w14:paraId="2A4576A7" w14:textId="5E1EE36F" w:rsidR="004D53CF" w:rsidRPr="00F65DC6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pravidlá rozdeľovania zisku vychádzajúce zo vzorca, podľa ktorého sa oprávneným trhovým jurisdikciám prideľuje 25</w:t>
      </w:r>
      <w:r w:rsidR="00F65DC6">
        <w:rPr>
          <w:rFonts w:ascii="Times New Roman" w:hAnsi="Times New Roman"/>
          <w:noProof/>
          <w:sz w:val="24"/>
        </w:rPr>
        <w:t> %</w:t>
      </w:r>
      <w:r w:rsidRPr="00F65DC6">
        <w:rPr>
          <w:rFonts w:ascii="Times New Roman" w:hAnsi="Times New Roman"/>
          <w:noProof/>
          <w:sz w:val="24"/>
        </w:rPr>
        <w:t xml:space="preserve"> zisku skupiny presahujúceho 10</w:t>
      </w:r>
      <w:r w:rsidR="00F65DC6">
        <w:rPr>
          <w:rFonts w:ascii="Times New Roman" w:hAnsi="Times New Roman"/>
          <w:noProof/>
          <w:sz w:val="24"/>
        </w:rPr>
        <w:t> %</w:t>
      </w:r>
      <w:r w:rsidRPr="00F65DC6">
        <w:rPr>
          <w:rFonts w:ascii="Times New Roman" w:hAnsi="Times New Roman"/>
          <w:noProof/>
          <w:sz w:val="24"/>
        </w:rPr>
        <w:t xml:space="preserve"> ziskovosti príjmov skupiny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ktorý zohľadňuje pravidlo bezpečného prístavu pre marketing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distribúciu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prípade tých trhových jurisdikcií, ktoré majú existujúce práva na zdanenie zostatkových ziskov skupiny,</w:t>
      </w:r>
    </w:p>
    <w:p w14:paraId="608B49F2" w14:textId="77777777" w:rsidR="00F65DC6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noProof/>
          <w:sz w:val="24"/>
        </w:rPr>
      </w:pPr>
      <w:r w:rsidRPr="00F65DC6">
        <w:rPr>
          <w:rFonts w:ascii="Times New Roman" w:hAnsi="Times New Roman"/>
          <w:noProof/>
          <w:sz w:val="24"/>
        </w:rPr>
        <w:t>pravidlá na zamedzenie dvojitého zdanenia, ktoré vzniká prekrývaním existujúceho systému rozdeľovania zisku sumou A,</w:t>
      </w:r>
    </w:p>
    <w:p w14:paraId="714EEE81" w14:textId="7F404B07" w:rsidR="00F65DC6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noProof/>
          <w:sz w:val="24"/>
        </w:rPr>
      </w:pPr>
      <w:r w:rsidRPr="00F65DC6">
        <w:rPr>
          <w:rFonts w:ascii="Times New Roman" w:hAnsi="Times New Roman"/>
          <w:noProof/>
          <w:sz w:val="24"/>
        </w:rPr>
        <w:t>a postup zabezpečenia daňovej istoty pre nové pravidlá týkajúce sa sumy A, ako aj akékoľvek súvisiace otázky</w:t>
      </w:r>
      <w:r w:rsidR="00F65DC6">
        <w:rPr>
          <w:rFonts w:ascii="Times New Roman" w:hAnsi="Times New Roman"/>
          <w:noProof/>
          <w:sz w:val="24"/>
        </w:rPr>
        <w:t>.</w:t>
      </w:r>
    </w:p>
    <w:p w14:paraId="0E40FDC6" w14:textId="392BE208" w:rsidR="00F65DC6" w:rsidRDefault="004D53CF" w:rsidP="00882246">
      <w:pPr>
        <w:spacing w:after="120" w:line="240" w:lineRule="auto"/>
        <w:jc w:val="both"/>
        <w:rPr>
          <w:rFonts w:ascii="Times New Roman" w:hAnsi="Times New Roman"/>
          <w:noProof/>
          <w:sz w:val="24"/>
        </w:rPr>
      </w:pPr>
      <w:r w:rsidRPr="00F65DC6">
        <w:rPr>
          <w:rFonts w:ascii="Times New Roman" w:hAnsi="Times New Roman"/>
          <w:noProof/>
          <w:sz w:val="24"/>
        </w:rPr>
        <w:t>Pravidlá týkajúce sa sumy A, ktoré sa členom pracovnej skupiny TFDE už javia prijateľné, sekretariát OECD premieta do ustanovení, ktoré majú byť zahrnuté do mnohostranného dohovoru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do zdôvodnenia.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mnohostrannom dohovore sa stanovia právne povinnosti zmluvných strán, aby sa suma A implementovala koordinovane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konzistentne. Zdôvodnenie bude obsahovať pripomienky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výklady pravidiel mnohostranného dohovoru</w:t>
      </w:r>
      <w:r w:rsidR="00F65DC6">
        <w:rPr>
          <w:rFonts w:ascii="Times New Roman" w:hAnsi="Times New Roman"/>
          <w:noProof/>
          <w:sz w:val="24"/>
        </w:rPr>
        <w:t>.</w:t>
      </w:r>
    </w:p>
    <w:p w14:paraId="350B3131" w14:textId="1FB88C6B" w:rsidR="00F65DC6" w:rsidRDefault="004D53CF" w:rsidP="00882246">
      <w:pPr>
        <w:spacing w:after="120" w:line="240" w:lineRule="auto"/>
        <w:jc w:val="both"/>
        <w:rPr>
          <w:rFonts w:ascii="Times New Roman" w:hAnsi="Times New Roman"/>
          <w:noProof/>
          <w:sz w:val="24"/>
        </w:rPr>
      </w:pPr>
      <w:r w:rsidRPr="00F65DC6">
        <w:rPr>
          <w:rFonts w:ascii="Times New Roman" w:hAnsi="Times New Roman"/>
          <w:noProof/>
          <w:sz w:val="24"/>
        </w:rPr>
        <w:t>Technická práca pracovnej skupiny TFDE stále prebieha. Na nadchádzajúce týždne je naplánovaných niekoľko stretnutí. Medzi prvky mnohostranného dohovoru,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ktorých sa stále diskutuje, patria: zamedzenie dvojitého zdanenia, pravidlo bezpečného prístavu pre marketing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distribúciu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zaobchádzanie so zrážkovými daňami, zastavenie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odstránenie daní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digitálnych služieb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ďalšie podobné relevantné jednostranné opatrenia, uplatňovanie autonómnej výnimky pre vnútroštátne podniky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vyňatie príjmov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obranného priemyslu, ako aj podmienka nadobudnutia účinnosti</w:t>
      </w:r>
      <w:r w:rsidR="00F65DC6">
        <w:rPr>
          <w:rFonts w:ascii="Times New Roman" w:hAnsi="Times New Roman"/>
          <w:noProof/>
          <w:sz w:val="24"/>
        </w:rPr>
        <w:t>.</w:t>
      </w:r>
    </w:p>
    <w:p w14:paraId="67DD3514" w14:textId="2E5BF4F7" w:rsidR="00F65DC6" w:rsidRDefault="004D53CF" w:rsidP="00882246">
      <w:pPr>
        <w:spacing w:after="120" w:line="240" w:lineRule="auto"/>
        <w:jc w:val="both"/>
        <w:rPr>
          <w:rFonts w:ascii="Times New Roman" w:hAnsi="Times New Roman"/>
          <w:noProof/>
          <w:sz w:val="24"/>
        </w:rPr>
      </w:pPr>
      <w:r w:rsidRPr="00F65DC6">
        <w:rPr>
          <w:rFonts w:ascii="Times New Roman" w:hAnsi="Times New Roman"/>
          <w:noProof/>
          <w:sz w:val="24"/>
        </w:rPr>
        <w:t>Sekretariát OECD má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pláne dokončiť technickú prácu do 10. – 12</w:t>
      </w:r>
      <w:r w:rsidR="00F65DC6">
        <w:rPr>
          <w:rFonts w:ascii="Times New Roman" w:hAnsi="Times New Roman"/>
          <w:noProof/>
          <w:sz w:val="24"/>
        </w:rPr>
        <w:t>. júla</w:t>
      </w:r>
      <w:r w:rsidRPr="00F65DC6">
        <w:rPr>
          <w:rFonts w:ascii="Times New Roman" w:hAnsi="Times New Roman"/>
          <w:noProof/>
          <w:sz w:val="24"/>
        </w:rPr>
        <w:t xml:space="preserve"> 2023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predložiť mnohostranný dohovor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zdôvodnenie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jednom balíku. Keďže jurisdikcie potrebujú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vnútroštátnych dôvodov pred podpísaním mnohostranného dohovoru viac času, očakáva sa, že slávnostné podpísanie dohovoru sa uskutoční koncom roka 2023</w:t>
      </w:r>
      <w:r w:rsidR="00F65DC6">
        <w:rPr>
          <w:rFonts w:ascii="Times New Roman" w:hAnsi="Times New Roman"/>
          <w:noProof/>
          <w:sz w:val="24"/>
        </w:rPr>
        <w:t>.</w:t>
      </w:r>
    </w:p>
    <w:p w14:paraId="2C7F2BF6" w14:textId="2855CAD7" w:rsidR="00AC45C7" w:rsidRPr="00F65DC6" w:rsidRDefault="0099225C" w:rsidP="000863FE">
      <w:pPr>
        <w:pStyle w:val="ListParagraph"/>
        <w:spacing w:after="60" w:line="240" w:lineRule="auto"/>
        <w:ind w:left="0"/>
        <w:contextualSpacing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Sekretariát OECD tiež plánuje dosiahnuť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júli predbežnú dohodu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hlavných zložkách sumy B, ktorá bude predmetom fázy validácie, ktorá sa má uskutočniť do konca roka 2023. Hlavným cieľom OECD je dosiahnuť dohodu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týchto prvkoch sumy B:</w:t>
      </w:r>
    </w:p>
    <w:p w14:paraId="25C63970" w14:textId="2F5F08A1" w:rsidR="00AC45C7" w:rsidRPr="00F65DC6" w:rsidRDefault="007B5DBD" w:rsidP="00D61044">
      <w:pPr>
        <w:pStyle w:val="ListParagraph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rozsah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ďalšia práca, ktorá sa má uskutočniť do konca roka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snahe lepšie vymedziť zoznam vylúčených činností,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vhodnosť metodiky stanovovania cien digitálneho tovaru,</w:t>
      </w:r>
    </w:p>
    <w:p w14:paraId="40963296" w14:textId="47D5FA6E" w:rsidR="00AC45C7" w:rsidRPr="00F65DC6" w:rsidRDefault="00465B50" w:rsidP="00D61044">
      <w:pPr>
        <w:pStyle w:val="ListParagraph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spustenie fázy validácie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súvislosti</w:t>
      </w:r>
      <w:r w:rsidR="00F65DC6">
        <w:rPr>
          <w:rFonts w:ascii="Times New Roman" w:hAnsi="Times New Roman"/>
          <w:noProof/>
          <w:sz w:val="24"/>
        </w:rPr>
        <w:t xml:space="preserve"> s </w:t>
      </w:r>
      <w:r w:rsidRPr="00F65DC6">
        <w:rPr>
          <w:rFonts w:ascii="Times New Roman" w:hAnsi="Times New Roman"/>
          <w:noProof/>
          <w:sz w:val="24"/>
        </w:rPr>
        <w:t>rámcom stanovovania cien, ktorá potrvá do konca roka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ktorá bude predstavovať začiatok novej verejnej konzultácie,</w:t>
      </w:r>
    </w:p>
    <w:p w14:paraId="5D1F8779" w14:textId="3369D326" w:rsidR="00AC45C7" w:rsidRPr="00F65DC6" w:rsidRDefault="0076465D" w:rsidP="00D61044">
      <w:pPr>
        <w:pStyle w:val="ListParagraph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rámec vykonávania, ktorým sa uzná zahrnutie sumy B do usmernení OECD pre transferové oceňovanie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januári 2024,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preskúmanie sumy B po troch rokoch vykonávania.</w:t>
      </w:r>
    </w:p>
    <w:p w14:paraId="0F9099FE" w14:textId="77777777" w:rsidR="00882246" w:rsidRPr="00F65DC6" w:rsidRDefault="00882246" w:rsidP="00D61044">
      <w:pPr>
        <w:spacing w:after="12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208FB55" w14:textId="77777777" w:rsidR="00F65DC6" w:rsidRDefault="004D53CF" w:rsidP="00D61044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/>
          <w:b/>
          <w:noProof/>
          <w:sz w:val="24"/>
          <w:u w:val="single"/>
        </w:rPr>
      </w:pPr>
      <w:r w:rsidRPr="00F65DC6">
        <w:rPr>
          <w:rFonts w:ascii="Times New Roman" w:hAnsi="Times New Roman"/>
          <w:b/>
          <w:noProof/>
          <w:sz w:val="24"/>
          <w:u w:val="single"/>
        </w:rPr>
        <w:t>Záver</w:t>
      </w:r>
    </w:p>
    <w:p w14:paraId="053884A1" w14:textId="5AA0B33C" w:rsidR="004D53CF" w:rsidRPr="00F65DC6" w:rsidRDefault="004D53CF" w:rsidP="00D61044">
      <w:pPr>
        <w:spacing w:after="12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65DC6">
        <w:rPr>
          <w:rFonts w:ascii="Times New Roman" w:hAnsi="Times New Roman"/>
          <w:noProof/>
          <w:sz w:val="24"/>
        </w:rPr>
        <w:t>Komisia víta veľkú snahu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doterajší pokrok, pričom naliehavo vyzýva všetkých účastníkov, aby vyvinuli záverečné úsilie na dosiahnutie dohody</w:t>
      </w:r>
      <w:r w:rsidR="00F65DC6">
        <w:rPr>
          <w:rFonts w:ascii="Times New Roman" w:hAnsi="Times New Roman"/>
          <w:noProof/>
          <w:sz w:val="24"/>
        </w:rPr>
        <w:t xml:space="preserve"> o </w:t>
      </w:r>
      <w:r w:rsidRPr="00F65DC6">
        <w:rPr>
          <w:rFonts w:ascii="Times New Roman" w:hAnsi="Times New Roman"/>
          <w:noProof/>
          <w:sz w:val="24"/>
        </w:rPr>
        <w:t>mnohostrannom dohovore, ktorá je potrebná pre implementáciu prvého piliera. Komisia dôrazne podporuje zámer sekretariátu OECD dokončiť mnohostranný dohovor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zdôvodnenie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predložiť balík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júli 2023, aby sa mnohostranný dohovor mohol čo najskôr podpísať. Je to príležitosť dosiahnuť historickú dohodu</w:t>
      </w:r>
      <w:r w:rsidR="00F65DC6">
        <w:rPr>
          <w:rFonts w:ascii="Times New Roman" w:hAnsi="Times New Roman"/>
          <w:noProof/>
          <w:sz w:val="24"/>
        </w:rPr>
        <w:t xml:space="preserve"> v </w:t>
      </w:r>
      <w:r w:rsidRPr="00F65DC6">
        <w:rPr>
          <w:rFonts w:ascii="Times New Roman" w:hAnsi="Times New Roman"/>
          <w:noProof/>
          <w:sz w:val="24"/>
        </w:rPr>
        <w:t>oblasti medzinárodného zdaňovania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dokončiť prácu na dvojpilierovom riešení uvedenom vo vyhlásení</w:t>
      </w:r>
      <w:r w:rsidR="00F65DC6">
        <w:rPr>
          <w:rFonts w:ascii="Times New Roman" w:hAnsi="Times New Roman"/>
          <w:noProof/>
          <w:sz w:val="24"/>
        </w:rPr>
        <w:t xml:space="preserve"> z </w:t>
      </w:r>
      <w:r w:rsidRPr="00F65DC6">
        <w:rPr>
          <w:rFonts w:ascii="Times New Roman" w:hAnsi="Times New Roman"/>
          <w:noProof/>
          <w:sz w:val="24"/>
        </w:rPr>
        <w:t>októbra 2021. Komisia urobí všetko pre to, aby zabezpečila včasnú</w:t>
      </w:r>
      <w:r w:rsidR="00F65DC6">
        <w:rPr>
          <w:rFonts w:ascii="Times New Roman" w:hAnsi="Times New Roman"/>
          <w:noProof/>
          <w:sz w:val="24"/>
        </w:rPr>
        <w:t xml:space="preserve"> a </w:t>
      </w:r>
      <w:r w:rsidRPr="00F65DC6">
        <w:rPr>
          <w:rFonts w:ascii="Times New Roman" w:hAnsi="Times New Roman"/>
          <w:noProof/>
          <w:sz w:val="24"/>
        </w:rPr>
        <w:t>konzistentnú implementáciu prvého piliera na úrovni EÚ.</w:t>
      </w:r>
    </w:p>
    <w:sectPr w:rsidR="004D53CF" w:rsidRPr="00F65DC6" w:rsidSect="005F4ED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6FEEB" w14:textId="77777777" w:rsidR="000B2AD8" w:rsidRDefault="000B2AD8" w:rsidP="005F4EDC">
      <w:pPr>
        <w:spacing w:after="0" w:line="240" w:lineRule="auto"/>
      </w:pPr>
      <w:r>
        <w:separator/>
      </w:r>
    </w:p>
  </w:endnote>
  <w:endnote w:type="continuationSeparator" w:id="0">
    <w:p w14:paraId="2251F10A" w14:textId="77777777" w:rsidR="000B2AD8" w:rsidRDefault="000B2AD8" w:rsidP="005F4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B9BC3" w14:textId="6BEC677B" w:rsidR="005400C0" w:rsidRPr="00A76489" w:rsidRDefault="005400C0" w:rsidP="00A764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31FA6" w14:textId="637566E8" w:rsidR="005400C0" w:rsidRPr="00A76489" w:rsidRDefault="00A76489" w:rsidP="00A76489">
    <w:pPr>
      <w:pStyle w:val="FooterCoverPage"/>
      <w:rPr>
        <w:rFonts w:ascii="Arial" w:hAnsi="Arial" w:cs="Arial"/>
        <w:b/>
        <w:sz w:val="48"/>
      </w:rPr>
    </w:pPr>
    <w:r w:rsidRPr="00A76489">
      <w:rPr>
        <w:rFonts w:ascii="Arial" w:hAnsi="Arial" w:cs="Arial"/>
        <w:b/>
        <w:sz w:val="48"/>
      </w:rPr>
      <w:t>SK</w:t>
    </w:r>
    <w:r w:rsidRPr="00A76489">
      <w:rPr>
        <w:rFonts w:ascii="Arial" w:hAnsi="Arial" w:cs="Arial"/>
        <w:b/>
        <w:sz w:val="48"/>
      </w:rPr>
      <w:tab/>
    </w:r>
    <w:r w:rsidRPr="00A76489">
      <w:rPr>
        <w:rFonts w:ascii="Arial" w:hAnsi="Arial" w:cs="Arial"/>
        <w:b/>
        <w:sz w:val="48"/>
      </w:rPr>
      <w:tab/>
    </w:r>
    <w:r w:rsidRPr="00A76489">
      <w:tab/>
    </w:r>
    <w:r w:rsidRPr="00A76489">
      <w:rPr>
        <w:rFonts w:ascii="Arial" w:hAnsi="Arial" w:cs="Arial"/>
        <w:b/>
        <w:sz w:val="48"/>
      </w:rPr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4E217" w14:textId="77777777" w:rsidR="00A76489" w:rsidRPr="00A76489" w:rsidRDefault="00A76489" w:rsidP="00A76489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510B0" w14:textId="77777777" w:rsidR="005F4EDC" w:rsidRDefault="005F4ED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8243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FE55B" w14:textId="2550EC8B" w:rsidR="008D716F" w:rsidRDefault="008D71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6489">
          <w:rPr>
            <w:noProof/>
          </w:rPr>
          <w:t>1</w:t>
        </w:r>
        <w:r>
          <w:fldChar w:fldCharType="end"/>
        </w:r>
      </w:p>
    </w:sdtContent>
  </w:sdt>
  <w:p w14:paraId="35FBBFAC" w14:textId="77777777" w:rsidR="005F4EDC" w:rsidRDefault="005F4ED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A08F8" w14:textId="77777777" w:rsidR="005F4EDC" w:rsidRDefault="005F4E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BE7B0" w14:textId="77777777" w:rsidR="000B2AD8" w:rsidRDefault="000B2AD8" w:rsidP="005F4EDC">
      <w:pPr>
        <w:spacing w:after="0" w:line="240" w:lineRule="auto"/>
      </w:pPr>
      <w:r>
        <w:separator/>
      </w:r>
    </w:p>
  </w:footnote>
  <w:footnote w:type="continuationSeparator" w:id="0">
    <w:p w14:paraId="2FF17FFC" w14:textId="77777777" w:rsidR="000B2AD8" w:rsidRDefault="000B2AD8" w:rsidP="005F4EDC">
      <w:pPr>
        <w:spacing w:after="0" w:line="240" w:lineRule="auto"/>
      </w:pPr>
      <w:r>
        <w:continuationSeparator/>
      </w:r>
    </w:p>
  </w:footnote>
  <w:footnote w:id="1">
    <w:p w14:paraId="2A9FA5FC" w14:textId="17360BA2" w:rsidR="003A3563" w:rsidRPr="00F65DC6" w:rsidRDefault="003A3563" w:rsidP="00F65DC6">
      <w:pPr>
        <w:pStyle w:val="FootnoteText"/>
        <w:ind w:left="720" w:hanging="720"/>
        <w:rPr>
          <w:rFonts w:ascii="Times New Roman" w:hAnsi="Times New Roman" w:cs="Times New Roman"/>
        </w:rPr>
      </w:pPr>
      <w:r w:rsidRPr="00F65DC6">
        <w:rPr>
          <w:rStyle w:val="FootnoteReference"/>
          <w:rFonts w:ascii="Times New Roman" w:hAnsi="Times New Roman" w:cs="Times New Roman"/>
        </w:rPr>
        <w:footnoteRef/>
      </w:r>
      <w:r w:rsidRPr="00F65DC6">
        <w:rPr>
          <w:rFonts w:ascii="Times New Roman" w:hAnsi="Times New Roman" w:cs="Times New Roman"/>
        </w:rPr>
        <w:t xml:space="preserve"> </w:t>
      </w:r>
      <w:r w:rsidR="00F65DC6">
        <w:rPr>
          <w:rFonts w:ascii="Times New Roman" w:hAnsi="Times New Roman" w:cs="Times New Roman"/>
        </w:rPr>
        <w:tab/>
      </w:r>
      <w:r w:rsidRPr="00F65DC6">
        <w:rPr>
          <w:rFonts w:ascii="Times New Roman" w:hAnsi="Times New Roman" w:cs="Times New Roman"/>
        </w:rPr>
        <w:t>https://www.oecd.org/tax/beps/statement-on-a-two-pillar-solution-to-address-the-tax-challenges-arising-from-the-digitalisation-of-the-economy-october-2021.htm.</w:t>
      </w:r>
    </w:p>
  </w:footnote>
  <w:footnote w:id="2">
    <w:p w14:paraId="08832328" w14:textId="0F690671" w:rsidR="00A70417" w:rsidRPr="00F65DC6" w:rsidRDefault="00A70417" w:rsidP="00F65DC6">
      <w:pPr>
        <w:pStyle w:val="FootnoteText"/>
        <w:ind w:left="720" w:hanging="720"/>
        <w:rPr>
          <w:rFonts w:ascii="Times New Roman" w:hAnsi="Times New Roman" w:cs="Times New Roman"/>
        </w:rPr>
      </w:pPr>
      <w:r w:rsidRPr="00F65DC6">
        <w:rPr>
          <w:rStyle w:val="FootnoteReference"/>
          <w:rFonts w:ascii="Times New Roman" w:hAnsi="Times New Roman" w:cs="Times New Roman"/>
        </w:rPr>
        <w:footnoteRef/>
      </w:r>
      <w:r w:rsidRPr="00F65DC6">
        <w:rPr>
          <w:rFonts w:ascii="Times New Roman" w:hAnsi="Times New Roman" w:cs="Times New Roman"/>
        </w:rPr>
        <w:t xml:space="preserve"> </w:t>
      </w:r>
      <w:r w:rsidR="00F65DC6">
        <w:rPr>
          <w:rFonts w:ascii="Times New Roman" w:hAnsi="Times New Roman" w:cs="Times New Roman"/>
        </w:rPr>
        <w:tab/>
      </w:r>
      <w:r w:rsidRPr="00F65DC6">
        <w:rPr>
          <w:rFonts w:ascii="Times New Roman" w:hAnsi="Times New Roman" w:cs="Times New Roman"/>
        </w:rPr>
        <w:t>https://www.oecd-ilibrary.org/docserver/782bac33-en.pdf?expires=1686754557&amp;id=id&amp;accname=oid031827&amp;checksum=CA2158A15A6D3578CA5F47F381F39C5D.</w:t>
      </w:r>
    </w:p>
  </w:footnote>
  <w:footnote w:id="3">
    <w:p w14:paraId="29E8779F" w14:textId="7B21B6B1" w:rsidR="00A70417" w:rsidRPr="00F65DC6" w:rsidRDefault="00A70417" w:rsidP="00F65DC6">
      <w:pPr>
        <w:pStyle w:val="FootnoteText"/>
        <w:ind w:left="720" w:hanging="720"/>
        <w:rPr>
          <w:rFonts w:ascii="Times New Roman" w:hAnsi="Times New Roman" w:cs="Times New Roman"/>
        </w:rPr>
      </w:pPr>
      <w:r w:rsidRPr="00F65DC6">
        <w:rPr>
          <w:rStyle w:val="FootnoteReference"/>
          <w:rFonts w:ascii="Times New Roman" w:hAnsi="Times New Roman" w:cs="Times New Roman"/>
        </w:rPr>
        <w:footnoteRef/>
      </w:r>
      <w:r w:rsidR="00F65DC6">
        <w:rPr>
          <w:rFonts w:ascii="Times New Roman" w:hAnsi="Times New Roman" w:cs="Times New Roman"/>
        </w:rPr>
        <w:t xml:space="preserve"> </w:t>
      </w:r>
      <w:r w:rsidR="00F65DC6">
        <w:rPr>
          <w:rFonts w:ascii="Times New Roman" w:hAnsi="Times New Roman" w:cs="Times New Roman"/>
        </w:rPr>
        <w:tab/>
      </w:r>
      <w:r w:rsidRPr="00F65DC6">
        <w:rPr>
          <w:rFonts w:ascii="Times New Roman" w:hAnsi="Times New Roman" w:cs="Times New Roman"/>
        </w:rPr>
        <w:t>Smernica Rady (EÚ) 2022/2523 z 15. decembra 2022 o zabezpečení globálnej minimálnej úrovne zdanenia nadnárodných skupín podnikov a veľkých vnútroštátnych skupín v Únii (Ú. v. EÚ L 328, 22.12.2022, s. 1).</w:t>
      </w:r>
    </w:p>
  </w:footnote>
  <w:footnote w:id="4">
    <w:p w14:paraId="7843B26B" w14:textId="576A8DB9" w:rsidR="00EE7E30" w:rsidRPr="00F65DC6" w:rsidRDefault="00EE7E30" w:rsidP="00F65DC6">
      <w:pPr>
        <w:pStyle w:val="FootnoteText"/>
        <w:ind w:left="720" w:hanging="720"/>
        <w:rPr>
          <w:rFonts w:ascii="Times New Roman" w:hAnsi="Times New Roman" w:cs="Times New Roman"/>
        </w:rPr>
      </w:pPr>
      <w:r w:rsidRPr="00F65DC6">
        <w:rPr>
          <w:rStyle w:val="FootnoteReference"/>
          <w:rFonts w:ascii="Times New Roman" w:hAnsi="Times New Roman" w:cs="Times New Roman"/>
        </w:rPr>
        <w:footnoteRef/>
      </w:r>
      <w:r w:rsidRPr="00F65DC6">
        <w:rPr>
          <w:rFonts w:ascii="Times New Roman" w:hAnsi="Times New Roman" w:cs="Times New Roman"/>
        </w:rPr>
        <w:t xml:space="preserve"> </w:t>
      </w:r>
      <w:r w:rsidR="00F65DC6">
        <w:rPr>
          <w:rFonts w:ascii="Times New Roman" w:hAnsi="Times New Roman" w:cs="Times New Roman"/>
        </w:rPr>
        <w:tab/>
      </w:r>
      <w:r w:rsidRPr="00F65DC6">
        <w:rPr>
          <w:rFonts w:ascii="Times New Roman" w:hAnsi="Times New Roman" w:cs="Times New Roman"/>
        </w:rPr>
        <w:t>Viac informácií nájdete v Pláne Koncepcii prvého piliera: https://www.oecd-ilibrary.org/docserver/beba0634-en.pdf?expires=1686754864&amp;id=id&amp;accname=oid031827&amp;checksum=514DF17DC29D8C2C6CFFDE643BFC3A6D.</w:t>
      </w:r>
    </w:p>
  </w:footnote>
  <w:footnote w:id="5">
    <w:p w14:paraId="5820A9C8" w14:textId="01A71446" w:rsidR="00EE7E30" w:rsidRPr="00F65DC6" w:rsidRDefault="00EE7E30" w:rsidP="00F65DC6"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 w:rsidRPr="00F65DC6">
        <w:rPr>
          <w:rStyle w:val="FootnoteReference"/>
          <w:rFonts w:ascii="Times New Roman" w:hAnsi="Times New Roman" w:cs="Times New Roman"/>
        </w:rPr>
        <w:footnoteRef/>
      </w:r>
      <w:r w:rsidR="00F65DC6">
        <w:rPr>
          <w:rFonts w:ascii="Times New Roman" w:hAnsi="Times New Roman" w:cs="Times New Roman"/>
        </w:rPr>
        <w:t xml:space="preserve"> </w:t>
      </w:r>
      <w:r w:rsidR="00F65DC6">
        <w:rPr>
          <w:rFonts w:ascii="Times New Roman" w:hAnsi="Times New Roman" w:cs="Times New Roman"/>
        </w:rPr>
        <w:tab/>
      </w:r>
      <w:r w:rsidRPr="00F65DC6">
        <w:rPr>
          <w:rFonts w:ascii="Times New Roman" w:hAnsi="Times New Roman" w:cs="Times New Roman"/>
        </w:rPr>
        <w:t>Na účely sumy A sa zostatkový zisk skupiny identifikuje ako zisk presahujúci prahovú hodnotu ziskovosti 10 % z návratnosti predaja skupiny.</w:t>
      </w:r>
    </w:p>
  </w:footnote>
  <w:footnote w:id="6">
    <w:p w14:paraId="781E41AF" w14:textId="7381130A" w:rsidR="00EE7E30" w:rsidRPr="00F65DC6" w:rsidRDefault="00EE7E30" w:rsidP="00F65DC6"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 w:rsidRPr="00F65DC6">
        <w:rPr>
          <w:rStyle w:val="FootnoteReference"/>
          <w:rFonts w:ascii="Times New Roman" w:hAnsi="Times New Roman" w:cs="Times New Roman"/>
        </w:rPr>
        <w:footnoteRef/>
      </w:r>
      <w:r w:rsidR="00F65DC6">
        <w:rPr>
          <w:rFonts w:ascii="Times New Roman" w:hAnsi="Times New Roman" w:cs="Times New Roman"/>
        </w:rPr>
        <w:t xml:space="preserve"> </w:t>
      </w:r>
      <w:r w:rsidR="00F65DC6">
        <w:rPr>
          <w:rFonts w:ascii="Times New Roman" w:hAnsi="Times New Roman" w:cs="Times New Roman"/>
        </w:rPr>
        <w:tab/>
      </w:r>
      <w:r w:rsidRPr="00F65DC6">
        <w:rPr>
          <w:rFonts w:ascii="Times New Roman" w:hAnsi="Times New Roman" w:cs="Times New Roman"/>
        </w:rPr>
        <w:t>Princíp nezávislého vzťahu je medzinárodný štandard, ktorý by sa mal podľa dohody členských krajín OECD používať na určenie transferových cien na daňové účely.</w:t>
      </w:r>
    </w:p>
  </w:footnote>
  <w:footnote w:id="7">
    <w:p w14:paraId="59508F25" w14:textId="39C46BBE" w:rsidR="004D53CF" w:rsidRPr="00F65DC6" w:rsidRDefault="004D53CF" w:rsidP="00F65DC6">
      <w:pPr>
        <w:pStyle w:val="FootnoteText"/>
        <w:ind w:left="720" w:hanging="720"/>
        <w:rPr>
          <w:rFonts w:ascii="Times New Roman" w:hAnsi="Times New Roman" w:cs="Times New Roman"/>
        </w:rPr>
      </w:pPr>
      <w:r w:rsidRPr="00F65DC6">
        <w:rPr>
          <w:rStyle w:val="FootnoteReference"/>
          <w:rFonts w:ascii="Times New Roman" w:hAnsi="Times New Roman" w:cs="Times New Roman"/>
        </w:rPr>
        <w:footnoteRef/>
      </w:r>
      <w:r w:rsidRPr="00F65DC6">
        <w:rPr>
          <w:rFonts w:ascii="Times New Roman" w:hAnsi="Times New Roman" w:cs="Times New Roman"/>
        </w:rPr>
        <w:t xml:space="preserve"> </w:t>
      </w:r>
      <w:r w:rsidR="00F65DC6">
        <w:rPr>
          <w:rFonts w:ascii="Times New Roman" w:hAnsi="Times New Roman" w:cs="Times New Roman"/>
        </w:rPr>
        <w:tab/>
      </w:r>
      <w:r w:rsidRPr="00F65DC6">
        <w:rPr>
          <w:rFonts w:ascii="Times New Roman" w:hAnsi="Times New Roman" w:cs="Times New Roman"/>
        </w:rPr>
        <w:t>https://www.oecd.org/tax/beps/progress-report-on-amount-a-of-pillar-one-july-2022.pdf.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A19E7" w14:textId="77777777" w:rsidR="00A76489" w:rsidRPr="00A76489" w:rsidRDefault="00A76489" w:rsidP="00A764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50CC4" w14:textId="77777777" w:rsidR="00A76489" w:rsidRPr="00A76489" w:rsidRDefault="00A76489" w:rsidP="00A76489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8554E" w14:textId="77777777" w:rsidR="00A76489" w:rsidRPr="00A76489" w:rsidRDefault="00A76489" w:rsidP="00A76489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2FA2C" w14:textId="77777777" w:rsidR="005F4EDC" w:rsidRDefault="005F4ED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A233D" w14:textId="77777777" w:rsidR="005F4EDC" w:rsidRDefault="005F4ED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8BD38" w14:textId="77777777" w:rsidR="005F4EDC" w:rsidRDefault="005F4E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334D2"/>
    <w:multiLevelType w:val="hybridMultilevel"/>
    <w:tmpl w:val="71E039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45864"/>
    <w:multiLevelType w:val="hybridMultilevel"/>
    <w:tmpl w:val="6E40F0E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742B39"/>
    <w:multiLevelType w:val="hybridMultilevel"/>
    <w:tmpl w:val="CE7E72D0"/>
    <w:lvl w:ilvl="0" w:tplc="229886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4BF7E587-97DF-4786-9CD8-F60CC1A0B8F2"/>
    <w:docVar w:name="LW_COVERPAGE_TYPE" w:val="1"/>
    <w:docVar w:name="LW_CROSSREFERENCE" w:val="&lt;UNUSED&gt;"/>
    <w:docVar w:name="LW_DocType" w:val="NORMAL"/>
    <w:docVar w:name="LW_EMISSION" w:val="30. 6. 2023"/>
    <w:docVar w:name="LW_EMISSION_ISODATE" w:val="2023-06-30"/>
    <w:docVar w:name="LW_EMISSION_LOCATION" w:val="BRX"/>
    <w:docVar w:name="LW_EMISSION_PREFIX" w:val="V Bruseli"/>
    <w:docVar w:name="LW_EMISSION_SUFFIX" w:val=" "/>
    <w:docVar w:name="LW_ID_DOCTYPE_NONLW" w:val="CP-004"/>
    <w:docVar w:name="LW_LANGUE" w:val="SK"/>
    <w:docVar w:name="LW_LEVEL_OF_SENSITIVITY" w:val="Standard treatment"/>
    <w:docVar w:name="LW_NOM.INST" w:val="EURÓPSKA KOMISI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3) 377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Správa o pokroku týkajúca sa prvého piliera"/>
    <w:docVar w:name="LW_TYPE.DOC.CP" w:val="SPRÁVA KOMISIE RADE"/>
    <w:docVar w:name="LwApiVersions" w:val="LW4CoDe 1.23.2.0; LW 8.0, Build 20211117"/>
  </w:docVars>
  <w:rsids>
    <w:rsidRoot w:val="005F4EDC"/>
    <w:rsid w:val="00013458"/>
    <w:rsid w:val="0003386C"/>
    <w:rsid w:val="000456A5"/>
    <w:rsid w:val="000475D9"/>
    <w:rsid w:val="000863FE"/>
    <w:rsid w:val="000871E7"/>
    <w:rsid w:val="00090A54"/>
    <w:rsid w:val="00091231"/>
    <w:rsid w:val="00096B08"/>
    <w:rsid w:val="000A2472"/>
    <w:rsid w:val="000B018D"/>
    <w:rsid w:val="000B2AD8"/>
    <w:rsid w:val="000C67A0"/>
    <w:rsid w:val="000D27CB"/>
    <w:rsid w:val="000D7DA3"/>
    <w:rsid w:val="001125EE"/>
    <w:rsid w:val="00125152"/>
    <w:rsid w:val="0012703D"/>
    <w:rsid w:val="001352CF"/>
    <w:rsid w:val="00150AAC"/>
    <w:rsid w:val="00154630"/>
    <w:rsid w:val="00157A95"/>
    <w:rsid w:val="00186E79"/>
    <w:rsid w:val="001952F8"/>
    <w:rsid w:val="00197B3F"/>
    <w:rsid w:val="001A51FD"/>
    <w:rsid w:val="00245995"/>
    <w:rsid w:val="002515C8"/>
    <w:rsid w:val="0026582E"/>
    <w:rsid w:val="00282895"/>
    <w:rsid w:val="002F7861"/>
    <w:rsid w:val="00302B15"/>
    <w:rsid w:val="00311264"/>
    <w:rsid w:val="00313DAD"/>
    <w:rsid w:val="00317F52"/>
    <w:rsid w:val="00336DFC"/>
    <w:rsid w:val="003456D7"/>
    <w:rsid w:val="00356554"/>
    <w:rsid w:val="0037330B"/>
    <w:rsid w:val="00376CBA"/>
    <w:rsid w:val="003774C9"/>
    <w:rsid w:val="003A3563"/>
    <w:rsid w:val="003A4FD3"/>
    <w:rsid w:val="003C7E8A"/>
    <w:rsid w:val="003E14EB"/>
    <w:rsid w:val="003E5E29"/>
    <w:rsid w:val="003F70CF"/>
    <w:rsid w:val="00435953"/>
    <w:rsid w:val="004555DE"/>
    <w:rsid w:val="00465B50"/>
    <w:rsid w:val="00473C77"/>
    <w:rsid w:val="004D00F5"/>
    <w:rsid w:val="004D53CF"/>
    <w:rsid w:val="004F6AAD"/>
    <w:rsid w:val="00513685"/>
    <w:rsid w:val="00532AA2"/>
    <w:rsid w:val="005400C0"/>
    <w:rsid w:val="005711BB"/>
    <w:rsid w:val="00595248"/>
    <w:rsid w:val="005A61C1"/>
    <w:rsid w:val="005F4EDC"/>
    <w:rsid w:val="00601FF2"/>
    <w:rsid w:val="00634CC5"/>
    <w:rsid w:val="00653985"/>
    <w:rsid w:val="006564F2"/>
    <w:rsid w:val="00665A76"/>
    <w:rsid w:val="006B121A"/>
    <w:rsid w:val="006B37BA"/>
    <w:rsid w:val="006D142B"/>
    <w:rsid w:val="00707582"/>
    <w:rsid w:val="00715C44"/>
    <w:rsid w:val="007333D3"/>
    <w:rsid w:val="0076465D"/>
    <w:rsid w:val="00782A7A"/>
    <w:rsid w:val="007A3D87"/>
    <w:rsid w:val="007B5DBD"/>
    <w:rsid w:val="007F2DF9"/>
    <w:rsid w:val="008215C1"/>
    <w:rsid w:val="008725EA"/>
    <w:rsid w:val="00882246"/>
    <w:rsid w:val="008A1707"/>
    <w:rsid w:val="008D716F"/>
    <w:rsid w:val="00945F87"/>
    <w:rsid w:val="00966E42"/>
    <w:rsid w:val="00990C31"/>
    <w:rsid w:val="0099225C"/>
    <w:rsid w:val="00997D8B"/>
    <w:rsid w:val="009A7700"/>
    <w:rsid w:val="009C4B93"/>
    <w:rsid w:val="009D54C5"/>
    <w:rsid w:val="00A63C3E"/>
    <w:rsid w:val="00A64D66"/>
    <w:rsid w:val="00A70417"/>
    <w:rsid w:val="00A76489"/>
    <w:rsid w:val="00AC3704"/>
    <w:rsid w:val="00AC45C7"/>
    <w:rsid w:val="00B20A50"/>
    <w:rsid w:val="00B24435"/>
    <w:rsid w:val="00B36C0F"/>
    <w:rsid w:val="00B4032E"/>
    <w:rsid w:val="00B643A6"/>
    <w:rsid w:val="00B85729"/>
    <w:rsid w:val="00B86F68"/>
    <w:rsid w:val="00B92181"/>
    <w:rsid w:val="00BA5BDC"/>
    <w:rsid w:val="00BF451B"/>
    <w:rsid w:val="00C07749"/>
    <w:rsid w:val="00C330A3"/>
    <w:rsid w:val="00C564C3"/>
    <w:rsid w:val="00C566AF"/>
    <w:rsid w:val="00C75955"/>
    <w:rsid w:val="00C774FD"/>
    <w:rsid w:val="00CD29F6"/>
    <w:rsid w:val="00CD36CE"/>
    <w:rsid w:val="00D022EB"/>
    <w:rsid w:val="00D45AF0"/>
    <w:rsid w:val="00D61044"/>
    <w:rsid w:val="00D65A7B"/>
    <w:rsid w:val="00D67F3D"/>
    <w:rsid w:val="00D856A7"/>
    <w:rsid w:val="00DA015A"/>
    <w:rsid w:val="00DF1261"/>
    <w:rsid w:val="00DF19B1"/>
    <w:rsid w:val="00E65F48"/>
    <w:rsid w:val="00E944E2"/>
    <w:rsid w:val="00EA632B"/>
    <w:rsid w:val="00EB01B2"/>
    <w:rsid w:val="00EC7C14"/>
    <w:rsid w:val="00ED088F"/>
    <w:rsid w:val="00EE5060"/>
    <w:rsid w:val="00EE7E30"/>
    <w:rsid w:val="00F02DDC"/>
    <w:rsid w:val="00F173FE"/>
    <w:rsid w:val="00F177AD"/>
    <w:rsid w:val="00F20B90"/>
    <w:rsid w:val="00F404BE"/>
    <w:rsid w:val="00F60582"/>
    <w:rsid w:val="00F63AF4"/>
    <w:rsid w:val="00F65BCF"/>
    <w:rsid w:val="00F65DC6"/>
    <w:rsid w:val="00F74769"/>
    <w:rsid w:val="00F94B6C"/>
    <w:rsid w:val="00FB47FA"/>
    <w:rsid w:val="00FB59E1"/>
    <w:rsid w:val="00FD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869967E"/>
  <w15:chartTrackingRefBased/>
  <w15:docId w15:val="{F911F10B-10EE-44B1-AB40-EE031619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5F4EDC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5F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EDC"/>
  </w:style>
  <w:style w:type="paragraph" w:styleId="Footer">
    <w:name w:val="footer"/>
    <w:basedOn w:val="Normal"/>
    <w:link w:val="FooterChar"/>
    <w:uiPriority w:val="99"/>
    <w:unhideWhenUsed/>
    <w:rsid w:val="005F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EDC"/>
  </w:style>
  <w:style w:type="paragraph" w:customStyle="1" w:styleId="Pagedecouverture">
    <w:name w:val="Page de couverture"/>
    <w:basedOn w:val="Normal"/>
    <w:next w:val="Normal"/>
    <w:rsid w:val="005F4EDC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5F4EDC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5F4EDC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5F4ED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5F4EDC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5F4EDC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5F4EDC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5F4ED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5F4EDC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5F4EDC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5F4EDC"/>
    <w:rPr>
      <w:rFonts w:ascii="Times New Roman" w:hAnsi="Times New Roman" w:cs="Times New Roman"/>
      <w:sz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53CF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53CF"/>
    <w:rPr>
      <w:sz w:val="20"/>
      <w:szCs w:val="20"/>
      <w:lang w:val="sk-SK"/>
    </w:rPr>
  </w:style>
  <w:style w:type="paragraph" w:styleId="ListParagraph">
    <w:name w:val="List Paragraph"/>
    <w:basedOn w:val="Normal"/>
    <w:uiPriority w:val="34"/>
    <w:qFormat/>
    <w:rsid w:val="004D53CF"/>
    <w:pPr>
      <w:spacing w:after="160" w:line="259" w:lineRule="auto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53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53CF"/>
    <w:rPr>
      <w:sz w:val="20"/>
      <w:szCs w:val="20"/>
      <w:lang w:val="sk-SK"/>
    </w:rPr>
  </w:style>
  <w:style w:type="character" w:styleId="FootnoteReference">
    <w:name w:val="footnote reference"/>
    <w:basedOn w:val="DefaultParagraphFont"/>
    <w:uiPriority w:val="99"/>
    <w:semiHidden/>
    <w:unhideWhenUsed/>
    <w:rsid w:val="004D53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2443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435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435"/>
    <w:rPr>
      <w:b/>
      <w:bCs/>
      <w:sz w:val="20"/>
      <w:szCs w:val="20"/>
      <w:lang w:val="sk-SK"/>
    </w:rPr>
  </w:style>
  <w:style w:type="paragraph" w:styleId="Revision">
    <w:name w:val="Revision"/>
    <w:hidden/>
    <w:uiPriority w:val="99"/>
    <w:semiHidden/>
    <w:rsid w:val="00EE50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12E49-FF24-420C-B1D0-42903CA0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864</Words>
  <Characters>5271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30</cp:revision>
  <dcterms:created xsi:type="dcterms:W3CDTF">2023-06-27T13:15:00Z</dcterms:created>
  <dcterms:modified xsi:type="dcterms:W3CDTF">2023-06-30T04:26:00Z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2023-06-14T15:23:09Z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7b09caf3-d394-4fa2-9f81-f7cacc3e4f2d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Part">
    <vt:lpwstr>1</vt:lpwstr>
  </property>
  <property fmtid="{D5CDD505-2E9C-101B-9397-08002B2CF9AE}" pid="11" name="Total parts">
    <vt:lpwstr>1</vt:lpwstr>
  </property>
  <property fmtid="{D5CDD505-2E9C-101B-9397-08002B2CF9AE}" pid="12" name="DocStatus">
    <vt:lpwstr>Green</vt:lpwstr>
  </property>
  <property fmtid="{D5CDD505-2E9C-101B-9397-08002B2CF9AE}" pid="13" name="CPTemplateID">
    <vt:lpwstr>CP-004</vt:lpwstr>
  </property>
  <property fmtid="{D5CDD505-2E9C-101B-9397-08002B2CF9AE}" pid="14" name="Last edited using">
    <vt:lpwstr>LW 9.0, Build 20230317</vt:lpwstr>
  </property>
  <property fmtid="{D5CDD505-2E9C-101B-9397-08002B2CF9AE}" pid="15" name="Created using">
    <vt:lpwstr>LW 9.0, Build 20230317</vt:lpwstr>
  </property>
  <property name="OP_sanitized" fmtid="{D5CDD505-2E9C-101B-9397-08002B2CF9AE}" pid="16">
    <vt:lpwstr>True</vt:lpwstr>
  </property>
</Properties>
</file>