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7A215" w14:textId="704634DA" w:rsidR="00806935" w:rsidRDefault="00242A0B" w:rsidP="00242A0B">
      <w:pPr>
        <w:pStyle w:val="Pagedecouverture"/>
        <w:rPr>
          <w:noProof/>
        </w:rPr>
      </w:pPr>
      <w:bookmarkStart w:id="0" w:name="LW_BM_COVERPAGE"/>
      <w:r>
        <w:rPr>
          <w:noProof/>
        </w:rPr>
        <w:pict w14:anchorId="72A80C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A71A36C0-518F-4529-A4EB-47C1EF744AFD" style="width:455.25pt;height:310.5pt">
            <v:imagedata r:id="rId7" o:title=""/>
          </v:shape>
        </w:pict>
      </w:r>
    </w:p>
    <w:bookmarkEnd w:id="0"/>
    <w:p w14:paraId="6E11D618" w14:textId="77777777" w:rsidR="00806935" w:rsidRDefault="00806935" w:rsidP="00806935">
      <w:pPr>
        <w:rPr>
          <w:noProof/>
        </w:rPr>
        <w:sectPr w:rsidR="00806935" w:rsidSect="00242A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7D7D52AD" w14:textId="77777777" w:rsidR="00D46EFD" w:rsidRDefault="009743E0" w:rsidP="00D46EFD">
      <w:pPr>
        <w:spacing w:after="5" w:line="267" w:lineRule="auto"/>
        <w:ind w:right="1210"/>
        <w:jc w:val="center"/>
        <w:rPr>
          <w:rFonts w:ascii="Times New Roman" w:hAnsi="Times New Roman"/>
          <w:b/>
          <w:noProof/>
          <w:color w:val="000000"/>
          <w:sz w:val="24"/>
        </w:rPr>
      </w:pPr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4"/>
        </w:rPr>
        <w:lastRenderedPageBreak/>
        <w:t xml:space="preserve">SPRÁVA KOMISIE RADE A EURÓPSKEMU PARLAMENTU </w:t>
      </w:r>
    </w:p>
    <w:p w14:paraId="258D4717" w14:textId="244EC8E2" w:rsidR="009743E0" w:rsidRPr="009743E0" w:rsidRDefault="009743E0" w:rsidP="00D46EFD">
      <w:pPr>
        <w:spacing w:after="5" w:line="267" w:lineRule="auto"/>
        <w:ind w:right="1210"/>
        <w:jc w:val="center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 xml:space="preserve">o vykonávaní právomoci prijímať delegované akty udelenej Komisii podľa nariadenia (EÚ) č. 1257/2013 o recyklácii lodí </w:t>
      </w:r>
    </w:p>
    <w:p w14:paraId="37ED01B1" w14:textId="77777777" w:rsidR="009743E0" w:rsidRPr="009743E0" w:rsidRDefault="009743E0" w:rsidP="009743E0">
      <w:pPr>
        <w:keepNext/>
        <w:keepLines/>
        <w:spacing w:before="360" w:after="146" w:line="247" w:lineRule="auto"/>
        <w:outlineLvl w:val="1"/>
        <w:rPr>
          <w:rFonts w:ascii="Times New Roman" w:eastAsia="Times New Roman" w:hAnsi="Times New Roman" w:cs="Times New Roman"/>
          <w:b/>
          <w:noProof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 xml:space="preserve"> 1. ÚVOD </w:t>
      </w:r>
    </w:p>
    <w:p w14:paraId="1A66AFF4" w14:textId="77777777" w:rsidR="009743E0" w:rsidRPr="009743E0" w:rsidRDefault="009743E0" w:rsidP="009743E0">
      <w:pPr>
        <w:spacing w:after="117" w:line="253" w:lineRule="auto"/>
        <w:ind w:right="836"/>
        <w:jc w:val="both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t>Nariadením Európskeho parlamentu a Rady (EÚ) č. 1257/2013 z 20. novembra 2013 o recyklácii lodí</w:t>
      </w:r>
      <w:r>
        <w:rPr>
          <w:rFonts w:ascii="Times New Roman" w:eastAsia="Times New Roman" w:hAnsi="Times New Roman" w:cs="Times New Roman"/>
          <w:noProof/>
          <w:color w:val="000000"/>
          <w:sz w:val="24"/>
          <w:vertAlign w:val="superscript"/>
          <w:lang w:eastAsia="en-GB"/>
        </w:rPr>
        <w:footnoteReference w:id="1"/>
      </w:r>
      <w:r>
        <w:rPr>
          <w:rFonts w:ascii="Times New Roman" w:hAnsi="Times New Roman"/>
          <w:noProof/>
          <w:color w:val="000000"/>
          <w:sz w:val="24"/>
        </w:rPr>
        <w:t xml:space="preserve"> („nariadenie o recyklácii lodí“) sa stanovujú pravidlá s cieľom predchádzať nehodám, zraneniam a iným škodlivým účinkom na zdravie ľudí a životné prostredie spôsobeným recykláciou lodí, obmedzovať a minimalizovať ich a v uskutočniteľnej miere ich odstrániť. Na tento účel sa v nariadení o recyklácii lodí predovšetkým stanovuje povinnosť, aby lode mali na palube zoznam nebezpečných materiálov, a to k rôznym dátumom určeným v článku 32 nariadenia a v závislosti od stavu lode. </w:t>
      </w:r>
    </w:p>
    <w:p w14:paraId="7078F682" w14:textId="77777777" w:rsidR="009743E0" w:rsidRPr="009743E0" w:rsidRDefault="009743E0" w:rsidP="009743E0">
      <w:pPr>
        <w:spacing w:after="484" w:line="250" w:lineRule="auto"/>
        <w:ind w:right="851"/>
        <w:jc w:val="both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t xml:space="preserve">Nariadením o recyklácii lodí sa Komisia splnomocňuje prijímať delegované akty podľa článku 5 ods. 8 na účely „aktualizácie zoznamu položiek pre zoznam nebezpečných materiálov uvedený v prílohách I a II s cieľom zabezpečiť, aby zoznamy obsahovali aspoň látky uvedené v dodatkoch I a II k Hongkonskému dohovoru“. V článku 5 ods. 8 sa ďalej stanovuje, že „Komisia pre každú látku, ktorá sa má doplniť do prílohy I alebo II alebo sa z nich má vypustiť, prijme osobitný delegovaný akt.“ </w:t>
      </w:r>
    </w:p>
    <w:p w14:paraId="6B95D561" w14:textId="77777777" w:rsidR="009743E0" w:rsidRPr="009743E0" w:rsidRDefault="009743E0" w:rsidP="009743E0">
      <w:pPr>
        <w:keepNext/>
        <w:keepLines/>
        <w:spacing w:after="146" w:line="248" w:lineRule="auto"/>
        <w:outlineLvl w:val="1"/>
        <w:rPr>
          <w:rFonts w:ascii="Times New Roman" w:eastAsia="Times New Roman" w:hAnsi="Times New Roman" w:cs="Times New Roman"/>
          <w:b/>
          <w:noProof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 xml:space="preserve">2. PRÁVNY ZÁKLAD </w:t>
      </w:r>
    </w:p>
    <w:p w14:paraId="6E27E9B0" w14:textId="36C536C3" w:rsidR="009743E0" w:rsidRPr="009743E0" w:rsidRDefault="009743E0" w:rsidP="009743E0">
      <w:pPr>
        <w:spacing w:after="117" w:line="253" w:lineRule="auto"/>
        <w:ind w:right="836"/>
        <w:jc w:val="both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t xml:space="preserve">Táto správa sa vyžaduje podľa článku 24 ods. 2 nariadenia o recyklácii lodí. Podľa tohto článku má Komisia právomoc prijímať delegované akty na obdobie piatich rokov od 30. decembra 2013. Komisia je tiež povinná vypracovať správu o delegovaných právomociach najneskôr deväť mesiacov pred uplynutím päťročného obdobia. V súlade s článkom 24 ods. 2 sa delegovanie právomoci bude automaticky predlžovať o rovnako dlhé obdobia, pokiaľ Európsky parlament alebo Rada nevznesú voči takémuto predĺženiu námietku najneskôr tri mesiace pred koncom každého obdobia. </w:t>
      </w:r>
    </w:p>
    <w:p w14:paraId="0C3D0418" w14:textId="77777777" w:rsidR="009743E0" w:rsidRPr="009743E0" w:rsidRDefault="009743E0" w:rsidP="009743E0">
      <w:pPr>
        <w:spacing w:after="111"/>
        <w:rPr>
          <w:rFonts w:ascii="Times New Roman" w:eastAsia="Times New Roman" w:hAnsi="Times New Roman" w:cs="Times New Roman"/>
          <w:noProof/>
          <w:color w:val="000000"/>
          <w:sz w:val="24"/>
        </w:rPr>
      </w:pPr>
      <w:r>
        <w:rPr>
          <w:rFonts w:ascii="Times New Roman" w:hAnsi="Times New Roman"/>
          <w:noProof/>
          <w:color w:val="000000"/>
          <w:sz w:val="24"/>
        </w:rPr>
        <w:t xml:space="preserve"> </w:t>
      </w:r>
    </w:p>
    <w:p w14:paraId="1BD2C9A3" w14:textId="77777777" w:rsidR="009743E0" w:rsidRPr="009743E0" w:rsidRDefault="009743E0" w:rsidP="009743E0">
      <w:pPr>
        <w:keepNext/>
        <w:keepLines/>
        <w:spacing w:after="226" w:line="248" w:lineRule="auto"/>
        <w:outlineLvl w:val="1"/>
        <w:rPr>
          <w:rFonts w:ascii="Times New Roman" w:eastAsia="Times New Roman" w:hAnsi="Times New Roman" w:cs="Times New Roman"/>
          <w:b/>
          <w:noProof/>
          <w:color w:val="000000"/>
          <w:sz w:val="24"/>
        </w:rPr>
      </w:pPr>
      <w:r>
        <w:rPr>
          <w:rFonts w:ascii="Times New Roman" w:hAnsi="Times New Roman"/>
          <w:b/>
          <w:noProof/>
          <w:color w:val="000000"/>
          <w:sz w:val="24"/>
        </w:rPr>
        <w:t xml:space="preserve">3. VYKONÁVANIE DELEGOVANEJ PRÁVOMOCI </w:t>
      </w:r>
    </w:p>
    <w:p w14:paraId="008E3F8C" w14:textId="664035FB" w:rsidR="00B851BB" w:rsidRDefault="009743E0" w:rsidP="009743E0">
      <w:pPr>
        <w:spacing w:after="117" w:line="253" w:lineRule="auto"/>
        <w:ind w:right="836"/>
        <w:jc w:val="both"/>
        <w:rPr>
          <w:noProof/>
        </w:rPr>
      </w:pPr>
      <w:r>
        <w:rPr>
          <w:rFonts w:ascii="Times New Roman" w:hAnsi="Times New Roman"/>
          <w:noProof/>
          <w:color w:val="000000"/>
          <w:sz w:val="24"/>
        </w:rPr>
        <w:t>Prvá správa bola vydaná 22. marca 2018</w:t>
      </w:r>
      <w:r>
        <w:rPr>
          <w:rStyle w:val="FootnoteReference"/>
          <w:rFonts w:ascii="Times New Roman" w:eastAsia="Times New Roman" w:hAnsi="Times New Roman" w:cs="Times New Roman"/>
          <w:noProof/>
          <w:color w:val="000000"/>
          <w:sz w:val="24"/>
          <w:lang w:eastAsia="en-GB"/>
        </w:rPr>
        <w:footnoteReference w:id="2"/>
      </w:r>
      <w:r w:rsidR="003D7DA1">
        <w:rPr>
          <w:rFonts w:ascii="Times New Roman" w:hAnsi="Times New Roman"/>
          <w:noProof/>
          <w:color w:val="000000"/>
          <w:sz w:val="24"/>
        </w:rPr>
        <w:t xml:space="preserve">. </w:t>
      </w:r>
      <w:r>
        <w:rPr>
          <w:rFonts w:ascii="Times New Roman" w:hAnsi="Times New Roman"/>
          <w:noProof/>
          <w:color w:val="000000"/>
          <w:sz w:val="24"/>
        </w:rPr>
        <w:t xml:space="preserve">Počas obdobia, na ktoré sa vzťahuje táto správa, Komisia nevyužila delegovanú právomoc uvedenú v článku 5 ods. 8. Dôvodom je, že Hongkonský dohovor, ktorého zmluvnou stranou je EÚ a ktorý sa nariadením o recyklácii lodí vykonáva v rámci právneho poriadku EÚ, ešte nenadobudol platnosť. Jeho obsah preto ešte nemožno preskúmať a rovnako nemožno do jeho dodatkov dopĺňať ďalšie látky. Keďže prílohy k nariadeniu o recyklácii lodí v súčasnosti obsahujú všetky látky uvedené v dodatkoch Hongkonského dohovoru, delegované akty nie sú potrebné. </w:t>
      </w:r>
    </w:p>
    <w:sectPr w:rsidR="00B851BB" w:rsidSect="008069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88C9D" w14:textId="77777777" w:rsidR="00EA0982" w:rsidRDefault="00EA0982" w:rsidP="00806935">
      <w:pPr>
        <w:spacing w:after="0" w:line="240" w:lineRule="auto"/>
      </w:pPr>
      <w:r>
        <w:separator/>
      </w:r>
    </w:p>
  </w:endnote>
  <w:endnote w:type="continuationSeparator" w:id="0">
    <w:p w14:paraId="18FFB59B" w14:textId="77777777" w:rsidR="00EA0982" w:rsidRDefault="00EA0982" w:rsidP="00806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48782" w14:textId="77777777" w:rsidR="00242A0B" w:rsidRPr="00242A0B" w:rsidRDefault="00242A0B" w:rsidP="00242A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A6A16" w14:textId="73C61B54" w:rsidR="00D46EFD" w:rsidRPr="00242A0B" w:rsidRDefault="00242A0B" w:rsidP="00242A0B">
    <w:pPr>
      <w:pStyle w:val="FooterCoverPage"/>
      <w:rPr>
        <w:rFonts w:ascii="Arial" w:hAnsi="Arial" w:cs="Arial"/>
        <w:b/>
        <w:sz w:val="48"/>
      </w:rPr>
    </w:pPr>
    <w:r w:rsidRPr="00242A0B">
      <w:rPr>
        <w:rFonts w:ascii="Arial" w:hAnsi="Arial" w:cs="Arial"/>
        <w:b/>
        <w:sz w:val="48"/>
      </w:rPr>
      <w:t>SK</w:t>
    </w:r>
    <w:r w:rsidRPr="00242A0B">
      <w:rPr>
        <w:rFonts w:ascii="Arial" w:hAnsi="Arial" w:cs="Arial"/>
        <w:b/>
        <w:sz w:val="48"/>
      </w:rPr>
      <w:tab/>
    </w:r>
    <w:r w:rsidRPr="00242A0B">
      <w:rPr>
        <w:rFonts w:ascii="Arial" w:hAnsi="Arial" w:cs="Arial"/>
        <w:b/>
        <w:sz w:val="48"/>
      </w:rPr>
      <w:tab/>
    </w:r>
    <w:r w:rsidRPr="00242A0B">
      <w:tab/>
    </w:r>
    <w:r w:rsidRPr="00242A0B">
      <w:rPr>
        <w:rFonts w:ascii="Arial" w:hAnsi="Arial" w:cs="Arial"/>
        <w:b/>
        <w:sz w:val="48"/>
      </w:rPr>
      <w:t>SK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723F4" w14:textId="77777777" w:rsidR="00242A0B" w:rsidRPr="00242A0B" w:rsidRDefault="00242A0B" w:rsidP="00242A0B">
    <w:pPr>
      <w:pStyle w:val="FooterCover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DF89F" w14:textId="77777777" w:rsidR="00806935" w:rsidRDefault="0080693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E1965" w14:textId="77777777" w:rsidR="00806935" w:rsidRDefault="0080693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8B983" w14:textId="77777777" w:rsidR="00806935" w:rsidRDefault="00806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70270" w14:textId="77777777" w:rsidR="00EA0982" w:rsidRDefault="00EA0982" w:rsidP="00806935">
      <w:pPr>
        <w:spacing w:after="0" w:line="240" w:lineRule="auto"/>
      </w:pPr>
      <w:r>
        <w:separator/>
      </w:r>
    </w:p>
  </w:footnote>
  <w:footnote w:type="continuationSeparator" w:id="0">
    <w:p w14:paraId="119D8FAB" w14:textId="77777777" w:rsidR="00EA0982" w:rsidRDefault="00EA0982" w:rsidP="00806935">
      <w:pPr>
        <w:spacing w:after="0" w:line="240" w:lineRule="auto"/>
      </w:pPr>
      <w:r>
        <w:continuationSeparator/>
      </w:r>
    </w:p>
  </w:footnote>
  <w:footnote w:id="1">
    <w:p w14:paraId="2DD66769" w14:textId="5B246B35" w:rsidR="009743E0" w:rsidRPr="00F57D32" w:rsidRDefault="009743E0" w:rsidP="00F57D32">
      <w:pPr>
        <w:pStyle w:val="footnotedescription"/>
        <w:ind w:left="720" w:hanging="720"/>
        <w:rPr>
          <w:sz w:val="20"/>
          <w:szCs w:val="20"/>
        </w:rPr>
      </w:pPr>
      <w:r w:rsidRPr="00F57D32">
        <w:rPr>
          <w:rStyle w:val="footnotemark"/>
          <w:sz w:val="20"/>
          <w:szCs w:val="20"/>
        </w:rPr>
        <w:footnoteRef/>
      </w:r>
      <w:r w:rsidRPr="00F57D32">
        <w:rPr>
          <w:sz w:val="20"/>
          <w:szCs w:val="20"/>
        </w:rPr>
        <w:t xml:space="preserve"> </w:t>
      </w:r>
      <w:r w:rsidR="00F57D32">
        <w:rPr>
          <w:sz w:val="20"/>
          <w:szCs w:val="20"/>
        </w:rPr>
        <w:tab/>
      </w:r>
      <w:r w:rsidRPr="00F57D32">
        <w:rPr>
          <w:sz w:val="20"/>
          <w:szCs w:val="20"/>
        </w:rPr>
        <w:t>Ú. v. EÚ L 330, 10.12.2013, s. 1 – 20.</w:t>
      </w:r>
      <w:r w:rsidRPr="00F57D32">
        <w:rPr>
          <w:rFonts w:ascii="Calibri" w:hAnsi="Calibri"/>
          <w:i w:val="0"/>
          <w:sz w:val="20"/>
          <w:szCs w:val="20"/>
        </w:rPr>
        <w:t xml:space="preserve"> </w:t>
      </w:r>
    </w:p>
  </w:footnote>
  <w:footnote w:id="2">
    <w:p w14:paraId="5384B02D" w14:textId="1F31A646" w:rsidR="009743E0" w:rsidRPr="00F57D32" w:rsidRDefault="009743E0" w:rsidP="00F57D32">
      <w:pPr>
        <w:pStyle w:val="footnotedescription"/>
        <w:ind w:left="720" w:hanging="720"/>
        <w:rPr>
          <w:sz w:val="20"/>
          <w:szCs w:val="20"/>
        </w:rPr>
      </w:pPr>
      <w:r w:rsidRPr="00F57D32">
        <w:rPr>
          <w:sz w:val="20"/>
          <w:szCs w:val="20"/>
          <w:vertAlign w:val="superscript"/>
        </w:rPr>
        <w:footnoteRef/>
      </w:r>
      <w:r w:rsidRPr="00F57D32">
        <w:rPr>
          <w:sz w:val="20"/>
          <w:szCs w:val="20"/>
        </w:rPr>
        <w:t xml:space="preserve"> </w:t>
      </w:r>
      <w:r w:rsidR="00F57D32">
        <w:rPr>
          <w:sz w:val="20"/>
          <w:szCs w:val="20"/>
        </w:rPr>
        <w:tab/>
      </w:r>
      <w:r w:rsidRPr="00F57D32">
        <w:rPr>
          <w:sz w:val="20"/>
          <w:szCs w:val="20"/>
        </w:rPr>
        <w:t xml:space="preserve">COM(2018) 145 final.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AD2B8" w14:textId="77777777" w:rsidR="00242A0B" w:rsidRPr="00242A0B" w:rsidRDefault="00242A0B" w:rsidP="00242A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A3AC6" w14:textId="77777777" w:rsidR="00242A0B" w:rsidRPr="00242A0B" w:rsidRDefault="00242A0B" w:rsidP="00242A0B">
    <w:pPr>
      <w:pStyle w:val="HeaderCoverPag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853A1" w14:textId="77777777" w:rsidR="00242A0B" w:rsidRPr="00242A0B" w:rsidRDefault="00242A0B" w:rsidP="00242A0B">
    <w:pPr>
      <w:pStyle w:val="HeaderCoverPag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15BD9" w14:textId="77777777" w:rsidR="00806935" w:rsidRDefault="0080693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78A3F" w14:textId="77777777" w:rsidR="00806935" w:rsidRDefault="0080693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1356F" w14:textId="77777777" w:rsidR="00806935" w:rsidRDefault="008069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markup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Status" w:val="Green"/>
    <w:docVar w:name="LW_CORRIGENDUM" w:val="&lt;UNUSED&gt;"/>
    <w:docVar w:name="LW_COVERPAGE_EXISTS" w:val="True"/>
    <w:docVar w:name="LW_COVERPAGE_GUID" w:val="A71A36C0-518F-4529-A4EB-47C1EF744AFD"/>
    <w:docVar w:name="LW_COVERPAGE_TYPE" w:val="1"/>
    <w:docVar w:name="LW_CROSSREFERENCE" w:val="&lt;UNUSED&gt;"/>
    <w:docVar w:name="LW_DocType" w:val="NORMAL"/>
    <w:docVar w:name="LW_EMISSION" w:val="22. 6. 2023"/>
    <w:docVar w:name="LW_EMISSION_ISODATE" w:val="2023-06-22"/>
    <w:docVar w:name="LW_EMISSION_LOCATION" w:val="BRX"/>
    <w:docVar w:name="LW_EMISSION_PREFIX" w:val="V Bruseli"/>
    <w:docVar w:name="LW_EMISSION_SUFFIX" w:val=" "/>
    <w:docVar w:name="LW_ID_DOCTYPE_NONLW" w:val="CP-005"/>
    <w:docVar w:name="LW_LANGUE" w:val="SK"/>
    <w:docVar w:name="LW_LEVEL_OF_SENSITIVITY" w:val="Standard treatment"/>
    <w:docVar w:name="LW_NOM.INST" w:val="EURÓPSKA KOMISIA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23) 326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ITRE.OBJ.CP" w:val="o vykonávaní právomoci prijímať delegované akty udelenej Komisii podľa nariadenia (EÚ) č. 1257/2013 o recyklácii lodí"/>
    <w:docVar w:name="LW_TYPE.DOC.CP" w:val="SPRÁVA KOMISIE RADE A EURÓPSKEMU PARLAMENTU"/>
    <w:docVar w:name="LwApiVersions" w:val="LW4CoDe 1.23.2.0; LW 8.0, Build 20211117"/>
  </w:docVars>
  <w:rsids>
    <w:rsidRoot w:val="00806935"/>
    <w:rsid w:val="000033C7"/>
    <w:rsid w:val="0000427C"/>
    <w:rsid w:val="000653A0"/>
    <w:rsid w:val="0007654A"/>
    <w:rsid w:val="00242A0B"/>
    <w:rsid w:val="003D7DA1"/>
    <w:rsid w:val="00657557"/>
    <w:rsid w:val="006A0EC3"/>
    <w:rsid w:val="007B6B86"/>
    <w:rsid w:val="00806935"/>
    <w:rsid w:val="009743E0"/>
    <w:rsid w:val="00981E41"/>
    <w:rsid w:val="00B851BB"/>
    <w:rsid w:val="00BC5435"/>
    <w:rsid w:val="00D46EFD"/>
    <w:rsid w:val="00EA0982"/>
    <w:rsid w:val="00F57D32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254FD4"/>
  <w15:chartTrackingRefBased/>
  <w15:docId w15:val="{EF8E6404-AF4B-4B94-96FD-D5695592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sid w:val="00806935"/>
    <w:rPr>
      <w:color w:val="0000FF"/>
      <w:shd w:val="clear" w:color="auto" w:fill="auto"/>
    </w:rPr>
  </w:style>
  <w:style w:type="paragraph" w:styleId="Header">
    <w:name w:val="header"/>
    <w:basedOn w:val="Normal"/>
    <w:link w:val="HeaderChar"/>
    <w:uiPriority w:val="99"/>
    <w:unhideWhenUsed/>
    <w:rsid w:val="00806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935"/>
  </w:style>
  <w:style w:type="paragraph" w:styleId="Footer">
    <w:name w:val="footer"/>
    <w:basedOn w:val="Normal"/>
    <w:link w:val="FooterChar"/>
    <w:uiPriority w:val="99"/>
    <w:unhideWhenUsed/>
    <w:rsid w:val="008069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935"/>
  </w:style>
  <w:style w:type="paragraph" w:customStyle="1" w:styleId="Pagedecouverture">
    <w:name w:val="Page de couverture"/>
    <w:basedOn w:val="Normal"/>
    <w:next w:val="Normal"/>
    <w:rsid w:val="00806935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customStyle="1" w:styleId="FooterCoverPage">
    <w:name w:val="Footer Cover Page"/>
    <w:basedOn w:val="Normal"/>
    <w:link w:val="FooterCoverPageChar"/>
    <w:rsid w:val="00806935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806935"/>
    <w:rPr>
      <w:rFonts w:ascii="Times New Roman" w:hAnsi="Times New Roman" w:cs="Times New Roman"/>
      <w:sz w:val="24"/>
    </w:rPr>
  </w:style>
  <w:style w:type="paragraph" w:customStyle="1" w:styleId="FooterSensitivity">
    <w:name w:val="Footer Sensitivity"/>
    <w:basedOn w:val="Normal"/>
    <w:link w:val="FooterSensitivityChar"/>
    <w:rsid w:val="008069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806935"/>
    <w:rPr>
      <w:rFonts w:ascii="Times New Roman" w:hAnsi="Times New Roman" w:cs="Times New Roman"/>
      <w:b/>
      <w:sz w:val="32"/>
    </w:rPr>
  </w:style>
  <w:style w:type="paragraph" w:customStyle="1" w:styleId="HeaderCoverPage">
    <w:name w:val="Header Cover Page"/>
    <w:basedOn w:val="Normal"/>
    <w:link w:val="HeaderCoverPageChar"/>
    <w:rsid w:val="00806935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806935"/>
    <w:rPr>
      <w:rFonts w:ascii="Times New Roman" w:hAnsi="Times New Roman" w:cs="Times New Roman"/>
      <w:sz w:val="24"/>
    </w:rPr>
  </w:style>
  <w:style w:type="paragraph" w:customStyle="1" w:styleId="HeaderSensitivity">
    <w:name w:val="Header Sensitivity"/>
    <w:basedOn w:val="Normal"/>
    <w:link w:val="HeaderSensitivityChar"/>
    <w:rsid w:val="008069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806935"/>
    <w:rPr>
      <w:rFonts w:ascii="Times New Roman" w:hAnsi="Times New Roman" w:cs="Times New Roman"/>
      <w:b/>
      <w:sz w:val="32"/>
    </w:rPr>
  </w:style>
  <w:style w:type="paragraph" w:customStyle="1" w:styleId="HeaderSensitivityRight">
    <w:name w:val="Header Sensitivity Right"/>
    <w:basedOn w:val="Normal"/>
    <w:link w:val="HeaderSensitivityRightChar"/>
    <w:rsid w:val="00806935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806935"/>
    <w:rPr>
      <w:rFonts w:ascii="Times New Roman" w:hAnsi="Times New Roman" w:cs="Times New Roman"/>
      <w:sz w:val="28"/>
    </w:rPr>
  </w:style>
  <w:style w:type="paragraph" w:customStyle="1" w:styleId="footnotedescription">
    <w:name w:val="footnote description"/>
    <w:next w:val="Normal"/>
    <w:link w:val="footnotedescriptionChar"/>
    <w:hidden/>
    <w:rsid w:val="009743E0"/>
    <w:pPr>
      <w:spacing w:after="0"/>
      <w:ind w:left="850"/>
    </w:pPr>
    <w:rPr>
      <w:rFonts w:ascii="Times New Roman" w:eastAsia="Times New Roman" w:hAnsi="Times New Roman" w:cs="Times New Roman"/>
      <w:i/>
      <w:color w:val="000000"/>
      <w:sz w:val="18"/>
      <w:lang w:eastAsia="en-GB"/>
    </w:rPr>
  </w:style>
  <w:style w:type="character" w:customStyle="1" w:styleId="footnotedescriptionChar">
    <w:name w:val="footnote description Char"/>
    <w:link w:val="footnotedescription"/>
    <w:rsid w:val="009743E0"/>
    <w:rPr>
      <w:rFonts w:ascii="Times New Roman" w:eastAsia="Times New Roman" w:hAnsi="Times New Roman" w:cs="Times New Roman"/>
      <w:i/>
      <w:color w:val="000000"/>
      <w:sz w:val="18"/>
      <w:lang w:eastAsia="en-GB"/>
    </w:rPr>
  </w:style>
  <w:style w:type="character" w:customStyle="1" w:styleId="footnotemark">
    <w:name w:val="footnote mark"/>
    <w:hidden/>
    <w:rsid w:val="009743E0"/>
    <w:rPr>
      <w:rFonts w:ascii="Calibri" w:eastAsia="Calibri" w:hAnsi="Calibri" w:cs="Calibri"/>
      <w:color w:val="000000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43E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3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43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BC9BA-01A5-4693-9F7B-06003C76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367</Words>
  <Characters>2064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30</cp:revision>
  <dcterms:created xsi:type="dcterms:W3CDTF">2023-02-13T16:32:00Z</dcterms:created>
  <dcterms:modified xsi:type="dcterms:W3CDTF">2023-06-22T07:57:00Z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Part">
    <vt:lpwstr>1</vt:lpwstr>
  </property>
  <property fmtid="{D5CDD505-2E9C-101B-9397-08002B2CF9AE}" pid="4" name="Total parts">
    <vt:lpwstr>1</vt:lpwstr>
  </property>
  <property fmtid="{D5CDD505-2E9C-101B-9397-08002B2CF9AE}" pid="5" name="DocStatus">
    <vt:lpwstr>Green</vt:lpwstr>
  </property>
  <property fmtid="{D5CDD505-2E9C-101B-9397-08002B2CF9AE}" pid="6" name="CPTemplateID">
    <vt:lpwstr>CP-005</vt:lpwstr>
  </property>
  <property fmtid="{D5CDD505-2E9C-101B-9397-08002B2CF9AE}" pid="7" name="Last edited using">
    <vt:lpwstr>LW 8.1, Build 20230124</vt:lpwstr>
  </property>
  <property fmtid="{D5CDD505-2E9C-101B-9397-08002B2CF9AE}" pid="8" name="Created using">
    <vt:lpwstr>LW 8.1, Build 20220902</vt:lpwstr>
  </property>
  <property fmtid="{D5CDD505-2E9C-101B-9397-08002B2CF9AE}" pid="9" name="MSIP_Label_6bd9ddd1-4d20-43f6-abfa-fc3c07406f94_Enabled">
    <vt:lpwstr>true</vt:lpwstr>
  </property>
  <property fmtid="{D5CDD505-2E9C-101B-9397-08002B2CF9AE}" pid="10" name="MSIP_Label_6bd9ddd1-4d20-43f6-abfa-fc3c07406f94_SetDate">
    <vt:lpwstr>2023-02-17T07:38:45Z</vt:lpwstr>
  </property>
  <property fmtid="{D5CDD505-2E9C-101B-9397-08002B2CF9AE}" pid="11" name="MSIP_Label_6bd9ddd1-4d20-43f6-abfa-fc3c07406f94_Method">
    <vt:lpwstr>Standard</vt:lpwstr>
  </property>
  <property fmtid="{D5CDD505-2E9C-101B-9397-08002B2CF9AE}" pid="12" name="MSIP_Label_6bd9ddd1-4d20-43f6-abfa-fc3c07406f94_Name">
    <vt:lpwstr>Commission Use</vt:lpwstr>
  </property>
  <property fmtid="{D5CDD505-2E9C-101B-9397-08002B2CF9AE}" pid="13" name="MSIP_Label_6bd9ddd1-4d20-43f6-abfa-fc3c07406f94_SiteId">
    <vt:lpwstr>b24c8b06-522c-46fe-9080-70926f8dddb1</vt:lpwstr>
  </property>
  <property fmtid="{D5CDD505-2E9C-101B-9397-08002B2CF9AE}" pid="14" name="MSIP_Label_6bd9ddd1-4d20-43f6-abfa-fc3c07406f94_ActionId">
    <vt:lpwstr>a8550d91-5625-4c35-bd1d-6c3e8d5d41f7</vt:lpwstr>
  </property>
  <property fmtid="{D5CDD505-2E9C-101B-9397-08002B2CF9AE}" pid="15" name="MSIP_Label_6bd9ddd1-4d20-43f6-abfa-fc3c07406f94_ContentBits">
    <vt:lpwstr>0</vt:lpwstr>
  </property>
  <property name="OP_sanitized" fmtid="{D5CDD505-2E9C-101B-9397-08002B2CF9AE}" pid="16">
    <vt:lpwstr>True</vt:lpwstr>
  </property>
</Properties>
</file>