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ECD92" w14:textId="2226CEB9" w:rsidR="008C7DE8" w:rsidRPr="006057D0" w:rsidRDefault="006133F3" w:rsidP="006133F3">
      <w:pPr>
        <w:pStyle w:val="Pagedecouverture"/>
        <w:rPr>
          <w:noProof/>
        </w:rPr>
      </w:pPr>
      <w:r>
        <w:rPr>
          <w:noProof/>
        </w:rPr>
        <w:pict w14:anchorId="1F768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4C679757-EF66-4685-9522-68E440861B74" style="width:455.25pt;height:369.75pt">
            <v:imagedata r:id="rId8" o:title=""/>
          </v:shape>
        </w:pict>
      </w:r>
    </w:p>
    <w:p w14:paraId="5CD132FA" w14:textId="77777777" w:rsidR="008C7DE8" w:rsidRPr="006057D0" w:rsidRDefault="008C7DE8" w:rsidP="008C7DE8">
      <w:pPr>
        <w:rPr>
          <w:noProof/>
        </w:rPr>
        <w:sectPr w:rsidR="008C7DE8" w:rsidRPr="006057D0" w:rsidSect="006133F3">
          <w:footerReference w:type="default" r:id="rId9"/>
          <w:pgSz w:w="11907" w:h="16839"/>
          <w:pgMar w:top="1134" w:right="1417" w:bottom="1134" w:left="1417" w:header="709" w:footer="709" w:gutter="0"/>
          <w:pgNumType w:start="0"/>
          <w:cols w:space="720"/>
          <w:docGrid w:linePitch="360"/>
        </w:sectPr>
      </w:pPr>
    </w:p>
    <w:p w14:paraId="609D91F6" w14:textId="78FB2A32" w:rsidR="008C7DE8" w:rsidRPr="006057D0" w:rsidRDefault="008C7DE8" w:rsidP="00416AD7">
      <w:pPr>
        <w:pStyle w:val="Exposdesmotifstitre"/>
        <w:rPr>
          <w:noProof/>
        </w:rPr>
      </w:pPr>
      <w:bookmarkStart w:id="0" w:name="_Toc76715997"/>
      <w:bookmarkStart w:id="1" w:name="_GoBack"/>
      <w:bookmarkEnd w:id="1"/>
      <w:r w:rsidRPr="006057D0">
        <w:rPr>
          <w:noProof/>
        </w:rPr>
        <w:lastRenderedPageBreak/>
        <w:t>DÔVODOVÁ SPRÁVA</w:t>
      </w:r>
      <w:bookmarkEnd w:id="0"/>
    </w:p>
    <w:p w14:paraId="17F56ED9" w14:textId="77777777" w:rsidR="008C7DE8" w:rsidRPr="006057D0" w:rsidRDefault="008C7DE8" w:rsidP="00416AD7">
      <w:pPr>
        <w:pStyle w:val="ManualHeading1"/>
        <w:rPr>
          <w:noProof/>
        </w:rPr>
      </w:pPr>
      <w:bookmarkStart w:id="2" w:name="_Toc76715998"/>
      <w:r w:rsidRPr="006057D0">
        <w:rPr>
          <w:noProof/>
        </w:rPr>
        <w:t>1.</w:t>
      </w:r>
      <w:r w:rsidRPr="006057D0">
        <w:rPr>
          <w:noProof/>
        </w:rPr>
        <w:tab/>
        <w:t>KONTEXT NÁVRHU</w:t>
      </w:r>
      <w:bookmarkEnd w:id="2"/>
    </w:p>
    <w:p w14:paraId="3DAA4490" w14:textId="62756CEA" w:rsidR="008C7DE8" w:rsidRPr="006057D0" w:rsidRDefault="008C7DE8" w:rsidP="001F18D8">
      <w:pPr>
        <w:pStyle w:val="ManualHeading2"/>
        <w:rPr>
          <w:rFonts w:eastAsia="Arial Unicode MS"/>
          <w:noProof/>
        </w:rPr>
      </w:pPr>
      <w:bookmarkStart w:id="3" w:name="_Toc76715999"/>
      <w:r w:rsidRPr="006057D0">
        <w:rPr>
          <w:noProof/>
          <w:color w:val="000000"/>
          <w:u w:color="000000"/>
          <w:bdr w:val="nil"/>
        </w:rPr>
        <w:t>•</w:t>
      </w:r>
      <w:r w:rsidRPr="006057D0">
        <w:rPr>
          <w:noProof/>
        </w:rPr>
        <w:tab/>
        <w:t>Dôvody</w:t>
      </w:r>
      <w:r w:rsidR="00D96E5A">
        <w:rPr>
          <w:noProof/>
        </w:rPr>
        <w:t xml:space="preserve"> a </w:t>
      </w:r>
      <w:r w:rsidRPr="006057D0">
        <w:rPr>
          <w:noProof/>
        </w:rPr>
        <w:t>ciele návrhu</w:t>
      </w:r>
      <w:bookmarkEnd w:id="3"/>
    </w:p>
    <w:p w14:paraId="481517F6" w14:textId="72FA8D4A" w:rsidR="008C7DE8" w:rsidRPr="006057D0" w:rsidRDefault="008C7DE8" w:rsidP="008C7DE8">
      <w:pPr>
        <w:pBdr>
          <w:top w:val="nil"/>
          <w:left w:val="nil"/>
          <w:bottom w:val="nil"/>
          <w:right w:val="nil"/>
          <w:between w:val="nil"/>
          <w:bar w:val="nil"/>
        </w:pBdr>
        <w:spacing w:before="0" w:after="240"/>
        <w:rPr>
          <w:noProof/>
        </w:rPr>
      </w:pPr>
      <w:r w:rsidRPr="006057D0">
        <w:rPr>
          <w:noProof/>
        </w:rPr>
        <w:t>Dohoda</w:t>
      </w:r>
      <w:r w:rsidR="00D96E5A">
        <w:rPr>
          <w:noProof/>
        </w:rPr>
        <w:t xml:space="preserve"> o </w:t>
      </w:r>
      <w:r w:rsidRPr="006057D0">
        <w:rPr>
          <w:noProof/>
        </w:rPr>
        <w:t>podpore, poskytovaní</w:t>
      </w:r>
      <w:r w:rsidR="00D96E5A">
        <w:rPr>
          <w:noProof/>
        </w:rPr>
        <w:t xml:space="preserve"> a </w:t>
      </w:r>
      <w:r w:rsidRPr="006057D0">
        <w:rPr>
          <w:noProof/>
        </w:rPr>
        <w:t>využívaní satelitných navigačných systémov Galileo</w:t>
      </w:r>
      <w:r w:rsidR="00D96E5A">
        <w:rPr>
          <w:noProof/>
        </w:rPr>
        <w:t xml:space="preserve"> a </w:t>
      </w:r>
      <w:r w:rsidRPr="006057D0">
        <w:rPr>
          <w:noProof/>
        </w:rPr>
        <w:t>GPS</w:t>
      </w:r>
      <w:r w:rsidR="00D96E5A">
        <w:rPr>
          <w:noProof/>
        </w:rPr>
        <w:t xml:space="preserve"> a s </w:t>
      </w:r>
      <w:r w:rsidRPr="006057D0">
        <w:rPr>
          <w:noProof/>
        </w:rPr>
        <w:t>nimi súvisiacich aplikácií medzi Európskym spoločenstvom</w:t>
      </w:r>
      <w:r w:rsidR="00D96E5A">
        <w:rPr>
          <w:noProof/>
        </w:rPr>
        <w:t xml:space="preserve"> a </w:t>
      </w:r>
      <w:r w:rsidRPr="006057D0">
        <w:rPr>
          <w:noProof/>
        </w:rPr>
        <w:t>jeho členskými štátmi na jednej strane</w:t>
      </w:r>
      <w:r w:rsidR="00D96E5A">
        <w:rPr>
          <w:noProof/>
        </w:rPr>
        <w:t xml:space="preserve"> a </w:t>
      </w:r>
      <w:r w:rsidRPr="006057D0">
        <w:rPr>
          <w:noProof/>
        </w:rPr>
        <w:t>Spojenými štátmi americkými na strane druhej</w:t>
      </w:r>
      <w:r w:rsidRPr="006057D0">
        <w:rPr>
          <w:rStyle w:val="FootnoteReference"/>
          <w:noProof/>
        </w:rPr>
        <w:footnoteReference w:id="1"/>
      </w:r>
      <w:r w:rsidRPr="006057D0">
        <w:rPr>
          <w:noProof/>
        </w:rPr>
        <w:t xml:space="preserve"> (ďalej len „dohoda“) bola podpísaná</w:t>
      </w:r>
      <w:r w:rsidR="00D96E5A">
        <w:rPr>
          <w:noProof/>
        </w:rPr>
        <w:t xml:space="preserve"> v </w:t>
      </w:r>
      <w:r w:rsidRPr="006057D0">
        <w:rPr>
          <w:noProof/>
        </w:rPr>
        <w:t>roku 2004. Platnosť nadobudla</w:t>
      </w:r>
      <w:r w:rsidR="00D96E5A">
        <w:rPr>
          <w:noProof/>
        </w:rPr>
        <w:t xml:space="preserve"> v </w:t>
      </w:r>
      <w:r w:rsidRPr="006057D0">
        <w:rPr>
          <w:noProof/>
        </w:rPr>
        <w:t>roku 2011 po ratifikácii zo strany Spojených štátov, EÚ</w:t>
      </w:r>
      <w:r w:rsidR="00D96E5A">
        <w:rPr>
          <w:noProof/>
        </w:rPr>
        <w:t xml:space="preserve"> a </w:t>
      </w:r>
      <w:r w:rsidRPr="006057D0">
        <w:rPr>
          <w:noProof/>
        </w:rPr>
        <w:t>všetkých členských štátov.</w:t>
      </w:r>
    </w:p>
    <w:p w14:paraId="6C45156D" w14:textId="786B6090" w:rsidR="008C7DE8" w:rsidRPr="006057D0" w:rsidRDefault="008C7DE8" w:rsidP="008C7DE8">
      <w:pPr>
        <w:pBdr>
          <w:top w:val="nil"/>
          <w:left w:val="nil"/>
          <w:bottom w:val="nil"/>
          <w:right w:val="nil"/>
          <w:between w:val="nil"/>
          <w:bar w:val="nil"/>
        </w:pBdr>
        <w:spacing w:before="0" w:after="240"/>
        <w:rPr>
          <w:noProof/>
        </w:rPr>
      </w:pPr>
      <w:r w:rsidRPr="006057D0">
        <w:rPr>
          <w:noProof/>
        </w:rPr>
        <w:t>Cieľom dohody je poskytnúť rámec pre spoluprácu medzi stranami pri podpore, poskytovaní</w:t>
      </w:r>
      <w:r w:rsidR="00D96E5A">
        <w:rPr>
          <w:noProof/>
        </w:rPr>
        <w:t xml:space="preserve"> a </w:t>
      </w:r>
      <w:r w:rsidRPr="006057D0">
        <w:rPr>
          <w:noProof/>
        </w:rPr>
        <w:t>využívaní signálov</w:t>
      </w:r>
      <w:r w:rsidR="00D96E5A">
        <w:rPr>
          <w:noProof/>
        </w:rPr>
        <w:t xml:space="preserve"> a </w:t>
      </w:r>
      <w:r w:rsidRPr="006057D0">
        <w:rPr>
          <w:noProof/>
        </w:rPr>
        <w:t>služieb navigácie</w:t>
      </w:r>
      <w:r w:rsidR="00D96E5A">
        <w:rPr>
          <w:noProof/>
        </w:rPr>
        <w:t xml:space="preserve"> a </w:t>
      </w:r>
      <w:r w:rsidRPr="006057D0">
        <w:rPr>
          <w:noProof/>
        </w:rPr>
        <w:t>časového riadenia GPS</w:t>
      </w:r>
      <w:r w:rsidR="00D96E5A">
        <w:rPr>
          <w:noProof/>
        </w:rPr>
        <w:t xml:space="preserve"> a </w:t>
      </w:r>
      <w:r w:rsidRPr="006057D0">
        <w:rPr>
          <w:noProof/>
        </w:rPr>
        <w:t>Galileo na civilné účely, služieb</w:t>
      </w:r>
      <w:r w:rsidR="00D96E5A">
        <w:rPr>
          <w:noProof/>
        </w:rPr>
        <w:t xml:space="preserve"> s </w:t>
      </w:r>
      <w:r w:rsidRPr="006057D0">
        <w:rPr>
          <w:noProof/>
        </w:rPr>
        <w:t>pridanou hodnotou, rozširujúcich služieb</w:t>
      </w:r>
      <w:r w:rsidR="00D96E5A">
        <w:rPr>
          <w:noProof/>
        </w:rPr>
        <w:t xml:space="preserve"> a </w:t>
      </w:r>
      <w:r w:rsidRPr="006057D0">
        <w:rPr>
          <w:noProof/>
        </w:rPr>
        <w:t>tovaru globálnej navigácie</w:t>
      </w:r>
      <w:r w:rsidR="00D96E5A">
        <w:rPr>
          <w:noProof/>
        </w:rPr>
        <w:t xml:space="preserve"> a </w:t>
      </w:r>
      <w:r w:rsidRPr="006057D0">
        <w:rPr>
          <w:noProof/>
        </w:rPr>
        <w:t xml:space="preserve">časového riadenia. </w:t>
      </w:r>
    </w:p>
    <w:p w14:paraId="7ADFC2DB" w14:textId="0C872025" w:rsidR="008C7DE8" w:rsidRPr="006057D0" w:rsidRDefault="008C7DE8" w:rsidP="008C7DE8">
      <w:pPr>
        <w:pBdr>
          <w:top w:val="nil"/>
          <w:left w:val="nil"/>
          <w:bottom w:val="nil"/>
          <w:right w:val="nil"/>
          <w:between w:val="nil"/>
          <w:bar w:val="nil"/>
        </w:pBdr>
        <w:spacing w:before="0" w:after="240"/>
        <w:rPr>
          <w:noProof/>
        </w:rPr>
      </w:pPr>
      <w:r w:rsidRPr="006057D0">
        <w:rPr>
          <w:noProof/>
        </w:rPr>
        <w:t>V článku 20 ods. 5 dohody sa stanovuje: „Táto dohoda ostane</w:t>
      </w:r>
      <w:r w:rsidR="00D96E5A">
        <w:rPr>
          <w:noProof/>
        </w:rPr>
        <w:t xml:space="preserve"> v </w:t>
      </w:r>
      <w:r w:rsidRPr="006057D0">
        <w:rPr>
          <w:noProof/>
        </w:rPr>
        <w:t>platnosti desať rokov. Aspoň tri mesiace pred koncom počiatočného 10-ročného obdobia sa strany navzájom informujú, či majú</w:t>
      </w:r>
      <w:r w:rsidR="00D96E5A">
        <w:rPr>
          <w:noProof/>
        </w:rPr>
        <w:t xml:space="preserve"> v </w:t>
      </w:r>
      <w:r w:rsidRPr="006057D0">
        <w:rPr>
          <w:noProof/>
        </w:rPr>
        <w:t xml:space="preserve">úmysle predĺžiť dohodu na obdobie piatich rokov.“ Platnosť dohody uplynie 12. decembra 2021. </w:t>
      </w:r>
    </w:p>
    <w:p w14:paraId="1F3E7A8B" w14:textId="42A3F50E" w:rsidR="00E12F17" w:rsidRPr="006057D0" w:rsidRDefault="003D711F" w:rsidP="008C7DE8">
      <w:pPr>
        <w:pBdr>
          <w:top w:val="nil"/>
          <w:left w:val="nil"/>
          <w:bottom w:val="nil"/>
          <w:right w:val="nil"/>
          <w:between w:val="nil"/>
          <w:bar w:val="nil"/>
        </w:pBdr>
        <w:spacing w:before="0" w:after="240"/>
        <w:rPr>
          <w:noProof/>
        </w:rPr>
      </w:pPr>
      <w:r w:rsidRPr="006057D0">
        <w:rPr>
          <w:noProof/>
        </w:rPr>
        <w:t>V júni 2021 Spojené štáty vyjadrili záujem získať oprávnenie predĺžiť platnosť dohody. Komisia</w:t>
      </w:r>
      <w:r w:rsidR="00D96E5A">
        <w:rPr>
          <w:noProof/>
        </w:rPr>
        <w:t xml:space="preserve"> v </w:t>
      </w:r>
      <w:r w:rsidRPr="006057D0">
        <w:rPr>
          <w:noProof/>
        </w:rPr>
        <w:t>septembri odpovedala, že požiada Radu Európskej únie</w:t>
      </w:r>
      <w:r w:rsidR="00D96E5A">
        <w:rPr>
          <w:noProof/>
        </w:rPr>
        <w:t xml:space="preserve"> o </w:t>
      </w:r>
      <w:r w:rsidRPr="006057D0">
        <w:rPr>
          <w:noProof/>
        </w:rPr>
        <w:t xml:space="preserve">povolenie predĺžiť platnosť dohody. </w:t>
      </w:r>
    </w:p>
    <w:p w14:paraId="75435739" w14:textId="69DCF366" w:rsidR="008C7DE8" w:rsidRPr="006057D0" w:rsidRDefault="008C7DE8" w:rsidP="008C7DE8">
      <w:pPr>
        <w:pBdr>
          <w:top w:val="nil"/>
          <w:left w:val="nil"/>
          <w:bottom w:val="nil"/>
          <w:right w:val="nil"/>
          <w:between w:val="nil"/>
          <w:bar w:val="nil"/>
        </w:pBdr>
        <w:spacing w:before="0" w:after="240"/>
        <w:rPr>
          <w:noProof/>
        </w:rPr>
      </w:pPr>
      <w:r w:rsidRPr="006057D0">
        <w:rPr>
          <w:noProof/>
        </w:rPr>
        <w:t>Z hodnotenia, ktoré vykonala Európska komisia, jasne vyplýva, že dohoda poskytuje dôležitý rámec na vykonávanie</w:t>
      </w:r>
      <w:r w:rsidR="00D96E5A">
        <w:rPr>
          <w:noProof/>
        </w:rPr>
        <w:t xml:space="preserve"> a </w:t>
      </w:r>
      <w:r w:rsidRPr="006057D0">
        <w:rPr>
          <w:noProof/>
        </w:rPr>
        <w:t>uľahčenie spolupráce</w:t>
      </w:r>
      <w:r w:rsidR="00D96E5A">
        <w:rPr>
          <w:noProof/>
        </w:rPr>
        <w:t xml:space="preserve"> v </w:t>
      </w:r>
      <w:r w:rsidRPr="006057D0">
        <w:rPr>
          <w:noProof/>
        </w:rPr>
        <w:t>oblasti satelitnej navigácie medzi EÚ</w:t>
      </w:r>
      <w:r w:rsidR="00D96E5A">
        <w:rPr>
          <w:noProof/>
        </w:rPr>
        <w:t xml:space="preserve"> a </w:t>
      </w:r>
      <w:r w:rsidRPr="006057D0">
        <w:rPr>
          <w:noProof/>
        </w:rPr>
        <w:t>Spojenými štátmi, čo vedie</w:t>
      </w:r>
      <w:r w:rsidR="00D96E5A">
        <w:rPr>
          <w:noProof/>
        </w:rPr>
        <w:t xml:space="preserve"> k </w:t>
      </w:r>
      <w:r w:rsidRPr="006057D0">
        <w:rPr>
          <w:noProof/>
        </w:rPr>
        <w:t xml:space="preserve">vzájomným prínosom. </w:t>
      </w:r>
    </w:p>
    <w:p w14:paraId="337615BA" w14:textId="7195EA9A" w:rsidR="008C7DE8" w:rsidRPr="006057D0" w:rsidRDefault="008C7DE8" w:rsidP="008C7DE8">
      <w:pPr>
        <w:pBdr>
          <w:top w:val="nil"/>
          <w:left w:val="nil"/>
          <w:bottom w:val="nil"/>
          <w:right w:val="nil"/>
          <w:between w:val="nil"/>
          <w:bar w:val="nil"/>
        </w:pBdr>
        <w:spacing w:before="0" w:after="240"/>
        <w:rPr>
          <w:noProof/>
        </w:rPr>
      </w:pPr>
      <w:r w:rsidRPr="006057D0">
        <w:rPr>
          <w:noProof/>
        </w:rPr>
        <w:t>Dohoda je nevyhnutná na vzájomné pochopenie situácie</w:t>
      </w:r>
      <w:r w:rsidR="00D96E5A">
        <w:rPr>
          <w:noProof/>
        </w:rPr>
        <w:t xml:space="preserve"> v </w:t>
      </w:r>
      <w:r w:rsidRPr="006057D0">
        <w:rPr>
          <w:noProof/>
        </w:rPr>
        <w:t>oblasti satelitnej navigácie</w:t>
      </w:r>
      <w:r w:rsidR="00D96E5A">
        <w:rPr>
          <w:noProof/>
        </w:rPr>
        <w:t xml:space="preserve"> a </w:t>
      </w:r>
      <w:r w:rsidRPr="006057D0">
        <w:rPr>
          <w:noProof/>
        </w:rPr>
        <w:t>na spoločné stanovenie prioritných oblastí obojstranného záujmu</w:t>
      </w:r>
      <w:r w:rsidR="00D96E5A">
        <w:rPr>
          <w:noProof/>
        </w:rPr>
        <w:t xml:space="preserve"> v </w:t>
      </w:r>
      <w:r w:rsidRPr="006057D0">
        <w:rPr>
          <w:noProof/>
        </w:rPr>
        <w:t>oblasti medzinárodnej spolupráce. Ponúka aj užitočné fórum na posúdenie minulej spolupráce</w:t>
      </w:r>
      <w:r w:rsidR="00D96E5A">
        <w:rPr>
          <w:noProof/>
        </w:rPr>
        <w:t xml:space="preserve"> a </w:t>
      </w:r>
      <w:r w:rsidRPr="006057D0">
        <w:rPr>
          <w:noProof/>
        </w:rPr>
        <w:t>určenie budúcich opatrení.</w:t>
      </w:r>
    </w:p>
    <w:p w14:paraId="542C4953" w14:textId="0A6C6290" w:rsidR="00AE4161" w:rsidRPr="006057D0" w:rsidRDefault="00AE4161" w:rsidP="008C7DE8">
      <w:pPr>
        <w:pBdr>
          <w:top w:val="nil"/>
          <w:left w:val="nil"/>
          <w:bottom w:val="nil"/>
          <w:right w:val="nil"/>
          <w:between w:val="nil"/>
          <w:bar w:val="nil"/>
        </w:pBdr>
        <w:spacing w:before="0" w:after="240"/>
        <w:rPr>
          <w:noProof/>
        </w:rPr>
      </w:pPr>
      <w:r w:rsidRPr="006057D0">
        <w:rPr>
          <w:noProof/>
        </w:rPr>
        <w:t>Je</w:t>
      </w:r>
      <w:r w:rsidR="00D96E5A">
        <w:rPr>
          <w:noProof/>
        </w:rPr>
        <w:t xml:space="preserve"> v </w:t>
      </w:r>
      <w:r w:rsidRPr="006057D0">
        <w:rPr>
          <w:noProof/>
        </w:rPr>
        <w:t>záujme EÚ obnoviť túto dohodu</w:t>
      </w:r>
      <w:r w:rsidR="00D96E5A">
        <w:rPr>
          <w:noProof/>
        </w:rPr>
        <w:t xml:space="preserve"> s </w:t>
      </w:r>
      <w:r w:rsidRPr="006057D0">
        <w:rPr>
          <w:noProof/>
        </w:rPr>
        <w:t>cieľom pokračovať</w:t>
      </w:r>
      <w:r w:rsidR="00D96E5A">
        <w:rPr>
          <w:noProof/>
        </w:rPr>
        <w:t xml:space="preserve"> v </w:t>
      </w:r>
      <w:r w:rsidRPr="006057D0">
        <w:rPr>
          <w:noProof/>
        </w:rPr>
        <w:t>spolupráci so Spojenými štátmi</w:t>
      </w:r>
      <w:r w:rsidR="00D96E5A">
        <w:rPr>
          <w:noProof/>
        </w:rPr>
        <w:t xml:space="preserve"> v </w:t>
      </w:r>
      <w:r w:rsidRPr="006057D0">
        <w:rPr>
          <w:noProof/>
        </w:rPr>
        <w:t>oblasti satelitnej navigácie.</w:t>
      </w:r>
    </w:p>
    <w:p w14:paraId="4205DD4E" w14:textId="607BDE75" w:rsidR="008C7DE8" w:rsidRPr="006057D0" w:rsidRDefault="008C7DE8" w:rsidP="00416AD7">
      <w:pPr>
        <w:pStyle w:val="ManualHeading2"/>
        <w:rPr>
          <w:rFonts w:eastAsia="Arial Unicode MS"/>
          <w:noProof/>
          <w:color w:val="000000"/>
          <w:u w:color="000000"/>
          <w:bdr w:val="nil"/>
        </w:rPr>
      </w:pPr>
      <w:bookmarkStart w:id="4" w:name="_Toc76716000"/>
      <w:r w:rsidRPr="006057D0">
        <w:rPr>
          <w:noProof/>
          <w:color w:val="000000"/>
          <w:u w:color="000000"/>
          <w:bdr w:val="nil"/>
        </w:rPr>
        <w:t>•</w:t>
      </w:r>
      <w:r w:rsidRPr="006057D0">
        <w:rPr>
          <w:noProof/>
        </w:rPr>
        <w:tab/>
        <w:t>Súlad</w:t>
      </w:r>
      <w:r w:rsidR="00D96E5A">
        <w:rPr>
          <w:noProof/>
        </w:rPr>
        <w:t xml:space="preserve"> s </w:t>
      </w:r>
      <w:r w:rsidRPr="006057D0">
        <w:rPr>
          <w:noProof/>
        </w:rPr>
        <w:t>existujúcimi ustanoveniami</w:t>
      </w:r>
      <w:r w:rsidR="00D96E5A">
        <w:rPr>
          <w:noProof/>
        </w:rPr>
        <w:t xml:space="preserve"> v </w:t>
      </w:r>
      <w:r w:rsidRPr="006057D0">
        <w:rPr>
          <w:noProof/>
        </w:rPr>
        <w:t>tejto oblasti politiky</w:t>
      </w:r>
      <w:bookmarkEnd w:id="4"/>
    </w:p>
    <w:p w14:paraId="7607BF3E" w14:textId="4E21A647" w:rsidR="005D75F1" w:rsidRPr="006057D0" w:rsidRDefault="005D75F1" w:rsidP="005D75F1">
      <w:pPr>
        <w:pBdr>
          <w:top w:val="nil"/>
          <w:left w:val="nil"/>
          <w:bottom w:val="nil"/>
          <w:right w:val="nil"/>
          <w:between w:val="nil"/>
          <w:bar w:val="nil"/>
        </w:pBdr>
        <w:spacing w:before="0" w:after="240"/>
        <w:rPr>
          <w:noProof/>
        </w:rPr>
      </w:pPr>
      <w:r w:rsidRPr="006057D0">
        <w:rPr>
          <w:noProof/>
        </w:rPr>
        <w:t>Táto iniciatíva je</w:t>
      </w:r>
      <w:r w:rsidR="00D96E5A">
        <w:rPr>
          <w:noProof/>
        </w:rPr>
        <w:t xml:space="preserve"> v </w:t>
      </w:r>
      <w:r w:rsidRPr="006057D0">
        <w:rPr>
          <w:noProof/>
        </w:rPr>
        <w:t>plnom súlade</w:t>
      </w:r>
      <w:r w:rsidR="00D96E5A">
        <w:rPr>
          <w:noProof/>
        </w:rPr>
        <w:t xml:space="preserve"> s </w:t>
      </w:r>
      <w:r w:rsidRPr="006057D0">
        <w:rPr>
          <w:noProof/>
        </w:rPr>
        <w:t>nariadením Európskeho parlamentu</w:t>
      </w:r>
      <w:r w:rsidR="00D96E5A">
        <w:rPr>
          <w:noProof/>
        </w:rPr>
        <w:t xml:space="preserve"> a </w:t>
      </w:r>
      <w:r w:rsidRPr="006057D0">
        <w:rPr>
          <w:noProof/>
        </w:rPr>
        <w:t>Rady (EÚ) 2021/696</w:t>
      </w:r>
      <w:r w:rsidR="00D96E5A">
        <w:rPr>
          <w:noProof/>
        </w:rPr>
        <w:t xml:space="preserve"> z </w:t>
      </w:r>
      <w:r w:rsidRPr="006057D0">
        <w:rPr>
          <w:noProof/>
        </w:rPr>
        <w:t>28. apríla 2021, ktorým sa zriaďuje Vesmírny program Únie</w:t>
      </w:r>
      <w:r w:rsidR="00D96E5A">
        <w:rPr>
          <w:noProof/>
        </w:rPr>
        <w:t xml:space="preserve"> a </w:t>
      </w:r>
      <w:r w:rsidRPr="006057D0">
        <w:rPr>
          <w:noProof/>
        </w:rPr>
        <w:t>Agentúra Európskej únie pre vesmírny program</w:t>
      </w:r>
      <w:r w:rsidR="00D96E5A">
        <w:rPr>
          <w:noProof/>
        </w:rPr>
        <w:t xml:space="preserve"> a </w:t>
      </w:r>
      <w:r w:rsidRPr="006057D0">
        <w:rPr>
          <w:noProof/>
        </w:rPr>
        <w:t>ktorým sa zrušujú nariadenia (EÚ) č. 912/2010, (EÚ) č. 1284/2013</w:t>
      </w:r>
      <w:r w:rsidR="00D96E5A">
        <w:rPr>
          <w:noProof/>
        </w:rPr>
        <w:t xml:space="preserve"> a </w:t>
      </w:r>
      <w:r w:rsidRPr="006057D0">
        <w:rPr>
          <w:noProof/>
        </w:rPr>
        <w:t>(EÚ) č. 377/2014</w:t>
      </w:r>
      <w:r w:rsidR="00D96E5A">
        <w:rPr>
          <w:noProof/>
        </w:rPr>
        <w:t xml:space="preserve"> a </w:t>
      </w:r>
      <w:r w:rsidRPr="006057D0">
        <w:rPr>
          <w:noProof/>
        </w:rPr>
        <w:t xml:space="preserve">rozhodnutie č. 541/2014/EÚ. </w:t>
      </w:r>
    </w:p>
    <w:p w14:paraId="2240996C" w14:textId="77777777" w:rsidR="005D75F1" w:rsidRPr="006057D0" w:rsidRDefault="005D75F1" w:rsidP="005D75F1">
      <w:pPr>
        <w:pBdr>
          <w:top w:val="nil"/>
          <w:left w:val="nil"/>
          <w:bottom w:val="nil"/>
          <w:right w:val="nil"/>
          <w:between w:val="nil"/>
          <w:bar w:val="nil"/>
        </w:pBdr>
        <w:spacing w:before="0" w:after="240"/>
        <w:rPr>
          <w:noProof/>
        </w:rPr>
      </w:pPr>
      <w:r w:rsidRPr="006057D0">
        <w:rPr>
          <w:noProof/>
        </w:rPr>
        <w:t>V nariadení (EÚ) 2021/696 sa stanovuje:</w:t>
      </w:r>
    </w:p>
    <w:p w14:paraId="234A8D4B" w14:textId="198445D7" w:rsidR="005D75F1" w:rsidRPr="006057D0" w:rsidRDefault="005D75F1" w:rsidP="005D75F1">
      <w:pPr>
        <w:pBdr>
          <w:top w:val="nil"/>
          <w:left w:val="nil"/>
          <w:bottom w:val="nil"/>
          <w:right w:val="nil"/>
          <w:between w:val="nil"/>
          <w:bar w:val="nil"/>
        </w:pBdr>
        <w:spacing w:before="0" w:after="240"/>
        <w:rPr>
          <w:noProof/>
        </w:rPr>
      </w:pPr>
      <w:r w:rsidRPr="006057D0">
        <w:rPr>
          <w:noProof/>
        </w:rPr>
        <w:t>–</w:t>
      </w:r>
      <w:r w:rsidR="00D96E5A">
        <w:rPr>
          <w:noProof/>
        </w:rPr>
        <w:t xml:space="preserve"> V </w:t>
      </w:r>
      <w:r w:rsidRPr="006057D0">
        <w:rPr>
          <w:noProof/>
        </w:rPr>
        <w:t>odôvodnení 67, že</w:t>
      </w:r>
      <w:r w:rsidR="00D96E5A">
        <w:rPr>
          <w:noProof/>
        </w:rPr>
        <w:t xml:space="preserve"> v </w:t>
      </w:r>
      <w:r w:rsidRPr="006057D0">
        <w:rPr>
          <w:noProof/>
        </w:rPr>
        <w:t>záujme optimalizácie využívania poskytovaných služieb by systém Galileo mal byť podľa možnosti kompatibilný</w:t>
      </w:r>
      <w:r w:rsidR="00D96E5A">
        <w:rPr>
          <w:noProof/>
        </w:rPr>
        <w:t xml:space="preserve"> a </w:t>
      </w:r>
      <w:r w:rsidRPr="006057D0">
        <w:rPr>
          <w:noProof/>
        </w:rPr>
        <w:t>interoperabilný, pokiaľ možno</w:t>
      </w:r>
      <w:r w:rsidR="00D96E5A">
        <w:rPr>
          <w:noProof/>
        </w:rPr>
        <w:t xml:space="preserve"> s </w:t>
      </w:r>
      <w:r w:rsidRPr="006057D0">
        <w:rPr>
          <w:noProof/>
        </w:rPr>
        <w:t>ďalšími systémami satelitnej navigácie,</w:t>
      </w:r>
      <w:r w:rsidR="00D96E5A">
        <w:rPr>
          <w:noProof/>
        </w:rPr>
        <w:t xml:space="preserve"> a </w:t>
      </w:r>
      <w:r w:rsidRPr="006057D0">
        <w:rPr>
          <w:noProof/>
        </w:rPr>
        <w:t>to bez toho, aby bol dotknutý cieľ strategickej autonómie Únie.</w:t>
      </w:r>
    </w:p>
    <w:p w14:paraId="7E1B2D8A" w14:textId="5177C269" w:rsidR="005D75F1" w:rsidRPr="006057D0" w:rsidRDefault="005D75F1" w:rsidP="005D75F1">
      <w:pPr>
        <w:pBdr>
          <w:top w:val="nil"/>
          <w:left w:val="nil"/>
          <w:bottom w:val="nil"/>
          <w:right w:val="nil"/>
          <w:between w:val="nil"/>
          <w:bar w:val="nil"/>
        </w:pBdr>
        <w:spacing w:before="0" w:after="240"/>
        <w:rPr>
          <w:noProof/>
        </w:rPr>
      </w:pPr>
      <w:r w:rsidRPr="006057D0">
        <w:rPr>
          <w:noProof/>
        </w:rPr>
        <w:t>–</w:t>
      </w:r>
      <w:r w:rsidR="00D96E5A">
        <w:rPr>
          <w:noProof/>
        </w:rPr>
        <w:t xml:space="preserve"> V </w:t>
      </w:r>
      <w:r w:rsidRPr="006057D0">
        <w:rPr>
          <w:noProof/>
        </w:rPr>
        <w:t>článku 48 ods. 2, že Galileo</w:t>
      </w:r>
      <w:r w:rsidR="00D96E5A">
        <w:rPr>
          <w:noProof/>
        </w:rPr>
        <w:t xml:space="preserve"> a </w:t>
      </w:r>
      <w:r w:rsidRPr="006057D0">
        <w:rPr>
          <w:noProof/>
        </w:rPr>
        <w:t>EGNOS (Európska geostacionárna navigačná prekryvná služba)</w:t>
      </w:r>
      <w:r w:rsidR="00D96E5A">
        <w:rPr>
          <w:noProof/>
        </w:rPr>
        <w:t xml:space="preserve"> a </w:t>
      </w:r>
      <w:r w:rsidRPr="006057D0">
        <w:rPr>
          <w:noProof/>
        </w:rPr>
        <w:t>služby, ktoré poskytujú, sú kompatibilné</w:t>
      </w:r>
      <w:r w:rsidR="00D96E5A">
        <w:rPr>
          <w:noProof/>
        </w:rPr>
        <w:t xml:space="preserve"> a </w:t>
      </w:r>
      <w:r w:rsidRPr="006057D0">
        <w:rPr>
          <w:noProof/>
        </w:rPr>
        <w:t>interoperabilné</w:t>
      </w:r>
      <w:r w:rsidR="00D96E5A">
        <w:rPr>
          <w:noProof/>
        </w:rPr>
        <w:t xml:space="preserve"> s </w:t>
      </w:r>
      <w:r w:rsidRPr="006057D0">
        <w:rPr>
          <w:noProof/>
        </w:rPr>
        <w:t>inými systémami satelitnej navigácie, ako aj</w:t>
      </w:r>
      <w:r w:rsidR="00D96E5A">
        <w:rPr>
          <w:noProof/>
        </w:rPr>
        <w:t xml:space="preserve"> s </w:t>
      </w:r>
      <w:r w:rsidRPr="006057D0">
        <w:rPr>
          <w:noProof/>
        </w:rPr>
        <w:t>konvenčnými prostriedkami rádiovej navigácie, pričom potrebné požiadavky na kompatibilitu</w:t>
      </w:r>
      <w:r w:rsidR="00D96E5A">
        <w:rPr>
          <w:noProof/>
        </w:rPr>
        <w:t xml:space="preserve"> a </w:t>
      </w:r>
      <w:r w:rsidRPr="006057D0">
        <w:rPr>
          <w:noProof/>
        </w:rPr>
        <w:t>interoperabilitu</w:t>
      </w:r>
      <w:r w:rsidR="00D96E5A">
        <w:rPr>
          <w:noProof/>
        </w:rPr>
        <w:t xml:space="preserve"> a </w:t>
      </w:r>
      <w:r w:rsidRPr="006057D0">
        <w:rPr>
          <w:noProof/>
        </w:rPr>
        <w:t>príslušné podmienky sú stanovené</w:t>
      </w:r>
      <w:r w:rsidR="00D96E5A">
        <w:rPr>
          <w:noProof/>
        </w:rPr>
        <w:t xml:space="preserve"> v </w:t>
      </w:r>
      <w:r w:rsidRPr="006057D0">
        <w:rPr>
          <w:noProof/>
        </w:rPr>
        <w:t>medzinárodných dohodách.</w:t>
      </w:r>
    </w:p>
    <w:p w14:paraId="73AF0948" w14:textId="6DA9B786" w:rsidR="005D75F1" w:rsidRPr="006057D0" w:rsidRDefault="005D75F1" w:rsidP="005D75F1">
      <w:pPr>
        <w:pBdr>
          <w:top w:val="nil"/>
          <w:left w:val="nil"/>
          <w:bottom w:val="nil"/>
          <w:right w:val="nil"/>
          <w:between w:val="nil"/>
          <w:bar w:val="nil"/>
        </w:pBdr>
        <w:spacing w:before="0" w:after="240"/>
        <w:rPr>
          <w:noProof/>
        </w:rPr>
      </w:pPr>
      <w:r w:rsidRPr="006057D0">
        <w:rPr>
          <w:noProof/>
        </w:rPr>
        <w:t>Rádiofrekvenčná kompatibilita</w:t>
      </w:r>
      <w:r w:rsidR="00D96E5A">
        <w:rPr>
          <w:noProof/>
        </w:rPr>
        <w:t xml:space="preserve"> a </w:t>
      </w:r>
      <w:r w:rsidRPr="006057D0">
        <w:rPr>
          <w:noProof/>
        </w:rPr>
        <w:t>interoperabilita medzi systémami Galileo</w:t>
      </w:r>
      <w:r w:rsidR="00D96E5A">
        <w:rPr>
          <w:noProof/>
        </w:rPr>
        <w:t xml:space="preserve"> a </w:t>
      </w:r>
      <w:r w:rsidRPr="006057D0">
        <w:rPr>
          <w:noProof/>
        </w:rPr>
        <w:t xml:space="preserve">GPS patria medzi hlavné ciele dohody. </w:t>
      </w:r>
    </w:p>
    <w:p w14:paraId="1D03FCA1" w14:textId="05BEBB2B" w:rsidR="005D75F1" w:rsidRPr="006057D0" w:rsidRDefault="005D75F1" w:rsidP="005D75F1">
      <w:pPr>
        <w:pBdr>
          <w:top w:val="nil"/>
          <w:left w:val="nil"/>
          <w:bottom w:val="nil"/>
          <w:right w:val="nil"/>
          <w:between w:val="nil"/>
          <w:bar w:val="nil"/>
        </w:pBdr>
        <w:spacing w:before="0" w:after="240"/>
        <w:rPr>
          <w:noProof/>
        </w:rPr>
      </w:pPr>
      <w:r w:rsidRPr="006057D0">
        <w:rPr>
          <w:noProof/>
        </w:rPr>
        <w:t>Medzinárodná spolupráca je aj kľúčovým prvkom Stratégie pre Európu</w:t>
      </w:r>
      <w:r w:rsidR="00D96E5A">
        <w:rPr>
          <w:noProof/>
        </w:rPr>
        <w:t xml:space="preserve"> v </w:t>
      </w:r>
      <w:r w:rsidRPr="006057D0">
        <w:rPr>
          <w:noProof/>
        </w:rPr>
        <w:t>oblasti kozmického priestoru, ako ju stanovila Komisia vo svojom oznámení</w:t>
      </w:r>
      <w:r w:rsidR="00D96E5A">
        <w:rPr>
          <w:noProof/>
        </w:rPr>
        <w:t xml:space="preserve"> z </w:t>
      </w:r>
      <w:r w:rsidRPr="006057D0">
        <w:rPr>
          <w:noProof/>
        </w:rPr>
        <w:t>26. októbra 2016</w:t>
      </w:r>
      <w:r w:rsidRPr="006057D0">
        <w:rPr>
          <w:rStyle w:val="FootnoteReference"/>
          <w:noProof/>
        </w:rPr>
        <w:footnoteReference w:id="2"/>
      </w:r>
      <w:r w:rsidRPr="006057D0">
        <w:rPr>
          <w:noProof/>
        </w:rPr>
        <w:t>,</w:t>
      </w:r>
      <w:r w:rsidR="00D96E5A">
        <w:rPr>
          <w:noProof/>
        </w:rPr>
        <w:t xml:space="preserve"> v </w:t>
      </w:r>
      <w:r w:rsidRPr="006057D0">
        <w:rPr>
          <w:noProof/>
        </w:rPr>
        <w:t>ktorom sa stanovuje, že Komisia pri koordinácii prideľovania frekvencií na európskej</w:t>
      </w:r>
      <w:r w:rsidR="00D96E5A">
        <w:rPr>
          <w:noProof/>
        </w:rPr>
        <w:t xml:space="preserve"> a </w:t>
      </w:r>
      <w:r w:rsidRPr="006057D0">
        <w:rPr>
          <w:noProof/>
        </w:rPr>
        <w:t>medzinárodnej úrovni zohľadní osobitné požiadavky vesmírnych systémov.</w:t>
      </w:r>
    </w:p>
    <w:p w14:paraId="3CFF6E80" w14:textId="3C68C930" w:rsidR="005D75F1" w:rsidRPr="006057D0" w:rsidRDefault="005D75F1" w:rsidP="005D75F1">
      <w:pPr>
        <w:pBdr>
          <w:top w:val="nil"/>
          <w:left w:val="nil"/>
          <w:bottom w:val="nil"/>
          <w:right w:val="nil"/>
          <w:between w:val="nil"/>
          <w:bar w:val="nil"/>
        </w:pBdr>
        <w:spacing w:before="0" w:after="240"/>
        <w:rPr>
          <w:noProof/>
        </w:rPr>
      </w:pPr>
      <w:r w:rsidRPr="006057D0">
        <w:rPr>
          <w:noProof/>
        </w:rPr>
        <w:t>Európske GNSS (globálne navigačné satelitné systémy) sú dôležitými prvkami politiky Európskej únie na zabezpečenie úplnej integrácie pozemnej, námornej</w:t>
      </w:r>
      <w:r w:rsidR="00D96E5A">
        <w:rPr>
          <w:noProof/>
        </w:rPr>
        <w:t xml:space="preserve"> a </w:t>
      </w:r>
      <w:r w:rsidRPr="006057D0">
        <w:rPr>
          <w:noProof/>
        </w:rPr>
        <w:t>leteckej dopravnej infraštruktúry na dosiahnutie bezpečnej, plynulej</w:t>
      </w:r>
      <w:r w:rsidR="00D96E5A">
        <w:rPr>
          <w:noProof/>
        </w:rPr>
        <w:t xml:space="preserve"> a </w:t>
      </w:r>
      <w:r w:rsidRPr="006057D0">
        <w:rPr>
          <w:noProof/>
        </w:rPr>
        <w:t>hospodárnej navigácie šetrnej</w:t>
      </w:r>
      <w:r w:rsidR="00D96E5A">
        <w:rPr>
          <w:noProof/>
        </w:rPr>
        <w:t xml:space="preserve"> k </w:t>
      </w:r>
      <w:r w:rsidRPr="006057D0">
        <w:rPr>
          <w:noProof/>
        </w:rPr>
        <w:t>životnému prostrediu. Uzavretie dohôd</w:t>
      </w:r>
      <w:r w:rsidR="00D96E5A">
        <w:rPr>
          <w:noProof/>
        </w:rPr>
        <w:t xml:space="preserve"> o </w:t>
      </w:r>
      <w:r w:rsidRPr="006057D0">
        <w:rPr>
          <w:noProof/>
        </w:rPr>
        <w:t>spolupráci</w:t>
      </w:r>
      <w:r w:rsidR="00D96E5A">
        <w:rPr>
          <w:noProof/>
        </w:rPr>
        <w:t xml:space="preserve"> v </w:t>
      </w:r>
      <w:r w:rsidRPr="006057D0">
        <w:rPr>
          <w:noProof/>
        </w:rPr>
        <w:t>oblasti satelitnej navigácie</w:t>
      </w:r>
      <w:r w:rsidR="00D96E5A">
        <w:rPr>
          <w:noProof/>
        </w:rPr>
        <w:t xml:space="preserve"> s </w:t>
      </w:r>
      <w:r w:rsidRPr="006057D0">
        <w:rPr>
          <w:noProof/>
        </w:rPr>
        <w:t>krajinami, ktoré takisto vyvíjajú svoje vlastné GNSS vrátane Spojených štátov, je súčasťou medzinárodnej stratégie Únie pre GNSS.</w:t>
      </w:r>
    </w:p>
    <w:p w14:paraId="2E3EFF51" w14:textId="09ACDA12" w:rsidR="005D75F1" w:rsidRPr="006057D0" w:rsidRDefault="005D75F1" w:rsidP="005D75F1">
      <w:pPr>
        <w:pBdr>
          <w:top w:val="nil"/>
          <w:left w:val="nil"/>
          <w:bottom w:val="nil"/>
          <w:right w:val="nil"/>
          <w:between w:val="nil"/>
          <w:bar w:val="nil"/>
        </w:pBdr>
        <w:spacing w:before="0" w:after="240"/>
        <w:rPr>
          <w:noProof/>
        </w:rPr>
      </w:pPr>
      <w:r w:rsidRPr="006057D0">
        <w:rPr>
          <w:noProof/>
        </w:rPr>
        <w:t>Spojené štáty sú kľúčovým partnerom</w:t>
      </w:r>
      <w:r w:rsidR="00D96E5A">
        <w:rPr>
          <w:noProof/>
        </w:rPr>
        <w:t xml:space="preserve"> a </w:t>
      </w:r>
      <w:r w:rsidRPr="006057D0">
        <w:rPr>
          <w:noProof/>
        </w:rPr>
        <w:t>najbližším partnerským poskytovateľom GNSS pre systém Galileo.</w:t>
      </w:r>
    </w:p>
    <w:p w14:paraId="41D57F99" w14:textId="77777777" w:rsidR="005D75F1" w:rsidRPr="006057D0" w:rsidRDefault="005D75F1" w:rsidP="005D75F1">
      <w:pPr>
        <w:pBdr>
          <w:top w:val="nil"/>
          <w:left w:val="nil"/>
          <w:bottom w:val="nil"/>
          <w:right w:val="nil"/>
          <w:between w:val="nil"/>
          <w:bar w:val="nil"/>
        </w:pBdr>
        <w:spacing w:before="0" w:after="240"/>
        <w:rPr>
          <w:noProof/>
        </w:rPr>
      </w:pPr>
      <w:r w:rsidRPr="006057D0">
        <w:rPr>
          <w:noProof/>
        </w:rPr>
        <w:t>V tomto návrhu sa nepredpokladá prenesenie vlastníckych ani rozhodovacích práv Spojeným štátom.</w:t>
      </w:r>
    </w:p>
    <w:p w14:paraId="368CDAC3" w14:textId="2C13EC52" w:rsidR="008C7DE8" w:rsidRPr="006057D0" w:rsidRDefault="008C7DE8" w:rsidP="00416AD7">
      <w:pPr>
        <w:pStyle w:val="ManualHeading2"/>
        <w:rPr>
          <w:rFonts w:eastAsia="Arial Unicode MS"/>
          <w:noProof/>
        </w:rPr>
      </w:pPr>
      <w:bookmarkStart w:id="5" w:name="_Toc76716001"/>
      <w:r w:rsidRPr="006057D0">
        <w:rPr>
          <w:noProof/>
          <w:color w:val="000000"/>
          <w:u w:color="000000"/>
          <w:bdr w:val="nil"/>
        </w:rPr>
        <w:t>•</w:t>
      </w:r>
      <w:r w:rsidRPr="006057D0">
        <w:rPr>
          <w:noProof/>
        </w:rPr>
        <w:tab/>
        <w:t>Súlad</w:t>
      </w:r>
      <w:r w:rsidR="00D96E5A">
        <w:rPr>
          <w:noProof/>
        </w:rPr>
        <w:t xml:space="preserve"> s </w:t>
      </w:r>
      <w:r w:rsidRPr="006057D0">
        <w:rPr>
          <w:noProof/>
        </w:rPr>
        <w:t>ostatnými politikami Únie</w:t>
      </w:r>
      <w:bookmarkEnd w:id="5"/>
    </w:p>
    <w:p w14:paraId="54B13DEF" w14:textId="02A0A64D" w:rsidR="005D75F1" w:rsidRPr="006057D0" w:rsidRDefault="005D75F1" w:rsidP="005D75F1">
      <w:pPr>
        <w:pBdr>
          <w:top w:val="nil"/>
          <w:left w:val="nil"/>
          <w:bottom w:val="nil"/>
          <w:right w:val="nil"/>
          <w:between w:val="nil"/>
          <w:bar w:val="nil"/>
        </w:pBdr>
        <w:spacing w:before="0" w:after="240"/>
        <w:rPr>
          <w:noProof/>
        </w:rPr>
      </w:pPr>
      <w:r w:rsidRPr="006057D0">
        <w:rPr>
          <w:noProof/>
        </w:rPr>
        <w:t>V návrhu sa zohľadňuje aj nová transatlantická agenda pre globálnu zmenu, ktorá je</w:t>
      </w:r>
      <w:r w:rsidR="00D96E5A">
        <w:rPr>
          <w:noProof/>
        </w:rPr>
        <w:t xml:space="preserve"> v </w:t>
      </w:r>
      <w:r w:rsidRPr="006057D0">
        <w:rPr>
          <w:noProof/>
        </w:rPr>
        <w:t>tejto súvislosti relevantná, pretože nabáda Úniu</w:t>
      </w:r>
      <w:r w:rsidR="00D96E5A">
        <w:rPr>
          <w:noProof/>
        </w:rPr>
        <w:t xml:space="preserve"> a </w:t>
      </w:r>
      <w:r w:rsidRPr="006057D0">
        <w:rPr>
          <w:noProof/>
        </w:rPr>
        <w:t>Spojené štáty, aby spolupracovali na technológiách, obchode</w:t>
      </w:r>
      <w:r w:rsidR="00D96E5A">
        <w:rPr>
          <w:noProof/>
        </w:rPr>
        <w:t xml:space="preserve"> a </w:t>
      </w:r>
      <w:r w:rsidRPr="006057D0">
        <w:rPr>
          <w:noProof/>
        </w:rPr>
        <w:t>normách.</w:t>
      </w:r>
    </w:p>
    <w:p w14:paraId="2EA1E486" w14:textId="6DAF233B" w:rsidR="008C7DE8" w:rsidRPr="006057D0" w:rsidRDefault="008C7DE8" w:rsidP="00416AD7">
      <w:pPr>
        <w:pStyle w:val="ManualHeading1"/>
        <w:rPr>
          <w:noProof/>
        </w:rPr>
      </w:pPr>
      <w:bookmarkStart w:id="6" w:name="_Toc76716002"/>
      <w:r w:rsidRPr="006057D0">
        <w:rPr>
          <w:noProof/>
        </w:rPr>
        <w:t>2.</w:t>
      </w:r>
      <w:r w:rsidRPr="006057D0">
        <w:rPr>
          <w:noProof/>
        </w:rPr>
        <w:tab/>
        <w:t>PRÁVNY ZÁKLAD, SUBSIDIARITA</w:t>
      </w:r>
      <w:r w:rsidR="00D96E5A">
        <w:rPr>
          <w:noProof/>
        </w:rPr>
        <w:t xml:space="preserve"> A </w:t>
      </w:r>
      <w:r w:rsidRPr="006057D0">
        <w:rPr>
          <w:noProof/>
        </w:rPr>
        <w:t>PROPORCIONALITA</w:t>
      </w:r>
      <w:bookmarkEnd w:id="6"/>
    </w:p>
    <w:p w14:paraId="13C8B556" w14:textId="77777777" w:rsidR="008C7DE8" w:rsidRPr="006057D0" w:rsidRDefault="008C7DE8" w:rsidP="00416AD7">
      <w:pPr>
        <w:pStyle w:val="ManualHeading2"/>
        <w:rPr>
          <w:rFonts w:eastAsia="Arial Unicode MS"/>
          <w:noProof/>
          <w:u w:color="000000"/>
          <w:bdr w:val="nil"/>
        </w:rPr>
      </w:pPr>
      <w:bookmarkStart w:id="7" w:name="_Toc76716003"/>
      <w:r w:rsidRPr="006057D0">
        <w:rPr>
          <w:noProof/>
          <w:u w:color="000000"/>
          <w:bdr w:val="nil"/>
        </w:rPr>
        <w:t>•</w:t>
      </w:r>
      <w:r w:rsidRPr="006057D0">
        <w:rPr>
          <w:noProof/>
        </w:rPr>
        <w:tab/>
      </w:r>
      <w:r w:rsidRPr="006057D0">
        <w:rPr>
          <w:noProof/>
          <w:u w:color="000000"/>
          <w:bdr w:val="nil"/>
        </w:rPr>
        <w:t>Právny základ</w:t>
      </w:r>
      <w:bookmarkEnd w:id="7"/>
    </w:p>
    <w:p w14:paraId="15E150C1" w14:textId="0EE460E3" w:rsidR="005D75F1" w:rsidRPr="006057D0" w:rsidRDefault="005D75F1" w:rsidP="005D75F1">
      <w:pPr>
        <w:pBdr>
          <w:top w:val="nil"/>
          <w:left w:val="nil"/>
          <w:bottom w:val="nil"/>
          <w:right w:val="nil"/>
          <w:between w:val="nil"/>
          <w:bar w:val="nil"/>
        </w:pBdr>
        <w:spacing w:before="0" w:after="240"/>
        <w:rPr>
          <w:noProof/>
        </w:rPr>
      </w:pPr>
      <w:r w:rsidRPr="006057D0">
        <w:rPr>
          <w:noProof/>
        </w:rPr>
        <w:t>Článok 189</w:t>
      </w:r>
      <w:r w:rsidR="00D96E5A">
        <w:rPr>
          <w:noProof/>
        </w:rPr>
        <w:t xml:space="preserve"> a </w:t>
      </w:r>
      <w:r w:rsidRPr="006057D0">
        <w:rPr>
          <w:noProof/>
        </w:rPr>
        <w:t>článok 218 ods. 6 písm. a) bod v) Zmluvy</w:t>
      </w:r>
      <w:r w:rsidR="00D96E5A">
        <w:rPr>
          <w:noProof/>
        </w:rPr>
        <w:t xml:space="preserve"> o </w:t>
      </w:r>
      <w:r w:rsidRPr="006057D0">
        <w:rPr>
          <w:noProof/>
        </w:rPr>
        <w:t xml:space="preserve">fungovaní Európskej únie. </w:t>
      </w:r>
    </w:p>
    <w:p w14:paraId="7FE3AB8A" w14:textId="59BBC51B" w:rsidR="005D75F1" w:rsidRPr="006057D0" w:rsidRDefault="005D75F1" w:rsidP="005D75F1">
      <w:pPr>
        <w:pBdr>
          <w:top w:val="nil"/>
          <w:left w:val="nil"/>
          <w:bottom w:val="nil"/>
          <w:right w:val="nil"/>
          <w:between w:val="nil"/>
          <w:bar w:val="nil"/>
        </w:pBdr>
        <w:spacing w:before="0" w:after="240"/>
        <w:rPr>
          <w:noProof/>
        </w:rPr>
      </w:pPr>
      <w:r w:rsidRPr="006057D0">
        <w:rPr>
          <w:noProof/>
        </w:rPr>
        <w:t>Podľa ustálenej judikatúry Súdneho dvora „voľba právneho základu Únie … musí byť založená na objektívnych prvkoch, ktoré možno preskúmať</w:t>
      </w:r>
      <w:r w:rsidR="00D96E5A">
        <w:rPr>
          <w:noProof/>
        </w:rPr>
        <w:t xml:space="preserve"> v </w:t>
      </w:r>
      <w:r w:rsidRPr="006057D0">
        <w:rPr>
          <w:noProof/>
        </w:rPr>
        <w:t>rámci súdneho preskúmania, medzi ktoré patria predovšetkým cieľ</w:t>
      </w:r>
      <w:r w:rsidR="00D96E5A">
        <w:rPr>
          <w:noProof/>
        </w:rPr>
        <w:t xml:space="preserve"> a </w:t>
      </w:r>
      <w:r w:rsidRPr="006057D0">
        <w:rPr>
          <w:noProof/>
        </w:rPr>
        <w:t>obsah dotknutého aktu.“</w:t>
      </w:r>
      <w:r w:rsidRPr="006057D0">
        <w:rPr>
          <w:rStyle w:val="FootnoteReference"/>
          <w:noProof/>
        </w:rPr>
        <w:footnoteReference w:id="3"/>
      </w:r>
    </w:p>
    <w:p w14:paraId="5C38CC82" w14:textId="2B8BC285" w:rsidR="005D75F1" w:rsidRPr="006057D0" w:rsidRDefault="005D75F1" w:rsidP="005D75F1">
      <w:pPr>
        <w:pBdr>
          <w:top w:val="nil"/>
          <w:left w:val="nil"/>
          <w:bottom w:val="nil"/>
          <w:right w:val="nil"/>
          <w:between w:val="nil"/>
          <w:bar w:val="nil"/>
        </w:pBdr>
        <w:spacing w:before="0" w:after="240"/>
        <w:rPr>
          <w:noProof/>
        </w:rPr>
      </w:pPr>
      <w:r w:rsidRPr="006057D0">
        <w:rPr>
          <w:noProof/>
        </w:rPr>
        <w:t>Podľa článku 189 ods. 1 ZFEÚ „Únia vypracuje európsku politiku</w:t>
      </w:r>
      <w:r w:rsidR="00D96E5A">
        <w:rPr>
          <w:noProof/>
        </w:rPr>
        <w:t xml:space="preserve"> v </w:t>
      </w:r>
      <w:r w:rsidRPr="006057D0">
        <w:rPr>
          <w:noProof/>
        </w:rPr>
        <w:t>oblasti kozmického priestoru na presadzovanie vedeckého</w:t>
      </w:r>
      <w:r w:rsidR="00D96E5A">
        <w:rPr>
          <w:noProof/>
        </w:rPr>
        <w:t xml:space="preserve"> a </w:t>
      </w:r>
      <w:r w:rsidRPr="006057D0">
        <w:rPr>
          <w:noProof/>
        </w:rPr>
        <w:t>technického pokroku, priemyselnej konkurencieschopnosti</w:t>
      </w:r>
      <w:r w:rsidR="00D96E5A">
        <w:rPr>
          <w:noProof/>
        </w:rPr>
        <w:t xml:space="preserve"> a </w:t>
      </w:r>
      <w:r w:rsidRPr="006057D0">
        <w:rPr>
          <w:noProof/>
        </w:rPr>
        <w:t>na uskutočňovanie svojich politík. Na tento účel môže presadzovať spoločné iniciatívy, podporovať výskum</w:t>
      </w:r>
      <w:r w:rsidR="00D96E5A">
        <w:rPr>
          <w:noProof/>
        </w:rPr>
        <w:t xml:space="preserve"> a </w:t>
      </w:r>
      <w:r w:rsidRPr="006057D0">
        <w:rPr>
          <w:noProof/>
        </w:rPr>
        <w:t>technologický rozvoj</w:t>
      </w:r>
      <w:r w:rsidR="00D96E5A">
        <w:rPr>
          <w:noProof/>
        </w:rPr>
        <w:t xml:space="preserve"> a </w:t>
      </w:r>
      <w:r w:rsidRPr="006057D0">
        <w:rPr>
          <w:noProof/>
        </w:rPr>
        <w:t>koordinovať úsilie potrebné na prieskum</w:t>
      </w:r>
      <w:r w:rsidR="00D96E5A">
        <w:rPr>
          <w:noProof/>
        </w:rPr>
        <w:t xml:space="preserve"> a </w:t>
      </w:r>
      <w:r w:rsidRPr="006057D0">
        <w:rPr>
          <w:noProof/>
        </w:rPr>
        <w:t>využívanie kozmického priestoru.“</w:t>
      </w:r>
    </w:p>
    <w:p w14:paraId="0A0A8F57" w14:textId="5321F1A4" w:rsidR="005D75F1" w:rsidRPr="006057D0" w:rsidRDefault="005D75F1" w:rsidP="005D75F1">
      <w:pPr>
        <w:pBdr>
          <w:top w:val="nil"/>
          <w:left w:val="nil"/>
          <w:bottom w:val="nil"/>
          <w:right w:val="nil"/>
          <w:between w:val="nil"/>
          <w:bar w:val="nil"/>
        </w:pBdr>
        <w:spacing w:before="0" w:after="240"/>
        <w:rPr>
          <w:noProof/>
        </w:rPr>
      </w:pPr>
      <w:r w:rsidRPr="006057D0">
        <w:rPr>
          <w:noProof/>
        </w:rPr>
        <w:t>Dohoda</w:t>
      </w:r>
      <w:r w:rsidR="00D96E5A">
        <w:rPr>
          <w:noProof/>
        </w:rPr>
        <w:t xml:space="preserve"> k </w:t>
      </w:r>
      <w:r w:rsidRPr="006057D0">
        <w:rPr>
          <w:noProof/>
        </w:rPr>
        <w:t>tomu prispieva, dokladom čoho je jej článok 1, podľa ktorého „cieľom dohody je poskytnúť rámec pre spoluprácu medzi stranami pri podpore, poskytovaní</w:t>
      </w:r>
      <w:r w:rsidR="00D96E5A">
        <w:rPr>
          <w:noProof/>
        </w:rPr>
        <w:t xml:space="preserve"> a </w:t>
      </w:r>
      <w:r w:rsidRPr="006057D0">
        <w:rPr>
          <w:noProof/>
        </w:rPr>
        <w:t>využívaní signálov</w:t>
      </w:r>
      <w:r w:rsidR="00D96E5A">
        <w:rPr>
          <w:noProof/>
        </w:rPr>
        <w:t xml:space="preserve"> a </w:t>
      </w:r>
      <w:r w:rsidRPr="006057D0">
        <w:rPr>
          <w:noProof/>
        </w:rPr>
        <w:t>služieb navigácie</w:t>
      </w:r>
      <w:r w:rsidR="00D96E5A">
        <w:rPr>
          <w:noProof/>
        </w:rPr>
        <w:t xml:space="preserve"> a </w:t>
      </w:r>
      <w:r w:rsidRPr="006057D0">
        <w:rPr>
          <w:noProof/>
        </w:rPr>
        <w:t>časového riadenia GPS</w:t>
      </w:r>
      <w:r w:rsidR="00D96E5A">
        <w:rPr>
          <w:noProof/>
        </w:rPr>
        <w:t xml:space="preserve"> a </w:t>
      </w:r>
      <w:r w:rsidRPr="006057D0">
        <w:rPr>
          <w:noProof/>
        </w:rPr>
        <w:t>Galileo na civilné účely, služieb</w:t>
      </w:r>
      <w:r w:rsidR="00D96E5A">
        <w:rPr>
          <w:noProof/>
        </w:rPr>
        <w:t xml:space="preserve"> s </w:t>
      </w:r>
      <w:r w:rsidRPr="006057D0">
        <w:rPr>
          <w:noProof/>
        </w:rPr>
        <w:t>pridanou hodnotou, rozširujúcich služieb</w:t>
      </w:r>
      <w:r w:rsidR="00D96E5A">
        <w:rPr>
          <w:noProof/>
        </w:rPr>
        <w:t xml:space="preserve"> a </w:t>
      </w:r>
      <w:r w:rsidRPr="006057D0">
        <w:rPr>
          <w:noProof/>
        </w:rPr>
        <w:t>tovaru globálnej navigácie</w:t>
      </w:r>
      <w:r w:rsidR="00D96E5A">
        <w:rPr>
          <w:noProof/>
        </w:rPr>
        <w:t xml:space="preserve"> a </w:t>
      </w:r>
      <w:r w:rsidRPr="006057D0">
        <w:rPr>
          <w:noProof/>
        </w:rPr>
        <w:t>časového riadenia“. Navyše, „strany majú</w:t>
      </w:r>
      <w:r w:rsidR="00D96E5A">
        <w:rPr>
          <w:noProof/>
        </w:rPr>
        <w:t xml:space="preserve"> v </w:t>
      </w:r>
      <w:r w:rsidRPr="006057D0">
        <w:rPr>
          <w:noProof/>
        </w:rPr>
        <w:t>úmysle spolupracovať, dvojstranne aj na multilaterálnych fórach, ako je to ustanovené</w:t>
      </w:r>
      <w:r w:rsidR="00D96E5A">
        <w:rPr>
          <w:noProof/>
        </w:rPr>
        <w:t xml:space="preserve"> v </w:t>
      </w:r>
      <w:r w:rsidRPr="006057D0">
        <w:rPr>
          <w:noProof/>
        </w:rPr>
        <w:t>tejto dohode,</w:t>
      </w:r>
      <w:r w:rsidR="00D96E5A">
        <w:rPr>
          <w:noProof/>
        </w:rPr>
        <w:t xml:space="preserve"> s </w:t>
      </w:r>
      <w:r w:rsidRPr="006057D0">
        <w:rPr>
          <w:noProof/>
        </w:rPr>
        <w:t>cieľom podporiť</w:t>
      </w:r>
      <w:r w:rsidR="00D96E5A">
        <w:rPr>
          <w:noProof/>
        </w:rPr>
        <w:t xml:space="preserve"> a </w:t>
      </w:r>
      <w:r w:rsidRPr="006057D0">
        <w:rPr>
          <w:noProof/>
        </w:rPr>
        <w:t>uľahčiť využívanie týchto signálov, služieb</w:t>
      </w:r>
      <w:r w:rsidR="00D96E5A">
        <w:rPr>
          <w:noProof/>
        </w:rPr>
        <w:t xml:space="preserve"> a </w:t>
      </w:r>
      <w:r w:rsidRPr="006057D0">
        <w:rPr>
          <w:noProof/>
        </w:rPr>
        <w:t>zariadení na mierové civilné, komerčné</w:t>
      </w:r>
      <w:r w:rsidR="00D96E5A">
        <w:rPr>
          <w:noProof/>
        </w:rPr>
        <w:t xml:space="preserve"> a </w:t>
      </w:r>
      <w:r w:rsidRPr="006057D0">
        <w:rPr>
          <w:noProof/>
        </w:rPr>
        <w:t>vedecké účely,</w:t>
      </w:r>
      <w:r w:rsidR="00D96E5A">
        <w:rPr>
          <w:noProof/>
        </w:rPr>
        <w:t xml:space="preserve"> v </w:t>
      </w:r>
      <w:r w:rsidRPr="006057D0">
        <w:rPr>
          <w:noProof/>
        </w:rPr>
        <w:t>súlade so vzájomnými bezpečnostnými záujmami</w:t>
      </w:r>
      <w:r w:rsidR="00D96E5A">
        <w:rPr>
          <w:noProof/>
        </w:rPr>
        <w:t xml:space="preserve"> a </w:t>
      </w:r>
      <w:r w:rsidRPr="006057D0">
        <w:rPr>
          <w:noProof/>
        </w:rPr>
        <w:t>na ich podporu“.</w:t>
      </w:r>
      <w:r w:rsidR="00D96E5A">
        <w:rPr>
          <w:noProof/>
        </w:rPr>
        <w:t xml:space="preserve"> V </w:t>
      </w:r>
      <w:r w:rsidRPr="006057D0">
        <w:rPr>
          <w:noProof/>
        </w:rPr>
        <w:t>súlade</w:t>
      </w:r>
      <w:r w:rsidR="00D96E5A">
        <w:rPr>
          <w:noProof/>
        </w:rPr>
        <w:t xml:space="preserve"> s </w:t>
      </w:r>
      <w:r w:rsidRPr="006057D0">
        <w:rPr>
          <w:noProof/>
        </w:rPr>
        <w:t>článkom 216 ods. 1 ZFEÚ na dosiahnutie cieľov stanovených</w:t>
      </w:r>
      <w:r w:rsidR="00D96E5A">
        <w:rPr>
          <w:noProof/>
        </w:rPr>
        <w:t xml:space="preserve"> v </w:t>
      </w:r>
      <w:r w:rsidRPr="006057D0">
        <w:rPr>
          <w:noProof/>
        </w:rPr>
        <w:t>článku 189 ZFEÚ má EÚ právomoc rozhodnúť</w:t>
      </w:r>
      <w:r w:rsidR="00D96E5A">
        <w:rPr>
          <w:noProof/>
        </w:rPr>
        <w:t xml:space="preserve"> o </w:t>
      </w:r>
      <w:r w:rsidRPr="006057D0">
        <w:rPr>
          <w:noProof/>
        </w:rPr>
        <w:t>predĺžení platnosti dohody vo svojom mene.</w:t>
      </w:r>
    </w:p>
    <w:p w14:paraId="5229B699" w14:textId="2C340CFD" w:rsidR="005D75F1" w:rsidRPr="006057D0" w:rsidRDefault="005D75F1" w:rsidP="005D75F1">
      <w:pPr>
        <w:pBdr>
          <w:top w:val="nil"/>
          <w:left w:val="nil"/>
          <w:bottom w:val="nil"/>
          <w:right w:val="nil"/>
          <w:between w:val="nil"/>
          <w:bar w:val="nil"/>
        </w:pBdr>
        <w:spacing w:before="0" w:after="240"/>
        <w:rPr>
          <w:noProof/>
        </w:rPr>
      </w:pPr>
      <w:r w:rsidRPr="006057D0">
        <w:rPr>
          <w:noProof/>
        </w:rPr>
        <w:t>Procesnoprávnym základom rozhodnutia</w:t>
      </w:r>
      <w:r w:rsidR="00D96E5A">
        <w:rPr>
          <w:noProof/>
        </w:rPr>
        <w:t xml:space="preserve"> o </w:t>
      </w:r>
      <w:r w:rsidRPr="006057D0">
        <w:rPr>
          <w:noProof/>
        </w:rPr>
        <w:t>predĺžení platnosti dohody</w:t>
      </w:r>
      <w:r w:rsidR="00D96E5A">
        <w:rPr>
          <w:noProof/>
        </w:rPr>
        <w:t xml:space="preserve"> v </w:t>
      </w:r>
      <w:r w:rsidRPr="006057D0">
        <w:rPr>
          <w:noProof/>
        </w:rPr>
        <w:t>mene EÚ je článok 218 ods. 6 písm. a) bod v) ZFEÚ. Nie je potrebné, aby Komisia žiadala Radu</w:t>
      </w:r>
      <w:r w:rsidR="00D96E5A">
        <w:rPr>
          <w:noProof/>
        </w:rPr>
        <w:t xml:space="preserve"> o </w:t>
      </w:r>
      <w:r w:rsidRPr="006057D0">
        <w:rPr>
          <w:noProof/>
        </w:rPr>
        <w:t>poverenie rokovať</w:t>
      </w:r>
      <w:r w:rsidR="00D96E5A">
        <w:rPr>
          <w:noProof/>
        </w:rPr>
        <w:t xml:space="preserve"> o </w:t>
      </w:r>
      <w:r w:rsidRPr="006057D0">
        <w:rPr>
          <w:noProof/>
        </w:rPr>
        <w:t>predĺžení platnosti dohody</w:t>
      </w:r>
      <w:r w:rsidR="00D96E5A">
        <w:rPr>
          <w:noProof/>
        </w:rPr>
        <w:t xml:space="preserve"> v </w:t>
      </w:r>
      <w:r w:rsidRPr="006057D0">
        <w:rPr>
          <w:noProof/>
        </w:rPr>
        <w:t>súlade</w:t>
      </w:r>
      <w:r w:rsidR="00D96E5A">
        <w:rPr>
          <w:noProof/>
        </w:rPr>
        <w:t xml:space="preserve"> s </w:t>
      </w:r>
      <w:r w:rsidRPr="006057D0">
        <w:rPr>
          <w:noProof/>
        </w:rPr>
        <w:t>článkom 218 ods. 2 ZFEÚ.</w:t>
      </w:r>
      <w:r w:rsidR="00D96E5A">
        <w:rPr>
          <w:noProof/>
        </w:rPr>
        <w:t xml:space="preserve"> V </w:t>
      </w:r>
      <w:r w:rsidRPr="006057D0">
        <w:rPr>
          <w:noProof/>
        </w:rPr>
        <w:t>článku 20 ods. 5 dohody sa nestanovujú žiadne rokovania, len jednoduché informovanie.</w:t>
      </w:r>
    </w:p>
    <w:p w14:paraId="254EFC0D" w14:textId="77777777" w:rsidR="008C7DE8" w:rsidRPr="006057D0" w:rsidRDefault="008C7DE8" w:rsidP="00416AD7">
      <w:pPr>
        <w:pStyle w:val="ManualHeading2"/>
        <w:rPr>
          <w:rFonts w:eastAsia="Arial Unicode MS"/>
          <w:noProof/>
          <w:u w:color="000000"/>
          <w:bdr w:val="nil"/>
        </w:rPr>
      </w:pPr>
      <w:bookmarkStart w:id="8" w:name="_Toc76716004"/>
      <w:r w:rsidRPr="006057D0">
        <w:rPr>
          <w:noProof/>
          <w:u w:color="000000"/>
          <w:bdr w:val="nil"/>
        </w:rPr>
        <w:t>•</w:t>
      </w:r>
      <w:r w:rsidRPr="006057D0">
        <w:rPr>
          <w:noProof/>
        </w:rPr>
        <w:tab/>
      </w:r>
      <w:r w:rsidRPr="006057D0">
        <w:rPr>
          <w:noProof/>
          <w:u w:color="000000"/>
          <w:bdr w:val="nil"/>
        </w:rPr>
        <w:t>Subsidiarita (v prípade inej ako výlučnej právomoci)</w:t>
      </w:r>
      <w:bookmarkEnd w:id="8"/>
      <w:r w:rsidRPr="006057D0">
        <w:rPr>
          <w:noProof/>
          <w:u w:color="000000"/>
          <w:bdr w:val="nil"/>
        </w:rPr>
        <w:t xml:space="preserve"> </w:t>
      </w:r>
    </w:p>
    <w:p w14:paraId="62284AD9" w14:textId="1FA09CC6" w:rsidR="005D75F1" w:rsidRPr="006057D0" w:rsidRDefault="005D75F1" w:rsidP="005D75F1">
      <w:pPr>
        <w:pBdr>
          <w:top w:val="nil"/>
          <w:left w:val="nil"/>
          <w:bottom w:val="nil"/>
          <w:right w:val="nil"/>
          <w:between w:val="nil"/>
          <w:bar w:val="nil"/>
        </w:pBdr>
        <w:spacing w:before="0" w:after="240"/>
        <w:rPr>
          <w:noProof/>
        </w:rPr>
      </w:pPr>
      <w:r w:rsidRPr="006057D0">
        <w:rPr>
          <w:noProof/>
        </w:rPr>
        <w:t>Samostatné členské štáty nedosiahnu ciele tohto návrhu</w:t>
      </w:r>
      <w:r w:rsidR="00D96E5A">
        <w:rPr>
          <w:noProof/>
        </w:rPr>
        <w:t xml:space="preserve"> z </w:t>
      </w:r>
      <w:r w:rsidRPr="006057D0">
        <w:rPr>
          <w:noProof/>
        </w:rPr>
        <w:t>týchto dôvodov:</w:t>
      </w:r>
    </w:p>
    <w:p w14:paraId="3ECC55A7" w14:textId="013E238E" w:rsidR="005D75F1" w:rsidRPr="006057D0" w:rsidRDefault="005D75F1" w:rsidP="005D75F1">
      <w:pPr>
        <w:pBdr>
          <w:top w:val="nil"/>
          <w:left w:val="nil"/>
          <w:bottom w:val="nil"/>
          <w:right w:val="nil"/>
          <w:between w:val="nil"/>
          <w:bar w:val="nil"/>
        </w:pBdr>
        <w:spacing w:before="0" w:after="240"/>
        <w:rPr>
          <w:noProof/>
        </w:rPr>
      </w:pPr>
      <w:r w:rsidRPr="006057D0">
        <w:rPr>
          <w:noProof/>
        </w:rPr>
        <w:t>– Systém Galileo vlastní Únia</w:t>
      </w:r>
      <w:r w:rsidR="00D96E5A">
        <w:rPr>
          <w:noProof/>
        </w:rPr>
        <w:t xml:space="preserve"> a </w:t>
      </w:r>
      <w:r w:rsidRPr="006057D0">
        <w:rPr>
          <w:noProof/>
        </w:rPr>
        <w:t>náklady sa odhadujú na niekoľko desiatok miliárd EUR financovaných ako európska iniciatíva riadená Komisiou</w:t>
      </w:r>
      <w:r w:rsidR="00D96E5A">
        <w:rPr>
          <w:noProof/>
        </w:rPr>
        <w:t xml:space="preserve"> v </w:t>
      </w:r>
      <w:r w:rsidRPr="006057D0">
        <w:rPr>
          <w:noProof/>
        </w:rPr>
        <w:t>kontexte európskej politiky</w:t>
      </w:r>
      <w:r w:rsidR="00D96E5A">
        <w:rPr>
          <w:noProof/>
        </w:rPr>
        <w:t xml:space="preserve"> v </w:t>
      </w:r>
      <w:r w:rsidRPr="006057D0">
        <w:rPr>
          <w:noProof/>
        </w:rPr>
        <w:t>oblasti kozmického priestoru.</w:t>
      </w:r>
    </w:p>
    <w:p w14:paraId="3FFEB3F2" w14:textId="4C0F167F" w:rsidR="005D75F1" w:rsidRPr="006057D0" w:rsidRDefault="005D75F1" w:rsidP="005D75F1">
      <w:pPr>
        <w:pBdr>
          <w:top w:val="nil"/>
          <w:left w:val="nil"/>
          <w:bottom w:val="nil"/>
          <w:right w:val="nil"/>
          <w:between w:val="nil"/>
          <w:bar w:val="nil"/>
        </w:pBdr>
        <w:spacing w:before="0" w:after="240"/>
        <w:rPr>
          <w:noProof/>
        </w:rPr>
      </w:pPr>
      <w:r w:rsidRPr="006057D0">
        <w:rPr>
          <w:noProof/>
        </w:rPr>
        <w:t>– Systém Galileo</w:t>
      </w:r>
      <w:r w:rsidR="00D96E5A">
        <w:rPr>
          <w:noProof/>
        </w:rPr>
        <w:t xml:space="preserve"> a </w:t>
      </w:r>
      <w:r w:rsidRPr="006057D0">
        <w:rPr>
          <w:noProof/>
        </w:rPr>
        <w:t>jeho služby neposkytuje jeden členský štát. Rozsah pôsobnosti dohody, ktorej platnosť sa má predĺžiť, sa preto nemôže obmedziť na žiaden jednotlivý členský štát ani skupinu členských štátov, ale ovplyvňuje Úniu ako celok</w:t>
      </w:r>
      <w:r w:rsidR="00D96E5A">
        <w:rPr>
          <w:noProof/>
        </w:rPr>
        <w:t xml:space="preserve"> a v </w:t>
      </w:r>
      <w:r w:rsidRPr="006057D0">
        <w:rPr>
          <w:noProof/>
        </w:rPr>
        <w:t xml:space="preserve">niektorých aspektoch môže mať dokonca celosvetový vplyv. </w:t>
      </w:r>
    </w:p>
    <w:p w14:paraId="294A214F" w14:textId="508755F4" w:rsidR="005D75F1" w:rsidRPr="006057D0" w:rsidRDefault="005D75F1" w:rsidP="005D75F1">
      <w:pPr>
        <w:pBdr>
          <w:top w:val="nil"/>
          <w:left w:val="nil"/>
          <w:bottom w:val="nil"/>
          <w:right w:val="nil"/>
          <w:between w:val="nil"/>
          <w:bar w:val="nil"/>
        </w:pBdr>
        <w:spacing w:before="0" w:after="240"/>
        <w:rPr>
          <w:noProof/>
        </w:rPr>
      </w:pPr>
      <w:r w:rsidRPr="006057D0">
        <w:rPr>
          <w:noProof/>
        </w:rPr>
        <w:t>– Priemyselné</w:t>
      </w:r>
      <w:r w:rsidR="00D96E5A">
        <w:rPr>
          <w:noProof/>
        </w:rPr>
        <w:t xml:space="preserve"> a </w:t>
      </w:r>
      <w:r w:rsidRPr="006057D0">
        <w:rPr>
          <w:noProof/>
        </w:rPr>
        <w:t>technické vedomosti vo vesmírnom sektore sú rozptýlené vo viacerých členských štátoch bez jedného štátu, ktorý by bol schopný zvládnuť všetky tieto vedomosti. Bez koordinovaného úsilia</w:t>
      </w:r>
      <w:r w:rsidR="00D96E5A">
        <w:rPr>
          <w:noProof/>
        </w:rPr>
        <w:t xml:space="preserve"> a </w:t>
      </w:r>
      <w:r w:rsidRPr="006057D0">
        <w:rPr>
          <w:noProof/>
        </w:rPr>
        <w:t>výmeny informácií by sa zvýšili riziká dohody so Spojenými štátmi, ktorá by viedla</w:t>
      </w:r>
      <w:r w:rsidR="00D96E5A">
        <w:rPr>
          <w:noProof/>
        </w:rPr>
        <w:t xml:space="preserve"> k </w:t>
      </w:r>
      <w:r w:rsidRPr="006057D0">
        <w:rPr>
          <w:noProof/>
        </w:rPr>
        <w:t>suboptimálnym riešeniam.</w:t>
      </w:r>
    </w:p>
    <w:p w14:paraId="1BEC97BD" w14:textId="139BC705" w:rsidR="005D75F1" w:rsidRPr="006057D0" w:rsidRDefault="005D75F1" w:rsidP="005D75F1">
      <w:pPr>
        <w:pBdr>
          <w:top w:val="nil"/>
          <w:left w:val="nil"/>
          <w:bottom w:val="nil"/>
          <w:right w:val="nil"/>
          <w:between w:val="nil"/>
          <w:bar w:val="nil"/>
        </w:pBdr>
        <w:spacing w:before="0" w:after="240"/>
        <w:rPr>
          <w:noProof/>
        </w:rPr>
      </w:pPr>
      <w:r w:rsidRPr="006057D0">
        <w:rPr>
          <w:noProof/>
        </w:rPr>
        <w:t>Ciele návrhu sa lepšie dosiahnu opatreniami Únie</w:t>
      </w:r>
      <w:r w:rsidR="00D96E5A">
        <w:rPr>
          <w:noProof/>
        </w:rPr>
        <w:t xml:space="preserve"> z </w:t>
      </w:r>
      <w:r w:rsidRPr="006057D0">
        <w:rPr>
          <w:noProof/>
        </w:rPr>
        <w:t>týchto dôvodov:</w:t>
      </w:r>
    </w:p>
    <w:p w14:paraId="5E85DE70" w14:textId="3BE66518" w:rsidR="005D75F1" w:rsidRPr="006057D0" w:rsidRDefault="005D75F1" w:rsidP="005D75F1">
      <w:pPr>
        <w:pBdr>
          <w:top w:val="nil"/>
          <w:left w:val="nil"/>
          <w:bottom w:val="nil"/>
          <w:right w:val="nil"/>
          <w:between w:val="nil"/>
          <w:bar w:val="nil"/>
        </w:pBdr>
        <w:spacing w:before="0" w:after="240"/>
        <w:rPr>
          <w:noProof/>
        </w:rPr>
      </w:pPr>
      <w:r w:rsidRPr="006057D0">
        <w:rPr>
          <w:noProof/>
        </w:rPr>
        <w:t>– Infraštruktúra systému Galileo je rozmiestnená na celom svete</w:t>
      </w:r>
      <w:r w:rsidR="00D96E5A">
        <w:rPr>
          <w:noProof/>
        </w:rPr>
        <w:t xml:space="preserve"> a </w:t>
      </w:r>
      <w:r w:rsidRPr="006057D0">
        <w:rPr>
          <w:noProof/>
        </w:rPr>
        <w:t>bezpečnosť</w:t>
      </w:r>
      <w:r w:rsidR="00D96E5A">
        <w:rPr>
          <w:noProof/>
        </w:rPr>
        <w:t xml:space="preserve"> a </w:t>
      </w:r>
      <w:r w:rsidRPr="006057D0">
        <w:rPr>
          <w:noProof/>
        </w:rPr>
        <w:t>ochrana systému Galileo bude vo veľkej miere závisieť od presadzovania jednotných ochranných opatrení zo strany Únie</w:t>
      </w:r>
      <w:r w:rsidR="00D96E5A">
        <w:rPr>
          <w:noProof/>
        </w:rPr>
        <w:t xml:space="preserve"> a </w:t>
      </w:r>
      <w:r w:rsidRPr="006057D0">
        <w:rPr>
          <w:noProof/>
        </w:rPr>
        <w:t>všetkých jej členských štátov</w:t>
      </w:r>
      <w:r w:rsidR="00D96E5A">
        <w:rPr>
          <w:noProof/>
        </w:rPr>
        <w:t xml:space="preserve"> v </w:t>
      </w:r>
      <w:r w:rsidRPr="006057D0">
        <w:rPr>
          <w:noProof/>
        </w:rPr>
        <w:t>prípade potreby</w:t>
      </w:r>
      <w:r w:rsidR="00D96E5A">
        <w:rPr>
          <w:noProof/>
        </w:rPr>
        <w:t xml:space="preserve"> s </w:t>
      </w:r>
      <w:r w:rsidRPr="006057D0">
        <w:rPr>
          <w:noProof/>
        </w:rPr>
        <w:t>podporou Spojených štátov.</w:t>
      </w:r>
    </w:p>
    <w:p w14:paraId="50B3520B" w14:textId="19FE292B" w:rsidR="005D75F1" w:rsidRPr="006057D0" w:rsidRDefault="005D75F1" w:rsidP="005D75F1">
      <w:pPr>
        <w:pBdr>
          <w:top w:val="nil"/>
          <w:left w:val="nil"/>
          <w:bottom w:val="nil"/>
          <w:right w:val="nil"/>
          <w:between w:val="nil"/>
          <w:bar w:val="nil"/>
        </w:pBdr>
        <w:spacing w:before="0" w:after="240"/>
        <w:rPr>
          <w:noProof/>
        </w:rPr>
      </w:pPr>
      <w:r w:rsidRPr="006057D0">
        <w:rPr>
          <w:noProof/>
        </w:rPr>
        <w:t>– Komisia ako programový manažér konajúci</w:t>
      </w:r>
      <w:r w:rsidR="00D96E5A">
        <w:rPr>
          <w:noProof/>
        </w:rPr>
        <w:t xml:space="preserve"> v </w:t>
      </w:r>
      <w:r w:rsidRPr="006057D0">
        <w:rPr>
          <w:noProof/>
        </w:rPr>
        <w:t>mene Únie</w:t>
      </w:r>
      <w:r w:rsidR="00D96E5A">
        <w:rPr>
          <w:noProof/>
        </w:rPr>
        <w:t xml:space="preserve"> a </w:t>
      </w:r>
      <w:r w:rsidRPr="006057D0">
        <w:rPr>
          <w:noProof/>
        </w:rPr>
        <w:t>vlastník systému má lepšiu pozíciu na to, aby prijala všetky primerané opatrenia na dosiahnutie tejto súdržnosti.</w:t>
      </w:r>
      <w:r w:rsidR="00D96E5A">
        <w:rPr>
          <w:noProof/>
        </w:rPr>
        <w:t xml:space="preserve"> V </w:t>
      </w:r>
      <w:r w:rsidRPr="006057D0">
        <w:rPr>
          <w:noProof/>
        </w:rPr>
        <w:t>opačnom prípade by sa zvýšili bezpečnostné riziká</w:t>
      </w:r>
      <w:r w:rsidR="00D96E5A">
        <w:rPr>
          <w:noProof/>
        </w:rPr>
        <w:t xml:space="preserve"> a </w:t>
      </w:r>
      <w:r w:rsidRPr="006057D0">
        <w:rPr>
          <w:noProof/>
        </w:rPr>
        <w:t>expozícia Únie</w:t>
      </w:r>
      <w:r w:rsidR="00D96E5A">
        <w:rPr>
          <w:noProof/>
        </w:rPr>
        <w:t xml:space="preserve"> a </w:t>
      </w:r>
      <w:r w:rsidRPr="006057D0">
        <w:rPr>
          <w:noProof/>
        </w:rPr>
        <w:t>jej členských štátov</w:t>
      </w:r>
      <w:r w:rsidR="00D96E5A">
        <w:rPr>
          <w:noProof/>
        </w:rPr>
        <w:t xml:space="preserve"> v </w:t>
      </w:r>
      <w:r w:rsidRPr="006057D0">
        <w:rPr>
          <w:noProof/>
        </w:rPr>
        <w:t>prípade nárokov na náhradu škody pri vážnych incidentoch.</w:t>
      </w:r>
    </w:p>
    <w:p w14:paraId="0A5F444B" w14:textId="405F1C60" w:rsidR="005D75F1" w:rsidRPr="006057D0" w:rsidRDefault="005D75F1" w:rsidP="00416AD7">
      <w:pPr>
        <w:pBdr>
          <w:top w:val="nil"/>
          <w:left w:val="nil"/>
          <w:bottom w:val="nil"/>
          <w:right w:val="nil"/>
          <w:between w:val="nil"/>
          <w:bar w:val="nil"/>
        </w:pBdr>
        <w:spacing w:before="0" w:after="240"/>
        <w:rPr>
          <w:noProof/>
        </w:rPr>
      </w:pPr>
      <w:r w:rsidRPr="006057D0">
        <w:rPr>
          <w:noProof/>
        </w:rPr>
        <w:t>Pozície, ktoré Komisia zaujíma</w:t>
      </w:r>
      <w:r w:rsidR="00D96E5A">
        <w:rPr>
          <w:noProof/>
        </w:rPr>
        <w:t xml:space="preserve"> v </w:t>
      </w:r>
      <w:r w:rsidRPr="006057D0">
        <w:rPr>
          <w:noProof/>
        </w:rPr>
        <w:t>mene Únie</w:t>
      </w:r>
      <w:r w:rsidR="00D96E5A">
        <w:rPr>
          <w:noProof/>
        </w:rPr>
        <w:t xml:space="preserve"> v </w:t>
      </w:r>
      <w:r w:rsidRPr="006057D0">
        <w:rPr>
          <w:noProof/>
        </w:rPr>
        <w:t>rôznych pracovných skupinách zriadených podľa článku 13 dohody, vedú</w:t>
      </w:r>
      <w:r w:rsidR="00D96E5A">
        <w:rPr>
          <w:noProof/>
        </w:rPr>
        <w:t xml:space="preserve"> k </w:t>
      </w:r>
      <w:r w:rsidRPr="006057D0">
        <w:rPr>
          <w:noProof/>
        </w:rPr>
        <w:t>súdržnosti Únie.</w:t>
      </w:r>
    </w:p>
    <w:p w14:paraId="03CBB1FD" w14:textId="77777777" w:rsidR="008C7DE8" w:rsidRPr="006057D0" w:rsidRDefault="008C7DE8" w:rsidP="00416AD7">
      <w:pPr>
        <w:pStyle w:val="ManualHeading2"/>
        <w:rPr>
          <w:rFonts w:eastAsia="Arial Unicode MS"/>
          <w:noProof/>
          <w:u w:color="000000"/>
          <w:bdr w:val="nil"/>
        </w:rPr>
      </w:pPr>
      <w:bookmarkStart w:id="9" w:name="_Toc76716005"/>
      <w:r w:rsidRPr="006057D0">
        <w:rPr>
          <w:noProof/>
          <w:u w:color="000000"/>
          <w:bdr w:val="nil"/>
        </w:rPr>
        <w:t>•</w:t>
      </w:r>
      <w:r w:rsidRPr="006057D0">
        <w:rPr>
          <w:noProof/>
        </w:rPr>
        <w:tab/>
      </w:r>
      <w:r w:rsidRPr="006057D0">
        <w:rPr>
          <w:noProof/>
          <w:u w:color="000000"/>
          <w:bdr w:val="nil"/>
        </w:rPr>
        <w:t>Proporcionalita</w:t>
      </w:r>
      <w:bookmarkEnd w:id="9"/>
    </w:p>
    <w:p w14:paraId="3877E7FD" w14:textId="77777777" w:rsidR="005D75F1" w:rsidRPr="006057D0" w:rsidRDefault="005D75F1" w:rsidP="00416AD7">
      <w:pPr>
        <w:pBdr>
          <w:top w:val="nil"/>
          <w:left w:val="nil"/>
          <w:bottom w:val="nil"/>
          <w:right w:val="nil"/>
          <w:between w:val="nil"/>
          <w:bar w:val="nil"/>
        </w:pBdr>
        <w:spacing w:before="0" w:after="240"/>
        <w:rPr>
          <w:noProof/>
        </w:rPr>
      </w:pPr>
      <w:r w:rsidRPr="006057D0">
        <w:rPr>
          <w:noProof/>
        </w:rPr>
        <w:t>Neuvádza sa</w:t>
      </w:r>
    </w:p>
    <w:p w14:paraId="6B0BADC6" w14:textId="77777777" w:rsidR="008C7DE8" w:rsidRPr="006057D0" w:rsidRDefault="008C7DE8" w:rsidP="00416AD7">
      <w:pPr>
        <w:pStyle w:val="ManualHeading2"/>
        <w:rPr>
          <w:rFonts w:eastAsia="Arial Unicode MS"/>
          <w:noProof/>
          <w:u w:color="000000"/>
          <w:bdr w:val="nil"/>
        </w:rPr>
      </w:pPr>
      <w:bookmarkStart w:id="10" w:name="_Toc76716006"/>
      <w:r w:rsidRPr="006057D0">
        <w:rPr>
          <w:noProof/>
          <w:u w:color="000000"/>
          <w:bdr w:val="nil"/>
        </w:rPr>
        <w:t>•</w:t>
      </w:r>
      <w:r w:rsidRPr="006057D0">
        <w:rPr>
          <w:noProof/>
        </w:rPr>
        <w:tab/>
      </w:r>
      <w:r w:rsidRPr="006057D0">
        <w:rPr>
          <w:noProof/>
          <w:u w:color="000000"/>
          <w:bdr w:val="nil"/>
        </w:rPr>
        <w:t>Výber nástroja</w:t>
      </w:r>
      <w:bookmarkEnd w:id="10"/>
    </w:p>
    <w:p w14:paraId="73909E56" w14:textId="6A76FAC5" w:rsidR="002663CF" w:rsidRPr="006057D0" w:rsidRDefault="002663CF" w:rsidP="005D75F1">
      <w:pPr>
        <w:pBdr>
          <w:top w:val="nil"/>
          <w:left w:val="nil"/>
          <w:bottom w:val="nil"/>
          <w:right w:val="nil"/>
          <w:between w:val="nil"/>
          <w:bar w:val="nil"/>
        </w:pBdr>
        <w:spacing w:before="0" w:after="240"/>
        <w:rPr>
          <w:noProof/>
        </w:rPr>
      </w:pPr>
      <w:r w:rsidRPr="006057D0">
        <w:rPr>
          <w:noProof/>
        </w:rPr>
        <w:t>Predĺženie platnosti dohody je jediným nástrojom, ktorý zabezpečuje súdržnosť vzťahov celej Únie so Spojenými štátmi</w:t>
      </w:r>
      <w:r w:rsidR="00D96E5A">
        <w:rPr>
          <w:noProof/>
        </w:rPr>
        <w:t xml:space="preserve"> v </w:t>
      </w:r>
      <w:r w:rsidRPr="006057D0">
        <w:rPr>
          <w:noProof/>
        </w:rPr>
        <w:t>oblasti civilnej satelitnej navigácie. Väčšina aspektov služby satelitnej navigácie</w:t>
      </w:r>
      <w:r w:rsidR="00D96E5A">
        <w:rPr>
          <w:noProof/>
        </w:rPr>
        <w:t xml:space="preserve"> a </w:t>
      </w:r>
      <w:r w:rsidRPr="006057D0">
        <w:rPr>
          <w:noProof/>
        </w:rPr>
        <w:t>časového riadenia na vojenské účely je vyňatá.</w:t>
      </w:r>
    </w:p>
    <w:p w14:paraId="09B12120" w14:textId="5D0DB027" w:rsidR="005D75F1" w:rsidRPr="006057D0" w:rsidRDefault="005D75F1" w:rsidP="005D75F1">
      <w:pPr>
        <w:pBdr>
          <w:top w:val="nil"/>
          <w:left w:val="nil"/>
          <w:bottom w:val="nil"/>
          <w:right w:val="nil"/>
          <w:between w:val="nil"/>
          <w:bar w:val="nil"/>
        </w:pBdr>
        <w:spacing w:before="0" w:after="240"/>
        <w:rPr>
          <w:noProof/>
        </w:rPr>
      </w:pPr>
      <w:r w:rsidRPr="006057D0">
        <w:rPr>
          <w:noProof/>
        </w:rPr>
        <w:t>Súdržnosť pri uplatňovaní je osobitne dôležitá, pokiaľ ide</w:t>
      </w:r>
      <w:r w:rsidR="00D96E5A">
        <w:rPr>
          <w:noProof/>
        </w:rPr>
        <w:t xml:space="preserve"> o </w:t>
      </w:r>
      <w:r w:rsidRPr="006057D0">
        <w:rPr>
          <w:noProof/>
        </w:rPr>
        <w:t>opatrenia prijaté stranami</w:t>
      </w:r>
      <w:r w:rsidR="00D96E5A">
        <w:rPr>
          <w:noProof/>
        </w:rPr>
        <w:t xml:space="preserve"> a </w:t>
      </w:r>
      <w:r w:rsidRPr="006057D0">
        <w:rPr>
          <w:noProof/>
        </w:rPr>
        <w:t>týkajúce sa signálov</w:t>
      </w:r>
      <w:r w:rsidR="00D96E5A">
        <w:rPr>
          <w:noProof/>
        </w:rPr>
        <w:t xml:space="preserve"> a </w:t>
      </w:r>
      <w:r w:rsidRPr="006057D0">
        <w:rPr>
          <w:noProof/>
        </w:rPr>
        <w:t>poskytovateľov signálov satelitnej navigácie</w:t>
      </w:r>
      <w:r w:rsidR="00D96E5A">
        <w:rPr>
          <w:noProof/>
        </w:rPr>
        <w:t xml:space="preserve"> a </w:t>
      </w:r>
      <w:r w:rsidRPr="006057D0">
        <w:rPr>
          <w:noProof/>
        </w:rPr>
        <w:t>časového riadenia na civilné účely, služieb</w:t>
      </w:r>
      <w:r w:rsidR="00D96E5A">
        <w:rPr>
          <w:noProof/>
        </w:rPr>
        <w:t xml:space="preserve"> a </w:t>
      </w:r>
      <w:r w:rsidRPr="006057D0">
        <w:rPr>
          <w:noProof/>
        </w:rPr>
        <w:t>poskytovateľov civilných služieb satelitnej navigácie</w:t>
      </w:r>
      <w:r w:rsidR="00D96E5A">
        <w:rPr>
          <w:noProof/>
        </w:rPr>
        <w:t xml:space="preserve"> a </w:t>
      </w:r>
      <w:r w:rsidRPr="006057D0">
        <w:rPr>
          <w:noProof/>
        </w:rPr>
        <w:t>časového riadenia, rozširujúcich služieb, služieb</w:t>
      </w:r>
      <w:r w:rsidR="00D96E5A">
        <w:rPr>
          <w:noProof/>
        </w:rPr>
        <w:t xml:space="preserve"> a </w:t>
      </w:r>
      <w:r w:rsidRPr="006057D0">
        <w:rPr>
          <w:noProof/>
        </w:rPr>
        <w:t>poskytovateľov služieb</w:t>
      </w:r>
      <w:r w:rsidR="00D96E5A">
        <w:rPr>
          <w:noProof/>
        </w:rPr>
        <w:t xml:space="preserve"> s </w:t>
      </w:r>
      <w:r w:rsidRPr="006057D0">
        <w:rPr>
          <w:noProof/>
        </w:rPr>
        <w:t>pridanou hodnotou</w:t>
      </w:r>
      <w:r w:rsidR="00D96E5A">
        <w:rPr>
          <w:noProof/>
        </w:rPr>
        <w:t xml:space="preserve"> a </w:t>
      </w:r>
      <w:r w:rsidRPr="006057D0">
        <w:rPr>
          <w:noProof/>
        </w:rPr>
        <w:t>tovaru globálnej navigácie</w:t>
      </w:r>
      <w:r w:rsidR="00D96E5A">
        <w:rPr>
          <w:noProof/>
        </w:rPr>
        <w:t xml:space="preserve"> a </w:t>
      </w:r>
      <w:r w:rsidRPr="006057D0">
        <w:rPr>
          <w:noProof/>
        </w:rPr>
        <w:t>časového riadenia.</w:t>
      </w:r>
    </w:p>
    <w:p w14:paraId="6B507295" w14:textId="357F4F88" w:rsidR="005D75F1" w:rsidRPr="006057D0" w:rsidRDefault="005D75F1" w:rsidP="005D75F1">
      <w:pPr>
        <w:pBdr>
          <w:top w:val="nil"/>
          <w:left w:val="nil"/>
          <w:bottom w:val="nil"/>
          <w:right w:val="nil"/>
          <w:between w:val="nil"/>
          <w:bar w:val="nil"/>
        </w:pBdr>
        <w:spacing w:before="0" w:after="240"/>
        <w:rPr>
          <w:noProof/>
        </w:rPr>
      </w:pPr>
      <w:r w:rsidRPr="006057D0">
        <w:rPr>
          <w:noProof/>
        </w:rPr>
        <w:t>V Zmluve</w:t>
      </w:r>
      <w:r w:rsidR="00D96E5A">
        <w:rPr>
          <w:noProof/>
        </w:rPr>
        <w:t xml:space="preserve"> o </w:t>
      </w:r>
      <w:r w:rsidRPr="006057D0">
        <w:rPr>
          <w:noProof/>
        </w:rPr>
        <w:t>fungovaní EÚ sa neuvádzajú žiadne iné schodné možnosti, ako upraviť vzťahy</w:t>
      </w:r>
      <w:r w:rsidR="00D96E5A">
        <w:rPr>
          <w:noProof/>
        </w:rPr>
        <w:t xml:space="preserve"> s </w:t>
      </w:r>
      <w:r w:rsidRPr="006057D0">
        <w:rPr>
          <w:noProof/>
        </w:rPr>
        <w:t>treťou krajinou.</w:t>
      </w:r>
    </w:p>
    <w:p w14:paraId="0848B38C" w14:textId="0BDD0E97" w:rsidR="008C7DE8" w:rsidRPr="006057D0" w:rsidRDefault="008C7DE8" w:rsidP="00416AD7">
      <w:pPr>
        <w:pStyle w:val="ManualHeading1"/>
        <w:rPr>
          <w:noProof/>
        </w:rPr>
      </w:pPr>
      <w:bookmarkStart w:id="11" w:name="_Toc76716007"/>
      <w:r w:rsidRPr="006057D0">
        <w:rPr>
          <w:noProof/>
        </w:rPr>
        <w:t>3.</w:t>
      </w:r>
      <w:r w:rsidRPr="006057D0">
        <w:rPr>
          <w:noProof/>
        </w:rPr>
        <w:tab/>
        <w:t xml:space="preserve">VÝSLEDKY HODNOTENÍ </w:t>
      </w:r>
      <w:r w:rsidRPr="006057D0">
        <w:rPr>
          <w:i/>
          <w:iCs/>
          <w:noProof/>
        </w:rPr>
        <w:t>EX POST</w:t>
      </w:r>
      <w:r w:rsidRPr="006057D0">
        <w:rPr>
          <w:noProof/>
        </w:rPr>
        <w:t>, KONZULTÁCIÍ SO ZAINTERESOVANÝMI STRANAMI</w:t>
      </w:r>
      <w:r w:rsidR="00D96E5A">
        <w:rPr>
          <w:noProof/>
        </w:rPr>
        <w:t xml:space="preserve"> A </w:t>
      </w:r>
      <w:r w:rsidRPr="006057D0">
        <w:rPr>
          <w:noProof/>
        </w:rPr>
        <w:t>POSÚDENÍ VPLYVU</w:t>
      </w:r>
      <w:bookmarkEnd w:id="11"/>
    </w:p>
    <w:p w14:paraId="681CA73F" w14:textId="77777777" w:rsidR="008C7DE8" w:rsidRPr="006057D0" w:rsidRDefault="008C7DE8" w:rsidP="00416AD7">
      <w:pPr>
        <w:pStyle w:val="ManualHeading2"/>
        <w:rPr>
          <w:rFonts w:eastAsia="Arial Unicode MS"/>
          <w:noProof/>
          <w:u w:color="000000"/>
          <w:bdr w:val="nil"/>
        </w:rPr>
      </w:pPr>
      <w:bookmarkStart w:id="12" w:name="_Toc76716008"/>
      <w:r w:rsidRPr="006057D0">
        <w:rPr>
          <w:noProof/>
          <w:u w:color="000000"/>
          <w:bdr w:val="nil"/>
        </w:rPr>
        <w:t>•</w:t>
      </w:r>
      <w:r w:rsidRPr="006057D0">
        <w:rPr>
          <w:noProof/>
        </w:rPr>
        <w:tab/>
      </w:r>
      <w:r w:rsidRPr="006057D0">
        <w:rPr>
          <w:noProof/>
          <w:u w:color="000000"/>
          <w:bdr w:val="nil"/>
        </w:rPr>
        <w:t xml:space="preserve">Hodnotenia </w:t>
      </w:r>
      <w:r w:rsidRPr="006057D0">
        <w:rPr>
          <w:i/>
          <w:iCs/>
          <w:noProof/>
          <w:u w:color="000000"/>
          <w:bdr w:val="nil"/>
        </w:rPr>
        <w:t>ex post</w:t>
      </w:r>
      <w:r w:rsidRPr="006057D0">
        <w:rPr>
          <w:noProof/>
          <w:u w:color="000000"/>
          <w:bdr w:val="nil"/>
        </w:rPr>
        <w:t>/kontroly vhodnosti existujúcich právnych predpisov</w:t>
      </w:r>
      <w:bookmarkEnd w:id="12"/>
    </w:p>
    <w:p w14:paraId="2E490E3B" w14:textId="77777777" w:rsidR="005D75F1" w:rsidRPr="006057D0" w:rsidRDefault="005D75F1" w:rsidP="005D75F1">
      <w:pPr>
        <w:pBdr>
          <w:top w:val="nil"/>
          <w:left w:val="nil"/>
          <w:bottom w:val="nil"/>
          <w:right w:val="nil"/>
          <w:between w:val="nil"/>
          <w:bar w:val="nil"/>
        </w:pBdr>
        <w:spacing w:before="0" w:after="240"/>
        <w:rPr>
          <w:noProof/>
        </w:rPr>
      </w:pPr>
      <w:r w:rsidRPr="006057D0">
        <w:rPr>
          <w:noProof/>
        </w:rPr>
        <w:t>Táto iniciatíva nie je súčasťou programu REFIT.</w:t>
      </w:r>
    </w:p>
    <w:p w14:paraId="43B3A7F4" w14:textId="77777777" w:rsidR="008C7DE8" w:rsidRPr="006057D0" w:rsidRDefault="008C7DE8" w:rsidP="00416AD7">
      <w:pPr>
        <w:pStyle w:val="ManualHeading2"/>
        <w:rPr>
          <w:rFonts w:eastAsia="Arial Unicode MS"/>
          <w:noProof/>
          <w:u w:color="000000"/>
          <w:bdr w:val="nil"/>
        </w:rPr>
      </w:pPr>
      <w:bookmarkStart w:id="13" w:name="_Toc76716009"/>
      <w:r w:rsidRPr="006057D0">
        <w:rPr>
          <w:noProof/>
          <w:u w:color="000000"/>
          <w:bdr w:val="nil"/>
        </w:rPr>
        <w:t>•</w:t>
      </w:r>
      <w:r w:rsidRPr="006057D0">
        <w:rPr>
          <w:noProof/>
        </w:rPr>
        <w:tab/>
      </w:r>
      <w:r w:rsidRPr="006057D0">
        <w:rPr>
          <w:noProof/>
          <w:u w:color="000000"/>
          <w:bdr w:val="nil"/>
        </w:rPr>
        <w:t>Konzultácie so zainteresovanými stranami</w:t>
      </w:r>
      <w:bookmarkEnd w:id="13"/>
    </w:p>
    <w:p w14:paraId="5E3F1029" w14:textId="77777777" w:rsidR="005D75F1" w:rsidRPr="006057D0" w:rsidRDefault="005D75F1" w:rsidP="005D75F1">
      <w:pPr>
        <w:pBdr>
          <w:top w:val="nil"/>
          <w:left w:val="nil"/>
          <w:bottom w:val="nil"/>
          <w:right w:val="nil"/>
          <w:between w:val="nil"/>
          <w:bar w:val="nil"/>
        </w:pBdr>
        <w:spacing w:before="0" w:after="240"/>
        <w:rPr>
          <w:noProof/>
        </w:rPr>
      </w:pPr>
      <w:r w:rsidRPr="006057D0">
        <w:rPr>
          <w:noProof/>
        </w:rPr>
        <w:t>Komisia sa zaoberala predĺžením platnosti dohody vo výbore pre program GNSS.</w:t>
      </w:r>
    </w:p>
    <w:p w14:paraId="345BCA8A" w14:textId="5477B574" w:rsidR="005D75F1" w:rsidRPr="006057D0" w:rsidRDefault="005D75F1" w:rsidP="005D75F1">
      <w:pPr>
        <w:pBdr>
          <w:top w:val="nil"/>
          <w:left w:val="nil"/>
          <w:bottom w:val="nil"/>
          <w:right w:val="nil"/>
          <w:between w:val="nil"/>
          <w:bar w:val="nil"/>
        </w:pBdr>
        <w:spacing w:before="0" w:after="240"/>
        <w:rPr>
          <w:noProof/>
        </w:rPr>
      </w:pPr>
      <w:r w:rsidRPr="006057D0">
        <w:rPr>
          <w:noProof/>
        </w:rPr>
        <w:t>Komisia konzultovala aj</w:t>
      </w:r>
      <w:r w:rsidR="00D96E5A">
        <w:rPr>
          <w:noProof/>
        </w:rPr>
        <w:t xml:space="preserve"> s </w:t>
      </w:r>
      <w:r w:rsidRPr="006057D0">
        <w:rPr>
          <w:noProof/>
        </w:rPr>
        <w:t>pracovnou skupinou Rady pre intermodálnu dopravu</w:t>
      </w:r>
      <w:r w:rsidR="00D96E5A">
        <w:rPr>
          <w:noProof/>
        </w:rPr>
        <w:t xml:space="preserve"> a </w:t>
      </w:r>
      <w:r w:rsidRPr="006057D0">
        <w:rPr>
          <w:noProof/>
        </w:rPr>
        <w:t>pracovnou skupinou Rady pre kozmický priestor.</w:t>
      </w:r>
    </w:p>
    <w:p w14:paraId="4075DB36" w14:textId="27D3D203" w:rsidR="008C7DE8" w:rsidRPr="006057D0" w:rsidRDefault="008C7DE8" w:rsidP="00416AD7">
      <w:pPr>
        <w:pStyle w:val="ManualHeading2"/>
        <w:rPr>
          <w:rFonts w:eastAsia="Arial Unicode MS"/>
          <w:noProof/>
          <w:u w:color="000000"/>
          <w:bdr w:val="nil"/>
        </w:rPr>
      </w:pPr>
      <w:bookmarkStart w:id="14" w:name="_Toc76716010"/>
      <w:r w:rsidRPr="006057D0">
        <w:rPr>
          <w:noProof/>
          <w:u w:color="000000"/>
          <w:bdr w:val="nil"/>
        </w:rPr>
        <w:t>•</w:t>
      </w:r>
      <w:r w:rsidRPr="006057D0">
        <w:rPr>
          <w:noProof/>
        </w:rPr>
        <w:tab/>
      </w:r>
      <w:r w:rsidRPr="006057D0">
        <w:rPr>
          <w:noProof/>
          <w:u w:color="000000"/>
          <w:bdr w:val="nil"/>
        </w:rPr>
        <w:t>Získavanie</w:t>
      </w:r>
      <w:r w:rsidR="00D96E5A">
        <w:rPr>
          <w:noProof/>
          <w:u w:color="000000"/>
          <w:bdr w:val="nil"/>
        </w:rPr>
        <w:t xml:space="preserve"> a </w:t>
      </w:r>
      <w:r w:rsidRPr="006057D0">
        <w:rPr>
          <w:noProof/>
          <w:u w:color="000000"/>
          <w:bdr w:val="nil"/>
        </w:rPr>
        <w:t>využívanie expertízy</w:t>
      </w:r>
      <w:bookmarkEnd w:id="14"/>
    </w:p>
    <w:p w14:paraId="0467809C" w14:textId="39D885FA" w:rsidR="005D75F1" w:rsidRPr="006057D0" w:rsidRDefault="005D75F1" w:rsidP="005D75F1">
      <w:pPr>
        <w:pBdr>
          <w:top w:val="nil"/>
          <w:left w:val="nil"/>
          <w:bottom w:val="nil"/>
          <w:right w:val="nil"/>
          <w:between w:val="nil"/>
          <w:bar w:val="nil"/>
        </w:pBdr>
        <w:spacing w:before="0" w:after="240"/>
        <w:rPr>
          <w:noProof/>
        </w:rPr>
      </w:pPr>
      <w:r w:rsidRPr="006057D0">
        <w:rPr>
          <w:noProof/>
        </w:rPr>
        <w:t>Zhrnutie prijatých</w:t>
      </w:r>
      <w:r w:rsidR="00D96E5A">
        <w:rPr>
          <w:noProof/>
        </w:rPr>
        <w:t xml:space="preserve"> a </w:t>
      </w:r>
      <w:r w:rsidRPr="006057D0">
        <w:rPr>
          <w:noProof/>
        </w:rPr>
        <w:t>využitých odporúčaní</w:t>
      </w:r>
    </w:p>
    <w:p w14:paraId="11BD99EC" w14:textId="7111E982" w:rsidR="005D75F1" w:rsidRPr="006057D0" w:rsidRDefault="005D75F1" w:rsidP="005D75F1">
      <w:pPr>
        <w:pBdr>
          <w:top w:val="nil"/>
          <w:left w:val="nil"/>
          <w:bottom w:val="nil"/>
          <w:right w:val="nil"/>
          <w:between w:val="nil"/>
          <w:bar w:val="nil"/>
        </w:pBdr>
        <w:spacing w:before="0" w:after="240"/>
        <w:rPr>
          <w:noProof/>
        </w:rPr>
      </w:pPr>
      <w:r w:rsidRPr="006057D0">
        <w:rPr>
          <w:noProof/>
        </w:rPr>
        <w:t>Je vhodné</w:t>
      </w:r>
      <w:r w:rsidR="00D96E5A">
        <w:rPr>
          <w:noProof/>
        </w:rPr>
        <w:t xml:space="preserve"> a </w:t>
      </w:r>
      <w:r w:rsidRPr="006057D0">
        <w:rPr>
          <w:noProof/>
        </w:rPr>
        <w:t>žiaduce, aby Únia platnosť dohody predĺžila. Dohoda neobsahuje žiadne ustanovenia, ktoré sú zastarané, neprijateľné, ani také, ktoré by bránili predĺženiu platnosti dohody.</w:t>
      </w:r>
    </w:p>
    <w:p w14:paraId="31C69D85" w14:textId="77777777" w:rsidR="008C7DE8" w:rsidRPr="006057D0" w:rsidRDefault="008C7DE8" w:rsidP="00416AD7">
      <w:pPr>
        <w:pStyle w:val="ManualHeading2"/>
        <w:rPr>
          <w:rFonts w:eastAsia="Arial Unicode MS"/>
          <w:noProof/>
          <w:u w:color="000000"/>
          <w:bdr w:val="nil"/>
        </w:rPr>
      </w:pPr>
      <w:bookmarkStart w:id="15" w:name="_Toc76716011"/>
      <w:r w:rsidRPr="006057D0">
        <w:rPr>
          <w:noProof/>
          <w:u w:color="000000"/>
          <w:bdr w:val="nil"/>
        </w:rPr>
        <w:t>•</w:t>
      </w:r>
      <w:r w:rsidRPr="006057D0">
        <w:rPr>
          <w:noProof/>
        </w:rPr>
        <w:tab/>
      </w:r>
      <w:r w:rsidRPr="006057D0">
        <w:rPr>
          <w:noProof/>
          <w:u w:color="000000"/>
          <w:bdr w:val="nil"/>
        </w:rPr>
        <w:t>Posúdenie vplyvu</w:t>
      </w:r>
      <w:bookmarkEnd w:id="15"/>
    </w:p>
    <w:p w14:paraId="2B95C64B" w14:textId="622B91B9" w:rsidR="005D75F1" w:rsidRPr="006057D0" w:rsidRDefault="005D75F1" w:rsidP="005D75F1">
      <w:pPr>
        <w:pBdr>
          <w:top w:val="nil"/>
          <w:left w:val="nil"/>
          <w:bottom w:val="nil"/>
          <w:right w:val="nil"/>
          <w:between w:val="nil"/>
          <w:bar w:val="nil"/>
        </w:pBdr>
        <w:spacing w:before="0" w:after="240"/>
        <w:rPr>
          <w:noProof/>
        </w:rPr>
      </w:pPr>
      <w:r w:rsidRPr="006057D0">
        <w:rPr>
          <w:noProof/>
        </w:rPr>
        <w:t>Prvou možnosťou je nevynaložiť žiadnu iniciatívu</w:t>
      </w:r>
      <w:r w:rsidR="00D96E5A">
        <w:rPr>
          <w:noProof/>
        </w:rPr>
        <w:t xml:space="preserve"> v </w:t>
      </w:r>
      <w:r w:rsidRPr="006057D0">
        <w:rPr>
          <w:noProof/>
        </w:rPr>
        <w:t>reakcii na záujem</w:t>
      </w:r>
      <w:r w:rsidR="00D96E5A">
        <w:rPr>
          <w:noProof/>
        </w:rPr>
        <w:t xml:space="preserve"> o </w:t>
      </w:r>
      <w:r w:rsidRPr="006057D0">
        <w:rPr>
          <w:noProof/>
        </w:rPr>
        <w:t>predĺženie platnosti dohody vyjadrený členskými štátmi</w:t>
      </w:r>
      <w:r w:rsidR="00D96E5A">
        <w:rPr>
          <w:noProof/>
        </w:rPr>
        <w:t xml:space="preserve"> a </w:t>
      </w:r>
      <w:r w:rsidRPr="006057D0">
        <w:rPr>
          <w:noProof/>
        </w:rPr>
        <w:t>USA. Mohlo by sa to vnímať ako gesto odporu, čo by mohlo ohroziť kompatibilitu systémov Galileo</w:t>
      </w:r>
      <w:r w:rsidR="00D96E5A">
        <w:rPr>
          <w:noProof/>
        </w:rPr>
        <w:t xml:space="preserve"> a </w:t>
      </w:r>
      <w:r w:rsidRPr="006057D0">
        <w:rPr>
          <w:noProof/>
        </w:rPr>
        <w:t>GPS, spomaliť alebo zastaviť spoluprácu</w:t>
      </w:r>
      <w:r w:rsidR="00D96E5A">
        <w:rPr>
          <w:noProof/>
        </w:rPr>
        <w:t xml:space="preserve"> v </w:t>
      </w:r>
      <w:r w:rsidRPr="006057D0">
        <w:rPr>
          <w:noProof/>
        </w:rPr>
        <w:t>oblasti ich interoperability,</w:t>
      </w:r>
      <w:r w:rsidR="00D96E5A">
        <w:rPr>
          <w:noProof/>
        </w:rPr>
        <w:t xml:space="preserve"> a </w:t>
      </w:r>
      <w:r w:rsidRPr="006057D0">
        <w:rPr>
          <w:noProof/>
        </w:rPr>
        <w:t>tým vytvoriť riziko oneskorenia prevádzkovej schopnosti systému Galileo.</w:t>
      </w:r>
    </w:p>
    <w:p w14:paraId="2BE4EFF5" w14:textId="77777777" w:rsidR="005D75F1" w:rsidRPr="006057D0" w:rsidRDefault="005D75F1" w:rsidP="005D75F1">
      <w:pPr>
        <w:pBdr>
          <w:top w:val="nil"/>
          <w:left w:val="nil"/>
          <w:bottom w:val="nil"/>
          <w:right w:val="nil"/>
          <w:between w:val="nil"/>
          <w:bar w:val="nil"/>
        </w:pBdr>
        <w:spacing w:before="0" w:after="240"/>
        <w:rPr>
          <w:noProof/>
        </w:rPr>
      </w:pPr>
      <w:r w:rsidRPr="006057D0">
        <w:rPr>
          <w:noProof/>
        </w:rPr>
        <w:t>Druhou možnosťou je predĺžiť platnosť súčasnej dohody. Táto možnosť sa zvolila, keďže:</w:t>
      </w:r>
    </w:p>
    <w:p w14:paraId="08D65323" w14:textId="5257A61A" w:rsidR="005D75F1" w:rsidRPr="006057D0" w:rsidRDefault="005D75F1" w:rsidP="005D75F1">
      <w:pPr>
        <w:pBdr>
          <w:top w:val="nil"/>
          <w:left w:val="nil"/>
          <w:bottom w:val="nil"/>
          <w:right w:val="nil"/>
          <w:between w:val="nil"/>
          <w:bar w:val="nil"/>
        </w:pBdr>
        <w:spacing w:before="0" w:after="240"/>
        <w:rPr>
          <w:noProof/>
        </w:rPr>
      </w:pPr>
      <w:r w:rsidRPr="006057D0">
        <w:rPr>
          <w:noProof/>
        </w:rPr>
        <w:t>•</w:t>
      </w:r>
      <w:r w:rsidRPr="006057D0">
        <w:rPr>
          <w:noProof/>
        </w:rPr>
        <w:tab/>
        <w:t>Systémy Galileo</w:t>
      </w:r>
      <w:r w:rsidR="00D96E5A">
        <w:rPr>
          <w:noProof/>
        </w:rPr>
        <w:t xml:space="preserve"> a </w:t>
      </w:r>
      <w:r w:rsidRPr="006057D0">
        <w:rPr>
          <w:noProof/>
        </w:rPr>
        <w:t>GPS sa ďalej vyvíjajú</w:t>
      </w:r>
      <w:r w:rsidR="00D96E5A">
        <w:rPr>
          <w:noProof/>
        </w:rPr>
        <w:t xml:space="preserve"> a </w:t>
      </w:r>
      <w:r w:rsidRPr="006057D0">
        <w:rPr>
          <w:noProof/>
        </w:rPr>
        <w:t>rozvíjajú. Pokračujúca spolupráca medzi oboma systémami je potrebná</w:t>
      </w:r>
      <w:r w:rsidR="00D96E5A">
        <w:rPr>
          <w:noProof/>
        </w:rPr>
        <w:t xml:space="preserve"> z </w:t>
      </w:r>
      <w:r w:rsidRPr="006057D0">
        <w:rPr>
          <w:noProof/>
        </w:rPr>
        <w:t>viacerých dôvodov vrátane toho, aby sa zabezpečila kompatibilita</w:t>
      </w:r>
      <w:r w:rsidR="00D96E5A">
        <w:rPr>
          <w:noProof/>
        </w:rPr>
        <w:t xml:space="preserve"> a </w:t>
      </w:r>
      <w:r w:rsidRPr="006057D0">
        <w:rPr>
          <w:noProof/>
        </w:rPr>
        <w:t>interoperabilita.</w:t>
      </w:r>
    </w:p>
    <w:p w14:paraId="214023FC" w14:textId="324F6329" w:rsidR="005D75F1" w:rsidRPr="006057D0" w:rsidRDefault="005D75F1" w:rsidP="005D75F1">
      <w:pPr>
        <w:pBdr>
          <w:top w:val="nil"/>
          <w:left w:val="nil"/>
          <w:bottom w:val="nil"/>
          <w:right w:val="nil"/>
          <w:between w:val="nil"/>
          <w:bar w:val="nil"/>
        </w:pBdr>
        <w:spacing w:before="0" w:after="240"/>
        <w:rPr>
          <w:noProof/>
        </w:rPr>
      </w:pPr>
      <w:r w:rsidRPr="006057D0">
        <w:rPr>
          <w:noProof/>
        </w:rPr>
        <w:t>•</w:t>
      </w:r>
      <w:r w:rsidRPr="006057D0">
        <w:rPr>
          <w:noProof/>
        </w:rPr>
        <w:tab/>
        <w:t>Spojené štáty sú privilegovaným partnerom Únie</w:t>
      </w:r>
      <w:r w:rsidR="00D96E5A">
        <w:rPr>
          <w:noProof/>
        </w:rPr>
        <w:t xml:space="preserve"> v </w:t>
      </w:r>
      <w:r w:rsidRPr="006057D0">
        <w:rPr>
          <w:noProof/>
        </w:rPr>
        <w:t>oblasti satelitnej navigácie.</w:t>
      </w:r>
    </w:p>
    <w:p w14:paraId="34B12BDA" w14:textId="54488661" w:rsidR="005D75F1" w:rsidRPr="006057D0" w:rsidRDefault="005D75F1" w:rsidP="005D75F1">
      <w:pPr>
        <w:pBdr>
          <w:top w:val="nil"/>
          <w:left w:val="nil"/>
          <w:bottom w:val="nil"/>
          <w:right w:val="nil"/>
          <w:between w:val="nil"/>
          <w:bar w:val="nil"/>
        </w:pBdr>
        <w:spacing w:before="0" w:after="240"/>
        <w:rPr>
          <w:noProof/>
        </w:rPr>
      </w:pPr>
      <w:r w:rsidRPr="006057D0">
        <w:rPr>
          <w:noProof/>
        </w:rPr>
        <w:t>•</w:t>
      </w:r>
      <w:r w:rsidRPr="006057D0">
        <w:rPr>
          <w:noProof/>
        </w:rPr>
        <w:tab/>
        <w:t>Spojené štáty</w:t>
      </w:r>
      <w:r w:rsidR="00D96E5A">
        <w:rPr>
          <w:noProof/>
        </w:rPr>
        <w:t xml:space="preserve"> a </w:t>
      </w:r>
      <w:r w:rsidRPr="006057D0">
        <w:rPr>
          <w:noProof/>
        </w:rPr>
        <w:t>členské štáty Únie nemajú námietky proti predĺženiu platnosti dohody.</w:t>
      </w:r>
    </w:p>
    <w:p w14:paraId="0BEC119B" w14:textId="3712783F" w:rsidR="008C7DE8" w:rsidRPr="006057D0" w:rsidRDefault="008C7DE8" w:rsidP="00416AD7">
      <w:pPr>
        <w:pStyle w:val="ManualHeading2"/>
        <w:rPr>
          <w:rFonts w:eastAsia="Arial Unicode MS"/>
          <w:noProof/>
          <w:u w:color="000000"/>
          <w:bdr w:val="nil"/>
        </w:rPr>
      </w:pPr>
      <w:bookmarkStart w:id="16" w:name="_Toc76716012"/>
      <w:r w:rsidRPr="006057D0">
        <w:rPr>
          <w:noProof/>
          <w:u w:color="000000"/>
          <w:bdr w:val="nil"/>
        </w:rPr>
        <w:t>•</w:t>
      </w:r>
      <w:r w:rsidRPr="006057D0">
        <w:rPr>
          <w:noProof/>
        </w:rPr>
        <w:tab/>
      </w:r>
      <w:r w:rsidRPr="006057D0">
        <w:rPr>
          <w:noProof/>
          <w:u w:color="000000"/>
          <w:bdr w:val="nil"/>
        </w:rPr>
        <w:t>Regulačná vhodnosť</w:t>
      </w:r>
      <w:r w:rsidR="00D96E5A">
        <w:rPr>
          <w:noProof/>
          <w:u w:color="000000"/>
          <w:bdr w:val="nil"/>
        </w:rPr>
        <w:t xml:space="preserve"> a </w:t>
      </w:r>
      <w:r w:rsidRPr="006057D0">
        <w:rPr>
          <w:noProof/>
          <w:u w:color="000000"/>
          <w:bdr w:val="nil"/>
        </w:rPr>
        <w:t>zjednodušenie</w:t>
      </w:r>
      <w:bookmarkEnd w:id="16"/>
    </w:p>
    <w:p w14:paraId="7A6C1EC1" w14:textId="77777777" w:rsidR="005D75F1" w:rsidRPr="006057D0" w:rsidRDefault="005D75F1" w:rsidP="003E7AE7">
      <w:pPr>
        <w:pBdr>
          <w:top w:val="nil"/>
          <w:left w:val="nil"/>
          <w:bottom w:val="nil"/>
          <w:right w:val="nil"/>
          <w:between w:val="nil"/>
          <w:bar w:val="nil"/>
        </w:pBdr>
        <w:spacing w:before="0" w:after="240"/>
        <w:rPr>
          <w:noProof/>
        </w:rPr>
      </w:pPr>
      <w:r w:rsidRPr="006057D0">
        <w:rPr>
          <w:noProof/>
        </w:rPr>
        <w:t>Táto iniciatíva nie je súčasťou programu REFIT.</w:t>
      </w:r>
    </w:p>
    <w:p w14:paraId="20E4BBD7" w14:textId="77777777" w:rsidR="009F778F" w:rsidRPr="006057D0" w:rsidRDefault="008C7DE8" w:rsidP="009F778F">
      <w:pPr>
        <w:pStyle w:val="ManualHeading1"/>
        <w:rPr>
          <w:noProof/>
        </w:rPr>
      </w:pPr>
      <w:bookmarkStart w:id="17" w:name="_Toc76716014"/>
      <w:r w:rsidRPr="006057D0">
        <w:rPr>
          <w:noProof/>
        </w:rPr>
        <w:t>4.</w:t>
      </w:r>
      <w:r w:rsidRPr="006057D0">
        <w:rPr>
          <w:noProof/>
        </w:rPr>
        <w:tab/>
        <w:t>VPLYV NA ROZPOČET</w:t>
      </w:r>
      <w:bookmarkEnd w:id="17"/>
    </w:p>
    <w:p w14:paraId="0206E5F9" w14:textId="237BF478" w:rsidR="005D75F1" w:rsidRPr="006057D0" w:rsidRDefault="009F778F" w:rsidP="00416AD7">
      <w:pPr>
        <w:pBdr>
          <w:top w:val="nil"/>
          <w:left w:val="nil"/>
          <w:bottom w:val="nil"/>
          <w:right w:val="nil"/>
          <w:between w:val="nil"/>
          <w:bar w:val="nil"/>
        </w:pBdr>
        <w:spacing w:before="0" w:after="240"/>
        <w:rPr>
          <w:noProof/>
        </w:rPr>
      </w:pPr>
      <w:r w:rsidRPr="006057D0">
        <w:rPr>
          <w:noProof/>
        </w:rPr>
        <w:t>Počas desiatich rokov jej uplatňovania si žiadna</w:t>
      </w:r>
      <w:r w:rsidR="00D96E5A">
        <w:rPr>
          <w:noProof/>
        </w:rPr>
        <w:t xml:space="preserve"> z </w:t>
      </w:r>
      <w:r w:rsidRPr="006057D0">
        <w:rPr>
          <w:noProof/>
        </w:rPr>
        <w:t xml:space="preserve">činností podľa súčasnej dohody nevyžadovala financovanie od žiadnej zo zmluvných strán. </w:t>
      </w:r>
    </w:p>
    <w:p w14:paraId="5DB14424" w14:textId="77777777" w:rsidR="00E44842" w:rsidRPr="006057D0" w:rsidRDefault="00E44842" w:rsidP="00416AD7">
      <w:pPr>
        <w:pBdr>
          <w:top w:val="nil"/>
          <w:left w:val="nil"/>
          <w:bottom w:val="nil"/>
          <w:right w:val="nil"/>
          <w:between w:val="nil"/>
          <w:bar w:val="nil"/>
        </w:pBdr>
        <w:spacing w:before="0" w:after="240"/>
        <w:rPr>
          <w:noProof/>
        </w:rPr>
      </w:pPr>
      <w:r w:rsidRPr="006057D0">
        <w:rPr>
          <w:noProof/>
        </w:rPr>
        <w:t xml:space="preserve">Na nasledujúce päťročné obdobie predĺženia platnosti tejto dohody opäť nebude potrebné žiadne finančné krytie. </w:t>
      </w:r>
    </w:p>
    <w:p w14:paraId="74900C3E" w14:textId="792974CB" w:rsidR="009F778F" w:rsidRPr="006057D0" w:rsidRDefault="009F778F" w:rsidP="00416AD7">
      <w:pPr>
        <w:pBdr>
          <w:top w:val="nil"/>
          <w:left w:val="nil"/>
          <w:bottom w:val="nil"/>
          <w:right w:val="nil"/>
          <w:between w:val="nil"/>
          <w:bar w:val="nil"/>
        </w:pBdr>
        <w:spacing w:before="0" w:after="240"/>
        <w:rPr>
          <w:noProof/>
        </w:rPr>
      </w:pPr>
      <w:r w:rsidRPr="006057D0">
        <w:rPr>
          <w:noProof/>
        </w:rPr>
        <w:t>Vplyv na rozpočet sa obmedzí na administratívne náklady, ktoré budú znášať zmluvné strany pri plnení úloh, ktoré patria do ich zodpovednosti. Všetky administratívne náklady súvisia so služobnými cestami. Všetky služobné cesty pracovníkov Komisie</w:t>
      </w:r>
      <w:r w:rsidR="00D96E5A">
        <w:rPr>
          <w:noProof/>
        </w:rPr>
        <w:t xml:space="preserve"> v </w:t>
      </w:r>
      <w:r w:rsidRPr="006057D0">
        <w:rPr>
          <w:noProof/>
        </w:rPr>
        <w:t>rámci dohody sa uhrádzajú</w:t>
      </w:r>
      <w:r w:rsidR="00D96E5A">
        <w:rPr>
          <w:noProof/>
        </w:rPr>
        <w:t xml:space="preserve"> z </w:t>
      </w:r>
      <w:r w:rsidRPr="006057D0">
        <w:rPr>
          <w:noProof/>
        </w:rPr>
        <w:t>globálneho balíka na služobné cesty</w:t>
      </w:r>
      <w:r w:rsidR="00D96E5A">
        <w:rPr>
          <w:noProof/>
        </w:rPr>
        <w:t xml:space="preserve"> a </w:t>
      </w:r>
      <w:r w:rsidRPr="006057D0">
        <w:rPr>
          <w:noProof/>
        </w:rPr>
        <w:t>nie</w:t>
      </w:r>
      <w:r w:rsidR="00D96E5A">
        <w:rPr>
          <w:noProof/>
        </w:rPr>
        <w:t xml:space="preserve"> z </w:t>
      </w:r>
      <w:r w:rsidRPr="006057D0">
        <w:rPr>
          <w:noProof/>
        </w:rPr>
        <w:t>prevádzkového rozpočtového riadka programu Galileo podľa nariadenia</w:t>
      </w:r>
      <w:r w:rsidR="00D96E5A">
        <w:rPr>
          <w:noProof/>
        </w:rPr>
        <w:t xml:space="preserve"> o </w:t>
      </w:r>
      <w:r w:rsidRPr="006057D0">
        <w:rPr>
          <w:noProof/>
        </w:rPr>
        <w:t xml:space="preserve">Vesmírnom programe EÚ. </w:t>
      </w:r>
    </w:p>
    <w:p w14:paraId="55329E55" w14:textId="77777777" w:rsidR="008C7DE8" w:rsidRPr="006057D0" w:rsidRDefault="008C7DE8" w:rsidP="00416AD7">
      <w:pPr>
        <w:pStyle w:val="ManualHeading1"/>
        <w:rPr>
          <w:noProof/>
        </w:rPr>
      </w:pPr>
      <w:bookmarkStart w:id="18" w:name="_Toc76716015"/>
      <w:r w:rsidRPr="006057D0">
        <w:rPr>
          <w:noProof/>
        </w:rPr>
        <w:t>5.</w:t>
      </w:r>
      <w:r w:rsidRPr="006057D0">
        <w:rPr>
          <w:noProof/>
        </w:rPr>
        <w:tab/>
        <w:t>ĎALŠIE PRVKY</w:t>
      </w:r>
      <w:bookmarkEnd w:id="18"/>
    </w:p>
    <w:p w14:paraId="11F10DCE" w14:textId="3C3294CF" w:rsidR="008C7DE8" w:rsidRPr="006057D0" w:rsidRDefault="008C7DE8" w:rsidP="00416AD7">
      <w:pPr>
        <w:pStyle w:val="ManualHeading2"/>
        <w:rPr>
          <w:rFonts w:eastAsia="Arial Unicode MS"/>
          <w:noProof/>
          <w:u w:color="000000"/>
          <w:bdr w:val="nil"/>
        </w:rPr>
      </w:pPr>
      <w:bookmarkStart w:id="19" w:name="_Toc76716016"/>
      <w:r w:rsidRPr="006057D0">
        <w:rPr>
          <w:noProof/>
          <w:u w:color="000000"/>
          <w:bdr w:val="nil"/>
        </w:rPr>
        <w:t>•</w:t>
      </w:r>
      <w:r w:rsidRPr="006057D0">
        <w:rPr>
          <w:noProof/>
        </w:rPr>
        <w:tab/>
      </w:r>
      <w:r w:rsidRPr="006057D0">
        <w:rPr>
          <w:noProof/>
          <w:u w:color="000000"/>
          <w:bdr w:val="nil"/>
        </w:rPr>
        <w:t>Plány vykonávania, spôsob monitorovania, hodnotenia</w:t>
      </w:r>
      <w:r w:rsidR="00D96E5A">
        <w:rPr>
          <w:noProof/>
          <w:u w:color="000000"/>
          <w:bdr w:val="nil"/>
        </w:rPr>
        <w:t xml:space="preserve"> a </w:t>
      </w:r>
      <w:r w:rsidRPr="006057D0">
        <w:rPr>
          <w:noProof/>
          <w:u w:color="000000"/>
          <w:bdr w:val="nil"/>
        </w:rPr>
        <w:t>podávania správ</w:t>
      </w:r>
      <w:bookmarkEnd w:id="19"/>
    </w:p>
    <w:p w14:paraId="67AB5307" w14:textId="5C45F787" w:rsidR="005D75F1" w:rsidRPr="006057D0" w:rsidRDefault="005D75F1" w:rsidP="005D75F1">
      <w:pPr>
        <w:pBdr>
          <w:top w:val="nil"/>
          <w:left w:val="nil"/>
          <w:bottom w:val="nil"/>
          <w:right w:val="nil"/>
          <w:between w:val="nil"/>
          <w:bar w:val="nil"/>
        </w:pBdr>
        <w:spacing w:before="0" w:after="240"/>
        <w:rPr>
          <w:noProof/>
        </w:rPr>
      </w:pPr>
      <w:r w:rsidRPr="006057D0">
        <w:rPr>
          <w:noProof/>
        </w:rPr>
        <w:t xml:space="preserve">V tomto návrhu na predĺženie platnosti dohody sa nepredpokladá prenesenie vlastníckych ani rozhodovacích práv systému Galileo na Spojené štáty. </w:t>
      </w:r>
    </w:p>
    <w:p w14:paraId="329D206A" w14:textId="31EF5F71" w:rsidR="005D75F1" w:rsidRPr="006057D0" w:rsidRDefault="005D75F1" w:rsidP="005D75F1">
      <w:pPr>
        <w:pBdr>
          <w:top w:val="nil"/>
          <w:left w:val="nil"/>
          <w:bottom w:val="nil"/>
          <w:right w:val="nil"/>
          <w:between w:val="nil"/>
          <w:bar w:val="nil"/>
        </w:pBdr>
        <w:spacing w:before="0" w:after="240"/>
        <w:rPr>
          <w:noProof/>
        </w:rPr>
      </w:pPr>
      <w:r w:rsidRPr="006057D0">
        <w:rPr>
          <w:noProof/>
        </w:rPr>
        <w:t>Návrhom sa Spojeným štátom neposkytuje právo zapájať sa do programových výborov alebo pracovných skupín EÚ súvisiacich</w:t>
      </w:r>
      <w:r w:rsidR="00D96E5A">
        <w:rPr>
          <w:noProof/>
        </w:rPr>
        <w:t xml:space="preserve"> s </w:t>
      </w:r>
      <w:r w:rsidRPr="006057D0">
        <w:rPr>
          <w:noProof/>
        </w:rPr>
        <w:t>GNSS.</w:t>
      </w:r>
    </w:p>
    <w:p w14:paraId="50F1596D" w14:textId="4FA0C44A" w:rsidR="005D75F1" w:rsidRPr="006057D0" w:rsidRDefault="005D75F1" w:rsidP="003E7AE7">
      <w:pPr>
        <w:pBdr>
          <w:top w:val="nil"/>
          <w:left w:val="nil"/>
          <w:bottom w:val="nil"/>
          <w:right w:val="nil"/>
          <w:between w:val="nil"/>
          <w:bar w:val="nil"/>
        </w:pBdr>
        <w:spacing w:before="0" w:after="240"/>
        <w:rPr>
          <w:noProof/>
        </w:rPr>
      </w:pPr>
      <w:r w:rsidRPr="006057D0">
        <w:rPr>
          <w:noProof/>
        </w:rPr>
        <w:t>Návrhom sa Spojeným štátom neumožňuje zúčastňovať sa na príslušných fórach, pracovných skupinách ani diskusiách verejnej regulovanej služby Galileo.</w:t>
      </w:r>
    </w:p>
    <w:p w14:paraId="5600790C" w14:textId="77777777" w:rsidR="008C7DE8" w:rsidRPr="006057D0" w:rsidRDefault="008C7DE8" w:rsidP="00416AD7">
      <w:pPr>
        <w:rPr>
          <w:noProof/>
        </w:rPr>
        <w:sectPr w:rsidR="008C7DE8" w:rsidRPr="006057D0" w:rsidSect="006133F3">
          <w:footerReference w:type="default" r:id="rId10"/>
          <w:footerReference w:type="first" r:id="rId11"/>
          <w:pgSz w:w="11907" w:h="16839"/>
          <w:pgMar w:top="1134" w:right="1417" w:bottom="1134" w:left="1417" w:header="709" w:footer="709" w:gutter="0"/>
          <w:cols w:space="708"/>
          <w:docGrid w:linePitch="360"/>
        </w:sectPr>
      </w:pPr>
    </w:p>
    <w:p w14:paraId="2A83DDFA" w14:textId="4ECF42C9" w:rsidR="00092531" w:rsidRDefault="00092531" w:rsidP="00092531">
      <w:pPr>
        <w:pStyle w:val="Rfrenceinterinstitutionnelle"/>
        <w:rPr>
          <w:noProof/>
        </w:rPr>
      </w:pPr>
      <w:r w:rsidRPr="00092531">
        <w:t>2022/0005 (NLE)</w:t>
      </w:r>
    </w:p>
    <w:p w14:paraId="6B30A204" w14:textId="6F304995" w:rsidR="008C7DE8" w:rsidRPr="006057D0" w:rsidRDefault="00D96E5A" w:rsidP="00D96E5A">
      <w:pPr>
        <w:pStyle w:val="Statut"/>
        <w:rPr>
          <w:noProof/>
        </w:rPr>
      </w:pPr>
      <w:r w:rsidRPr="00D96E5A">
        <w:rPr>
          <w:noProof/>
        </w:rPr>
        <w:t>Návrh</w:t>
      </w:r>
    </w:p>
    <w:p w14:paraId="43C4596E" w14:textId="2B716654" w:rsidR="008C7DE8" w:rsidRPr="006057D0" w:rsidRDefault="00D96E5A" w:rsidP="00D96E5A">
      <w:pPr>
        <w:pStyle w:val="Typedudocument"/>
        <w:rPr>
          <w:noProof/>
        </w:rPr>
      </w:pPr>
      <w:r w:rsidRPr="00D96E5A">
        <w:rPr>
          <w:noProof/>
        </w:rPr>
        <w:t>ROZHODNUTIE RADY</w:t>
      </w:r>
    </w:p>
    <w:p w14:paraId="5EA7B30A" w14:textId="286639B3" w:rsidR="008C7DE8" w:rsidRPr="006057D0" w:rsidRDefault="00D96E5A" w:rsidP="00D96E5A">
      <w:pPr>
        <w:pStyle w:val="Titreobjet"/>
        <w:rPr>
          <w:noProof/>
        </w:rPr>
      </w:pPr>
      <w:r w:rsidRPr="00D96E5A">
        <w:rPr>
          <w:noProof/>
        </w:rPr>
        <w:t>o predĺžení platnosti Dohody o podpore, poskytovaní a využívaní satelitných navigačných systémov Galileo a GPS a s nimi súvisiacich aplikácií medzi Európskym spoločenstvom a jeho členskými štátmi a Spojenými štátmi americkými</w:t>
      </w:r>
    </w:p>
    <w:p w14:paraId="628C7DEB" w14:textId="77777777" w:rsidR="008C7DE8" w:rsidRPr="006057D0" w:rsidRDefault="008C7DE8" w:rsidP="00416AD7">
      <w:pPr>
        <w:pStyle w:val="Institutionquiagit"/>
        <w:rPr>
          <w:noProof/>
        </w:rPr>
      </w:pPr>
      <w:r w:rsidRPr="006057D0">
        <w:rPr>
          <w:noProof/>
        </w:rPr>
        <w:t>RADA EURÓPSKEJ ÚNIE,</w:t>
      </w:r>
    </w:p>
    <w:p w14:paraId="42C780CE" w14:textId="2C6FE58B" w:rsidR="008C7DE8" w:rsidRPr="006057D0" w:rsidRDefault="008C7DE8" w:rsidP="00416AD7">
      <w:pPr>
        <w:rPr>
          <w:noProof/>
        </w:rPr>
      </w:pPr>
      <w:r w:rsidRPr="006057D0">
        <w:rPr>
          <w:noProof/>
        </w:rPr>
        <w:t>so zreteľom na Zmluvu</w:t>
      </w:r>
      <w:r w:rsidR="00D96E5A">
        <w:rPr>
          <w:noProof/>
        </w:rPr>
        <w:t xml:space="preserve"> o </w:t>
      </w:r>
      <w:r w:rsidRPr="006057D0">
        <w:rPr>
          <w:noProof/>
        </w:rPr>
        <w:t>fungovaní Európskej únie,</w:t>
      </w:r>
      <w:r w:rsidR="00D96E5A">
        <w:rPr>
          <w:noProof/>
        </w:rPr>
        <w:t xml:space="preserve"> a </w:t>
      </w:r>
      <w:r w:rsidRPr="006057D0">
        <w:rPr>
          <w:noProof/>
        </w:rPr>
        <w:t>najmä na jej článok 189</w:t>
      </w:r>
      <w:r w:rsidR="00D96E5A">
        <w:rPr>
          <w:noProof/>
        </w:rPr>
        <w:t xml:space="preserve"> v </w:t>
      </w:r>
      <w:r w:rsidRPr="006057D0">
        <w:rPr>
          <w:noProof/>
        </w:rPr>
        <w:t>spojení</w:t>
      </w:r>
      <w:r w:rsidR="00D96E5A">
        <w:rPr>
          <w:noProof/>
        </w:rPr>
        <w:t xml:space="preserve"> s </w:t>
      </w:r>
      <w:r w:rsidRPr="006057D0">
        <w:rPr>
          <w:noProof/>
        </w:rPr>
        <w:t>článkom 218 ods. 6 druhým pododsekom písm. a) bodom v),</w:t>
      </w:r>
    </w:p>
    <w:p w14:paraId="7AA52FE8" w14:textId="77777777" w:rsidR="008C7DE8" w:rsidRPr="006057D0" w:rsidRDefault="008C7DE8" w:rsidP="00416AD7">
      <w:pPr>
        <w:rPr>
          <w:noProof/>
        </w:rPr>
      </w:pPr>
      <w:r w:rsidRPr="006057D0">
        <w:rPr>
          <w:noProof/>
        </w:rPr>
        <w:t>so zreteľom na návrh Európskej komisie,</w:t>
      </w:r>
    </w:p>
    <w:p w14:paraId="2E2BC5A7" w14:textId="6FA200E9" w:rsidR="008C7DE8" w:rsidRPr="006057D0" w:rsidRDefault="008C7DE8" w:rsidP="00416AD7">
      <w:pPr>
        <w:rPr>
          <w:noProof/>
        </w:rPr>
      </w:pPr>
      <w:r w:rsidRPr="006057D0">
        <w:rPr>
          <w:noProof/>
        </w:rPr>
        <w:t>so zreteľom na súhlas Európskeho parlamentu</w:t>
      </w:r>
      <w:r w:rsidRPr="006057D0">
        <w:rPr>
          <w:rStyle w:val="FootnoteReference"/>
          <w:noProof/>
        </w:rPr>
        <w:footnoteReference w:id="4"/>
      </w:r>
      <w:r w:rsidRPr="006057D0">
        <w:rPr>
          <w:noProof/>
        </w:rPr>
        <w:t xml:space="preserve">, </w:t>
      </w:r>
    </w:p>
    <w:p w14:paraId="604A6092" w14:textId="77777777" w:rsidR="008C7DE8" w:rsidRPr="006057D0" w:rsidRDefault="008C7DE8" w:rsidP="00416AD7">
      <w:pPr>
        <w:rPr>
          <w:noProof/>
        </w:rPr>
      </w:pPr>
      <w:r w:rsidRPr="006057D0">
        <w:rPr>
          <w:noProof/>
        </w:rPr>
        <w:t>keďže:</w:t>
      </w:r>
    </w:p>
    <w:p w14:paraId="2067B721" w14:textId="510043A1" w:rsidR="009A5EBE" w:rsidRPr="006057D0" w:rsidRDefault="0070606A" w:rsidP="0070606A">
      <w:pPr>
        <w:pStyle w:val="ManualConsidrant"/>
        <w:rPr>
          <w:noProof/>
        </w:rPr>
      </w:pPr>
      <w:r w:rsidRPr="0070606A">
        <w:t>(1)</w:t>
      </w:r>
      <w:r w:rsidRPr="0070606A">
        <w:tab/>
      </w:r>
      <w:r w:rsidR="00E3481F" w:rsidRPr="006057D0">
        <w:rPr>
          <w:noProof/>
        </w:rPr>
        <w:t>Rada rozhodnutím 2011/901/EÚ</w:t>
      </w:r>
      <w:r w:rsidR="00E3481F" w:rsidRPr="006057D0">
        <w:rPr>
          <w:rStyle w:val="FootnoteReference"/>
          <w:noProof/>
        </w:rPr>
        <w:footnoteReference w:id="5"/>
      </w:r>
      <w:r w:rsidR="00E3481F" w:rsidRPr="006057D0">
        <w:rPr>
          <w:noProof/>
        </w:rPr>
        <w:t xml:space="preserve"> schválila uzavretie Dohody</w:t>
      </w:r>
      <w:r w:rsidR="00D96E5A">
        <w:rPr>
          <w:noProof/>
        </w:rPr>
        <w:t xml:space="preserve"> o </w:t>
      </w:r>
      <w:r w:rsidR="00E3481F" w:rsidRPr="006057D0">
        <w:rPr>
          <w:noProof/>
        </w:rPr>
        <w:t>podpore, poskytovaní</w:t>
      </w:r>
      <w:r w:rsidR="00D96E5A">
        <w:rPr>
          <w:noProof/>
        </w:rPr>
        <w:t xml:space="preserve"> a </w:t>
      </w:r>
      <w:r w:rsidR="00E3481F" w:rsidRPr="006057D0">
        <w:rPr>
          <w:noProof/>
        </w:rPr>
        <w:t>využívaní satelitných navigačných systémov Galileo</w:t>
      </w:r>
      <w:r w:rsidR="00D96E5A">
        <w:rPr>
          <w:noProof/>
        </w:rPr>
        <w:t xml:space="preserve"> a </w:t>
      </w:r>
      <w:r w:rsidR="00E3481F" w:rsidRPr="006057D0">
        <w:rPr>
          <w:noProof/>
        </w:rPr>
        <w:t>GPS</w:t>
      </w:r>
      <w:r w:rsidR="00D96E5A">
        <w:rPr>
          <w:noProof/>
        </w:rPr>
        <w:t xml:space="preserve"> a s </w:t>
      </w:r>
      <w:r w:rsidR="00E3481F" w:rsidRPr="006057D0">
        <w:rPr>
          <w:noProof/>
        </w:rPr>
        <w:t>nimi súvisiacich aplikácií medzi Spojenými štátmi americkými na jednej strane</w:t>
      </w:r>
      <w:r w:rsidR="00D96E5A">
        <w:rPr>
          <w:noProof/>
        </w:rPr>
        <w:t xml:space="preserve"> a </w:t>
      </w:r>
      <w:r w:rsidR="00E3481F" w:rsidRPr="006057D0">
        <w:rPr>
          <w:noProof/>
        </w:rPr>
        <w:t>Európskym spoločenstvom</w:t>
      </w:r>
      <w:r w:rsidR="00D96E5A">
        <w:rPr>
          <w:noProof/>
        </w:rPr>
        <w:t xml:space="preserve"> a </w:t>
      </w:r>
      <w:r w:rsidR="00E3481F" w:rsidRPr="006057D0">
        <w:rPr>
          <w:noProof/>
        </w:rPr>
        <w:t>jeho členskými štátmi</w:t>
      </w:r>
      <w:r w:rsidR="00D96E5A">
        <w:rPr>
          <w:noProof/>
        </w:rPr>
        <w:t xml:space="preserve"> a </w:t>
      </w:r>
      <w:r w:rsidR="00E3481F" w:rsidRPr="006057D0">
        <w:rPr>
          <w:noProof/>
        </w:rPr>
        <w:t>na strane druhej</w:t>
      </w:r>
      <w:r w:rsidR="00E3481F" w:rsidRPr="006057D0">
        <w:rPr>
          <w:rStyle w:val="FootnoteReference"/>
          <w:noProof/>
        </w:rPr>
        <w:footnoteReference w:id="6"/>
      </w:r>
      <w:r w:rsidR="00E3481F" w:rsidRPr="006057D0">
        <w:rPr>
          <w:noProof/>
        </w:rPr>
        <w:t>. Dohoda bola podpísaná 26. júna 2004</w:t>
      </w:r>
      <w:r w:rsidR="00D96E5A">
        <w:rPr>
          <w:noProof/>
        </w:rPr>
        <w:t xml:space="preserve"> v </w:t>
      </w:r>
      <w:r w:rsidR="00E3481F" w:rsidRPr="006057D0">
        <w:rPr>
          <w:noProof/>
        </w:rPr>
        <w:t>írskom zámku Dromoland</w:t>
      </w:r>
      <w:r w:rsidR="00D96E5A">
        <w:rPr>
          <w:noProof/>
        </w:rPr>
        <w:t xml:space="preserve"> a </w:t>
      </w:r>
      <w:r w:rsidR="00E3481F" w:rsidRPr="006057D0">
        <w:rPr>
          <w:noProof/>
        </w:rPr>
        <w:t>nadobudla platnosť 12. decembra 2011.</w:t>
      </w:r>
    </w:p>
    <w:p w14:paraId="45E92AA7" w14:textId="28D6BC3D" w:rsidR="008C7DE8" w:rsidRPr="006057D0" w:rsidRDefault="0070606A" w:rsidP="0070606A">
      <w:pPr>
        <w:pStyle w:val="ManualConsidrant"/>
        <w:rPr>
          <w:noProof/>
        </w:rPr>
      </w:pPr>
      <w:r w:rsidRPr="0070606A">
        <w:t>(2)</w:t>
      </w:r>
      <w:r w:rsidRPr="0070606A">
        <w:tab/>
      </w:r>
      <w:r w:rsidR="009A5EBE" w:rsidRPr="006057D0">
        <w:rPr>
          <w:noProof/>
        </w:rPr>
        <w:t>V súlade</w:t>
      </w:r>
      <w:r w:rsidR="00D96E5A">
        <w:rPr>
          <w:noProof/>
        </w:rPr>
        <w:t xml:space="preserve"> s </w:t>
      </w:r>
      <w:r w:rsidR="009A5EBE" w:rsidRPr="006057D0">
        <w:rPr>
          <w:noProof/>
        </w:rPr>
        <w:t>článkom 20 ods. 5 dohody má dohoda ostať</w:t>
      </w:r>
      <w:r w:rsidR="00D96E5A">
        <w:rPr>
          <w:noProof/>
        </w:rPr>
        <w:t xml:space="preserve"> v </w:t>
      </w:r>
      <w:r w:rsidR="009A5EBE" w:rsidRPr="006057D0">
        <w:rPr>
          <w:noProof/>
        </w:rPr>
        <w:t>platnosti desať rokov</w:t>
      </w:r>
      <w:r w:rsidR="00D96E5A">
        <w:rPr>
          <w:noProof/>
        </w:rPr>
        <w:t xml:space="preserve"> a </w:t>
      </w:r>
      <w:r w:rsidR="009A5EBE" w:rsidRPr="006057D0">
        <w:rPr>
          <w:noProof/>
        </w:rPr>
        <w:t>aspoň tri mesiace pred koncom počiatočného desaťročného obdobia sa strany sa navzájom informujú, či majú</w:t>
      </w:r>
      <w:r w:rsidR="00D96E5A">
        <w:rPr>
          <w:noProof/>
        </w:rPr>
        <w:t xml:space="preserve"> v </w:t>
      </w:r>
      <w:r w:rsidR="009A5EBE" w:rsidRPr="006057D0">
        <w:rPr>
          <w:noProof/>
        </w:rPr>
        <w:t xml:space="preserve">úmysle predĺžiť dohodu na obdobie piatich rokov. Platnosť dohody uplynula 12. decembra 2021. </w:t>
      </w:r>
    </w:p>
    <w:p w14:paraId="1D163551" w14:textId="543C5005" w:rsidR="008C7DE8" w:rsidRPr="006057D0" w:rsidRDefault="0070606A" w:rsidP="0070606A">
      <w:pPr>
        <w:pStyle w:val="ManualConsidrant"/>
        <w:rPr>
          <w:noProof/>
        </w:rPr>
      </w:pPr>
      <w:r w:rsidRPr="0070606A">
        <w:t>(3)</w:t>
      </w:r>
      <w:r w:rsidRPr="0070606A">
        <w:tab/>
      </w:r>
      <w:r w:rsidR="009A5EBE" w:rsidRPr="006057D0">
        <w:rPr>
          <w:noProof/>
        </w:rPr>
        <w:t>Obe strany potvrdili svoj zámer predĺžiť platnosť dohody na ďalšie obdobie piatich rokov bez akýchkoľvek zmien dohody. Obsah dohody sa po predĺžení platnosti nemení. Na účely zabezpečenia kontinuity dohody by toto rozhodnutie malo nadobudnúť účinnosť čo najskôr</w:t>
      </w:r>
      <w:r w:rsidR="00D96E5A">
        <w:rPr>
          <w:noProof/>
        </w:rPr>
        <w:t xml:space="preserve"> a </w:t>
      </w:r>
      <w:r w:rsidR="009A5EBE" w:rsidRPr="006057D0">
        <w:rPr>
          <w:noProof/>
        </w:rPr>
        <w:t>malo by sa uplatňovať od 12. decembra 2021.</w:t>
      </w:r>
    </w:p>
    <w:p w14:paraId="7808266F" w14:textId="055CCD4A" w:rsidR="009A5EBE" w:rsidRPr="006057D0" w:rsidRDefault="0070606A" w:rsidP="0070606A">
      <w:pPr>
        <w:pStyle w:val="ManualConsidrant"/>
        <w:rPr>
          <w:noProof/>
        </w:rPr>
      </w:pPr>
      <w:r w:rsidRPr="0070606A">
        <w:t>(4)</w:t>
      </w:r>
      <w:r w:rsidRPr="0070606A">
        <w:tab/>
      </w:r>
      <w:r w:rsidR="009A5EBE" w:rsidRPr="006057D0">
        <w:rPr>
          <w:noProof/>
        </w:rPr>
        <w:t>Predĺženie platnosti dohody by sa preto malo schváliť</w:t>
      </w:r>
      <w:r w:rsidR="00D96E5A">
        <w:rPr>
          <w:noProof/>
        </w:rPr>
        <w:t xml:space="preserve"> v </w:t>
      </w:r>
      <w:r w:rsidR="009A5EBE" w:rsidRPr="006057D0">
        <w:rPr>
          <w:noProof/>
        </w:rPr>
        <w:t>mene Únie,</w:t>
      </w:r>
    </w:p>
    <w:p w14:paraId="6BB77180" w14:textId="77777777" w:rsidR="009A5EBE" w:rsidRPr="006057D0" w:rsidRDefault="009A5EBE" w:rsidP="00EB1283">
      <w:pPr>
        <w:rPr>
          <w:noProof/>
        </w:rPr>
      </w:pPr>
    </w:p>
    <w:p w14:paraId="778A1B08" w14:textId="77777777" w:rsidR="008C7DE8" w:rsidRPr="006057D0" w:rsidRDefault="008C7DE8" w:rsidP="00416AD7">
      <w:pPr>
        <w:pStyle w:val="Formuledadoption"/>
        <w:rPr>
          <w:noProof/>
        </w:rPr>
      </w:pPr>
      <w:r w:rsidRPr="006057D0">
        <w:rPr>
          <w:noProof/>
        </w:rPr>
        <w:t xml:space="preserve">PRIJALA TOTO ROZHODNUTIE: </w:t>
      </w:r>
    </w:p>
    <w:p w14:paraId="083BF287" w14:textId="77777777" w:rsidR="008C7DE8" w:rsidRPr="006057D0" w:rsidRDefault="008C7DE8" w:rsidP="00416AD7">
      <w:pPr>
        <w:pStyle w:val="Titrearticle"/>
        <w:rPr>
          <w:noProof/>
        </w:rPr>
      </w:pPr>
      <w:r w:rsidRPr="006057D0">
        <w:rPr>
          <w:noProof/>
        </w:rPr>
        <w:t>Článok 1</w:t>
      </w:r>
    </w:p>
    <w:p w14:paraId="7ED3D8D1" w14:textId="76F0ABE3" w:rsidR="009A5EBE" w:rsidRPr="006057D0" w:rsidRDefault="009A5EBE" w:rsidP="003F393D">
      <w:pPr>
        <w:rPr>
          <w:noProof/>
        </w:rPr>
      </w:pPr>
      <w:r w:rsidRPr="006057D0">
        <w:rPr>
          <w:noProof/>
        </w:rPr>
        <w:t>Týmto sa</w:t>
      </w:r>
      <w:r w:rsidR="00D96E5A">
        <w:rPr>
          <w:noProof/>
        </w:rPr>
        <w:t xml:space="preserve"> v </w:t>
      </w:r>
      <w:r w:rsidRPr="006057D0">
        <w:rPr>
          <w:noProof/>
        </w:rPr>
        <w:t>mene Únie schvaľuje predĺženie platnosti Dohody</w:t>
      </w:r>
      <w:r w:rsidR="00D96E5A">
        <w:rPr>
          <w:noProof/>
        </w:rPr>
        <w:t xml:space="preserve"> o </w:t>
      </w:r>
      <w:r w:rsidRPr="006057D0">
        <w:rPr>
          <w:noProof/>
        </w:rPr>
        <w:t>podpore, poskytovaní</w:t>
      </w:r>
      <w:r w:rsidR="00D96E5A">
        <w:rPr>
          <w:noProof/>
        </w:rPr>
        <w:t xml:space="preserve"> a </w:t>
      </w:r>
      <w:r w:rsidRPr="006057D0">
        <w:rPr>
          <w:noProof/>
        </w:rPr>
        <w:t>využívaní satelitných navigačných systémov Galileo</w:t>
      </w:r>
      <w:r w:rsidR="00D96E5A">
        <w:rPr>
          <w:noProof/>
        </w:rPr>
        <w:t xml:space="preserve"> a </w:t>
      </w:r>
      <w:r w:rsidRPr="006057D0">
        <w:rPr>
          <w:noProof/>
        </w:rPr>
        <w:t>GPS</w:t>
      </w:r>
      <w:r w:rsidR="00D96E5A">
        <w:rPr>
          <w:noProof/>
        </w:rPr>
        <w:t xml:space="preserve"> a s </w:t>
      </w:r>
      <w:r w:rsidRPr="006057D0">
        <w:rPr>
          <w:noProof/>
        </w:rPr>
        <w:t>nimi súvisiacich aplikácií medzi Spojenými štátmi americkými</w:t>
      </w:r>
      <w:r w:rsidR="00D96E5A">
        <w:rPr>
          <w:noProof/>
        </w:rPr>
        <w:t xml:space="preserve"> a </w:t>
      </w:r>
      <w:r w:rsidRPr="006057D0">
        <w:rPr>
          <w:noProof/>
        </w:rPr>
        <w:t>Európskym spoločenstvom</w:t>
      </w:r>
      <w:r w:rsidR="00D96E5A">
        <w:rPr>
          <w:noProof/>
        </w:rPr>
        <w:t xml:space="preserve"> a </w:t>
      </w:r>
      <w:r w:rsidRPr="006057D0">
        <w:rPr>
          <w:noProof/>
        </w:rPr>
        <w:t>jeho členskými štátmi na ďalšie obdobie piatich rokov.</w:t>
      </w:r>
    </w:p>
    <w:p w14:paraId="2031B779" w14:textId="77777777" w:rsidR="009A5EBE" w:rsidRPr="006057D0" w:rsidRDefault="009A5EBE" w:rsidP="009A5EBE">
      <w:pPr>
        <w:pStyle w:val="Titrearticle"/>
        <w:keepNext w:val="0"/>
        <w:rPr>
          <w:noProof/>
        </w:rPr>
      </w:pPr>
      <w:r w:rsidRPr="006057D0">
        <w:rPr>
          <w:noProof/>
        </w:rPr>
        <w:t>Článok 2</w:t>
      </w:r>
    </w:p>
    <w:p w14:paraId="104E5EC1" w14:textId="233C9257" w:rsidR="009A5EBE" w:rsidRPr="006057D0" w:rsidRDefault="009A5EBE" w:rsidP="009A5EBE">
      <w:pPr>
        <w:rPr>
          <w:noProof/>
        </w:rPr>
      </w:pPr>
      <w:r w:rsidRPr="006057D0">
        <w:rPr>
          <w:noProof/>
        </w:rPr>
        <w:t>Komisia doručí</w:t>
      </w:r>
      <w:r w:rsidR="00D96E5A">
        <w:rPr>
          <w:noProof/>
        </w:rPr>
        <w:t xml:space="preserve"> v </w:t>
      </w:r>
      <w:r w:rsidRPr="006057D0">
        <w:rPr>
          <w:noProof/>
        </w:rPr>
        <w:t>mene Únie Spojeným štátom americkým diplomatickú nótu ustanovenú</w:t>
      </w:r>
      <w:r w:rsidR="00D96E5A">
        <w:rPr>
          <w:noProof/>
        </w:rPr>
        <w:t xml:space="preserve"> v </w:t>
      </w:r>
      <w:r w:rsidRPr="006057D0">
        <w:rPr>
          <w:noProof/>
        </w:rPr>
        <w:t>článku 20 ods. 1 dohody</w:t>
      </w:r>
      <w:r w:rsidR="00D96E5A">
        <w:rPr>
          <w:noProof/>
        </w:rPr>
        <w:t xml:space="preserve"> a </w:t>
      </w:r>
      <w:r w:rsidRPr="006057D0">
        <w:rPr>
          <w:noProof/>
        </w:rPr>
        <w:t>vykoná toto oznámenie: „V dôsledku nadobudnutia platnosti Lisabonskej zmluvy 1. decembra 2009 Európska únia nahradila Európske spoločenstvo</w:t>
      </w:r>
      <w:r w:rsidR="00D96E5A">
        <w:rPr>
          <w:noProof/>
        </w:rPr>
        <w:t xml:space="preserve"> a </w:t>
      </w:r>
      <w:r w:rsidRPr="006057D0">
        <w:rPr>
          <w:noProof/>
        </w:rPr>
        <w:t>stala sa jeho právnym nástupcom</w:t>
      </w:r>
      <w:r w:rsidR="00D96E5A">
        <w:rPr>
          <w:noProof/>
        </w:rPr>
        <w:t xml:space="preserve"> a </w:t>
      </w:r>
      <w:r w:rsidRPr="006057D0">
        <w:rPr>
          <w:noProof/>
        </w:rPr>
        <w:t>od uvedeného dátumu vykonáva všetky práva</w:t>
      </w:r>
      <w:r w:rsidR="00D96E5A">
        <w:rPr>
          <w:noProof/>
        </w:rPr>
        <w:t xml:space="preserve"> a </w:t>
      </w:r>
      <w:r w:rsidRPr="006057D0">
        <w:rPr>
          <w:noProof/>
        </w:rPr>
        <w:t>preberá všetky povinnosti Európskeho spoločenstva. Odkazy na ‚Európske spoločenstvo‘ alebo ‚Spoločenstvo‘</w:t>
      </w:r>
      <w:r w:rsidR="00D96E5A">
        <w:rPr>
          <w:noProof/>
        </w:rPr>
        <w:t xml:space="preserve"> v </w:t>
      </w:r>
      <w:r w:rsidRPr="006057D0">
        <w:rPr>
          <w:noProof/>
        </w:rPr>
        <w:t>texte sa preto tam, kde je to vhodné, považujú za odkazy na ‚Európsku úniu‘.“</w:t>
      </w:r>
    </w:p>
    <w:p w14:paraId="2995C78A" w14:textId="77777777" w:rsidR="009A5EBE" w:rsidRPr="006057D0" w:rsidRDefault="009A5EBE" w:rsidP="009A5EBE">
      <w:pPr>
        <w:pStyle w:val="Titrearticle"/>
        <w:keepNext w:val="0"/>
        <w:rPr>
          <w:noProof/>
        </w:rPr>
      </w:pPr>
      <w:r w:rsidRPr="006057D0">
        <w:rPr>
          <w:noProof/>
        </w:rPr>
        <w:t>Článok 3</w:t>
      </w:r>
    </w:p>
    <w:p w14:paraId="7214C029" w14:textId="77777777" w:rsidR="009A5EBE" w:rsidRPr="006057D0" w:rsidRDefault="009A5EBE" w:rsidP="009A5EBE">
      <w:pPr>
        <w:rPr>
          <w:noProof/>
        </w:rPr>
      </w:pPr>
      <w:r w:rsidRPr="006057D0">
        <w:rPr>
          <w:noProof/>
        </w:rPr>
        <w:t xml:space="preserve">Toto rozhodnutie nadobúda účinnosť dňom jeho prijatia. </w:t>
      </w:r>
    </w:p>
    <w:p w14:paraId="211CEC98" w14:textId="7355B09A" w:rsidR="00996E01" w:rsidRPr="006057D0" w:rsidRDefault="00311449" w:rsidP="009A5EBE">
      <w:pPr>
        <w:rPr>
          <w:noProof/>
        </w:rPr>
      </w:pPr>
      <w:r w:rsidRPr="006057D0">
        <w:rPr>
          <w:noProof/>
        </w:rPr>
        <w:t>Uplatňuje sa od 12. decembra 2021.</w:t>
      </w:r>
    </w:p>
    <w:p w14:paraId="6DAD34E5" w14:textId="468DE21D" w:rsidR="008C7DE8" w:rsidRPr="006057D0" w:rsidRDefault="00DF6280" w:rsidP="000F0FD3">
      <w:pPr>
        <w:pStyle w:val="Fait"/>
        <w:rPr>
          <w:noProof/>
        </w:rPr>
      </w:pPr>
      <w:r w:rsidRPr="00DF6280">
        <w:t>V Bruseli</w:t>
      </w:r>
    </w:p>
    <w:p w14:paraId="28D31F71" w14:textId="77777777" w:rsidR="008C7DE8" w:rsidRPr="006057D0" w:rsidRDefault="008C7DE8" w:rsidP="000F0FD3">
      <w:pPr>
        <w:pStyle w:val="Institutionquisigne"/>
        <w:rPr>
          <w:noProof/>
        </w:rPr>
      </w:pPr>
      <w:r w:rsidRPr="006057D0">
        <w:rPr>
          <w:noProof/>
        </w:rPr>
        <w:tab/>
        <w:t>Za Radu</w:t>
      </w:r>
    </w:p>
    <w:p w14:paraId="4669FB68" w14:textId="77777777" w:rsidR="00F765C2" w:rsidRPr="006057D0" w:rsidRDefault="008C7DE8" w:rsidP="008C7DE8">
      <w:pPr>
        <w:pStyle w:val="Personnequisigne"/>
        <w:rPr>
          <w:noProof/>
        </w:rPr>
      </w:pPr>
      <w:r w:rsidRPr="006057D0">
        <w:rPr>
          <w:noProof/>
        </w:rPr>
        <w:tab/>
        <w:t>predseda</w:t>
      </w:r>
    </w:p>
    <w:p w14:paraId="6ADE97F3" w14:textId="77777777" w:rsidR="0051713B" w:rsidRPr="006057D0" w:rsidRDefault="0051713B" w:rsidP="00F765C2">
      <w:pPr>
        <w:rPr>
          <w:noProof/>
        </w:rPr>
        <w:sectPr w:rsidR="0051713B" w:rsidRPr="006057D0" w:rsidSect="006133F3">
          <w:footnotePr>
            <w:numRestart w:val="eachSect"/>
          </w:footnotePr>
          <w:pgSz w:w="11907" w:h="16839"/>
          <w:pgMar w:top="1134" w:right="1417" w:bottom="1134" w:left="1417" w:header="709" w:footer="709" w:gutter="0"/>
          <w:cols w:space="708"/>
          <w:docGrid w:linePitch="360"/>
        </w:sectPr>
      </w:pPr>
    </w:p>
    <w:p w14:paraId="787836F1" w14:textId="77777777" w:rsidR="00F765C2" w:rsidRPr="006057D0" w:rsidRDefault="00F765C2" w:rsidP="009E3CFF">
      <w:pPr>
        <w:pStyle w:val="Fichefinanciretitre"/>
        <w:rPr>
          <w:noProof/>
        </w:rPr>
      </w:pPr>
      <w:bookmarkStart w:id="20" w:name="_Toc76716019"/>
      <w:r w:rsidRPr="006057D0">
        <w:rPr>
          <w:noProof/>
        </w:rPr>
        <w:t>LEGISLATÍVNY FINANČNÝ VÝKAZ</w:t>
      </w:r>
      <w:bookmarkEnd w:id="20"/>
    </w:p>
    <w:p w14:paraId="36E0AA85" w14:textId="77777777" w:rsidR="0053308A" w:rsidRPr="006057D0" w:rsidRDefault="0053308A" w:rsidP="0053308A">
      <w:pPr>
        <w:rPr>
          <w:noProof/>
        </w:rPr>
      </w:pPr>
    </w:p>
    <w:p w14:paraId="63FA8A9A" w14:textId="7B1A5D30" w:rsidR="0053308A" w:rsidRPr="006057D0" w:rsidRDefault="0053308A" w:rsidP="0053308A">
      <w:pPr>
        <w:rPr>
          <w:noProof/>
        </w:rPr>
      </w:pPr>
      <w:r w:rsidRPr="006057D0">
        <w:rPr>
          <w:noProof/>
        </w:rPr>
        <w:t>Legislatívny finančný výkaz nie je</w:t>
      </w:r>
      <w:r w:rsidR="00D96E5A">
        <w:rPr>
          <w:noProof/>
        </w:rPr>
        <w:t xml:space="preserve"> k </w:t>
      </w:r>
      <w:r w:rsidRPr="006057D0">
        <w:rPr>
          <w:noProof/>
        </w:rPr>
        <w:t>dispozícii, pretože</w:t>
      </w:r>
      <w:r w:rsidR="00D96E5A">
        <w:rPr>
          <w:noProof/>
        </w:rPr>
        <w:t xml:space="preserve"> s </w:t>
      </w:r>
      <w:r w:rsidRPr="006057D0">
        <w:rPr>
          <w:noProof/>
        </w:rPr>
        <w:t>touto dohodou nie sú spojené žiadne náklady</w:t>
      </w:r>
      <w:r w:rsidR="00D96E5A">
        <w:rPr>
          <w:noProof/>
        </w:rPr>
        <w:t xml:space="preserve"> s </w:t>
      </w:r>
      <w:r w:rsidRPr="006057D0">
        <w:rPr>
          <w:noProof/>
        </w:rPr>
        <w:t>výnimkou cestovných nákladov, ktoré sa uhrádzajú</w:t>
      </w:r>
      <w:r w:rsidR="00D96E5A">
        <w:rPr>
          <w:noProof/>
        </w:rPr>
        <w:t xml:space="preserve"> z </w:t>
      </w:r>
      <w:r w:rsidRPr="006057D0">
        <w:rPr>
          <w:noProof/>
        </w:rPr>
        <w:t>globálneho balíka na služobné cesty</w:t>
      </w:r>
      <w:r w:rsidR="00D96E5A">
        <w:rPr>
          <w:noProof/>
        </w:rPr>
        <w:t xml:space="preserve"> a </w:t>
      </w:r>
      <w:r w:rsidRPr="006057D0">
        <w:rPr>
          <w:noProof/>
        </w:rPr>
        <w:t>nie</w:t>
      </w:r>
      <w:r w:rsidR="00D96E5A">
        <w:rPr>
          <w:noProof/>
        </w:rPr>
        <w:t xml:space="preserve"> z </w:t>
      </w:r>
      <w:r w:rsidRPr="006057D0">
        <w:rPr>
          <w:noProof/>
        </w:rPr>
        <w:t>prevádzkového rozpočtového riadka programu Galileo</w:t>
      </w:r>
      <w:r w:rsidR="00D96E5A">
        <w:rPr>
          <w:noProof/>
        </w:rPr>
        <w:t xml:space="preserve"> v </w:t>
      </w:r>
      <w:r w:rsidRPr="006057D0">
        <w:rPr>
          <w:noProof/>
        </w:rPr>
        <w:t>rámci Vesmírneho programu EÚ.</w:t>
      </w:r>
    </w:p>
    <w:sectPr w:rsidR="0053308A" w:rsidRPr="006057D0" w:rsidSect="006133F3">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A7FD4" w14:textId="77777777" w:rsidR="0072478C" w:rsidRDefault="0072478C" w:rsidP="008C7DE8">
      <w:pPr>
        <w:spacing w:before="0" w:after="0"/>
      </w:pPr>
      <w:r>
        <w:separator/>
      </w:r>
    </w:p>
  </w:endnote>
  <w:endnote w:type="continuationSeparator" w:id="0">
    <w:p w14:paraId="6ABEEBCD" w14:textId="77777777" w:rsidR="0072478C" w:rsidRDefault="0072478C" w:rsidP="008C7DE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8DBC8" w14:textId="09ECA68A" w:rsidR="006057D0" w:rsidRPr="006133F3" w:rsidRDefault="006133F3" w:rsidP="006133F3">
    <w:pPr>
      <w:pStyle w:val="Footer"/>
      <w:rPr>
        <w:rFonts w:ascii="Arial" w:hAnsi="Arial" w:cs="Arial"/>
        <w:b/>
        <w:sz w:val="48"/>
      </w:rPr>
    </w:pPr>
    <w:r w:rsidRPr="006133F3">
      <w:rPr>
        <w:rFonts w:ascii="Arial" w:hAnsi="Arial" w:cs="Arial"/>
        <w:b/>
        <w:sz w:val="48"/>
      </w:rPr>
      <w:t>SK</w:t>
    </w:r>
    <w:r w:rsidRPr="006133F3">
      <w:rPr>
        <w:rFonts w:ascii="Arial" w:hAnsi="Arial" w:cs="Arial"/>
        <w:b/>
        <w:sz w:val="48"/>
      </w:rPr>
      <w:tab/>
    </w:r>
    <w:r w:rsidRPr="006133F3">
      <w:rPr>
        <w:rFonts w:ascii="Arial" w:hAnsi="Arial" w:cs="Arial"/>
        <w:b/>
        <w:sz w:val="48"/>
      </w:rPr>
      <w:tab/>
    </w:r>
    <w:r w:rsidRPr="006133F3">
      <w:tab/>
    </w:r>
    <w:r w:rsidRPr="006133F3">
      <w:rPr>
        <w:rFonts w:ascii="Arial" w:hAnsi="Arial" w:cs="Arial"/>
        <w:b/>
        <w:sz w:val="48"/>
      </w:rPr>
      <w:t>SK</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36C31" w14:textId="59DB6AB3" w:rsidR="006133F3" w:rsidRPr="006133F3" w:rsidRDefault="006133F3" w:rsidP="006133F3">
    <w:pPr>
      <w:pStyle w:val="Footer"/>
      <w:rPr>
        <w:rFonts w:ascii="Arial" w:hAnsi="Arial" w:cs="Arial"/>
        <w:b/>
        <w:sz w:val="48"/>
      </w:rPr>
    </w:pPr>
    <w:r w:rsidRPr="006133F3">
      <w:rPr>
        <w:rFonts w:ascii="Arial" w:hAnsi="Arial" w:cs="Arial"/>
        <w:b/>
        <w:sz w:val="48"/>
      </w:rPr>
      <w:t>SK</w:t>
    </w:r>
    <w:r w:rsidRPr="006133F3">
      <w:rPr>
        <w:rFonts w:ascii="Arial" w:hAnsi="Arial" w:cs="Arial"/>
        <w:b/>
        <w:sz w:val="48"/>
      </w:rPr>
      <w:tab/>
    </w:r>
    <w:r>
      <w:fldChar w:fldCharType="begin"/>
    </w:r>
    <w:r>
      <w:instrText xml:space="preserve"> PAGE  \* MERGEFORMAT </w:instrText>
    </w:r>
    <w:r>
      <w:fldChar w:fldCharType="separate"/>
    </w:r>
    <w:r w:rsidR="000F0FD3">
      <w:rPr>
        <w:noProof/>
      </w:rPr>
      <w:t>7</w:t>
    </w:r>
    <w:r>
      <w:fldChar w:fldCharType="end"/>
    </w:r>
    <w:r>
      <w:tab/>
    </w:r>
    <w:r w:rsidRPr="006133F3">
      <w:tab/>
    </w:r>
    <w:r w:rsidRPr="006133F3">
      <w:rPr>
        <w:rFonts w:ascii="Arial" w:hAnsi="Arial" w:cs="Arial"/>
        <w:b/>
        <w:sz w:val="48"/>
      </w:rPr>
      <w:t>SK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7F8A" w14:textId="77777777" w:rsidR="006133F3" w:rsidRPr="006133F3" w:rsidRDefault="006133F3" w:rsidP="00613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DEFD4" w14:textId="77777777" w:rsidR="0072478C" w:rsidRDefault="0072478C" w:rsidP="008C7DE8">
      <w:pPr>
        <w:spacing w:before="0" w:after="0"/>
      </w:pPr>
      <w:r>
        <w:separator/>
      </w:r>
    </w:p>
  </w:footnote>
  <w:footnote w:type="continuationSeparator" w:id="0">
    <w:p w14:paraId="27C66160" w14:textId="77777777" w:rsidR="0072478C" w:rsidRDefault="0072478C" w:rsidP="008C7DE8">
      <w:pPr>
        <w:spacing w:before="0" w:after="0"/>
      </w:pPr>
      <w:r>
        <w:continuationSeparator/>
      </w:r>
    </w:p>
  </w:footnote>
  <w:footnote w:id="1">
    <w:p w14:paraId="4EC86693" w14:textId="77777777" w:rsidR="001F18D8" w:rsidRPr="001F18D8" w:rsidRDefault="001F18D8">
      <w:pPr>
        <w:pStyle w:val="FootnoteText"/>
      </w:pPr>
      <w:r>
        <w:rPr>
          <w:rStyle w:val="FootnoteReference"/>
        </w:rPr>
        <w:footnoteRef/>
      </w:r>
      <w:r>
        <w:tab/>
        <w:t>Ú. v. EÚ L 348, 31.12.2011, s. 3.</w:t>
      </w:r>
    </w:p>
  </w:footnote>
  <w:footnote w:id="2">
    <w:p w14:paraId="01AF3580" w14:textId="7E45BF4F" w:rsidR="00BB08B7" w:rsidRPr="00BB08B7" w:rsidRDefault="00BB08B7">
      <w:pPr>
        <w:pStyle w:val="FootnoteText"/>
      </w:pPr>
      <w:r>
        <w:rPr>
          <w:rStyle w:val="FootnoteReference"/>
        </w:rPr>
        <w:footnoteRef/>
      </w:r>
      <w:r>
        <w:tab/>
        <w:t>Oznámenie Komisie Európskemu parlamentu, Rade, Európskemu hospodárskemu a sociálnemu výboru a Výboru regiónov – Stratégia pre Európu v oblasti kozmického priestoru, COM(2016) 705 final z 26. októbra 2016.</w:t>
      </w:r>
    </w:p>
  </w:footnote>
  <w:footnote w:id="3">
    <w:p w14:paraId="78D43FDA" w14:textId="06427ECE" w:rsidR="00BB08B7" w:rsidRPr="00BB08B7" w:rsidRDefault="00BB08B7">
      <w:pPr>
        <w:pStyle w:val="FootnoteText"/>
      </w:pPr>
      <w:r>
        <w:rPr>
          <w:rStyle w:val="FootnoteReference"/>
        </w:rPr>
        <w:footnoteRef/>
      </w:r>
      <w:r>
        <w:tab/>
        <w:t>Napríklad vec C-263/14, Európsky parlament/Rada (dohoda s Tanzániou o pirátoch), ECLI:EU:C:2016:435, body 43 – 44.</w:t>
      </w:r>
    </w:p>
  </w:footnote>
  <w:footnote w:id="4">
    <w:p w14:paraId="35F2F41D" w14:textId="64AC7299" w:rsidR="00311449" w:rsidRPr="00972139" w:rsidRDefault="00311449">
      <w:pPr>
        <w:pStyle w:val="FootnoteText"/>
      </w:pPr>
      <w:r>
        <w:rPr>
          <w:rStyle w:val="FootnoteReference"/>
        </w:rPr>
        <w:footnoteRef/>
      </w:r>
      <w:r>
        <w:tab/>
        <w:t>Ú. v. EÚ C , , s. .</w:t>
      </w:r>
    </w:p>
  </w:footnote>
  <w:footnote w:id="5">
    <w:p w14:paraId="3C66DDA8" w14:textId="46B55516" w:rsidR="00311449" w:rsidRPr="004448A4" w:rsidRDefault="00311449">
      <w:pPr>
        <w:pStyle w:val="FootnoteText"/>
      </w:pPr>
      <w:r>
        <w:rPr>
          <w:rStyle w:val="FootnoteReference"/>
        </w:rPr>
        <w:footnoteRef/>
      </w:r>
      <w:r>
        <w:tab/>
        <w:t>Rozhodnutie Rady 2011/901/EÚ z 12. decembra 2011 o uzavretí Dohody o podpore, poskytovaní a využívaní satelitných navigačných systémov Galileo a GPS a s nimi súvisiacich aplikácií medzi Európskym spoločenstvom a jeho členskými štátmi na jednej strane a Spojenými štátmi americkými na strane druhej (Ú. v. EÚ L 348, 31.12.2011, s. 1).</w:t>
      </w:r>
    </w:p>
  </w:footnote>
  <w:footnote w:id="6">
    <w:p w14:paraId="6F5D3F4C" w14:textId="13877B07" w:rsidR="00C346F5" w:rsidRPr="00C346F5" w:rsidRDefault="00C346F5">
      <w:pPr>
        <w:pStyle w:val="FootnoteText"/>
      </w:pPr>
      <w:r>
        <w:rPr>
          <w:rStyle w:val="FootnoteReference"/>
        </w:rPr>
        <w:footnoteRef/>
      </w:r>
      <w:r>
        <w:tab/>
        <w:t>Dohoda o podpore, poskytovaní a využívaní satelitných navigačných systémov Galileo a GPS a s nimi súvisiacich aplikácií medzi Európskym spoločenstvom a jeho členskými štátmi na jednej strane a Spojenými štátmi americkými na strane druhej (Ú. v. EÚ L 348, 31.12.2011, s.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CD30267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8A36A77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3E62857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794095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AD6742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98601DE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EA848BD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E3D040C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19" w15:restartNumberingAfterBreak="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6"/>
    <w:lvlOverride w:ilvl="0">
      <w:startOverride w:val="1"/>
    </w:lvlOverride>
  </w:num>
  <w:num w:numId="6">
    <w:abstractNumId w:val="6"/>
  </w:num>
  <w:num w:numId="7">
    <w:abstractNumId w:val="2"/>
  </w:num>
  <w:num w:numId="8">
    <w:abstractNumId w:val="1"/>
  </w:num>
  <w:num w:numId="9">
    <w:abstractNumId w:val="0"/>
  </w:num>
  <w:num w:numId="10">
    <w:abstractNumId w:val="8"/>
  </w:num>
  <w:num w:numId="11">
    <w:abstractNumId w:val="13"/>
  </w:num>
  <w:num w:numId="12">
    <w:abstractNumId w:val="19"/>
  </w:num>
  <w:num w:numId="13">
    <w:abstractNumId w:val="18"/>
  </w:num>
  <w:num w:numId="14">
    <w:abstractNumId w:val="23"/>
  </w:num>
  <w:num w:numId="15">
    <w:abstractNumId w:val="14"/>
  </w:num>
  <w:num w:numId="16">
    <w:abstractNumId w:val="25"/>
  </w:num>
  <w:num w:numId="17">
    <w:abstractNumId w:val="12"/>
  </w:num>
  <w:num w:numId="18">
    <w:abstractNumId w:val="15"/>
  </w:num>
  <w:num w:numId="19">
    <w:abstractNumId w:val="10"/>
  </w:num>
  <w:num w:numId="20">
    <w:abstractNumId w:val="24"/>
  </w:num>
  <w:num w:numId="21">
    <w:abstractNumId w:val="9"/>
  </w:num>
  <w:num w:numId="22">
    <w:abstractNumId w:val="17"/>
  </w:num>
  <w:num w:numId="23">
    <w:abstractNumId w:val="21"/>
  </w:num>
  <w:num w:numId="24">
    <w:abstractNumId w:val="22"/>
  </w:num>
  <w:num w:numId="25">
    <w:abstractNumId w:val="11"/>
  </w:num>
  <w:num w:numId="26">
    <w:abstractNumId w:val="20"/>
  </w:num>
  <w:num w:numId="27">
    <w:abstractNumId w:val="26"/>
  </w:num>
  <w:num w:numId="28">
    <w:abstractNumId w:val="24"/>
  </w:num>
  <w:num w:numId="29">
    <w:abstractNumId w:val="24"/>
  </w:num>
  <w:num w:numId="30">
    <w:abstractNumId w:val="24"/>
  </w:num>
  <w:num w:numId="31">
    <w:abstractNumId w:val="16"/>
  </w:num>
  <w:num w:numId="32">
    <w:abstractNumId w:val="10"/>
  </w:num>
  <w:num w:numId="33">
    <w:abstractNumId w:val="10"/>
  </w:num>
  <w:num w:numId="34">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1-09 19:57:10"/>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4C679757-EF66-4685-9522-68E440861B74"/>
    <w:docVar w:name="LW_COVERPAGE_TYPE" w:val="1"/>
    <w:docVar w:name="LW_CROSSREFERENCE" w:val="&lt;UNUSED&gt;"/>
    <w:docVar w:name="LW_DocType" w:val="COM"/>
    <w:docVar w:name="LW_EMISSION" w:val="14. 1. 2022"/>
    <w:docVar w:name="LW_EMISSION_ISODATE" w:val="2022-01-14"/>
    <w:docVar w:name="LW_EMISSION_LOCATION" w:val="BRX"/>
    <w:docVar w:name="LW_EMISSION_PREFIX" w:val="V Bruseli"/>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SK"/>
    <w:docVar w:name="LW_LEVEL_OF_SENSITIVITY" w:val="Standard treatment"/>
    <w:docVar w:name="LW_NOM.INST" w:val="EURÓPSKA KOMISIA"/>
    <w:docVar w:name="LW_NOM.INST_JOINTDOC" w:val="&lt;EMPTY&gt;"/>
    <w:docVar w:name="LW_PART_NBR" w:val="1"/>
    <w:docVar w:name="LW_PART_NBR_TOTAL" w:val="1"/>
    <w:docVar w:name="LW_REF.II.NEW.CP" w:val="NLE"/>
    <w:docVar w:name="LW_REF.II.NEW.CP_NUMBER" w:val="0005"/>
    <w:docVar w:name="LW_REF.II.NEW.CP_YEAR" w:val="2022"/>
    <w:docVar w:name="LW_REF.INST.NEW" w:val="COM"/>
    <w:docVar w:name="LW_REF.INST.NEW_ADOPTED" w:val="final"/>
    <w:docVar w:name="LW_REF.INST.NEW_TEXT" w:val="(2022) 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Návrh"/>
    <w:docVar w:name="LW_SUPERTITRE" w:val="&lt;UNUSED&gt;"/>
    <w:docVar w:name="LW_TITRE.OBJ.CP" w:val="o predĺžení platnosti Dohody o podpore, poskytovaní a využívaní satelitných navigačných systémov Galileo a GPS a s nimi súvisiacich aplikácií medzi Európskym spoločenstvom a jeho členskými štátmi a Spojenými štátmi americkými"/>
    <w:docVar w:name="LW_TYPE.DOC.CP" w:val="ROZHODNUTIE RADY"/>
    <w:docVar w:name="LwApiVersions" w:val="LW4CoDe 1.23.2.0; LW 8.0, Build 20211117"/>
  </w:docVars>
  <w:rsids>
    <w:rsidRoot w:val="008C7DE8"/>
    <w:rsid w:val="00007058"/>
    <w:rsid w:val="00013EB2"/>
    <w:rsid w:val="00016A25"/>
    <w:rsid w:val="000254E5"/>
    <w:rsid w:val="00030956"/>
    <w:rsid w:val="00040A1A"/>
    <w:rsid w:val="00052D78"/>
    <w:rsid w:val="000640CB"/>
    <w:rsid w:val="000653F2"/>
    <w:rsid w:val="00073530"/>
    <w:rsid w:val="00092531"/>
    <w:rsid w:val="000A7517"/>
    <w:rsid w:val="000C210C"/>
    <w:rsid w:val="000D0CB0"/>
    <w:rsid w:val="000D0CE8"/>
    <w:rsid w:val="000D27DC"/>
    <w:rsid w:val="000D3785"/>
    <w:rsid w:val="000E198E"/>
    <w:rsid w:val="000F0FD3"/>
    <w:rsid w:val="000F3895"/>
    <w:rsid w:val="00121CA6"/>
    <w:rsid w:val="001303FE"/>
    <w:rsid w:val="0013396F"/>
    <w:rsid w:val="001630A6"/>
    <w:rsid w:val="0019145B"/>
    <w:rsid w:val="001A03E9"/>
    <w:rsid w:val="001B2C4C"/>
    <w:rsid w:val="001B4144"/>
    <w:rsid w:val="001C1244"/>
    <w:rsid w:val="001C2816"/>
    <w:rsid w:val="001E19CD"/>
    <w:rsid w:val="001F18D8"/>
    <w:rsid w:val="0022356A"/>
    <w:rsid w:val="002253BD"/>
    <w:rsid w:val="00232E98"/>
    <w:rsid w:val="00234E61"/>
    <w:rsid w:val="00261089"/>
    <w:rsid w:val="002663CF"/>
    <w:rsid w:val="00267ACC"/>
    <w:rsid w:val="002709DA"/>
    <w:rsid w:val="00285001"/>
    <w:rsid w:val="00293038"/>
    <w:rsid w:val="002A4D14"/>
    <w:rsid w:val="002B2F87"/>
    <w:rsid w:val="002E64B8"/>
    <w:rsid w:val="002F18AE"/>
    <w:rsid w:val="002F1C2D"/>
    <w:rsid w:val="002F62B9"/>
    <w:rsid w:val="00311449"/>
    <w:rsid w:val="00327838"/>
    <w:rsid w:val="00330609"/>
    <w:rsid w:val="00330A13"/>
    <w:rsid w:val="003365D4"/>
    <w:rsid w:val="00344B19"/>
    <w:rsid w:val="003D711F"/>
    <w:rsid w:val="003E7AE7"/>
    <w:rsid w:val="003F1571"/>
    <w:rsid w:val="003F393D"/>
    <w:rsid w:val="00400E42"/>
    <w:rsid w:val="004114E4"/>
    <w:rsid w:val="00414A1A"/>
    <w:rsid w:val="00416AD7"/>
    <w:rsid w:val="00423F96"/>
    <w:rsid w:val="0042652A"/>
    <w:rsid w:val="004415B0"/>
    <w:rsid w:val="004448A4"/>
    <w:rsid w:val="00455BEC"/>
    <w:rsid w:val="004A518A"/>
    <w:rsid w:val="004C7285"/>
    <w:rsid w:val="005002CD"/>
    <w:rsid w:val="00515030"/>
    <w:rsid w:val="00515F42"/>
    <w:rsid w:val="0051713B"/>
    <w:rsid w:val="00527B3E"/>
    <w:rsid w:val="0053308A"/>
    <w:rsid w:val="00545B44"/>
    <w:rsid w:val="0056665D"/>
    <w:rsid w:val="00567E0A"/>
    <w:rsid w:val="00572EE8"/>
    <w:rsid w:val="005C0613"/>
    <w:rsid w:val="005D75F1"/>
    <w:rsid w:val="005E45B3"/>
    <w:rsid w:val="005E73AE"/>
    <w:rsid w:val="005F4BE4"/>
    <w:rsid w:val="00601D82"/>
    <w:rsid w:val="006057D0"/>
    <w:rsid w:val="006133F3"/>
    <w:rsid w:val="006139F5"/>
    <w:rsid w:val="006174CE"/>
    <w:rsid w:val="00635423"/>
    <w:rsid w:val="00665D89"/>
    <w:rsid w:val="006A2DA8"/>
    <w:rsid w:val="006C16B7"/>
    <w:rsid w:val="006C26B3"/>
    <w:rsid w:val="006F37A5"/>
    <w:rsid w:val="0070128F"/>
    <w:rsid w:val="0070606A"/>
    <w:rsid w:val="0072478C"/>
    <w:rsid w:val="00794D24"/>
    <w:rsid w:val="007B5057"/>
    <w:rsid w:val="007C06F6"/>
    <w:rsid w:val="007E3880"/>
    <w:rsid w:val="00807A6A"/>
    <w:rsid w:val="00826C89"/>
    <w:rsid w:val="00844FCD"/>
    <w:rsid w:val="00845431"/>
    <w:rsid w:val="00850004"/>
    <w:rsid w:val="008725FD"/>
    <w:rsid w:val="008735CD"/>
    <w:rsid w:val="00877ED7"/>
    <w:rsid w:val="00883CFA"/>
    <w:rsid w:val="008A29DA"/>
    <w:rsid w:val="008C316A"/>
    <w:rsid w:val="008C7DE8"/>
    <w:rsid w:val="00910D9A"/>
    <w:rsid w:val="0093173C"/>
    <w:rsid w:val="00972139"/>
    <w:rsid w:val="00986B33"/>
    <w:rsid w:val="00987AD5"/>
    <w:rsid w:val="00996E01"/>
    <w:rsid w:val="009A5EBE"/>
    <w:rsid w:val="009B7138"/>
    <w:rsid w:val="009D248A"/>
    <w:rsid w:val="009E3CFF"/>
    <w:rsid w:val="009E538E"/>
    <w:rsid w:val="009E57EA"/>
    <w:rsid w:val="009F207B"/>
    <w:rsid w:val="009F778F"/>
    <w:rsid w:val="00A01787"/>
    <w:rsid w:val="00A11A4D"/>
    <w:rsid w:val="00A21D0B"/>
    <w:rsid w:val="00A4464D"/>
    <w:rsid w:val="00A45B98"/>
    <w:rsid w:val="00A63E6C"/>
    <w:rsid w:val="00A66554"/>
    <w:rsid w:val="00A92D5B"/>
    <w:rsid w:val="00AB6BC8"/>
    <w:rsid w:val="00AC5BA9"/>
    <w:rsid w:val="00AE0FF9"/>
    <w:rsid w:val="00AE4161"/>
    <w:rsid w:val="00AE5AB0"/>
    <w:rsid w:val="00AF07D4"/>
    <w:rsid w:val="00AF14BE"/>
    <w:rsid w:val="00B06480"/>
    <w:rsid w:val="00B555F3"/>
    <w:rsid w:val="00B66672"/>
    <w:rsid w:val="00B75B22"/>
    <w:rsid w:val="00BA09FE"/>
    <w:rsid w:val="00BB08B7"/>
    <w:rsid w:val="00BE246D"/>
    <w:rsid w:val="00BF17AA"/>
    <w:rsid w:val="00BF1DC0"/>
    <w:rsid w:val="00C003AE"/>
    <w:rsid w:val="00C23E0B"/>
    <w:rsid w:val="00C24556"/>
    <w:rsid w:val="00C24C69"/>
    <w:rsid w:val="00C31137"/>
    <w:rsid w:val="00C346F5"/>
    <w:rsid w:val="00C622E6"/>
    <w:rsid w:val="00C63593"/>
    <w:rsid w:val="00C73B27"/>
    <w:rsid w:val="00CE11B0"/>
    <w:rsid w:val="00CF1057"/>
    <w:rsid w:val="00D131FB"/>
    <w:rsid w:val="00D27B94"/>
    <w:rsid w:val="00D4123F"/>
    <w:rsid w:val="00D50EDE"/>
    <w:rsid w:val="00D655CE"/>
    <w:rsid w:val="00D96E5A"/>
    <w:rsid w:val="00DA2870"/>
    <w:rsid w:val="00DC1762"/>
    <w:rsid w:val="00DC51FD"/>
    <w:rsid w:val="00DF0073"/>
    <w:rsid w:val="00DF6280"/>
    <w:rsid w:val="00E12F17"/>
    <w:rsid w:val="00E16D3A"/>
    <w:rsid w:val="00E25129"/>
    <w:rsid w:val="00E3481F"/>
    <w:rsid w:val="00E360E7"/>
    <w:rsid w:val="00E41B9F"/>
    <w:rsid w:val="00E44842"/>
    <w:rsid w:val="00E70FFE"/>
    <w:rsid w:val="00E76B69"/>
    <w:rsid w:val="00E9749D"/>
    <w:rsid w:val="00EB1283"/>
    <w:rsid w:val="00ED4FC6"/>
    <w:rsid w:val="00ED68FC"/>
    <w:rsid w:val="00F20062"/>
    <w:rsid w:val="00F43B27"/>
    <w:rsid w:val="00F46D91"/>
    <w:rsid w:val="00F57058"/>
    <w:rsid w:val="00F64D30"/>
    <w:rsid w:val="00F70745"/>
    <w:rsid w:val="00F765C2"/>
    <w:rsid w:val="00FB0940"/>
    <w:rsid w:val="00FC29BD"/>
    <w:rsid w:val="00FD1A7B"/>
    <w:rsid w:val="00FE5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16A0CDD"/>
  <w15:docId w15:val="{99EB8B9A-0C54-4B8E-8F99-A96CDC59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k-SK"/>
    </w:rPr>
  </w:style>
  <w:style w:type="paragraph" w:styleId="Heading1">
    <w:name w:val="heading 1"/>
    <w:basedOn w:val="Normal"/>
    <w:next w:val="Text1"/>
    <w:link w:val="Heading1Char"/>
    <w:uiPriority w:val="9"/>
    <w:qFormat/>
    <w:rsid w:val="009B7138"/>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30"/>
      </w:numPr>
      <w:outlineLvl w:val="3"/>
    </w:pPr>
    <w:rPr>
      <w:rFonts w:eastAsiaTheme="majorEastAsia"/>
      <w:bCs/>
      <w:iCs/>
    </w:rPr>
  </w:style>
  <w:style w:type="paragraph" w:styleId="Heading5">
    <w:name w:val="heading 5"/>
    <w:basedOn w:val="Normal"/>
    <w:next w:val="Text2"/>
    <w:link w:val="Heading5Char"/>
    <w:uiPriority w:val="9"/>
    <w:semiHidden/>
    <w:unhideWhenUsed/>
    <w:qFormat/>
    <w:rsid w:val="00BA09FE"/>
    <w:pPr>
      <w:keepNext/>
      <w:numPr>
        <w:ilvl w:val="4"/>
        <w:numId w:val="30"/>
      </w:numPr>
      <w:outlineLvl w:val="4"/>
    </w:pPr>
    <w:rPr>
      <w:rFonts w:eastAsiaTheme="majorEastAsia"/>
    </w:rPr>
  </w:style>
  <w:style w:type="paragraph" w:styleId="Heading6">
    <w:name w:val="heading 6"/>
    <w:basedOn w:val="Normal"/>
    <w:next w:val="Text2"/>
    <w:link w:val="Heading6Char"/>
    <w:uiPriority w:val="9"/>
    <w:semiHidden/>
    <w:unhideWhenUsed/>
    <w:qFormat/>
    <w:rsid w:val="00BA09FE"/>
    <w:pPr>
      <w:keepNext/>
      <w:numPr>
        <w:ilvl w:val="5"/>
        <w:numId w:val="30"/>
      </w:numPr>
      <w:outlineLvl w:val="5"/>
    </w:pPr>
    <w:rPr>
      <w:rFonts w:eastAsiaTheme="majorEastAsia"/>
      <w:iCs/>
    </w:rPr>
  </w:style>
  <w:style w:type="paragraph" w:styleId="Heading7">
    <w:name w:val="heading 7"/>
    <w:basedOn w:val="Normal"/>
    <w:next w:val="Text2"/>
    <w:link w:val="Heading7Char"/>
    <w:uiPriority w:val="9"/>
    <w:semiHidden/>
    <w:unhideWhenUsed/>
    <w:qFormat/>
    <w:rsid w:val="00BA09FE"/>
    <w:pPr>
      <w:keepNext/>
      <w:numPr>
        <w:ilvl w:val="6"/>
        <w:numId w:val="30"/>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AB6BC8"/>
    <w:pPr>
      <w:numPr>
        <w:numId w:val="1"/>
      </w:numPr>
      <w:contextualSpacing/>
    </w:pPr>
  </w:style>
  <w:style w:type="paragraph" w:styleId="ListBullet2">
    <w:name w:val="List Bullet 2"/>
    <w:basedOn w:val="Normal"/>
    <w:unhideWhenUsed/>
    <w:rsid w:val="00AB6BC8"/>
    <w:pPr>
      <w:numPr>
        <w:numId w:val="2"/>
      </w:numPr>
      <w:contextualSpacing/>
    </w:pPr>
  </w:style>
  <w:style w:type="paragraph" w:styleId="ListBullet3">
    <w:name w:val="List Bullet 3"/>
    <w:basedOn w:val="Normal"/>
    <w:unhideWhenUsed/>
    <w:rsid w:val="00AB6BC8"/>
    <w:pPr>
      <w:numPr>
        <w:numId w:val="3"/>
      </w:numPr>
      <w:contextualSpacing/>
    </w:pPr>
  </w:style>
  <w:style w:type="paragraph" w:styleId="ListBullet4">
    <w:name w:val="List Bullet 4"/>
    <w:basedOn w:val="Normal"/>
    <w:unhideWhenUsed/>
    <w:rsid w:val="00AB6BC8"/>
    <w:pPr>
      <w:numPr>
        <w:numId w:val="4"/>
      </w:numPr>
      <w:contextualSpacing/>
    </w:pPr>
  </w:style>
  <w:style w:type="paragraph" w:styleId="BalloonText">
    <w:name w:val="Balloon Text"/>
    <w:basedOn w:val="Normal"/>
    <w:link w:val="BalloonTextChar"/>
    <w:unhideWhenUsed/>
    <w:rsid w:val="00AB6BC8"/>
    <w:pPr>
      <w:spacing w:before="0" w:after="0"/>
    </w:pPr>
    <w:rPr>
      <w:rFonts w:ascii="Segoe UI" w:hAnsi="Segoe UI" w:cs="Segoe UI"/>
      <w:sz w:val="18"/>
      <w:szCs w:val="18"/>
    </w:rPr>
  </w:style>
  <w:style w:type="character" w:customStyle="1" w:styleId="BalloonTextChar">
    <w:name w:val="Balloon Text Char"/>
    <w:basedOn w:val="DefaultParagraphFont"/>
    <w:link w:val="BalloonText"/>
    <w:rsid w:val="00AB6BC8"/>
    <w:rPr>
      <w:rFonts w:ascii="Segoe UI" w:hAnsi="Segoe UI" w:cs="Segoe UI"/>
      <w:sz w:val="18"/>
      <w:szCs w:val="18"/>
      <w:lang w:val="sk-SK"/>
    </w:rPr>
  </w:style>
  <w:style w:type="paragraph" w:styleId="Caption">
    <w:name w:val="caption"/>
    <w:basedOn w:val="Normal"/>
    <w:next w:val="Normal"/>
    <w:unhideWhenUsed/>
    <w:qFormat/>
    <w:rsid w:val="004415B0"/>
    <w:pPr>
      <w:spacing w:before="0" w:after="200"/>
    </w:pPr>
    <w:rPr>
      <w:i/>
      <w:iCs/>
      <w:color w:val="1F497D" w:themeColor="text2"/>
      <w:sz w:val="18"/>
      <w:szCs w:val="18"/>
    </w:rPr>
  </w:style>
  <w:style w:type="paragraph" w:styleId="TableofFigures">
    <w:name w:val="table of figures"/>
    <w:basedOn w:val="Normal"/>
    <w:next w:val="Normal"/>
    <w:unhideWhenUsed/>
    <w:rsid w:val="004415B0"/>
    <w:pPr>
      <w:spacing w:after="0"/>
    </w:pPr>
  </w:style>
  <w:style w:type="paragraph" w:styleId="ListNumber">
    <w:name w:val="List Number"/>
    <w:basedOn w:val="Normal"/>
    <w:unhideWhenUsed/>
    <w:rsid w:val="004415B0"/>
    <w:pPr>
      <w:numPr>
        <w:numId w:val="6"/>
      </w:numPr>
      <w:contextualSpacing/>
    </w:pPr>
  </w:style>
  <w:style w:type="paragraph" w:styleId="ListNumber2">
    <w:name w:val="List Number 2"/>
    <w:basedOn w:val="Normal"/>
    <w:unhideWhenUsed/>
    <w:rsid w:val="004415B0"/>
    <w:pPr>
      <w:numPr>
        <w:numId w:val="7"/>
      </w:numPr>
      <w:contextualSpacing/>
    </w:pPr>
  </w:style>
  <w:style w:type="paragraph" w:styleId="ListNumber3">
    <w:name w:val="List Number 3"/>
    <w:basedOn w:val="Normal"/>
    <w:unhideWhenUsed/>
    <w:rsid w:val="004415B0"/>
    <w:pPr>
      <w:numPr>
        <w:numId w:val="8"/>
      </w:numPr>
      <w:contextualSpacing/>
    </w:pPr>
  </w:style>
  <w:style w:type="paragraph" w:styleId="ListNumber4">
    <w:name w:val="List Number 4"/>
    <w:basedOn w:val="Normal"/>
    <w:unhideWhenUsed/>
    <w:rsid w:val="004415B0"/>
    <w:pPr>
      <w:numPr>
        <w:numId w:val="9"/>
      </w:numPr>
      <w:contextualSpacing/>
    </w:pPr>
  </w:style>
  <w:style w:type="character" w:styleId="CommentReference">
    <w:name w:val="annotation reference"/>
    <w:basedOn w:val="DefaultParagraphFont"/>
    <w:unhideWhenUsed/>
    <w:rsid w:val="006C16B7"/>
    <w:rPr>
      <w:sz w:val="16"/>
      <w:szCs w:val="16"/>
    </w:rPr>
  </w:style>
  <w:style w:type="paragraph" w:styleId="CommentText">
    <w:name w:val="annotation text"/>
    <w:basedOn w:val="Normal"/>
    <w:link w:val="CommentTextChar"/>
    <w:unhideWhenUsed/>
    <w:rsid w:val="006C16B7"/>
    <w:rPr>
      <w:sz w:val="20"/>
      <w:szCs w:val="20"/>
    </w:rPr>
  </w:style>
  <w:style w:type="character" w:customStyle="1" w:styleId="CommentTextChar">
    <w:name w:val="Comment Text Char"/>
    <w:basedOn w:val="DefaultParagraphFont"/>
    <w:link w:val="CommentText"/>
    <w:rsid w:val="006C16B7"/>
    <w:rPr>
      <w:rFonts w:ascii="Times New Roman" w:hAnsi="Times New Roman" w:cs="Times New Roman"/>
      <w:sz w:val="20"/>
      <w:szCs w:val="20"/>
      <w:lang w:val="sk-SK"/>
    </w:rPr>
  </w:style>
  <w:style w:type="paragraph" w:styleId="CommentSubject">
    <w:name w:val="annotation subject"/>
    <w:basedOn w:val="CommentText"/>
    <w:next w:val="CommentText"/>
    <w:link w:val="CommentSubjectChar"/>
    <w:unhideWhenUsed/>
    <w:rsid w:val="006C16B7"/>
    <w:rPr>
      <w:b/>
      <w:bCs/>
    </w:rPr>
  </w:style>
  <w:style w:type="character" w:customStyle="1" w:styleId="CommentSubjectChar">
    <w:name w:val="Comment Subject Char"/>
    <w:basedOn w:val="CommentTextChar"/>
    <w:link w:val="CommentSubject"/>
    <w:rsid w:val="006C16B7"/>
    <w:rPr>
      <w:rFonts w:ascii="Times New Roman" w:hAnsi="Times New Roman" w:cs="Times New Roman"/>
      <w:b/>
      <w:bCs/>
      <w:sz w:val="20"/>
      <w:szCs w:val="20"/>
      <w:lang w:val="sk-SK"/>
    </w:rPr>
  </w:style>
  <w:style w:type="character" w:styleId="Hyperlink">
    <w:name w:val="Hyperlink"/>
    <w:basedOn w:val="DefaultParagraphFont"/>
    <w:uiPriority w:val="99"/>
    <w:unhideWhenUsed/>
    <w:rsid w:val="006C16B7"/>
    <w:rPr>
      <w:color w:val="0000FF" w:themeColor="hyperlink"/>
      <w:u w:val="single"/>
    </w:rPr>
  </w:style>
  <w:style w:type="paragraph" w:customStyle="1" w:styleId="ListBullet1">
    <w:name w:val="List Bullet 1"/>
    <w:basedOn w:val="Normal"/>
    <w:rsid w:val="00F765C2"/>
    <w:pPr>
      <w:numPr>
        <w:numId w:val="10"/>
      </w:numPr>
    </w:pPr>
    <w:rPr>
      <w:lang w:eastAsia="en-GB"/>
    </w:rPr>
  </w:style>
  <w:style w:type="paragraph" w:customStyle="1" w:styleId="ListDash">
    <w:name w:val="List Dash"/>
    <w:basedOn w:val="Normal"/>
    <w:rsid w:val="00F765C2"/>
    <w:pPr>
      <w:numPr>
        <w:numId w:val="11"/>
      </w:numPr>
    </w:pPr>
    <w:rPr>
      <w:lang w:eastAsia="en-GB"/>
    </w:rPr>
  </w:style>
  <w:style w:type="paragraph" w:customStyle="1" w:styleId="ListDash1">
    <w:name w:val="List Dash 1"/>
    <w:basedOn w:val="Normal"/>
    <w:rsid w:val="00F765C2"/>
    <w:pPr>
      <w:numPr>
        <w:numId w:val="12"/>
      </w:numPr>
    </w:pPr>
    <w:rPr>
      <w:lang w:eastAsia="en-GB"/>
    </w:rPr>
  </w:style>
  <w:style w:type="paragraph" w:customStyle="1" w:styleId="ListDash2">
    <w:name w:val="List Dash 2"/>
    <w:basedOn w:val="Normal"/>
    <w:rsid w:val="00F765C2"/>
    <w:pPr>
      <w:numPr>
        <w:numId w:val="13"/>
      </w:numPr>
    </w:pPr>
    <w:rPr>
      <w:lang w:eastAsia="en-GB"/>
    </w:rPr>
  </w:style>
  <w:style w:type="paragraph" w:customStyle="1" w:styleId="ListNumberLevel2">
    <w:name w:val="List Number (Level 2)"/>
    <w:basedOn w:val="Normal"/>
    <w:rsid w:val="00F765C2"/>
    <w:pPr>
      <w:tabs>
        <w:tab w:val="num" w:pos="1417"/>
      </w:tabs>
      <w:ind w:left="1417" w:hanging="708"/>
    </w:pPr>
    <w:rPr>
      <w:lang w:eastAsia="en-GB"/>
    </w:rPr>
  </w:style>
  <w:style w:type="paragraph" w:customStyle="1" w:styleId="ListNumberLevel3">
    <w:name w:val="List Number (Level 3)"/>
    <w:basedOn w:val="Normal"/>
    <w:rsid w:val="00F765C2"/>
    <w:pPr>
      <w:tabs>
        <w:tab w:val="num" w:pos="2126"/>
      </w:tabs>
      <w:ind w:left="2126" w:hanging="709"/>
    </w:pPr>
    <w:rPr>
      <w:lang w:eastAsia="en-GB"/>
    </w:rPr>
  </w:style>
  <w:style w:type="paragraph" w:customStyle="1" w:styleId="ListNumberLevel4">
    <w:name w:val="List Number (Level 4)"/>
    <w:basedOn w:val="Normal"/>
    <w:rsid w:val="00F765C2"/>
    <w:pPr>
      <w:tabs>
        <w:tab w:val="num" w:pos="2835"/>
      </w:tabs>
      <w:ind w:left="2835" w:hanging="709"/>
    </w:pPr>
    <w:rPr>
      <w:lang w:eastAsia="en-GB"/>
    </w:rPr>
  </w:style>
  <w:style w:type="paragraph" w:customStyle="1" w:styleId="Sous-titreobjet">
    <w:name w:val="Sous-titre objet"/>
    <w:basedOn w:val="Normal"/>
    <w:rsid w:val="00F765C2"/>
    <w:pPr>
      <w:spacing w:before="0" w:after="0"/>
      <w:jc w:val="center"/>
    </w:pPr>
    <w:rPr>
      <w:b/>
      <w:lang w:eastAsia="en-GB"/>
    </w:rPr>
  </w:style>
  <w:style w:type="paragraph" w:customStyle="1" w:styleId="Sous-titreobjetPagedecouverture">
    <w:name w:val="Sous-titre objet (Page de couverture)"/>
    <w:basedOn w:val="Sous-titreobjet"/>
    <w:rsid w:val="00F765C2"/>
  </w:style>
  <w:style w:type="character" w:styleId="FollowedHyperlink">
    <w:name w:val="FollowedHyperlink"/>
    <w:rsid w:val="00F765C2"/>
    <w:rPr>
      <w:color w:val="800080"/>
      <w:u w:val="single"/>
    </w:rPr>
  </w:style>
  <w:style w:type="paragraph" w:styleId="Revision">
    <w:name w:val="Revision"/>
    <w:hidden/>
    <w:uiPriority w:val="99"/>
    <w:semiHidden/>
    <w:rsid w:val="00F765C2"/>
    <w:rPr>
      <w:sz w:val="24"/>
      <w:lang w:eastAsia="en-GB"/>
    </w:rPr>
  </w:style>
  <w:style w:type="paragraph" w:customStyle="1" w:styleId="FooterCoverPage">
    <w:name w:val="Footer Cover Page"/>
    <w:basedOn w:val="Normal"/>
    <w:link w:val="FooterCoverPageChar"/>
    <w:rsid w:val="00F765C2"/>
    <w:pPr>
      <w:tabs>
        <w:tab w:val="center" w:pos="4535"/>
        <w:tab w:val="right" w:pos="9071"/>
        <w:tab w:val="right" w:pos="9921"/>
      </w:tabs>
      <w:spacing w:before="360" w:after="0"/>
      <w:ind w:left="-850" w:right="-850"/>
      <w:jc w:val="left"/>
    </w:pPr>
  </w:style>
  <w:style w:type="character" w:customStyle="1" w:styleId="TOCHeadingChar">
    <w:name w:val="TOC Heading Char"/>
    <w:basedOn w:val="DefaultParagraphFont"/>
    <w:uiPriority w:val="39"/>
    <w:rsid w:val="00F765C2"/>
    <w:rPr>
      <w:rFonts w:ascii="Times New Roman" w:hAnsi="Times New Roman" w:cs="Times New Roman"/>
      <w:b/>
      <w:sz w:val="28"/>
      <w:lang w:val="sk-SK"/>
    </w:rPr>
  </w:style>
  <w:style w:type="character" w:customStyle="1" w:styleId="FooterCoverPageChar">
    <w:name w:val="Footer Cover Page Char"/>
    <w:basedOn w:val="TOCHeadingChar"/>
    <w:link w:val="FooterCoverPage"/>
    <w:rsid w:val="00F765C2"/>
    <w:rPr>
      <w:rFonts w:ascii="Times New Roman" w:hAnsi="Times New Roman" w:cs="Times New Roman"/>
      <w:b w:val="0"/>
      <w:sz w:val="24"/>
      <w:lang w:val="sk-SK"/>
    </w:rPr>
  </w:style>
  <w:style w:type="paragraph" w:customStyle="1" w:styleId="HeaderCoverPage">
    <w:name w:val="Header Cover Page"/>
    <w:basedOn w:val="Normal"/>
    <w:link w:val="HeaderCoverPageChar"/>
    <w:rsid w:val="00F765C2"/>
    <w:pPr>
      <w:tabs>
        <w:tab w:val="center" w:pos="4535"/>
        <w:tab w:val="right" w:pos="9071"/>
      </w:tabs>
      <w:spacing w:before="0"/>
    </w:pPr>
    <w:rPr>
      <w:lang w:eastAsia="en-GB"/>
    </w:rPr>
  </w:style>
  <w:style w:type="character" w:customStyle="1" w:styleId="HeaderCoverPageChar">
    <w:name w:val="Header Cover Page Char"/>
    <w:basedOn w:val="TOCHeadingChar"/>
    <w:link w:val="HeaderCoverPage"/>
    <w:rsid w:val="00F765C2"/>
    <w:rPr>
      <w:rFonts w:ascii="Times New Roman" w:hAnsi="Times New Roman" w:cs="Times New Roman"/>
      <w:b w:val="0"/>
      <w:sz w:val="24"/>
      <w:lang w:val="sk-SK" w:eastAsia="en-GB"/>
    </w:rPr>
  </w:style>
  <w:style w:type="paragraph" w:customStyle="1" w:styleId="Fina">
    <w:name w:val="Fina"/>
    <w:basedOn w:val="Annexetitre"/>
    <w:rsid w:val="009E3CFF"/>
    <w:rPr>
      <w:noProof/>
    </w:rPr>
  </w:style>
  <w:style w:type="paragraph" w:styleId="Header">
    <w:name w:val="header"/>
    <w:basedOn w:val="Normal"/>
    <w:link w:val="HeaderChar"/>
    <w:uiPriority w:val="99"/>
    <w:unhideWhenUsed/>
    <w:rsid w:val="006133F3"/>
    <w:pPr>
      <w:tabs>
        <w:tab w:val="center" w:pos="4535"/>
        <w:tab w:val="right" w:pos="9071"/>
      </w:tabs>
      <w:spacing w:before="0"/>
    </w:pPr>
  </w:style>
  <w:style w:type="character" w:customStyle="1" w:styleId="HeaderChar">
    <w:name w:val="Header Char"/>
    <w:basedOn w:val="DefaultParagraphFont"/>
    <w:link w:val="Header"/>
    <w:uiPriority w:val="99"/>
    <w:rsid w:val="006133F3"/>
    <w:rPr>
      <w:rFonts w:ascii="Times New Roman" w:hAnsi="Times New Roman" w:cs="Times New Roman"/>
      <w:sz w:val="24"/>
      <w:lang w:val="sk-SK"/>
    </w:rPr>
  </w:style>
  <w:style w:type="paragraph" w:styleId="Footer">
    <w:name w:val="footer"/>
    <w:basedOn w:val="Normal"/>
    <w:link w:val="FooterChar"/>
    <w:uiPriority w:val="99"/>
    <w:unhideWhenUsed/>
    <w:rsid w:val="006133F3"/>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6133F3"/>
    <w:rPr>
      <w:rFonts w:ascii="Times New Roman" w:hAnsi="Times New Roman" w:cs="Times New Roman"/>
      <w:sz w:val="24"/>
      <w:lang w:val="sk-SK"/>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6133F3"/>
    <w:pPr>
      <w:tabs>
        <w:tab w:val="center" w:pos="7285"/>
        <w:tab w:val="right" w:pos="14003"/>
      </w:tabs>
      <w:spacing w:before="0"/>
    </w:pPr>
  </w:style>
  <w:style w:type="paragraph" w:customStyle="1" w:styleId="FooterLandscape">
    <w:name w:val="FooterLandscape"/>
    <w:basedOn w:val="Normal"/>
    <w:rsid w:val="006133F3"/>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6133F3"/>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133F3"/>
    <w:pPr>
      <w:spacing w:before="0"/>
      <w:jc w:val="right"/>
    </w:pPr>
    <w:rPr>
      <w:sz w:val="28"/>
    </w:rPr>
  </w:style>
  <w:style w:type="paragraph" w:customStyle="1" w:styleId="FooterSensitivity">
    <w:name w:val="Footer Sensitivity"/>
    <w:basedOn w:val="Normal"/>
    <w:rsid w:val="006133F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4"/>
      </w:numPr>
    </w:pPr>
  </w:style>
  <w:style w:type="paragraph" w:customStyle="1" w:styleId="Tiret1">
    <w:name w:val="Tiret 1"/>
    <w:basedOn w:val="Point1"/>
    <w:rsid w:val="009B7138"/>
    <w:pPr>
      <w:numPr>
        <w:numId w:val="15"/>
      </w:numPr>
    </w:pPr>
  </w:style>
  <w:style w:type="paragraph" w:customStyle="1" w:styleId="Tiret2">
    <w:name w:val="Tiret 2"/>
    <w:basedOn w:val="Point2"/>
    <w:rsid w:val="009B7138"/>
    <w:pPr>
      <w:numPr>
        <w:numId w:val="16"/>
      </w:numPr>
    </w:pPr>
  </w:style>
  <w:style w:type="paragraph" w:customStyle="1" w:styleId="Tiret3">
    <w:name w:val="Tiret 3"/>
    <w:basedOn w:val="Point3"/>
    <w:rsid w:val="009B7138"/>
    <w:pPr>
      <w:numPr>
        <w:numId w:val="17"/>
      </w:numPr>
    </w:pPr>
  </w:style>
  <w:style w:type="paragraph" w:customStyle="1" w:styleId="Tiret4">
    <w:name w:val="Tiret 4"/>
    <w:basedOn w:val="Point4"/>
    <w:rsid w:val="009B7138"/>
    <w:pPr>
      <w:numPr>
        <w:numId w:val="18"/>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34"/>
      </w:numPr>
    </w:pPr>
  </w:style>
  <w:style w:type="paragraph" w:customStyle="1" w:styleId="NumPar2">
    <w:name w:val="NumPar 2"/>
    <w:basedOn w:val="Normal"/>
    <w:next w:val="Text1"/>
    <w:rsid w:val="009B7138"/>
    <w:pPr>
      <w:numPr>
        <w:ilvl w:val="1"/>
        <w:numId w:val="34"/>
      </w:numPr>
    </w:pPr>
  </w:style>
  <w:style w:type="paragraph" w:customStyle="1" w:styleId="NumPar3">
    <w:name w:val="NumPar 3"/>
    <w:basedOn w:val="Normal"/>
    <w:next w:val="Text1"/>
    <w:rsid w:val="009B7138"/>
    <w:pPr>
      <w:numPr>
        <w:ilvl w:val="2"/>
        <w:numId w:val="34"/>
      </w:numPr>
    </w:pPr>
  </w:style>
  <w:style w:type="paragraph" w:customStyle="1" w:styleId="NumPar4">
    <w:name w:val="NumPar 4"/>
    <w:basedOn w:val="Normal"/>
    <w:next w:val="Text1"/>
    <w:rsid w:val="009B7138"/>
    <w:pPr>
      <w:numPr>
        <w:ilvl w:val="3"/>
        <w:numId w:val="34"/>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1"/>
      </w:numPr>
    </w:pPr>
  </w:style>
  <w:style w:type="paragraph" w:customStyle="1" w:styleId="Point1number">
    <w:name w:val="Point 1 (number)"/>
    <w:basedOn w:val="Normal"/>
    <w:rsid w:val="009B7138"/>
    <w:pPr>
      <w:numPr>
        <w:ilvl w:val="2"/>
        <w:numId w:val="21"/>
      </w:numPr>
    </w:pPr>
  </w:style>
  <w:style w:type="paragraph" w:customStyle="1" w:styleId="Point2number">
    <w:name w:val="Point 2 (number)"/>
    <w:basedOn w:val="Normal"/>
    <w:rsid w:val="009B7138"/>
    <w:pPr>
      <w:numPr>
        <w:ilvl w:val="4"/>
        <w:numId w:val="21"/>
      </w:numPr>
    </w:pPr>
  </w:style>
  <w:style w:type="paragraph" w:customStyle="1" w:styleId="Point3number">
    <w:name w:val="Point 3 (number)"/>
    <w:basedOn w:val="Normal"/>
    <w:rsid w:val="009B7138"/>
    <w:pPr>
      <w:numPr>
        <w:ilvl w:val="6"/>
        <w:numId w:val="21"/>
      </w:numPr>
    </w:pPr>
  </w:style>
  <w:style w:type="paragraph" w:customStyle="1" w:styleId="Point0letter">
    <w:name w:val="Point 0 (letter)"/>
    <w:basedOn w:val="Normal"/>
    <w:rsid w:val="009B7138"/>
    <w:pPr>
      <w:numPr>
        <w:ilvl w:val="1"/>
        <w:numId w:val="21"/>
      </w:numPr>
    </w:pPr>
  </w:style>
  <w:style w:type="paragraph" w:customStyle="1" w:styleId="Point1letter">
    <w:name w:val="Point 1 (letter)"/>
    <w:basedOn w:val="Normal"/>
    <w:rsid w:val="009B7138"/>
    <w:pPr>
      <w:numPr>
        <w:ilvl w:val="3"/>
        <w:numId w:val="21"/>
      </w:numPr>
    </w:pPr>
  </w:style>
  <w:style w:type="paragraph" w:customStyle="1" w:styleId="Point2letter">
    <w:name w:val="Point 2 (letter)"/>
    <w:basedOn w:val="Normal"/>
    <w:rsid w:val="009B7138"/>
    <w:pPr>
      <w:numPr>
        <w:ilvl w:val="5"/>
        <w:numId w:val="21"/>
      </w:numPr>
    </w:pPr>
  </w:style>
  <w:style w:type="paragraph" w:customStyle="1" w:styleId="Point3letter">
    <w:name w:val="Point 3 (letter)"/>
    <w:basedOn w:val="Normal"/>
    <w:rsid w:val="009B7138"/>
    <w:pPr>
      <w:numPr>
        <w:ilvl w:val="7"/>
        <w:numId w:val="21"/>
      </w:numPr>
    </w:pPr>
  </w:style>
  <w:style w:type="paragraph" w:customStyle="1" w:styleId="Point4letter">
    <w:name w:val="Point 4 (letter)"/>
    <w:basedOn w:val="Normal"/>
    <w:rsid w:val="009B7138"/>
    <w:pPr>
      <w:numPr>
        <w:ilvl w:val="8"/>
        <w:numId w:val="21"/>
      </w:numPr>
    </w:pPr>
  </w:style>
  <w:style w:type="paragraph" w:customStyle="1" w:styleId="Bullet0">
    <w:name w:val="Bullet 0"/>
    <w:basedOn w:val="Normal"/>
    <w:rsid w:val="009B7138"/>
    <w:pPr>
      <w:numPr>
        <w:numId w:val="22"/>
      </w:numPr>
    </w:pPr>
  </w:style>
  <w:style w:type="paragraph" w:customStyle="1" w:styleId="Bullet1">
    <w:name w:val="Bullet 1"/>
    <w:basedOn w:val="Normal"/>
    <w:rsid w:val="009B7138"/>
    <w:pPr>
      <w:numPr>
        <w:numId w:val="23"/>
      </w:numPr>
    </w:pPr>
  </w:style>
  <w:style w:type="paragraph" w:customStyle="1" w:styleId="Bullet2">
    <w:name w:val="Bullet 2"/>
    <w:basedOn w:val="Normal"/>
    <w:rsid w:val="009B7138"/>
    <w:pPr>
      <w:numPr>
        <w:numId w:val="24"/>
      </w:numPr>
    </w:pPr>
  </w:style>
  <w:style w:type="paragraph" w:customStyle="1" w:styleId="Bullet3">
    <w:name w:val="Bullet 3"/>
    <w:basedOn w:val="Normal"/>
    <w:rsid w:val="009B7138"/>
    <w:pPr>
      <w:numPr>
        <w:numId w:val="25"/>
      </w:numPr>
    </w:pPr>
  </w:style>
  <w:style w:type="paragraph" w:customStyle="1" w:styleId="Bullet4">
    <w:name w:val="Bullet 4"/>
    <w:basedOn w:val="Normal"/>
    <w:rsid w:val="009B7138"/>
    <w:pPr>
      <w:numPr>
        <w:numId w:val="26"/>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7"/>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BA09FE"/>
    <w:rPr>
      <w:rFonts w:ascii="Times New Roman" w:eastAsiaTheme="majorEastAsia" w:hAnsi="Times New Roman" w:cs="Times New Roman"/>
      <w:sz w:val="24"/>
      <w:lang w:val="sk-SK"/>
    </w:rPr>
  </w:style>
  <w:style w:type="character" w:customStyle="1" w:styleId="Heading6Char">
    <w:name w:val="Heading 6 Char"/>
    <w:basedOn w:val="DefaultParagraphFont"/>
    <w:link w:val="Heading6"/>
    <w:uiPriority w:val="9"/>
    <w:semiHidden/>
    <w:rsid w:val="00BA09FE"/>
    <w:rPr>
      <w:rFonts w:ascii="Times New Roman" w:eastAsiaTheme="majorEastAsia" w:hAnsi="Times New Roman" w:cs="Times New Roman"/>
      <w:iCs/>
      <w:sz w:val="24"/>
      <w:lang w:val="sk-SK"/>
    </w:rPr>
  </w:style>
  <w:style w:type="character" w:customStyle="1" w:styleId="Heading7Char">
    <w:name w:val="Heading 7 Char"/>
    <w:basedOn w:val="DefaultParagraphFont"/>
    <w:link w:val="Heading7"/>
    <w:uiPriority w:val="9"/>
    <w:semiHidden/>
    <w:rsid w:val="00BA09FE"/>
    <w:rPr>
      <w:rFonts w:ascii="Times New Roman" w:eastAsiaTheme="majorEastAsia" w:hAnsi="Times New Roman" w:cs="Times New Roman"/>
      <w:iCs/>
      <w:sz w:val="24"/>
      <w:lang w:val="sk-SK"/>
    </w:rPr>
  </w:style>
  <w:style w:type="paragraph" w:customStyle="1" w:styleId="ManualHeading5">
    <w:name w:val="Manual Heading 5"/>
    <w:basedOn w:val="Normal"/>
    <w:next w:val="Text2"/>
    <w:rsid w:val="00BA09FE"/>
    <w:pPr>
      <w:keepNext/>
      <w:tabs>
        <w:tab w:val="left" w:pos="1417"/>
      </w:tabs>
      <w:ind w:left="1417" w:hanging="1417"/>
      <w:outlineLvl w:val="4"/>
    </w:pPr>
  </w:style>
  <w:style w:type="paragraph" w:customStyle="1" w:styleId="ManualHeading6">
    <w:name w:val="Manual Heading 6"/>
    <w:basedOn w:val="Normal"/>
    <w:next w:val="Text2"/>
    <w:rsid w:val="00BA09FE"/>
    <w:pPr>
      <w:keepNext/>
      <w:tabs>
        <w:tab w:val="left" w:pos="1417"/>
      </w:tabs>
      <w:ind w:left="1417" w:hanging="1417"/>
      <w:outlineLvl w:val="5"/>
    </w:pPr>
  </w:style>
  <w:style w:type="paragraph" w:customStyle="1" w:styleId="ManualHeading7">
    <w:name w:val="Manual Heading 7"/>
    <w:basedOn w:val="Normal"/>
    <w:next w:val="Text2"/>
    <w:rsid w:val="00BA09FE"/>
    <w:pPr>
      <w:keepNext/>
      <w:tabs>
        <w:tab w:val="left" w:pos="1417"/>
      </w:tabs>
      <w:ind w:left="1417" w:hanging="1417"/>
      <w:outlineLvl w:val="6"/>
    </w:pPr>
  </w:style>
  <w:style w:type="paragraph" w:customStyle="1" w:styleId="Text5">
    <w:name w:val="Text 5"/>
    <w:basedOn w:val="Normal"/>
    <w:rsid w:val="00BA09FE"/>
    <w:pPr>
      <w:ind w:left="3118"/>
    </w:pPr>
  </w:style>
  <w:style w:type="paragraph" w:customStyle="1" w:styleId="Text6">
    <w:name w:val="Text 6"/>
    <w:basedOn w:val="Normal"/>
    <w:rsid w:val="00BA09FE"/>
    <w:pPr>
      <w:ind w:left="3685"/>
    </w:pPr>
  </w:style>
  <w:style w:type="paragraph" w:customStyle="1" w:styleId="Point5">
    <w:name w:val="Point 5"/>
    <w:basedOn w:val="Normal"/>
    <w:rsid w:val="00BA09FE"/>
    <w:pPr>
      <w:ind w:left="3685" w:hanging="567"/>
    </w:pPr>
  </w:style>
  <w:style w:type="paragraph" w:customStyle="1" w:styleId="Tiret5">
    <w:name w:val="Tiret 5"/>
    <w:basedOn w:val="Point5"/>
    <w:rsid w:val="00BA09FE"/>
    <w:pPr>
      <w:numPr>
        <w:numId w:val="31"/>
      </w:numPr>
    </w:pPr>
  </w:style>
  <w:style w:type="paragraph" w:customStyle="1" w:styleId="NumPar5">
    <w:name w:val="NumPar 5"/>
    <w:basedOn w:val="Normal"/>
    <w:next w:val="Text2"/>
    <w:rsid w:val="00BA09FE"/>
    <w:pPr>
      <w:numPr>
        <w:ilvl w:val="4"/>
        <w:numId w:val="34"/>
      </w:numPr>
    </w:pPr>
  </w:style>
  <w:style w:type="paragraph" w:customStyle="1" w:styleId="NumPar6">
    <w:name w:val="NumPar 6"/>
    <w:basedOn w:val="Normal"/>
    <w:next w:val="Text2"/>
    <w:rsid w:val="00BA09FE"/>
    <w:pPr>
      <w:numPr>
        <w:ilvl w:val="5"/>
        <w:numId w:val="34"/>
      </w:numPr>
    </w:pPr>
  </w:style>
  <w:style w:type="paragraph" w:customStyle="1" w:styleId="NumPar7">
    <w:name w:val="NumPar 7"/>
    <w:basedOn w:val="Normal"/>
    <w:next w:val="Text2"/>
    <w:rsid w:val="00BA09FE"/>
    <w:pPr>
      <w:numPr>
        <w:ilvl w:val="6"/>
        <w:numId w:val="34"/>
      </w:numPr>
    </w:pPr>
  </w:style>
  <w:style w:type="paragraph" w:customStyle="1" w:styleId="ManualNumPar5">
    <w:name w:val="Manual NumPar 5"/>
    <w:basedOn w:val="Normal"/>
    <w:next w:val="Text2"/>
    <w:rsid w:val="00BA09FE"/>
    <w:pPr>
      <w:ind w:left="1417" w:hanging="1417"/>
    </w:pPr>
  </w:style>
  <w:style w:type="paragraph" w:customStyle="1" w:styleId="ManualNumPar6">
    <w:name w:val="Manual NumPar 6"/>
    <w:basedOn w:val="Normal"/>
    <w:next w:val="Text2"/>
    <w:rsid w:val="00BA09FE"/>
    <w:pPr>
      <w:ind w:left="1417" w:hanging="1417"/>
    </w:pPr>
  </w:style>
  <w:style w:type="paragraph" w:customStyle="1" w:styleId="ManualNumPar7">
    <w:name w:val="Manual NumPar 7"/>
    <w:basedOn w:val="Normal"/>
    <w:next w:val="Text2"/>
    <w:rsid w:val="00BA09FE"/>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695A8A5-3627-4082-807A-E06957384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9</Pages>
  <Words>2054</Words>
  <Characters>12388</Characters>
  <Application>Microsoft Office Word</Application>
  <DocSecurity>0</DocSecurity>
  <Lines>229</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dcterms:created xsi:type="dcterms:W3CDTF">2021-12-14T09:45:00Z</dcterms:created>
  <dcterms:modified xsi:type="dcterms:W3CDTF">2022-01-09T18:57:00Z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DQCStatus">
    <vt:lpwstr>Green (DQC version 03)</vt:lpwstr>
  </property>
  <property name="OP_sanitized" fmtid="{D5CDD505-2E9C-101B-9397-08002B2CF9AE}" pid="11">
    <vt:lpwstr>True</vt:lpwstr>
  </property>
</Properties>
</file>