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ED5AC" w14:textId="5A06367C" w:rsidR="00CC63E2" w:rsidRDefault="00D021FA" w:rsidP="00D021FA">
      <w:pPr>
        <w:pStyle w:val="Pagedecouverture"/>
        <w:rPr>
          <w:noProof/>
        </w:rPr>
      </w:pPr>
      <w:bookmarkStart w:id="0" w:name="LW_BM_COVERPAGE"/>
      <w:r>
        <w:rPr>
          <w:noProof/>
        </w:rPr>
        <w:pict w14:anchorId="441E37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alt="80BC2E9B-B404-4FC0-A344-5174C1A8E6EE" style="width:455.25pt;height:462pt">
            <v:imagedata r:id="rId11" o:title=""/>
          </v:shape>
        </w:pict>
      </w:r>
    </w:p>
    <w:bookmarkEnd w:id="0"/>
    <w:p w14:paraId="29501C71" w14:textId="77777777" w:rsidR="00F3504B" w:rsidRPr="00F3504B" w:rsidRDefault="00F3504B" w:rsidP="00F3504B">
      <w:pPr>
        <w:pStyle w:val="Pagedecouverture"/>
        <w:rPr>
          <w:noProof/>
        </w:rPr>
        <w:sectPr w:rsidR="00F3504B" w:rsidRPr="00F3504B" w:rsidSect="00D021FA">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9558DFE" w14:textId="3189F551" w:rsidR="009819A5" w:rsidRDefault="009819A5" w:rsidP="00CC63E2">
      <w:pPr>
        <w:spacing w:after="0" w:line="276" w:lineRule="auto"/>
        <w:rPr>
          <w:b/>
          <w:bCs/>
          <w:noProof/>
          <w:sz w:val="24"/>
          <w:szCs w:val="24"/>
        </w:rPr>
      </w:pPr>
      <w:bookmarkStart w:id="1" w:name="_GoBack"/>
      <w:bookmarkEnd w:id="1"/>
    </w:p>
    <w:sdt>
      <w:sdtPr>
        <w:rPr>
          <w:rFonts w:asciiTheme="minorHAnsi" w:eastAsiaTheme="minorHAnsi" w:hAnsiTheme="minorHAnsi" w:cstheme="minorBidi"/>
          <w:noProof/>
          <w:color w:val="auto"/>
          <w:sz w:val="22"/>
          <w:szCs w:val="22"/>
        </w:rPr>
        <w:id w:val="1298951446"/>
        <w:docPartObj>
          <w:docPartGallery w:val="Table of Contents"/>
          <w:docPartUnique/>
        </w:docPartObj>
      </w:sdtPr>
      <w:sdtEndPr>
        <w:rPr>
          <w:b/>
          <w:bCs/>
        </w:rPr>
      </w:sdtEndPr>
      <w:sdtContent>
        <w:p w14:paraId="029858B8" w14:textId="77D44DB6" w:rsidR="009819A5" w:rsidRDefault="009819A5">
          <w:pPr>
            <w:pStyle w:val="TOCHeading"/>
            <w:rPr>
              <w:noProof/>
            </w:rPr>
          </w:pPr>
          <w:r>
            <w:rPr>
              <w:noProof/>
            </w:rPr>
            <w:t>Obsah</w:t>
          </w:r>
        </w:p>
        <w:p w14:paraId="3A422A9F" w14:textId="72D05C4E" w:rsidR="008C07A0" w:rsidRDefault="009819A5">
          <w:pPr>
            <w:pStyle w:val="TOC1"/>
            <w:tabs>
              <w:tab w:val="right" w:leader="dot" w:pos="9016"/>
            </w:tabs>
            <w:rPr>
              <w:rFonts w:eastAsiaTheme="minorEastAsia"/>
              <w:noProof/>
            </w:rPr>
          </w:pPr>
          <w:r>
            <w:rPr>
              <w:noProof/>
            </w:rPr>
            <w:fldChar w:fldCharType="begin" w:fldLock="1"/>
          </w:r>
          <w:r>
            <w:rPr>
              <w:noProof/>
            </w:rPr>
            <w:instrText xml:space="preserve"> TOC \o "1-3" \h \z \u </w:instrText>
          </w:r>
          <w:r>
            <w:rPr>
              <w:noProof/>
            </w:rPr>
            <w:fldChar w:fldCharType="separate"/>
          </w:r>
          <w:hyperlink w:anchor="_Toc116575297" w:history="1">
            <w:r>
              <w:rPr>
                <w:rStyle w:val="Hyperlink"/>
                <w:noProof/>
              </w:rPr>
              <w:t>GLOBAL COMMITMENTS</w:t>
            </w:r>
            <w:r>
              <w:rPr>
                <w:noProof/>
              </w:rPr>
              <w:tab/>
            </w:r>
            <w:r>
              <w:rPr>
                <w:noProof/>
                <w:webHidden/>
              </w:rPr>
              <w:fldChar w:fldCharType="begin" w:fldLock="1"/>
            </w:r>
            <w:r>
              <w:rPr>
                <w:noProof/>
                <w:webHidden/>
              </w:rPr>
              <w:instrText xml:space="preserve"> PAGEREF _Toc116575297 \h </w:instrText>
            </w:r>
            <w:r>
              <w:rPr>
                <w:noProof/>
                <w:webHidden/>
              </w:rPr>
            </w:r>
            <w:r>
              <w:rPr>
                <w:noProof/>
                <w:webHidden/>
              </w:rPr>
              <w:fldChar w:fldCharType="separate"/>
            </w:r>
            <w:r>
              <w:rPr>
                <w:noProof/>
                <w:webHidden/>
              </w:rPr>
              <w:t>2</w:t>
            </w:r>
            <w:r>
              <w:rPr>
                <w:noProof/>
                <w:webHidden/>
              </w:rPr>
              <w:fldChar w:fldCharType="end"/>
            </w:r>
          </w:hyperlink>
        </w:p>
        <w:p w14:paraId="1769F8AB" w14:textId="2C71C6E4" w:rsidR="008C07A0" w:rsidRDefault="00D021FA">
          <w:pPr>
            <w:pStyle w:val="TOC2"/>
            <w:tabs>
              <w:tab w:val="right" w:leader="dot" w:pos="9016"/>
            </w:tabs>
            <w:rPr>
              <w:rFonts w:eastAsiaTheme="minorEastAsia"/>
              <w:noProof/>
            </w:rPr>
          </w:pPr>
          <w:hyperlink w:anchor="_Toc116575298" w:history="1">
            <w:r w:rsidR="00603941">
              <w:rPr>
                <w:rStyle w:val="Hyperlink"/>
                <w:noProof/>
              </w:rPr>
              <w:t>Introduction</w:t>
            </w:r>
            <w:r w:rsidR="00603941">
              <w:rPr>
                <w:noProof/>
              </w:rPr>
              <w:tab/>
            </w:r>
            <w:r w:rsidR="00603941">
              <w:rPr>
                <w:noProof/>
                <w:webHidden/>
              </w:rPr>
              <w:fldChar w:fldCharType="begin" w:fldLock="1"/>
            </w:r>
            <w:r w:rsidR="00603941">
              <w:rPr>
                <w:noProof/>
                <w:webHidden/>
              </w:rPr>
              <w:instrText xml:space="preserve"> PAGEREF _Toc116575298 \h </w:instrText>
            </w:r>
            <w:r w:rsidR="00603941">
              <w:rPr>
                <w:noProof/>
                <w:webHidden/>
              </w:rPr>
            </w:r>
            <w:r w:rsidR="00603941">
              <w:rPr>
                <w:noProof/>
                <w:webHidden/>
              </w:rPr>
              <w:fldChar w:fldCharType="separate"/>
            </w:r>
            <w:r w:rsidR="00603941">
              <w:rPr>
                <w:noProof/>
                <w:webHidden/>
              </w:rPr>
              <w:t>2</w:t>
            </w:r>
            <w:r w:rsidR="00603941">
              <w:rPr>
                <w:noProof/>
                <w:webHidden/>
              </w:rPr>
              <w:fldChar w:fldCharType="end"/>
            </w:r>
          </w:hyperlink>
        </w:p>
        <w:p w14:paraId="577588F8" w14:textId="43198D52" w:rsidR="008C07A0" w:rsidRDefault="00D021FA">
          <w:pPr>
            <w:pStyle w:val="TOC2"/>
            <w:tabs>
              <w:tab w:val="right" w:leader="dot" w:pos="9016"/>
            </w:tabs>
            <w:rPr>
              <w:rFonts w:eastAsiaTheme="minorEastAsia"/>
              <w:noProof/>
            </w:rPr>
          </w:pPr>
          <w:hyperlink w:anchor="_Toc116575299" w:history="1">
            <w:r w:rsidR="00603941">
              <w:rPr>
                <w:rStyle w:val="Hyperlink"/>
                <w:noProof/>
              </w:rPr>
              <w:t>EU: a strong global actor</w:t>
            </w:r>
            <w:r w:rsidR="00603941">
              <w:rPr>
                <w:noProof/>
              </w:rPr>
              <w:tab/>
            </w:r>
            <w:r w:rsidR="00603941">
              <w:rPr>
                <w:noProof/>
                <w:webHidden/>
              </w:rPr>
              <w:fldChar w:fldCharType="begin" w:fldLock="1"/>
            </w:r>
            <w:r w:rsidR="00603941">
              <w:rPr>
                <w:noProof/>
                <w:webHidden/>
              </w:rPr>
              <w:instrText xml:space="preserve"> PAGEREF _Toc116575299 \h </w:instrText>
            </w:r>
            <w:r w:rsidR="00603941">
              <w:rPr>
                <w:noProof/>
                <w:webHidden/>
              </w:rPr>
            </w:r>
            <w:r w:rsidR="00603941">
              <w:rPr>
                <w:noProof/>
                <w:webHidden/>
              </w:rPr>
              <w:fldChar w:fldCharType="separate"/>
            </w:r>
            <w:r w:rsidR="00603941">
              <w:rPr>
                <w:noProof/>
                <w:webHidden/>
              </w:rPr>
              <w:t>3</w:t>
            </w:r>
            <w:r w:rsidR="00603941">
              <w:rPr>
                <w:noProof/>
                <w:webHidden/>
              </w:rPr>
              <w:fldChar w:fldCharType="end"/>
            </w:r>
          </w:hyperlink>
        </w:p>
        <w:p w14:paraId="53146B8F" w14:textId="6535B1AD" w:rsidR="008C07A0" w:rsidRDefault="00D021FA">
          <w:pPr>
            <w:pStyle w:val="TOC2"/>
            <w:tabs>
              <w:tab w:val="right" w:leader="dot" w:pos="9016"/>
            </w:tabs>
            <w:rPr>
              <w:rFonts w:eastAsiaTheme="minorEastAsia"/>
              <w:noProof/>
            </w:rPr>
          </w:pPr>
          <w:hyperlink w:anchor="_Toc116575300" w:history="1">
            <w:r w:rsidR="00603941">
              <w:rPr>
                <w:rStyle w:val="Hyperlink"/>
                <w:noProof/>
              </w:rPr>
              <w:t>Fostering sustainable development</w:t>
            </w:r>
            <w:r w:rsidR="00603941">
              <w:rPr>
                <w:noProof/>
              </w:rPr>
              <w:tab/>
            </w:r>
            <w:r w:rsidR="00603941">
              <w:rPr>
                <w:noProof/>
                <w:webHidden/>
              </w:rPr>
              <w:fldChar w:fldCharType="begin" w:fldLock="1"/>
            </w:r>
            <w:r w:rsidR="00603941">
              <w:rPr>
                <w:noProof/>
                <w:webHidden/>
              </w:rPr>
              <w:instrText xml:space="preserve"> PAGEREF _Toc116575300 \h </w:instrText>
            </w:r>
            <w:r w:rsidR="00603941">
              <w:rPr>
                <w:noProof/>
                <w:webHidden/>
              </w:rPr>
            </w:r>
            <w:r w:rsidR="00603941">
              <w:rPr>
                <w:noProof/>
                <w:webHidden/>
              </w:rPr>
              <w:fldChar w:fldCharType="separate"/>
            </w:r>
            <w:r w:rsidR="00603941">
              <w:rPr>
                <w:noProof/>
                <w:webHidden/>
              </w:rPr>
              <w:t>4</w:t>
            </w:r>
            <w:r w:rsidR="00603941">
              <w:rPr>
                <w:noProof/>
                <w:webHidden/>
              </w:rPr>
              <w:fldChar w:fldCharType="end"/>
            </w:r>
          </w:hyperlink>
        </w:p>
        <w:p w14:paraId="516F2224" w14:textId="3494E859" w:rsidR="008C07A0" w:rsidRDefault="00D021FA">
          <w:pPr>
            <w:pStyle w:val="TOC2"/>
            <w:tabs>
              <w:tab w:val="right" w:leader="dot" w:pos="9016"/>
            </w:tabs>
            <w:rPr>
              <w:rFonts w:eastAsiaTheme="minorEastAsia"/>
              <w:noProof/>
            </w:rPr>
          </w:pPr>
          <w:hyperlink w:anchor="_Toc116575301" w:history="1">
            <w:r w:rsidR="00603941">
              <w:rPr>
                <w:rStyle w:val="Hyperlink"/>
                <w:noProof/>
              </w:rPr>
              <w:t>Team Europe initiatives: responding to the COVID-19 global crisis</w:t>
            </w:r>
            <w:r w:rsidR="00603941">
              <w:rPr>
                <w:noProof/>
              </w:rPr>
              <w:tab/>
            </w:r>
            <w:r w:rsidR="00603941">
              <w:rPr>
                <w:noProof/>
                <w:webHidden/>
              </w:rPr>
              <w:fldChar w:fldCharType="begin" w:fldLock="1"/>
            </w:r>
            <w:r w:rsidR="00603941">
              <w:rPr>
                <w:noProof/>
                <w:webHidden/>
              </w:rPr>
              <w:instrText xml:space="preserve"> PAGEREF _Toc116575301 \h </w:instrText>
            </w:r>
            <w:r w:rsidR="00603941">
              <w:rPr>
                <w:noProof/>
                <w:webHidden/>
              </w:rPr>
            </w:r>
            <w:r w:rsidR="00603941">
              <w:rPr>
                <w:noProof/>
                <w:webHidden/>
              </w:rPr>
              <w:fldChar w:fldCharType="separate"/>
            </w:r>
            <w:r w:rsidR="00603941">
              <w:rPr>
                <w:noProof/>
                <w:webHidden/>
              </w:rPr>
              <w:t>4</w:t>
            </w:r>
            <w:r w:rsidR="00603941">
              <w:rPr>
                <w:noProof/>
                <w:webHidden/>
              </w:rPr>
              <w:fldChar w:fldCharType="end"/>
            </w:r>
          </w:hyperlink>
        </w:p>
        <w:p w14:paraId="2F7DAD13" w14:textId="0DCD029A" w:rsidR="008C07A0" w:rsidRDefault="00D021FA">
          <w:pPr>
            <w:pStyle w:val="TOC2"/>
            <w:tabs>
              <w:tab w:val="right" w:leader="dot" w:pos="9016"/>
            </w:tabs>
            <w:rPr>
              <w:rFonts w:eastAsiaTheme="minorEastAsia"/>
              <w:noProof/>
            </w:rPr>
          </w:pPr>
          <w:hyperlink w:anchor="_Toc116575302" w:history="1">
            <w:r w:rsidR="00603941">
              <w:rPr>
                <w:rStyle w:val="Hyperlink"/>
                <w:noProof/>
              </w:rPr>
              <w:t>Global Gateway</w:t>
            </w:r>
            <w:r w:rsidR="00603941">
              <w:rPr>
                <w:noProof/>
              </w:rPr>
              <w:tab/>
            </w:r>
            <w:r w:rsidR="00603941">
              <w:rPr>
                <w:noProof/>
                <w:webHidden/>
              </w:rPr>
              <w:fldChar w:fldCharType="begin" w:fldLock="1"/>
            </w:r>
            <w:r w:rsidR="00603941">
              <w:rPr>
                <w:noProof/>
                <w:webHidden/>
              </w:rPr>
              <w:instrText xml:space="preserve"> PAGEREF _Toc116575302 \h </w:instrText>
            </w:r>
            <w:r w:rsidR="00603941">
              <w:rPr>
                <w:noProof/>
                <w:webHidden/>
              </w:rPr>
            </w:r>
            <w:r w:rsidR="00603941">
              <w:rPr>
                <w:noProof/>
                <w:webHidden/>
              </w:rPr>
              <w:fldChar w:fldCharType="separate"/>
            </w:r>
            <w:r w:rsidR="00603941">
              <w:rPr>
                <w:noProof/>
                <w:webHidden/>
              </w:rPr>
              <w:t>5</w:t>
            </w:r>
            <w:r w:rsidR="00603941">
              <w:rPr>
                <w:noProof/>
                <w:webHidden/>
              </w:rPr>
              <w:fldChar w:fldCharType="end"/>
            </w:r>
          </w:hyperlink>
        </w:p>
        <w:p w14:paraId="03657E42" w14:textId="7D979140" w:rsidR="008C07A0" w:rsidRDefault="00D021FA">
          <w:pPr>
            <w:pStyle w:val="TOC1"/>
            <w:tabs>
              <w:tab w:val="right" w:leader="dot" w:pos="9016"/>
            </w:tabs>
            <w:rPr>
              <w:rFonts w:eastAsiaTheme="minorEastAsia"/>
              <w:noProof/>
            </w:rPr>
          </w:pPr>
          <w:hyperlink w:anchor="_Toc116575303" w:history="1">
            <w:r w:rsidR="00603941">
              <w:rPr>
                <w:rStyle w:val="Hyperlink"/>
                <w:noProof/>
              </w:rPr>
              <w:t>GLOBAL PRIORITIES</w:t>
            </w:r>
            <w:r w:rsidR="00603941">
              <w:rPr>
                <w:noProof/>
              </w:rPr>
              <w:tab/>
            </w:r>
            <w:r w:rsidR="00603941">
              <w:rPr>
                <w:noProof/>
                <w:webHidden/>
              </w:rPr>
              <w:fldChar w:fldCharType="begin" w:fldLock="1"/>
            </w:r>
            <w:r w:rsidR="00603941">
              <w:rPr>
                <w:noProof/>
                <w:webHidden/>
              </w:rPr>
              <w:instrText xml:space="preserve"> PAGEREF _Toc116575303 \h </w:instrText>
            </w:r>
            <w:r w:rsidR="00603941">
              <w:rPr>
                <w:noProof/>
                <w:webHidden/>
              </w:rPr>
            </w:r>
            <w:r w:rsidR="00603941">
              <w:rPr>
                <w:noProof/>
                <w:webHidden/>
              </w:rPr>
              <w:fldChar w:fldCharType="separate"/>
            </w:r>
            <w:r w:rsidR="00603941">
              <w:rPr>
                <w:noProof/>
                <w:webHidden/>
              </w:rPr>
              <w:t>5</w:t>
            </w:r>
            <w:r w:rsidR="00603941">
              <w:rPr>
                <w:noProof/>
                <w:webHidden/>
              </w:rPr>
              <w:fldChar w:fldCharType="end"/>
            </w:r>
          </w:hyperlink>
        </w:p>
        <w:p w14:paraId="67A960F9" w14:textId="4FA54D06" w:rsidR="008C07A0" w:rsidRDefault="00D021FA">
          <w:pPr>
            <w:pStyle w:val="TOC2"/>
            <w:tabs>
              <w:tab w:val="right" w:leader="dot" w:pos="9016"/>
            </w:tabs>
            <w:rPr>
              <w:rFonts w:eastAsiaTheme="minorEastAsia"/>
              <w:noProof/>
            </w:rPr>
          </w:pPr>
          <w:hyperlink w:anchor="_Toc116575304" w:history="1">
            <w:r w:rsidR="00603941">
              <w:rPr>
                <w:rStyle w:val="Hyperlink"/>
                <w:noProof/>
              </w:rPr>
              <w:t>Human development</w:t>
            </w:r>
            <w:r w:rsidR="00603941">
              <w:rPr>
                <w:noProof/>
              </w:rPr>
              <w:tab/>
            </w:r>
            <w:r w:rsidR="00603941">
              <w:rPr>
                <w:noProof/>
                <w:webHidden/>
              </w:rPr>
              <w:fldChar w:fldCharType="begin" w:fldLock="1"/>
            </w:r>
            <w:r w:rsidR="00603941">
              <w:rPr>
                <w:noProof/>
                <w:webHidden/>
              </w:rPr>
              <w:instrText xml:space="preserve"> PAGEREF _Toc116575304 \h </w:instrText>
            </w:r>
            <w:r w:rsidR="00603941">
              <w:rPr>
                <w:noProof/>
                <w:webHidden/>
              </w:rPr>
            </w:r>
            <w:r w:rsidR="00603941">
              <w:rPr>
                <w:noProof/>
                <w:webHidden/>
              </w:rPr>
              <w:fldChar w:fldCharType="separate"/>
            </w:r>
            <w:r w:rsidR="00603941">
              <w:rPr>
                <w:noProof/>
                <w:webHidden/>
              </w:rPr>
              <w:t>5</w:t>
            </w:r>
            <w:r w:rsidR="00603941">
              <w:rPr>
                <w:noProof/>
                <w:webHidden/>
              </w:rPr>
              <w:fldChar w:fldCharType="end"/>
            </w:r>
          </w:hyperlink>
        </w:p>
        <w:p w14:paraId="67FA16BB" w14:textId="608C5AD2" w:rsidR="008C07A0" w:rsidRDefault="00D021FA">
          <w:pPr>
            <w:pStyle w:val="TOC2"/>
            <w:tabs>
              <w:tab w:val="right" w:leader="dot" w:pos="9016"/>
            </w:tabs>
            <w:rPr>
              <w:rFonts w:eastAsiaTheme="minorEastAsia"/>
              <w:noProof/>
            </w:rPr>
          </w:pPr>
          <w:hyperlink w:anchor="_Toc116575305" w:history="1">
            <w:r w:rsidR="00603941">
              <w:rPr>
                <w:rStyle w:val="Hyperlink"/>
                <w:noProof/>
              </w:rPr>
              <w:t>Green Deal</w:t>
            </w:r>
            <w:r w:rsidR="00603941">
              <w:rPr>
                <w:noProof/>
              </w:rPr>
              <w:tab/>
            </w:r>
            <w:r w:rsidR="00603941">
              <w:rPr>
                <w:noProof/>
                <w:webHidden/>
              </w:rPr>
              <w:fldChar w:fldCharType="begin" w:fldLock="1"/>
            </w:r>
            <w:r w:rsidR="00603941">
              <w:rPr>
                <w:noProof/>
                <w:webHidden/>
              </w:rPr>
              <w:instrText xml:space="preserve"> PAGEREF _Toc116575305 \h </w:instrText>
            </w:r>
            <w:r w:rsidR="00603941">
              <w:rPr>
                <w:noProof/>
                <w:webHidden/>
              </w:rPr>
            </w:r>
            <w:r w:rsidR="00603941">
              <w:rPr>
                <w:noProof/>
                <w:webHidden/>
              </w:rPr>
              <w:fldChar w:fldCharType="separate"/>
            </w:r>
            <w:r w:rsidR="00603941">
              <w:rPr>
                <w:noProof/>
                <w:webHidden/>
              </w:rPr>
              <w:t>6</w:t>
            </w:r>
            <w:r w:rsidR="00603941">
              <w:rPr>
                <w:noProof/>
                <w:webHidden/>
              </w:rPr>
              <w:fldChar w:fldCharType="end"/>
            </w:r>
          </w:hyperlink>
        </w:p>
        <w:p w14:paraId="004701D1" w14:textId="66AD7B24" w:rsidR="008C07A0" w:rsidRDefault="00D021FA">
          <w:pPr>
            <w:pStyle w:val="TOC2"/>
            <w:tabs>
              <w:tab w:val="right" w:leader="dot" w:pos="9016"/>
            </w:tabs>
            <w:rPr>
              <w:rFonts w:eastAsiaTheme="minorEastAsia"/>
              <w:noProof/>
            </w:rPr>
          </w:pPr>
          <w:hyperlink w:anchor="_Toc116575306" w:history="1">
            <w:r w:rsidR="00603941">
              <w:rPr>
                <w:rStyle w:val="Hyperlink"/>
                <w:noProof/>
              </w:rPr>
              <w:t>Digitalisation, science, technology and innovation</w:t>
            </w:r>
            <w:r w:rsidR="00603941">
              <w:rPr>
                <w:noProof/>
              </w:rPr>
              <w:tab/>
            </w:r>
            <w:r w:rsidR="00603941">
              <w:rPr>
                <w:noProof/>
                <w:webHidden/>
              </w:rPr>
              <w:fldChar w:fldCharType="begin" w:fldLock="1"/>
            </w:r>
            <w:r w:rsidR="00603941">
              <w:rPr>
                <w:noProof/>
                <w:webHidden/>
              </w:rPr>
              <w:instrText xml:space="preserve"> PAGEREF _Toc116575306 \h </w:instrText>
            </w:r>
            <w:r w:rsidR="00603941">
              <w:rPr>
                <w:noProof/>
                <w:webHidden/>
              </w:rPr>
            </w:r>
            <w:r w:rsidR="00603941">
              <w:rPr>
                <w:noProof/>
                <w:webHidden/>
              </w:rPr>
              <w:fldChar w:fldCharType="separate"/>
            </w:r>
            <w:r w:rsidR="00603941">
              <w:rPr>
                <w:noProof/>
                <w:webHidden/>
              </w:rPr>
              <w:t>7</w:t>
            </w:r>
            <w:r w:rsidR="00603941">
              <w:rPr>
                <w:noProof/>
                <w:webHidden/>
              </w:rPr>
              <w:fldChar w:fldCharType="end"/>
            </w:r>
          </w:hyperlink>
        </w:p>
        <w:p w14:paraId="3F1D6865" w14:textId="4F272DFA" w:rsidR="008C07A0" w:rsidRDefault="00D021FA">
          <w:pPr>
            <w:pStyle w:val="TOC2"/>
            <w:tabs>
              <w:tab w:val="right" w:leader="dot" w:pos="9016"/>
            </w:tabs>
            <w:rPr>
              <w:rFonts w:eastAsiaTheme="minorEastAsia"/>
              <w:noProof/>
            </w:rPr>
          </w:pPr>
          <w:hyperlink w:anchor="_Toc116575307" w:history="1">
            <w:r w:rsidR="00603941">
              <w:rPr>
                <w:rStyle w:val="Hyperlink"/>
                <w:noProof/>
              </w:rPr>
              <w:t>Sustainable growth and jobs</w:t>
            </w:r>
            <w:r w:rsidR="00603941">
              <w:rPr>
                <w:noProof/>
              </w:rPr>
              <w:tab/>
            </w:r>
            <w:r w:rsidR="00603941">
              <w:rPr>
                <w:noProof/>
                <w:webHidden/>
              </w:rPr>
              <w:fldChar w:fldCharType="begin" w:fldLock="1"/>
            </w:r>
            <w:r w:rsidR="00603941">
              <w:rPr>
                <w:noProof/>
                <w:webHidden/>
              </w:rPr>
              <w:instrText xml:space="preserve"> PAGEREF _Toc116575307 \h </w:instrText>
            </w:r>
            <w:r w:rsidR="00603941">
              <w:rPr>
                <w:noProof/>
                <w:webHidden/>
              </w:rPr>
            </w:r>
            <w:r w:rsidR="00603941">
              <w:rPr>
                <w:noProof/>
                <w:webHidden/>
              </w:rPr>
              <w:fldChar w:fldCharType="separate"/>
            </w:r>
            <w:r w:rsidR="00603941">
              <w:rPr>
                <w:noProof/>
                <w:webHidden/>
              </w:rPr>
              <w:t>7</w:t>
            </w:r>
            <w:r w:rsidR="00603941">
              <w:rPr>
                <w:noProof/>
                <w:webHidden/>
              </w:rPr>
              <w:fldChar w:fldCharType="end"/>
            </w:r>
          </w:hyperlink>
        </w:p>
        <w:p w14:paraId="663AD0BE" w14:textId="679F131C" w:rsidR="008C07A0" w:rsidRDefault="00D021FA">
          <w:pPr>
            <w:pStyle w:val="TOC2"/>
            <w:tabs>
              <w:tab w:val="right" w:leader="dot" w:pos="9016"/>
            </w:tabs>
            <w:rPr>
              <w:rFonts w:eastAsiaTheme="minorEastAsia"/>
              <w:noProof/>
            </w:rPr>
          </w:pPr>
          <w:hyperlink w:anchor="_Toc116575308" w:history="1">
            <w:r w:rsidR="00603941">
              <w:rPr>
                <w:rStyle w:val="Hyperlink"/>
                <w:noProof/>
              </w:rPr>
              <w:t>Migration</w:t>
            </w:r>
            <w:r w:rsidR="00603941">
              <w:rPr>
                <w:noProof/>
              </w:rPr>
              <w:tab/>
            </w:r>
            <w:r w:rsidR="00603941">
              <w:rPr>
                <w:noProof/>
                <w:webHidden/>
              </w:rPr>
              <w:fldChar w:fldCharType="begin" w:fldLock="1"/>
            </w:r>
            <w:r w:rsidR="00603941">
              <w:rPr>
                <w:noProof/>
                <w:webHidden/>
              </w:rPr>
              <w:instrText xml:space="preserve"> PAGEREF _Toc116575308 \h </w:instrText>
            </w:r>
            <w:r w:rsidR="00603941">
              <w:rPr>
                <w:noProof/>
                <w:webHidden/>
              </w:rPr>
            </w:r>
            <w:r w:rsidR="00603941">
              <w:rPr>
                <w:noProof/>
                <w:webHidden/>
              </w:rPr>
              <w:fldChar w:fldCharType="separate"/>
            </w:r>
            <w:r w:rsidR="00603941">
              <w:rPr>
                <w:noProof/>
                <w:webHidden/>
              </w:rPr>
              <w:t>8</w:t>
            </w:r>
            <w:r w:rsidR="00603941">
              <w:rPr>
                <w:noProof/>
                <w:webHidden/>
              </w:rPr>
              <w:fldChar w:fldCharType="end"/>
            </w:r>
          </w:hyperlink>
        </w:p>
        <w:p w14:paraId="79670062" w14:textId="06126CFF" w:rsidR="008C07A0" w:rsidRDefault="00D021FA">
          <w:pPr>
            <w:pStyle w:val="TOC2"/>
            <w:tabs>
              <w:tab w:val="right" w:leader="dot" w:pos="9016"/>
            </w:tabs>
            <w:rPr>
              <w:rFonts w:eastAsiaTheme="minorEastAsia"/>
              <w:noProof/>
            </w:rPr>
          </w:pPr>
          <w:hyperlink w:anchor="_Toc116575309" w:history="1">
            <w:r w:rsidR="00603941">
              <w:rPr>
                <w:rStyle w:val="Hyperlink"/>
                <w:noProof/>
              </w:rPr>
              <w:t>Governance, peace and security</w:t>
            </w:r>
            <w:r w:rsidR="00603941">
              <w:rPr>
                <w:noProof/>
              </w:rPr>
              <w:tab/>
            </w:r>
            <w:r w:rsidR="00603941">
              <w:rPr>
                <w:noProof/>
                <w:webHidden/>
              </w:rPr>
              <w:fldChar w:fldCharType="begin" w:fldLock="1"/>
            </w:r>
            <w:r w:rsidR="00603941">
              <w:rPr>
                <w:noProof/>
                <w:webHidden/>
              </w:rPr>
              <w:instrText xml:space="preserve"> PAGEREF _Toc116575309 \h </w:instrText>
            </w:r>
            <w:r w:rsidR="00603941">
              <w:rPr>
                <w:noProof/>
                <w:webHidden/>
              </w:rPr>
            </w:r>
            <w:r w:rsidR="00603941">
              <w:rPr>
                <w:noProof/>
                <w:webHidden/>
              </w:rPr>
              <w:fldChar w:fldCharType="separate"/>
            </w:r>
            <w:r w:rsidR="00603941">
              <w:rPr>
                <w:noProof/>
                <w:webHidden/>
              </w:rPr>
              <w:t>8</w:t>
            </w:r>
            <w:r w:rsidR="00603941">
              <w:rPr>
                <w:noProof/>
                <w:webHidden/>
              </w:rPr>
              <w:fldChar w:fldCharType="end"/>
            </w:r>
          </w:hyperlink>
        </w:p>
        <w:p w14:paraId="7F869700" w14:textId="57C57520" w:rsidR="008C07A0" w:rsidRDefault="00D021FA">
          <w:pPr>
            <w:pStyle w:val="TOC1"/>
            <w:tabs>
              <w:tab w:val="right" w:leader="dot" w:pos="9016"/>
            </w:tabs>
            <w:rPr>
              <w:rFonts w:eastAsiaTheme="minorEastAsia"/>
              <w:noProof/>
            </w:rPr>
          </w:pPr>
          <w:hyperlink w:anchor="_Toc116575310" w:history="1">
            <w:r w:rsidR="00603941">
              <w:rPr>
                <w:rStyle w:val="Hyperlink"/>
                <w:noProof/>
              </w:rPr>
              <w:t>GLOBAL REACH</w:t>
            </w:r>
            <w:r w:rsidR="00603941">
              <w:rPr>
                <w:noProof/>
              </w:rPr>
              <w:tab/>
            </w:r>
            <w:r w:rsidR="00603941">
              <w:rPr>
                <w:noProof/>
                <w:webHidden/>
              </w:rPr>
              <w:fldChar w:fldCharType="begin" w:fldLock="1"/>
            </w:r>
            <w:r w:rsidR="00603941">
              <w:rPr>
                <w:noProof/>
                <w:webHidden/>
              </w:rPr>
              <w:instrText xml:space="preserve"> PAGEREF _Toc116575310 \h </w:instrText>
            </w:r>
            <w:r w:rsidR="00603941">
              <w:rPr>
                <w:noProof/>
                <w:webHidden/>
              </w:rPr>
            </w:r>
            <w:r w:rsidR="00603941">
              <w:rPr>
                <w:noProof/>
                <w:webHidden/>
              </w:rPr>
              <w:fldChar w:fldCharType="separate"/>
            </w:r>
            <w:r w:rsidR="00603941">
              <w:rPr>
                <w:noProof/>
                <w:webHidden/>
              </w:rPr>
              <w:t>9</w:t>
            </w:r>
            <w:r w:rsidR="00603941">
              <w:rPr>
                <w:noProof/>
                <w:webHidden/>
              </w:rPr>
              <w:fldChar w:fldCharType="end"/>
            </w:r>
          </w:hyperlink>
        </w:p>
        <w:p w14:paraId="695BCE50" w14:textId="4B3E56AE" w:rsidR="008C07A0" w:rsidRDefault="00D021FA">
          <w:pPr>
            <w:pStyle w:val="TOC2"/>
            <w:tabs>
              <w:tab w:val="right" w:leader="dot" w:pos="9016"/>
            </w:tabs>
            <w:rPr>
              <w:rFonts w:eastAsiaTheme="minorEastAsia"/>
              <w:noProof/>
            </w:rPr>
          </w:pPr>
          <w:hyperlink w:anchor="_Toc116575311" w:history="1">
            <w:r w:rsidR="00603941">
              <w:rPr>
                <w:rStyle w:val="Hyperlink"/>
                <w:noProof/>
              </w:rPr>
              <w:t>Sub-Saharan Africa</w:t>
            </w:r>
            <w:r w:rsidR="00603941">
              <w:rPr>
                <w:noProof/>
              </w:rPr>
              <w:tab/>
            </w:r>
            <w:r w:rsidR="00603941">
              <w:rPr>
                <w:noProof/>
                <w:webHidden/>
              </w:rPr>
              <w:fldChar w:fldCharType="begin" w:fldLock="1"/>
            </w:r>
            <w:r w:rsidR="00603941">
              <w:rPr>
                <w:noProof/>
                <w:webHidden/>
              </w:rPr>
              <w:instrText xml:space="preserve"> PAGEREF _Toc116575311 \h </w:instrText>
            </w:r>
            <w:r w:rsidR="00603941">
              <w:rPr>
                <w:noProof/>
                <w:webHidden/>
              </w:rPr>
            </w:r>
            <w:r w:rsidR="00603941">
              <w:rPr>
                <w:noProof/>
                <w:webHidden/>
              </w:rPr>
              <w:fldChar w:fldCharType="separate"/>
            </w:r>
            <w:r w:rsidR="00603941">
              <w:rPr>
                <w:noProof/>
                <w:webHidden/>
              </w:rPr>
              <w:t>9</w:t>
            </w:r>
            <w:r w:rsidR="00603941">
              <w:rPr>
                <w:noProof/>
                <w:webHidden/>
              </w:rPr>
              <w:fldChar w:fldCharType="end"/>
            </w:r>
          </w:hyperlink>
        </w:p>
        <w:p w14:paraId="0206C1E3" w14:textId="7A047737" w:rsidR="008C07A0" w:rsidRDefault="00D021FA">
          <w:pPr>
            <w:pStyle w:val="TOC2"/>
            <w:tabs>
              <w:tab w:val="right" w:leader="dot" w:pos="9016"/>
            </w:tabs>
            <w:rPr>
              <w:rFonts w:eastAsiaTheme="minorEastAsia"/>
              <w:noProof/>
            </w:rPr>
          </w:pPr>
          <w:hyperlink w:anchor="_Toc116575312" w:history="1">
            <w:r w:rsidR="00603941">
              <w:rPr>
                <w:rStyle w:val="Hyperlink"/>
                <w:noProof/>
              </w:rPr>
              <w:t>Asia and the Pacific</w:t>
            </w:r>
            <w:r w:rsidR="00603941">
              <w:rPr>
                <w:noProof/>
              </w:rPr>
              <w:tab/>
            </w:r>
            <w:r w:rsidR="00603941">
              <w:rPr>
                <w:noProof/>
                <w:webHidden/>
              </w:rPr>
              <w:fldChar w:fldCharType="begin" w:fldLock="1"/>
            </w:r>
            <w:r w:rsidR="00603941">
              <w:rPr>
                <w:noProof/>
                <w:webHidden/>
              </w:rPr>
              <w:instrText xml:space="preserve"> PAGEREF _Toc116575312 \h </w:instrText>
            </w:r>
            <w:r w:rsidR="00603941">
              <w:rPr>
                <w:noProof/>
                <w:webHidden/>
              </w:rPr>
            </w:r>
            <w:r w:rsidR="00603941">
              <w:rPr>
                <w:noProof/>
                <w:webHidden/>
              </w:rPr>
              <w:fldChar w:fldCharType="separate"/>
            </w:r>
            <w:r w:rsidR="00603941">
              <w:rPr>
                <w:noProof/>
                <w:webHidden/>
              </w:rPr>
              <w:t>9</w:t>
            </w:r>
            <w:r w:rsidR="00603941">
              <w:rPr>
                <w:noProof/>
                <w:webHidden/>
              </w:rPr>
              <w:fldChar w:fldCharType="end"/>
            </w:r>
          </w:hyperlink>
        </w:p>
        <w:p w14:paraId="5848C761" w14:textId="3110D1FA" w:rsidR="008C07A0" w:rsidRDefault="00D021FA">
          <w:pPr>
            <w:pStyle w:val="TOC2"/>
            <w:tabs>
              <w:tab w:val="right" w:leader="dot" w:pos="9016"/>
            </w:tabs>
            <w:rPr>
              <w:rFonts w:eastAsiaTheme="minorEastAsia"/>
              <w:noProof/>
            </w:rPr>
          </w:pPr>
          <w:hyperlink w:anchor="_Toc116575313" w:history="1">
            <w:r w:rsidR="00603941">
              <w:rPr>
                <w:rStyle w:val="Hyperlink"/>
                <w:noProof/>
              </w:rPr>
              <w:t>Americas and the Caribbean</w:t>
            </w:r>
            <w:r w:rsidR="00603941">
              <w:rPr>
                <w:noProof/>
              </w:rPr>
              <w:tab/>
            </w:r>
            <w:r w:rsidR="00603941">
              <w:rPr>
                <w:noProof/>
                <w:webHidden/>
              </w:rPr>
              <w:fldChar w:fldCharType="begin" w:fldLock="1"/>
            </w:r>
            <w:r w:rsidR="00603941">
              <w:rPr>
                <w:noProof/>
                <w:webHidden/>
              </w:rPr>
              <w:instrText xml:space="preserve"> PAGEREF _Toc116575313 \h </w:instrText>
            </w:r>
            <w:r w:rsidR="00603941">
              <w:rPr>
                <w:noProof/>
                <w:webHidden/>
              </w:rPr>
            </w:r>
            <w:r w:rsidR="00603941">
              <w:rPr>
                <w:noProof/>
                <w:webHidden/>
              </w:rPr>
              <w:fldChar w:fldCharType="separate"/>
            </w:r>
            <w:r w:rsidR="00603941">
              <w:rPr>
                <w:noProof/>
                <w:webHidden/>
              </w:rPr>
              <w:t>10</w:t>
            </w:r>
            <w:r w:rsidR="00603941">
              <w:rPr>
                <w:noProof/>
                <w:webHidden/>
              </w:rPr>
              <w:fldChar w:fldCharType="end"/>
            </w:r>
          </w:hyperlink>
        </w:p>
        <w:p w14:paraId="7B15AAA1" w14:textId="3EAE06C9" w:rsidR="008C07A0" w:rsidRDefault="00D021FA">
          <w:pPr>
            <w:pStyle w:val="TOC2"/>
            <w:tabs>
              <w:tab w:val="right" w:leader="dot" w:pos="9016"/>
            </w:tabs>
            <w:rPr>
              <w:rFonts w:eastAsiaTheme="minorEastAsia"/>
              <w:noProof/>
            </w:rPr>
          </w:pPr>
          <w:hyperlink w:anchor="_Toc116575314" w:history="1">
            <w:r w:rsidR="00603941">
              <w:rPr>
                <w:rStyle w:val="Hyperlink"/>
                <w:noProof/>
              </w:rPr>
              <w:t>European Neighbourhood</w:t>
            </w:r>
            <w:r w:rsidR="00603941">
              <w:rPr>
                <w:noProof/>
              </w:rPr>
              <w:tab/>
            </w:r>
            <w:r w:rsidR="00603941">
              <w:rPr>
                <w:noProof/>
                <w:webHidden/>
              </w:rPr>
              <w:fldChar w:fldCharType="begin" w:fldLock="1"/>
            </w:r>
            <w:r w:rsidR="00603941">
              <w:rPr>
                <w:noProof/>
                <w:webHidden/>
              </w:rPr>
              <w:instrText xml:space="preserve"> PAGEREF _Toc116575314 \h </w:instrText>
            </w:r>
            <w:r w:rsidR="00603941">
              <w:rPr>
                <w:noProof/>
                <w:webHidden/>
              </w:rPr>
            </w:r>
            <w:r w:rsidR="00603941">
              <w:rPr>
                <w:noProof/>
                <w:webHidden/>
              </w:rPr>
              <w:fldChar w:fldCharType="separate"/>
            </w:r>
            <w:r w:rsidR="00603941">
              <w:rPr>
                <w:noProof/>
                <w:webHidden/>
              </w:rPr>
              <w:t>10</w:t>
            </w:r>
            <w:r w:rsidR="00603941">
              <w:rPr>
                <w:noProof/>
                <w:webHidden/>
              </w:rPr>
              <w:fldChar w:fldCharType="end"/>
            </w:r>
          </w:hyperlink>
        </w:p>
        <w:p w14:paraId="093FE3E5" w14:textId="1D097F6E" w:rsidR="008C07A0" w:rsidRDefault="00D021FA">
          <w:pPr>
            <w:pStyle w:val="TOC2"/>
            <w:tabs>
              <w:tab w:val="right" w:leader="dot" w:pos="9016"/>
            </w:tabs>
            <w:rPr>
              <w:rFonts w:eastAsiaTheme="minorEastAsia"/>
              <w:noProof/>
            </w:rPr>
          </w:pPr>
          <w:hyperlink w:anchor="_Toc116575315" w:history="1">
            <w:r w:rsidR="00603941">
              <w:rPr>
                <w:rStyle w:val="Hyperlink"/>
                <w:noProof/>
              </w:rPr>
              <w:t>Enlargement</w:t>
            </w:r>
            <w:r w:rsidR="00603941">
              <w:rPr>
                <w:noProof/>
              </w:rPr>
              <w:tab/>
            </w:r>
            <w:r w:rsidR="00603941">
              <w:rPr>
                <w:noProof/>
                <w:webHidden/>
              </w:rPr>
              <w:fldChar w:fldCharType="begin" w:fldLock="1"/>
            </w:r>
            <w:r w:rsidR="00603941">
              <w:rPr>
                <w:noProof/>
                <w:webHidden/>
              </w:rPr>
              <w:instrText xml:space="preserve"> PAGEREF _Toc116575315 \h </w:instrText>
            </w:r>
            <w:r w:rsidR="00603941">
              <w:rPr>
                <w:noProof/>
                <w:webHidden/>
              </w:rPr>
            </w:r>
            <w:r w:rsidR="00603941">
              <w:rPr>
                <w:noProof/>
                <w:webHidden/>
              </w:rPr>
              <w:fldChar w:fldCharType="separate"/>
            </w:r>
            <w:r w:rsidR="00603941">
              <w:rPr>
                <w:noProof/>
                <w:webHidden/>
              </w:rPr>
              <w:t>11</w:t>
            </w:r>
            <w:r w:rsidR="00603941">
              <w:rPr>
                <w:noProof/>
                <w:webHidden/>
              </w:rPr>
              <w:fldChar w:fldCharType="end"/>
            </w:r>
          </w:hyperlink>
        </w:p>
        <w:p w14:paraId="73166FFA" w14:textId="355C704D" w:rsidR="008C07A0" w:rsidRDefault="00D021FA">
          <w:pPr>
            <w:pStyle w:val="TOC2"/>
            <w:tabs>
              <w:tab w:val="right" w:leader="dot" w:pos="9016"/>
            </w:tabs>
            <w:rPr>
              <w:rFonts w:eastAsiaTheme="minorEastAsia"/>
              <w:noProof/>
            </w:rPr>
          </w:pPr>
          <w:hyperlink w:anchor="_Toc116575316" w:history="1">
            <w:r w:rsidR="00603941">
              <w:rPr>
                <w:rStyle w:val="Hyperlink"/>
                <w:noProof/>
              </w:rPr>
              <w:t>Overseas countries and territories (OCTs)</w:t>
            </w:r>
            <w:r w:rsidR="00603941">
              <w:rPr>
                <w:noProof/>
              </w:rPr>
              <w:tab/>
            </w:r>
            <w:r w:rsidR="00603941">
              <w:rPr>
                <w:noProof/>
                <w:webHidden/>
              </w:rPr>
              <w:fldChar w:fldCharType="begin" w:fldLock="1"/>
            </w:r>
            <w:r w:rsidR="00603941">
              <w:rPr>
                <w:noProof/>
                <w:webHidden/>
              </w:rPr>
              <w:instrText xml:space="preserve"> PAGEREF _Toc116575316 \h </w:instrText>
            </w:r>
            <w:r w:rsidR="00603941">
              <w:rPr>
                <w:noProof/>
                <w:webHidden/>
              </w:rPr>
            </w:r>
            <w:r w:rsidR="00603941">
              <w:rPr>
                <w:noProof/>
                <w:webHidden/>
              </w:rPr>
              <w:fldChar w:fldCharType="separate"/>
            </w:r>
            <w:r w:rsidR="00603941">
              <w:rPr>
                <w:noProof/>
                <w:webHidden/>
              </w:rPr>
              <w:t>11</w:t>
            </w:r>
            <w:r w:rsidR="00603941">
              <w:rPr>
                <w:noProof/>
                <w:webHidden/>
              </w:rPr>
              <w:fldChar w:fldCharType="end"/>
            </w:r>
          </w:hyperlink>
        </w:p>
        <w:p w14:paraId="299048F6" w14:textId="54396E1D" w:rsidR="009819A5" w:rsidRDefault="009819A5">
          <w:pPr>
            <w:rPr>
              <w:noProof/>
            </w:rPr>
          </w:pPr>
          <w:r>
            <w:rPr>
              <w:b/>
              <w:noProof/>
            </w:rPr>
            <w:fldChar w:fldCharType="end"/>
          </w:r>
        </w:p>
      </w:sdtContent>
    </w:sdt>
    <w:p w14:paraId="50DC9CD7" w14:textId="6C4644D4" w:rsidR="009819A5" w:rsidRDefault="009819A5" w:rsidP="00473C37">
      <w:pPr>
        <w:spacing w:after="0" w:line="276" w:lineRule="auto"/>
        <w:jc w:val="center"/>
        <w:rPr>
          <w:b/>
          <w:bCs/>
          <w:noProof/>
          <w:sz w:val="24"/>
          <w:szCs w:val="24"/>
        </w:rPr>
      </w:pPr>
    </w:p>
    <w:p w14:paraId="5ECB7971" w14:textId="16741E16" w:rsidR="009819A5" w:rsidRDefault="009819A5" w:rsidP="00473C37">
      <w:pPr>
        <w:spacing w:after="0" w:line="276" w:lineRule="auto"/>
        <w:jc w:val="center"/>
        <w:rPr>
          <w:b/>
          <w:bCs/>
          <w:noProof/>
          <w:sz w:val="24"/>
          <w:szCs w:val="24"/>
        </w:rPr>
      </w:pPr>
    </w:p>
    <w:p w14:paraId="7FB2F3ED" w14:textId="5664CDF3" w:rsidR="009819A5" w:rsidRDefault="009819A5" w:rsidP="00473C37">
      <w:pPr>
        <w:spacing w:after="0" w:line="276" w:lineRule="auto"/>
        <w:jc w:val="center"/>
        <w:rPr>
          <w:b/>
          <w:bCs/>
          <w:noProof/>
          <w:sz w:val="24"/>
          <w:szCs w:val="24"/>
        </w:rPr>
      </w:pPr>
    </w:p>
    <w:p w14:paraId="570333E6" w14:textId="5DC18398" w:rsidR="009819A5" w:rsidRDefault="009819A5" w:rsidP="00473C37">
      <w:pPr>
        <w:spacing w:after="0" w:line="276" w:lineRule="auto"/>
        <w:jc w:val="center"/>
        <w:rPr>
          <w:b/>
          <w:bCs/>
          <w:noProof/>
          <w:sz w:val="24"/>
          <w:szCs w:val="24"/>
        </w:rPr>
      </w:pPr>
    </w:p>
    <w:p w14:paraId="63E25295" w14:textId="7D47F3BE" w:rsidR="009819A5" w:rsidRDefault="009819A5" w:rsidP="00473C37">
      <w:pPr>
        <w:spacing w:after="0" w:line="276" w:lineRule="auto"/>
        <w:jc w:val="center"/>
        <w:rPr>
          <w:b/>
          <w:bCs/>
          <w:noProof/>
          <w:sz w:val="24"/>
          <w:szCs w:val="24"/>
        </w:rPr>
      </w:pPr>
    </w:p>
    <w:p w14:paraId="4C5ECC70" w14:textId="21EEE653" w:rsidR="00EF3464" w:rsidRDefault="00EF3464">
      <w:pPr>
        <w:rPr>
          <w:b/>
          <w:bCs/>
          <w:noProof/>
          <w:sz w:val="24"/>
          <w:szCs w:val="24"/>
        </w:rPr>
      </w:pPr>
      <w:r>
        <w:rPr>
          <w:noProof/>
        </w:rPr>
        <w:br w:type="page"/>
      </w:r>
    </w:p>
    <w:p w14:paraId="14C2F845" w14:textId="0E968AF8" w:rsidR="00DA4F6E" w:rsidRPr="00E10A3B" w:rsidRDefault="006A5935" w:rsidP="00C97296">
      <w:pPr>
        <w:pStyle w:val="Heading1"/>
        <w:rPr>
          <w:noProof/>
        </w:rPr>
      </w:pPr>
      <w:bookmarkStart w:id="2" w:name="_Toc116575297"/>
      <w:r>
        <w:rPr>
          <w:noProof/>
        </w:rPr>
        <w:t>GLOBÁLNE ZÁVÄZKY</w:t>
      </w:r>
      <w:bookmarkEnd w:id="2"/>
    </w:p>
    <w:p w14:paraId="16BB3DD2" w14:textId="77777777" w:rsidR="00500A1D" w:rsidRPr="00E10A3B" w:rsidRDefault="008812B3" w:rsidP="00796B9E">
      <w:pPr>
        <w:pStyle w:val="Heading2"/>
        <w:spacing w:before="120" w:after="120"/>
        <w:rPr>
          <w:noProof/>
        </w:rPr>
      </w:pPr>
      <w:bookmarkStart w:id="3" w:name="_Toc116575298"/>
      <w:r>
        <w:rPr>
          <w:noProof/>
        </w:rPr>
        <w:t>Úvod</w:t>
      </w:r>
      <w:bookmarkEnd w:id="3"/>
    </w:p>
    <w:p w14:paraId="64A916FB" w14:textId="067D8283" w:rsidR="00374C32" w:rsidRDefault="00061EE1" w:rsidP="00796B9E">
      <w:pPr>
        <w:jc w:val="both"/>
        <w:rPr>
          <w:noProof/>
        </w:rPr>
      </w:pPr>
      <w:r>
        <w:rPr>
          <w:noProof/>
        </w:rPr>
        <w:t>V roku 2021 mala pandémia ochorenia COVID-19 naďalej významný vplyv na vonkajšie vzťahy Európskej únie. Prostredníctvom prístupu „Tímu Európa“ pomohla EÚ spoločne so svojimi členskými štátmi a s európskymi finančnými inštitúciami viesť celosvetový boj proti ochoreniu COVID-19, v rámci ktorého sa s partnerskými krajinami podelili o viac ako 380 miliónov dávok vakcín. EÚ touto jednotnou reakciou opäť preukázala prispôsobivosť, pružnosť a silu svojich nástrojov vonkajšej činnosti a hodnotu svojich medzinárodných partnerstiev.</w:t>
      </w:r>
    </w:p>
    <w:p w14:paraId="4ACEEF71" w14:textId="5C6D5E49" w:rsidR="005D2C3E" w:rsidRDefault="00197295" w:rsidP="00796B9E">
      <w:pPr>
        <w:jc w:val="both"/>
        <w:rPr>
          <w:noProof/>
        </w:rPr>
      </w:pPr>
      <w:r>
        <w:rPr>
          <w:noProof/>
        </w:rPr>
        <w:t>V tejto správe sa uvádzajú kľúčové prvky finančnej podpory EÚ určenej na medzinárodnú spoluprácu a rozvoj, humanitárnu pomoc, zahraničnú politiku a rozširovanie v roku 2021</w:t>
      </w:r>
      <w:r>
        <w:rPr>
          <w:noProof/>
          <w:vertAlign w:val="superscript"/>
        </w:rPr>
        <w:footnoteReference w:id="1"/>
      </w:r>
      <w:r>
        <w:rPr>
          <w:noProof/>
        </w:rPr>
        <w:t>.</w:t>
      </w:r>
    </w:p>
    <w:p w14:paraId="060F1EEB" w14:textId="00DA33A6" w:rsidR="005D2C3E" w:rsidRDefault="00061EE1" w:rsidP="00796B9E">
      <w:pPr>
        <w:jc w:val="both"/>
        <w:rPr>
          <w:noProof/>
        </w:rPr>
      </w:pPr>
      <w:r>
        <w:rPr>
          <w:noProof/>
        </w:rPr>
        <w:t>Rok 2021 bol rokom transformácie, keďže sa vo viacročnom finančnom rámci (VFR) na roky 2021 – 2027 zaviedol nový Nástroj susedstva a rozvojovej a medzinárodnej spolupráce – Globálna Európa (NDICI – Globálna Európa)</w:t>
      </w:r>
      <w:r>
        <w:rPr>
          <w:rStyle w:val="FootnoteReference"/>
          <w:noProof/>
        </w:rPr>
        <w:footnoteReference w:id="2"/>
      </w:r>
      <w:r>
        <w:rPr>
          <w:noProof/>
        </w:rPr>
        <w:t xml:space="preserve">. Je v ňom integrovaná väčšina existujúcich nástrojov vonkajšieho financovania a vyčlenil sa naň počiatočný rozpočet 79,5 miliardy EUR. </w:t>
      </w:r>
    </w:p>
    <w:p w14:paraId="33920551" w14:textId="65A9CD72" w:rsidR="008849C8" w:rsidRDefault="00303AE7" w:rsidP="00796B9E">
      <w:pPr>
        <w:jc w:val="both"/>
        <w:rPr>
          <w:noProof/>
        </w:rPr>
      </w:pPr>
      <w:r>
        <w:rPr>
          <w:noProof/>
        </w:rPr>
        <w:t>EÚ pokračovala v presadzovaní dlhodobého programu v súlade s cieľmi udržateľného rozvoja. V rámci prístupu „Tímu Európa“ sa vypracovalo portfólio iniciatív na zvýšenie vplyvu a účinnosti opatrení EÚ na riešenie naliehavých výziev, ako sú rastúce globálne nerovnosti, digitálna priepasť a núdzová situácia v oblasti životného prostredia.</w:t>
      </w:r>
    </w:p>
    <w:p w14:paraId="51684016" w14:textId="7757A032" w:rsidR="00061EE1" w:rsidRDefault="00DE6A27" w:rsidP="00796B9E">
      <w:pPr>
        <w:jc w:val="both"/>
        <w:rPr>
          <w:noProof/>
        </w:rPr>
      </w:pPr>
      <w:r>
        <w:rPr>
          <w:noProof/>
        </w:rPr>
        <w:t>EÚ v roku 2021 posilnila vzťahy s krajinami a regiónmi, s ktorými zdieľa spoločné hranice, a opätovne potvrdila svoju podporu európskej perspektíve západného Balkánu. Komisia začala vykonávať revidovanú metodiku rozširovania, čo sa odráža v balíku Komisie týkajúcom sa rozširovania z roku 2021</w:t>
      </w:r>
      <w:r>
        <w:rPr>
          <w:noProof/>
          <w:vertAlign w:val="superscript"/>
        </w:rPr>
        <w:footnoteReference w:id="3"/>
      </w:r>
      <w:r>
        <w:rPr>
          <w:noProof/>
        </w:rPr>
        <w:t>.</w:t>
      </w:r>
    </w:p>
    <w:p w14:paraId="50B32BE8" w14:textId="6EED2FC1" w:rsidR="008849C8" w:rsidRDefault="00DE6A27" w:rsidP="00796B9E">
      <w:pPr>
        <w:jc w:val="both"/>
        <w:rPr>
          <w:noProof/>
        </w:rPr>
      </w:pPr>
      <w:r>
        <w:rPr>
          <w:noProof/>
        </w:rPr>
        <w:t>Európska komisia a vysoký predstaviteľ prijali aj nový program pre Stredozemie</w:t>
      </w:r>
      <w:r>
        <w:rPr>
          <w:noProof/>
          <w:vertAlign w:val="superscript"/>
        </w:rPr>
        <w:footnoteReference w:id="4"/>
      </w:r>
      <w:r>
        <w:rPr>
          <w:noProof/>
        </w:rPr>
        <w:t xml:space="preserve"> s cieľom obnoviť partnerstvo s južným susedstvom vrátane osobitného hospodárskeho a investičného plánu na podporu dlhodobého sociálno-ekonomického oživenia.</w:t>
      </w:r>
    </w:p>
    <w:p w14:paraId="244BF80D" w14:textId="702F9AD2" w:rsidR="00AF2080" w:rsidRDefault="00537A15" w:rsidP="00796B9E">
      <w:pPr>
        <w:jc w:val="both"/>
        <w:rPr>
          <w:noProof/>
        </w:rPr>
      </w:pPr>
      <w:r>
        <w:rPr>
          <w:noProof/>
        </w:rPr>
        <w:t>Na šiestom samite Východného partnerstva sa stanovila spoločná vízia budúcnosti a schválil sa obnovený program zameraný na obnovu, odolnosť a reformu, ako sa uvádza v návrhu predloženom Komisiou a vysokým predstaviteľom v júli 2021.</w:t>
      </w:r>
    </w:p>
    <w:p w14:paraId="5F30D0F4" w14:textId="15773A79" w:rsidR="008849C8" w:rsidRPr="0099400F" w:rsidRDefault="008849C8" w:rsidP="00796B9E">
      <w:pPr>
        <w:jc w:val="both"/>
        <w:rPr>
          <w:noProof/>
        </w:rPr>
      </w:pPr>
      <w:r>
        <w:rPr>
          <w:noProof/>
        </w:rPr>
        <w:t xml:space="preserve">Dňa 15. apríla 2021 EÚ a členovia Organizácie afrických, karibských a tichomorských štátov (OAKTŠ) parafovali nový 20-ročný rámec partnerstva, a to dohodu „nasledujúcu po Dohode z Cotonou“. V rámci prípravy na samit s Africkou úniou (AÚ) v roku 2022 EÚ pracovala na posilňovaní a prehlbovaní spolupráce s Afrikou. </w:t>
      </w:r>
    </w:p>
    <w:p w14:paraId="184C4FB4" w14:textId="7E3281CE" w:rsidR="00F93FD7" w:rsidRDefault="008849C8" w:rsidP="00796B9E">
      <w:pPr>
        <w:jc w:val="both"/>
        <w:rPr>
          <w:noProof/>
        </w:rPr>
      </w:pPr>
      <w:r>
        <w:rPr>
          <w:noProof/>
        </w:rPr>
        <w:t>Po prevzatí moci Talibanom v Afganistane EÚ oznámila balík podpory v objeme 1 miliardy EUR na riešenie naliehavých potrieb v celej krajine a v celom regióne. Počas stretnutia vedúcich predstaviteľov EÚ a Indie, ktoré sa konalo 8. mája 2021, EÚ a India nadviazali komplexné partnerstvo v oblasti prepojenosti.</w:t>
      </w:r>
    </w:p>
    <w:p w14:paraId="5C08307B" w14:textId="5373A76A" w:rsidR="008849C8" w:rsidRPr="003A7314" w:rsidRDefault="008849C8" w:rsidP="00796B9E">
      <w:pPr>
        <w:jc w:val="both"/>
        <w:rPr>
          <w:noProof/>
        </w:rPr>
      </w:pPr>
      <w:r>
        <w:rPr>
          <w:noProof/>
        </w:rPr>
        <w:t>EÚ aktualizovala aj svoju politiku pre Arktídu. Počas fóra pre medzinárodnú správu oceánov v roku 2021 EÚ predložila odporúčania týkajúce sa udržateľnosti oceánov.</w:t>
      </w:r>
    </w:p>
    <w:p w14:paraId="3C3B16FD" w14:textId="17746EE4" w:rsidR="008849C8" w:rsidRDefault="008849C8" w:rsidP="00796B9E">
      <w:pPr>
        <w:jc w:val="both"/>
        <w:rPr>
          <w:noProof/>
        </w:rPr>
      </w:pPr>
      <w:r>
        <w:rPr>
          <w:noProof/>
        </w:rPr>
        <w:t>Komisia začiatkom roku 2021 navrhla ďalej posilniť globálny humanitárny vplyv EÚ</w:t>
      </w:r>
      <w:r>
        <w:rPr>
          <w:rStyle w:val="FootnoteReference"/>
          <w:noProof/>
        </w:rPr>
        <w:footnoteReference w:id="5"/>
      </w:r>
      <w:r>
        <w:rPr>
          <w:noProof/>
        </w:rPr>
        <w:t xml:space="preserve"> a urýchliť poskytovanie humanitárnej pomoci podporou humanitárnych partnerov, rozšírením darcovskej základne a riešením základných príčin kríz prostredníctvom prístupu „Tímu Európa“.</w:t>
      </w:r>
    </w:p>
    <w:p w14:paraId="1C8F19E4" w14:textId="06F74616" w:rsidR="00983977" w:rsidRPr="0099400F" w:rsidRDefault="00486610" w:rsidP="00796B9E">
      <w:pPr>
        <w:jc w:val="both"/>
        <w:rPr>
          <w:noProof/>
        </w:rPr>
      </w:pPr>
      <w:r>
        <w:rPr>
          <w:noProof/>
        </w:rPr>
        <w:t>Podpora a ochrana mieru vo svete je základným kameňom vonkajšej činnosti EÚ. Cieľom mimorozpočtového Európskeho mierového nástroja</w:t>
      </w:r>
      <w:r>
        <w:rPr>
          <w:rStyle w:val="FootnoteReference"/>
          <w:b/>
          <w:bCs/>
          <w:noProof/>
        </w:rPr>
        <w:footnoteReference w:id="6"/>
      </w:r>
      <w:r>
        <w:rPr>
          <w:noProof/>
        </w:rPr>
        <w:t xml:space="preserve"> zriadeného začiatkom roka 2021 je zachovať mier, predchádzať konfliktom a posilňovať medzinárodnú bezpečnosť.</w:t>
      </w:r>
    </w:p>
    <w:p w14:paraId="50F232EC" w14:textId="54E2FF3D" w:rsidR="003A7314" w:rsidRDefault="00225BCF" w:rsidP="00796B9E">
      <w:pPr>
        <w:jc w:val="both"/>
        <w:rPr>
          <w:noProof/>
        </w:rPr>
      </w:pPr>
      <w:r>
        <w:rPr>
          <w:noProof/>
        </w:rPr>
        <w:t>EÚ zároveň preukázala svoj záväzok týkajúci sa demokratizácie a ľudských práv vyslaním šiestich volebných pozorovateľských misií (do Gambie, Hondurasu, Iraku, Kosova</w:t>
      </w:r>
      <w:r>
        <w:rPr>
          <w:rStyle w:val="FootnoteReference"/>
          <w:noProof/>
        </w:rPr>
        <w:footnoteReference w:customMarkFollows="1" w:id="7"/>
        <w:t>*</w:t>
      </w:r>
      <w:r>
        <w:rPr>
          <w:noProof/>
        </w:rPr>
        <w:t xml:space="preserve">, Venezuely, Zambie), ako aj nadväzujúcich misií do viac ako desiatich krajín. </w:t>
      </w:r>
    </w:p>
    <w:p w14:paraId="1BD227F5" w14:textId="0F5EFC84" w:rsidR="008849C8" w:rsidRDefault="00201D03" w:rsidP="00796B9E">
      <w:pPr>
        <w:jc w:val="both"/>
        <w:rPr>
          <w:noProof/>
        </w:rPr>
      </w:pPr>
      <w:r>
        <w:rPr>
          <w:noProof/>
        </w:rPr>
        <w:t>Na samom konci roka spustila predsedníčka von der Leyenová stratégiu Global Gateway</w:t>
      </w:r>
      <w:r>
        <w:rPr>
          <w:rStyle w:val="FootnoteReference"/>
          <w:noProof/>
        </w:rPr>
        <w:footnoteReference w:id="8"/>
      </w:r>
      <w:r>
        <w:rPr>
          <w:noProof/>
        </w:rPr>
        <w:t>.Ide o hlavný investičný program zakotvený v Agende 2030 a Parížskej dohode, ktorého cieľom je podpora udržateľnej prepojenosti na celom svete.</w:t>
      </w:r>
    </w:p>
    <w:p w14:paraId="1AE7DF66" w14:textId="601500CA" w:rsidR="0081420D" w:rsidRDefault="0081420D" w:rsidP="00796B9E">
      <w:pPr>
        <w:pStyle w:val="Heading2"/>
        <w:spacing w:before="120" w:after="120"/>
        <w:rPr>
          <w:noProof/>
        </w:rPr>
      </w:pPr>
      <w:bookmarkStart w:id="4" w:name="_Toc116575299"/>
      <w:r>
        <w:rPr>
          <w:noProof/>
        </w:rPr>
        <w:t>EÚ: silný globálny aktér</w:t>
      </w:r>
      <w:bookmarkEnd w:id="4"/>
    </w:p>
    <w:p w14:paraId="20CC24C5" w14:textId="18924A03" w:rsidR="0081420D" w:rsidRDefault="004D166A" w:rsidP="00796B9E">
      <w:pPr>
        <w:jc w:val="both"/>
        <w:rPr>
          <w:noProof/>
        </w:rPr>
      </w:pPr>
      <w:r>
        <w:rPr>
          <w:noProof/>
        </w:rPr>
        <w:t>EÚ je naďalej jedným z mála aktérov s globálnym pôsobením a komplexným súborom politických nástrojov, ktorý dokáže podporiť svojich partnerov na celom svete. EÚ a jej členské štáty sú odhodlané zohľadňovať ciele udržateľného rozvoja vo všetkých vonkajších politikách a vo vnútorných politikách, ktoré majú vplyv na partnerské krajiny.</w:t>
      </w:r>
    </w:p>
    <w:p w14:paraId="3F2E106F" w14:textId="4F2B4717" w:rsidR="00F62434" w:rsidRDefault="00F62434" w:rsidP="00F62434">
      <w:pPr>
        <w:jc w:val="both"/>
        <w:rPr>
          <w:noProof/>
        </w:rPr>
      </w:pPr>
      <w:r>
        <w:rPr>
          <w:noProof/>
        </w:rPr>
        <w:t>Obchodná politika je jedným z nástrojov, prostredníctvom ktorých môže EÚ vykonávať svoju úlohu silného globálneho aktéra a zároveň podporovať svojich obchodných partnerov. Otvorenosť, udržateľnosť a asertívnosť predstavujú tri piliere obchodnej stratégie EÚ. V preskúmaní obchodnej politiky prijatom v roku 2021</w:t>
      </w:r>
      <w:r>
        <w:rPr>
          <w:rStyle w:val="FootnoteReference"/>
          <w:noProof/>
        </w:rPr>
        <w:footnoteReference w:id="9"/>
      </w:r>
      <w:r>
        <w:rPr>
          <w:noProof/>
        </w:rPr>
        <w:t xml:space="preserve"> sa opisuje, ako môže obchod v súčinnosti s inými politikami podporiť oživenie hospodárstva a zároveň podporiť zelenú a digitálnu transformáciu a udržateľnejšiu a spravodlivejšiu globalizáciu.</w:t>
      </w:r>
    </w:p>
    <w:tbl>
      <w:tblPr>
        <w:tblStyle w:val="TableGrid"/>
        <w:tblW w:w="0" w:type="auto"/>
        <w:tblLayout w:type="fixed"/>
        <w:tblLook w:val="06A0" w:firstRow="1" w:lastRow="0" w:firstColumn="1" w:lastColumn="0" w:noHBand="1" w:noVBand="1"/>
        <w:tblCaption w:val="Zvýraznený text týkajúci sa oddielu „EÚ ako silný globálny aktér“"/>
      </w:tblPr>
      <w:tblGrid>
        <w:gridCol w:w="9015"/>
      </w:tblGrid>
      <w:tr w:rsidR="008C1D09" w14:paraId="64D4AE27" w14:textId="77777777" w:rsidTr="00B62215">
        <w:trPr>
          <w:tblHeader/>
        </w:trPr>
        <w:tc>
          <w:tcPr>
            <w:tcW w:w="9015" w:type="dxa"/>
          </w:tcPr>
          <w:p w14:paraId="3ECD4B75" w14:textId="47FBA0FA" w:rsidR="008C1D09" w:rsidRPr="00210566" w:rsidRDefault="008C1D09" w:rsidP="00682AD2">
            <w:pPr>
              <w:jc w:val="both"/>
              <w:rPr>
                <w:noProof/>
              </w:rPr>
            </w:pPr>
            <w:r>
              <w:rPr>
                <w:noProof/>
              </w:rPr>
              <w:t>EÚ je spolu so svojimi členskými štátmi naďalej popredným poskytovateľom oficiálnej rozvojovej pomoci (ODA) v celosvetovom kontexte, pričom v roku 2021 spoločne poskytli 70,2 miliardy EUR</w:t>
            </w:r>
            <w:r>
              <w:rPr>
                <w:noProof/>
                <w:vertAlign w:val="superscript"/>
              </w:rPr>
              <w:footnoteReference w:id="10"/>
            </w:r>
            <w:r>
              <w:rPr>
                <w:noProof/>
              </w:rPr>
              <w:t xml:space="preserve"> (v roku 2020 poskytli 67,3 miliardy EUR), čo predstavuje 43 % globálnej oficiálnej rozvojovej pomoci</w:t>
            </w:r>
            <w:r>
              <w:rPr>
                <w:rStyle w:val="FootnoteReference"/>
                <w:noProof/>
              </w:rPr>
              <w:footnoteReference w:id="11"/>
            </w:r>
            <w:r>
              <w:rPr>
                <w:noProof/>
              </w:rPr>
              <w:t xml:space="preserve"> a 0,49 % hrubého národného dôchodku EÚ (v roku 2020 išlo o 0,50 %)</w:t>
            </w:r>
            <w:r>
              <w:rPr>
                <w:noProof/>
                <w:vertAlign w:val="superscript"/>
              </w:rPr>
              <w:footnoteReference w:id="12"/>
            </w:r>
            <w:r>
              <w:rPr>
                <w:noProof/>
              </w:rPr>
              <w:t>.</w:t>
            </w:r>
          </w:p>
        </w:tc>
      </w:tr>
    </w:tbl>
    <w:p w14:paraId="6552F6E1" w14:textId="77777777" w:rsidR="008C1D09" w:rsidRDefault="008C1D09" w:rsidP="008C1D09">
      <w:pPr>
        <w:spacing w:after="0"/>
        <w:jc w:val="both"/>
        <w:rPr>
          <w:noProof/>
        </w:rPr>
      </w:pPr>
    </w:p>
    <w:p w14:paraId="5BBBB63D" w14:textId="01BCF355" w:rsidR="004D166A" w:rsidRDefault="00E33CAC" w:rsidP="00796B9E">
      <w:pPr>
        <w:jc w:val="both"/>
        <w:rPr>
          <w:noProof/>
        </w:rPr>
      </w:pPr>
      <w:r>
        <w:rPr>
          <w:noProof/>
        </w:rPr>
        <w:t>EÚ považuje a základ mierových medzinárodných vzťahov multilateralizmus založený na pravidlách, ktorého jadrom je Organizácia Spojených národov (OSN). Komisia a vysoký predstaviteľ predložili v roku 2021 novú stratégiu</w:t>
      </w:r>
      <w:r>
        <w:rPr>
          <w:noProof/>
          <w:vertAlign w:val="superscript"/>
        </w:rPr>
        <w:footnoteReference w:id="13"/>
      </w:r>
      <w:r>
        <w:rPr>
          <w:noProof/>
        </w:rPr>
        <w:t xml:space="preserve"> na posilnenie príspevku EÚ k multilateralizmu založenému na pravidlách, v ktorej sa stanovujú ambície EÚ týkajúce sa multilaterálneho systému.</w:t>
      </w:r>
    </w:p>
    <w:p w14:paraId="2AAE94D9" w14:textId="323E7A05" w:rsidR="00BD2C91" w:rsidRPr="00290EE9" w:rsidRDefault="009A0D6D" w:rsidP="00796B9E">
      <w:pPr>
        <w:jc w:val="both"/>
        <w:rPr>
          <w:noProof/>
        </w:rPr>
      </w:pPr>
      <w:r>
        <w:rPr>
          <w:noProof/>
        </w:rPr>
        <w:t xml:space="preserve">EÚ počas roku 2021 podporovala humanitárne organizácie v celom rade krajín a regiónov zasiahnutých krízou a uskutočnila humanitárne operácie vo viac ako 80 krajinách. Väčšia časť finančných prostriedkov EÚ určených na humanitárnu pomoc je zameraná na potreby vyplývajúce z dlhotrvajúcich kríz spôsobených predovšetkým konfliktmi a znásobených pandémiou ochorenia COVID-19 a zmenou klímy. </w:t>
      </w:r>
    </w:p>
    <w:tbl>
      <w:tblPr>
        <w:tblStyle w:val="TableGrid"/>
        <w:tblW w:w="0" w:type="auto"/>
        <w:tblLayout w:type="fixed"/>
        <w:tblLook w:val="06A0" w:firstRow="1" w:lastRow="0" w:firstColumn="1" w:lastColumn="0" w:noHBand="1" w:noVBand="1"/>
        <w:tblCaption w:val="Zvýraznený text týkajúci sa oddielu EÚ ako silný globálny aktér"/>
      </w:tblPr>
      <w:tblGrid>
        <w:gridCol w:w="9015"/>
      </w:tblGrid>
      <w:tr w:rsidR="6A002CA1" w14:paraId="094A6BDC" w14:textId="77777777" w:rsidTr="00B62215">
        <w:trPr>
          <w:tblHeader/>
        </w:trPr>
        <w:tc>
          <w:tcPr>
            <w:tcW w:w="9015" w:type="dxa"/>
          </w:tcPr>
          <w:p w14:paraId="7A83BF09" w14:textId="18705266" w:rsidR="00290EE9" w:rsidRPr="00210566" w:rsidRDefault="00290EE9" w:rsidP="00796B9E">
            <w:pPr>
              <w:jc w:val="both"/>
              <w:rPr>
                <w:noProof/>
              </w:rPr>
            </w:pPr>
            <w:r>
              <w:rPr>
                <w:noProof/>
              </w:rPr>
              <w:t>EÚ spoločne so svojimi členskými štátmi naďalej patria k popredným poskytovateľom humanitárnej pomoci na svete. V roku 2021 samotná EÚ vyčlenila na humanitárnu pomoc viac ako 2,1 miliardy EUR.</w:t>
            </w:r>
          </w:p>
        </w:tc>
      </w:tr>
    </w:tbl>
    <w:p w14:paraId="10FA6E2A" w14:textId="488E9552" w:rsidR="00B301D5" w:rsidRPr="0099400F" w:rsidRDefault="00B301D5" w:rsidP="00796B9E">
      <w:pPr>
        <w:spacing w:before="240"/>
        <w:jc w:val="both"/>
        <w:rPr>
          <w:noProof/>
        </w:rPr>
      </w:pPr>
      <w:bookmarkStart w:id="5" w:name="_Hlk102387865"/>
      <w:r>
        <w:rPr>
          <w:noProof/>
        </w:rPr>
        <w:t>Mechanizmus Únie v oblasti civilnej ochrany</w:t>
      </w:r>
      <w:bookmarkEnd w:id="5"/>
      <w:r>
        <w:rPr>
          <w:noProof/>
        </w:rPr>
        <w:t xml:space="preserve"> sa v roku 2021 aktivoval 114-krát v prípade celého radu katastrof. Uľahčila sa vďaka nemu dodávka mnohých položiek kritického osobného ochranného a zdravotníckeho vybavenia vrátane takmer 30 miliónov dávok vakcíny proti ochoreniu COVID-19. Zároveň sa zorganizovalo okolo 95 leteckých operácií s cieľom evakuovať občanov EÚ a osoby, na ktoré sa vzťahuje povinnosť náležitej starostlivosti EÚ, z Afganistanu.</w:t>
      </w:r>
    </w:p>
    <w:p w14:paraId="25DAE169" w14:textId="7FE72CC5" w:rsidR="0081420D" w:rsidRDefault="0081420D" w:rsidP="00796B9E">
      <w:pPr>
        <w:pStyle w:val="Heading2"/>
        <w:spacing w:before="120" w:after="120"/>
        <w:rPr>
          <w:noProof/>
        </w:rPr>
      </w:pPr>
      <w:bookmarkStart w:id="6" w:name="_Toc116575300"/>
      <w:r>
        <w:rPr>
          <w:noProof/>
        </w:rPr>
        <w:t>Podpora udržateľného rozvoja</w:t>
      </w:r>
      <w:bookmarkEnd w:id="6"/>
    </w:p>
    <w:p w14:paraId="0A1572F5" w14:textId="5DD3107B" w:rsidR="00B857B7" w:rsidRPr="0099400F" w:rsidRDefault="00B857B7" w:rsidP="00796B9E">
      <w:pPr>
        <w:jc w:val="both"/>
        <w:rPr>
          <w:noProof/>
        </w:rPr>
      </w:pPr>
      <w:r>
        <w:rPr>
          <w:noProof/>
        </w:rPr>
        <w:t xml:space="preserve">Závažná hospodárska kríza vyvolaná pandémiou ovplyvnila pokrok pri dosahovaní cieľov udržateľného rozvoja. EÚ je presvedčená, že globálna obnova musí byť vzhľadom na ciele Agendy 2030 zelená, digitálna, inkluzívna, spravodlivá, udržateľná, pričom zároveň musí byť zameraná na ciele udržateľného rozvoja a odhodlaná budovať lepšiu budúcnosť pre všetkých. </w:t>
      </w:r>
    </w:p>
    <w:p w14:paraId="303FF44B" w14:textId="6878CC4C" w:rsidR="00B857B7" w:rsidRPr="0099400F" w:rsidRDefault="00B857B7" w:rsidP="00796B9E">
      <w:pPr>
        <w:jc w:val="both"/>
        <w:rPr>
          <w:noProof/>
        </w:rPr>
      </w:pPr>
      <w:r>
        <w:rPr>
          <w:noProof/>
        </w:rPr>
        <w:t xml:space="preserve">EÚ v roku 2021 preorientovala finančnú koordináciu európskeho semestra na ciele udržateľného rozvoja a začlenila ich do revízie rámca lepšej právnej regulácie s cieľom premietnuť ich do celého spektra tvorby politík Komisie. </w:t>
      </w:r>
    </w:p>
    <w:p w14:paraId="0B7BF7FD" w14:textId="3B081C18" w:rsidR="00665A8B" w:rsidRDefault="00665A8B" w:rsidP="00796B9E">
      <w:pPr>
        <w:spacing w:before="240"/>
        <w:jc w:val="both"/>
        <w:rPr>
          <w:noProof/>
        </w:rPr>
      </w:pPr>
      <w:r>
        <w:rPr>
          <w:noProof/>
        </w:rPr>
        <w:t xml:space="preserve">EÚ ďalej rozvíjala svoje finančné nástroje a poskytovanie pomoci s cieľom splniť záväzky týkajúce sa udržateľného rozvoja v súlade so závermi Rady z 10. júna 2021 o európskej finančnej štruktúre pre rozvoj. Po prijatí nástroja NDICI – Globálna Európa bol spustený </w:t>
      </w:r>
      <w:bookmarkStart w:id="7" w:name="_Hlk102394989"/>
      <w:r>
        <w:rPr>
          <w:noProof/>
        </w:rPr>
        <w:t>Európsky fond pre udržateľný rozvoj plus (EFSD+)</w:t>
      </w:r>
      <w:bookmarkEnd w:id="7"/>
      <w:r>
        <w:rPr>
          <w:noProof/>
        </w:rPr>
        <w:t>. Z celkovej kapacity záruky EÚ pre vonkajšiu činnosť (až 53,45 miliardy EUR) bude k dispozícii takmer 40 miliárd EUR na zníženie investičného rizika v oblasti udržateľného rozvoja v partnerských krajinách.</w:t>
      </w:r>
    </w:p>
    <w:p w14:paraId="396342A4" w14:textId="76030247" w:rsidR="004C389C" w:rsidRDefault="004C389C" w:rsidP="00796B9E">
      <w:pPr>
        <w:spacing w:before="240"/>
        <w:jc w:val="both"/>
        <w:rPr>
          <w:noProof/>
        </w:rPr>
      </w:pPr>
      <w:r>
        <w:rPr>
          <w:noProof/>
        </w:rPr>
        <w:t>V roku 2021 EÚ takisto prijala a začala vykonávať nástroj predvstupovej pomoci (IPA III), s počiatočným rozpočtom 14,5 miliardy EUR na roky 2021 – 2027 pre západný Balkán a Turecko. Na hospodársky investičný plán a jeho zelenú agendu pre západný Balkán sú vyčlenené prostriedky v objeme 9 miliárd  EUR z IPA III, vďaka čomu možno v regióne získať ďalšie investície vo výške 20 miliárd EUR.</w:t>
      </w:r>
    </w:p>
    <w:p w14:paraId="3583669D" w14:textId="4D56D85B" w:rsidR="00F62434" w:rsidRPr="00665A8B" w:rsidRDefault="005C287E" w:rsidP="00F62434">
      <w:pPr>
        <w:jc w:val="both"/>
        <w:rPr>
          <w:noProof/>
        </w:rPr>
      </w:pPr>
      <w:r>
        <w:rPr>
          <w:noProof/>
        </w:rPr>
        <w:t>S cieľom podporiť udržateľný rozmer obchodných dohôd EÚ začala Komisia v roku 2021 preskúmanie 15-bodového akčného plánu. Súčasťou tohto preskúmania bola otvorená verejná konzultácia a nezávislá porovnávacia štúdia o obchode a postupoch udržateľného rozvoja v obchodných dohodách tretích krajín. Potvrdilo sa tak, že EÚ je kľúčovým lídrom pri presadzovaní udržateľnosti prostredníctvom obchodných dohôd.</w:t>
      </w:r>
    </w:p>
    <w:p w14:paraId="507F8F22" w14:textId="2A29995E" w:rsidR="008B3166" w:rsidRPr="0081420D" w:rsidRDefault="00DA4F6E" w:rsidP="00796B9E">
      <w:pPr>
        <w:pStyle w:val="Heading2"/>
        <w:spacing w:before="120" w:after="120"/>
        <w:rPr>
          <w:noProof/>
        </w:rPr>
      </w:pPr>
      <w:bookmarkStart w:id="8" w:name="_Toc116575301"/>
      <w:r>
        <w:rPr>
          <w:noProof/>
        </w:rPr>
        <w:t>Iniciatívy „Tímu Európa“: reakcia na globálnu krízu spôsobenú pandémiou ochorenia COVID-19</w:t>
      </w:r>
      <w:bookmarkEnd w:id="8"/>
    </w:p>
    <w:p w14:paraId="60889163" w14:textId="520A7714" w:rsidR="002864D1" w:rsidRPr="0099400F" w:rsidRDefault="002864D1" w:rsidP="002864D1">
      <w:pPr>
        <w:jc w:val="both"/>
        <w:rPr>
          <w:noProof/>
        </w:rPr>
      </w:pPr>
      <w:r>
        <w:rPr>
          <w:noProof/>
        </w:rPr>
        <w:t xml:space="preserve">EÚ a jej členské štáty do konca roka 2021 vyplatili finančnú podporu vo výške 47,7 miliardy EUR určenú viac ako 140 partnerským krajinám v záujme riešenia dôsledkov pandémie ochorenia COVID-19. Táto podpora pomohla pri riešení humanitárnych potrieb, zlepšovaní zdravia, vodovodných a sanitárnych systémov a zmierňovaní sociálno-ekonomických dôsledkov pandémie. Do konca roka 2021 dosiahol celkový prisľúbený balík podpory Tímu Európa výšku 53,7 miliardy EUR. </w:t>
      </w:r>
    </w:p>
    <w:p w14:paraId="6B97C105" w14:textId="17946CAC" w:rsidR="002A6F13" w:rsidRPr="00B2153A" w:rsidRDefault="005916C8" w:rsidP="00796B9E">
      <w:pPr>
        <w:jc w:val="both"/>
        <w:rPr>
          <w:noProof/>
        </w:rPr>
      </w:pPr>
      <w:r>
        <w:rPr>
          <w:noProof/>
        </w:rPr>
        <w:t>Spravodlivý prístup k očkovaniu je kľúčom k porazeniu ochorenia COVID-19 na celom svete. EÚ nielen zabezpečila dostatok dávok vakcín pre všetky členské štáty EÚ, ale aj vyviezla 1,7 miliardy dávok do 165 partnerských krajín, alebo sa s nimi o ne podelila. EÚ a jej členské štáty zohrali vedúcu úlohu pri zriaďovaní nástroja COVAX, ktorý je jedinou globálnou iniciatívou na podporu spravodlivej distribúcie vakcín, a prispeli naň sumou viac ako 3 miliardy EUR</w:t>
      </w:r>
      <w:r>
        <w:rPr>
          <w:rStyle w:val="FootnoteReference"/>
          <w:noProof/>
        </w:rPr>
        <w:footnoteReference w:id="14"/>
      </w:r>
      <w:r>
        <w:rPr>
          <w:noProof/>
        </w:rPr>
        <w:t>. Do konca roka 2021 bola EÚ spolu so svojimi členskými štátmi najväčším darcom vakcín proti ochoreniu COVID-19 na svete.</w:t>
      </w:r>
    </w:p>
    <w:tbl>
      <w:tblPr>
        <w:tblStyle w:val="TableGrid"/>
        <w:tblW w:w="0" w:type="auto"/>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ayout w:type="fixed"/>
        <w:tblLook w:val="06A0" w:firstRow="1" w:lastRow="0" w:firstColumn="1" w:lastColumn="0" w:noHBand="1" w:noVBand="1"/>
        <w:tblCaption w:val="Zvýraznený text týkajúci sa oddielu „Tím Európa“"/>
      </w:tblPr>
      <w:tblGrid>
        <w:gridCol w:w="9015"/>
      </w:tblGrid>
      <w:tr w:rsidR="6A002CA1" w14:paraId="536EDE98" w14:textId="77777777" w:rsidTr="00B62215">
        <w:trPr>
          <w:tblHeader/>
        </w:trPr>
        <w:tc>
          <w:tcPr>
            <w:tcW w:w="9015" w:type="dxa"/>
          </w:tcPr>
          <w:p w14:paraId="3769967A" w14:textId="3C2C6BE2" w:rsidR="00677306" w:rsidRDefault="005C287E" w:rsidP="00973F33">
            <w:pPr>
              <w:jc w:val="both"/>
              <w:rPr>
                <w:noProof/>
              </w:rPr>
            </w:pPr>
            <w:r>
              <w:rPr>
                <w:noProof/>
              </w:rPr>
              <w:t>Pre Afriku bola vyčlenená suma vo výške 1 miliardy EUR na iniciatívu Tímu Európa na podporu miestnej a regionálnej výroby a prístupu k vakcínam, liekom a zdravotníckym technológiám v Afrike.</w:t>
            </w:r>
          </w:p>
        </w:tc>
      </w:tr>
    </w:tbl>
    <w:p w14:paraId="4CA8707B" w14:textId="71970750" w:rsidR="002860BB" w:rsidRPr="005D583F" w:rsidRDefault="005D583F" w:rsidP="00701FB5">
      <w:pPr>
        <w:spacing w:before="240"/>
        <w:jc w:val="both"/>
        <w:rPr>
          <w:bCs/>
          <w:noProof/>
        </w:rPr>
      </w:pPr>
      <w:r>
        <w:rPr>
          <w:noProof/>
        </w:rPr>
        <w:t>EÚ posilnila počas roka 2021 medzinárodnú spoluprácu v boji proti pandémii, a to aj prostredníctvom iniciatívy Akcelerátor prístupu k nástrojom proti COVID-19 a celosvetového samitu o zdraví G20+, na ktorom vedúci predstavitelia podpísali Rímske vyhlásenie o príprave na budúce pandémie a ich prevencii.</w:t>
      </w:r>
    </w:p>
    <w:p w14:paraId="46C63B08" w14:textId="77777777" w:rsidR="008849C8" w:rsidRDefault="008849C8" w:rsidP="00796B9E">
      <w:pPr>
        <w:pStyle w:val="Heading2"/>
        <w:spacing w:before="120" w:after="120"/>
        <w:rPr>
          <w:noProof/>
        </w:rPr>
      </w:pPr>
      <w:bookmarkStart w:id="9" w:name="_Toc116575302"/>
      <w:r>
        <w:rPr>
          <w:noProof/>
        </w:rPr>
        <w:t>Stratégia Global Gateway</w:t>
      </w:r>
      <w:bookmarkEnd w:id="9"/>
    </w:p>
    <w:p w14:paraId="3DD38017" w14:textId="12513849" w:rsidR="008849C8" w:rsidRDefault="008849C8" w:rsidP="00796B9E">
      <w:pPr>
        <w:jc w:val="both"/>
        <w:rPr>
          <w:noProof/>
        </w:rPr>
      </w:pPr>
      <w:r>
        <w:rPr>
          <w:noProof/>
        </w:rPr>
        <w:t>V decembri EÚ spustila novú stratégiu Global Gateway</w:t>
      </w:r>
      <w:r>
        <w:rPr>
          <w:b/>
          <w:bCs/>
          <w:noProof/>
          <w:vertAlign w:val="superscript"/>
        </w:rPr>
        <w:footnoteReference w:id="15"/>
      </w:r>
      <w:r>
        <w:rPr>
          <w:noProof/>
        </w:rPr>
        <w:t xml:space="preserve"> s cieľom zmobilizovať investície v celkovej výške až 300 miliárd EUR v rokoch 2021 – 2027. Stratégia Global Gateway je v súlade s geopolitickými ambíciami EÚ a so záväzkom plniť Agendu 2030 zameraná na podporu inteligentných, čistých a bezpečných prepojení v digitálnej oblasti, energetike a doprave a na posilnenie systémov zdravotníctva, vzdelávania a výskumu na celom svete s cieľom podporiť trvalú globálnu obnovu a zároveň presadzovať univerzálne hodnoty a prísne normy, dobrú správu vecí verejných a transparentnosť.</w:t>
      </w:r>
    </w:p>
    <w:p w14:paraId="59AB4C9B" w14:textId="206F3A56" w:rsidR="00210566" w:rsidRPr="00210566" w:rsidRDefault="00210566" w:rsidP="00796B9E">
      <w:pPr>
        <w:jc w:val="both"/>
        <w:rPr>
          <w:noProof/>
        </w:rPr>
      </w:pPr>
      <w:r>
        <w:rPr>
          <w:rStyle w:val="normaltextrun"/>
          <w:rFonts w:ascii="Calibri" w:hAnsi="Calibri"/>
          <w:noProof/>
          <w:shd w:val="clear" w:color="auto" w:fill="FFFFFF"/>
        </w:rPr>
        <w:t xml:space="preserve">Pomocou prístupu „Tímu Európa“ sa vďaka stratégii Global Gateway spájajú zdroje z rozpočtu EÚ, členských štátov, európskych finančných inštitúcií a vnútroštátnych inštitúcií financovania rozvoja. V rámci tejto stratégie sa budú aktívne mobilizovať financie a odborné poznatky v rámci súkromného sektora v záujme podpory prístupu k udržateľnému financovaniu. </w:t>
      </w:r>
    </w:p>
    <w:p w14:paraId="096673EB" w14:textId="77777777" w:rsidR="00DA4F6E" w:rsidRPr="00E10A3B" w:rsidRDefault="006A5935" w:rsidP="0057638F">
      <w:pPr>
        <w:pStyle w:val="Heading1"/>
        <w:jc w:val="both"/>
        <w:rPr>
          <w:noProof/>
        </w:rPr>
      </w:pPr>
      <w:bookmarkStart w:id="10" w:name="_Toc116575303"/>
      <w:r>
        <w:rPr>
          <w:noProof/>
        </w:rPr>
        <w:t>GLOBÁLNE PRIORITY</w:t>
      </w:r>
      <w:bookmarkEnd w:id="10"/>
    </w:p>
    <w:p w14:paraId="68B72E5D" w14:textId="142A3BF7" w:rsidR="005F2578" w:rsidRPr="00E10A3B" w:rsidRDefault="005F2578" w:rsidP="00796B9E">
      <w:pPr>
        <w:pStyle w:val="Heading2"/>
        <w:spacing w:before="120" w:after="120"/>
        <w:rPr>
          <w:noProof/>
        </w:rPr>
      </w:pPr>
      <w:bookmarkStart w:id="11" w:name="_Toc116575304"/>
      <w:r>
        <w:rPr>
          <w:noProof/>
        </w:rPr>
        <w:t>Ľudský rozvoj</w:t>
      </w:r>
      <w:bookmarkEnd w:id="11"/>
    </w:p>
    <w:p w14:paraId="15465775" w14:textId="5B4F7524" w:rsidR="00B105BA" w:rsidRPr="00B105BA" w:rsidRDefault="00D40F03" w:rsidP="00796B9E">
      <w:pPr>
        <w:jc w:val="both"/>
        <w:rPr>
          <w:noProof/>
        </w:rPr>
      </w:pPr>
      <w:r>
        <w:rPr>
          <w:noProof/>
        </w:rPr>
        <w:t>V roku 2021 pandémia ochorenia COVID-19 naďalej mnohorako narúšala spoločnosti, čo viedlo k nárastu nerovností. EÚ posilnila a prispôsobila svoju spoluprácu s celosvetovými iniciatívami v oblasti zdravia, vzdelávania, mládeže a rodovej rovnosti a zároveň preorientovala zameranie podpory EÚ na partnerské krajiny s cieľom zmierniť vplyv ochorenia COVID-19 na ľudský rozvoj.</w:t>
      </w:r>
    </w:p>
    <w:p w14:paraId="42B3C321" w14:textId="08B87667" w:rsidR="0028697F" w:rsidRPr="0028697F" w:rsidRDefault="0028697F" w:rsidP="0028697F">
      <w:pPr>
        <w:rPr>
          <w:noProof/>
        </w:rPr>
      </w:pPr>
      <w:r>
        <w:rPr>
          <w:noProof/>
        </w:rPr>
        <w:t>Okrem podpory nástroja COVAX pokračovala EÚ aj vo svojej vedúcej podpore hlavnej činnosti aliancie Gavi, ktorou je budovanie imunizačných systémov a Globálneho fondu pre boj proti AIDS, tuberkulóze a malárii, s cieľom obmedziť škody spôsobené pandémiou na život zachraňujúce zásahy zamerané na tieto smrteľné choroby.</w:t>
      </w:r>
    </w:p>
    <w:p w14:paraId="0622081B" w14:textId="59B5CEC8" w:rsidR="00010B4F" w:rsidRDefault="00010B4F" w:rsidP="00796B9E">
      <w:pPr>
        <w:jc w:val="both"/>
        <w:rPr>
          <w:noProof/>
        </w:rPr>
      </w:pPr>
      <w:r>
        <w:rPr>
          <w:noProof/>
        </w:rPr>
        <w:t>Keďže pandémia naďalej narúšala vzdelávanie, Komisia sa rozhodla zvýšiť finančné prostriedky na túto prioritu na najmenej 10 % celkového rozpočtu na medzinárodné partnerstvá na roky 2021 – 2027. EÚ v roku 2021 zvýšila svoj príspevok do Globálneho partnerstva pre vzdelávanie o takmer 50 %, a to na 700 miliónov EUR do roku 2027, vďaka čomu sa mohlo vzdelávať 175 miliónov chlapcov a dievčat a ďalších 88 miliónov detí začať navštevovať školu. Zvýšené financovanie sa poskytlo aj v rámci programu Erasmus+ vrátane 3,5-násobného navýšenia pre subsaharskú Afriku v rokoch 2021 – 2027.</w:t>
      </w:r>
    </w:p>
    <w:p w14:paraId="4D8DB46D" w14:textId="74145631" w:rsidR="00B105BA" w:rsidRDefault="00B105BA" w:rsidP="00796B9E">
      <w:pPr>
        <w:jc w:val="both"/>
        <w:rPr>
          <w:noProof/>
        </w:rPr>
      </w:pPr>
      <w:r>
        <w:rPr>
          <w:noProof/>
        </w:rPr>
        <w:t>Vykonávanie akčného plánu pre rodovú rovnosť III (GAP III) bolo dôkazom o záväzku EÚ, ktorým je priorizácia rodovej rovnosti a posilnenia postavenia žien a dievčat.</w:t>
      </w:r>
    </w:p>
    <w:tbl>
      <w:tblPr>
        <w:tblStyle w:val="TableGrid"/>
        <w:tblW w:w="0" w:type="auto"/>
        <w:tblLayout w:type="fixed"/>
        <w:tblLook w:val="06A0" w:firstRow="1" w:lastRow="0" w:firstColumn="1" w:lastColumn="0" w:noHBand="1" w:noVBand="1"/>
        <w:tblCaption w:val="Zvýraznený text týkajúci sa oddielu „Ľudský rozvoj“"/>
      </w:tblPr>
      <w:tblGrid>
        <w:gridCol w:w="9015"/>
      </w:tblGrid>
      <w:tr w:rsidR="6A002CA1" w14:paraId="0D271267" w14:textId="77777777" w:rsidTr="00B62215">
        <w:trPr>
          <w:tblHeader/>
        </w:trPr>
        <w:tc>
          <w:tcPr>
            <w:tcW w:w="9015" w:type="dxa"/>
          </w:tcPr>
          <w:p w14:paraId="2FDAC8DA" w14:textId="06C3CE2F" w:rsidR="00E51AA0" w:rsidRPr="00A17476" w:rsidRDefault="00E51AA0" w:rsidP="00A17476">
            <w:pPr>
              <w:rPr>
                <w:rFonts w:ascii="Times New Roman" w:hAnsi="Times New Roman" w:cs="Times New Roman"/>
                <w:noProof/>
                <w:sz w:val="24"/>
                <w:szCs w:val="24"/>
              </w:rPr>
            </w:pPr>
            <w:r>
              <w:rPr>
                <w:noProof/>
              </w:rPr>
              <w:t>EÚ sa zaviazala zabezpečiť, že významným alebo hlavným cieľom v prípade najmenej 85 % všetkých nových vonkajších činností bude do roku 2025 zabezpečiť rodovú rovnosť a posilniť postavenie žien a dievčat  – tento podiel už dosiahol 70 %</w:t>
            </w:r>
            <w:r>
              <w:rPr>
                <w:rStyle w:val="FootnoteReference"/>
                <w:noProof/>
              </w:rPr>
              <w:footnoteReference w:id="16"/>
            </w:r>
            <w:r>
              <w:rPr>
                <w:noProof/>
              </w:rPr>
              <w:t>.</w:t>
            </w:r>
          </w:p>
        </w:tc>
      </w:tr>
    </w:tbl>
    <w:p w14:paraId="18E91513" w14:textId="52538AC1" w:rsidR="00B105BA" w:rsidRPr="00B105BA" w:rsidRDefault="009A0D6D" w:rsidP="00701FB5">
      <w:pPr>
        <w:spacing w:before="240"/>
        <w:jc w:val="both"/>
        <w:rPr>
          <w:noProof/>
        </w:rPr>
      </w:pPr>
      <w:r>
        <w:rPr>
          <w:noProof/>
        </w:rPr>
        <w:t xml:space="preserve">EÚ okrem toho zvýšilo zapojenie mládeže do úsilia o obnovu zriadením mládežníckych diskusných platforiem na globálnej úrovni, ako aj vo viacerých partnerských krajinách (ako je Zimbabwe či Nigéria) s cieľom poskytnúť mladým ľuďom možnosť vyjadriť svoj názor v súvislosti s politikami a opatreniami EÚ. </w:t>
      </w:r>
    </w:p>
    <w:p w14:paraId="4028FDAB" w14:textId="1CFDCF63" w:rsidR="00DA4F6E" w:rsidRPr="00E10A3B" w:rsidRDefault="00DA4F6E" w:rsidP="00796B9E">
      <w:pPr>
        <w:pStyle w:val="Heading2"/>
        <w:spacing w:before="120" w:after="120"/>
        <w:rPr>
          <w:noProof/>
        </w:rPr>
      </w:pPr>
      <w:bookmarkStart w:id="12" w:name="_Toc116575305"/>
      <w:r>
        <w:rPr>
          <w:noProof/>
        </w:rPr>
        <w:t>Zelená dohoda</w:t>
      </w:r>
      <w:bookmarkEnd w:id="12"/>
    </w:p>
    <w:p w14:paraId="4A196E2A" w14:textId="3584D93F" w:rsidR="00B35183" w:rsidRPr="00624512" w:rsidRDefault="00B35183" w:rsidP="00B35183">
      <w:pPr>
        <w:jc w:val="both"/>
        <w:rPr>
          <w:bCs/>
          <w:noProof/>
        </w:rPr>
      </w:pPr>
      <w:r>
        <w:rPr>
          <w:noProof/>
        </w:rPr>
        <w:t>V roku 2021 bola EÚ naďalej globálnym lídrom v riešení problematiky zmeny klímy a environmentálnych výziev, pričom stála v popredí medzinárodného úsilia o podporu udržateľného a inkluzívneho rozvoja v súlade s Európskou zelenou dohodou. EÚ si stanovila na roky 2021 – 2027 ambiciózny cieľ vynaložiť 30 % prostriedkov z rozpočtu nástroja Globálna Európa, a tak prispieť k dosahovaniu cieľov v oblasti klímy. K týmto prostriedkom boli v nadväznosti na prejav predsedníčky von der Leyenovej o stave Únie doplnené ďalšie 4 miliardy EUR.</w:t>
      </w:r>
    </w:p>
    <w:p w14:paraId="4CA41ADF" w14:textId="459948F5" w:rsidR="00B35183" w:rsidRDefault="00B35183" w:rsidP="00B35183">
      <w:pPr>
        <w:jc w:val="both"/>
        <w:rPr>
          <w:noProof/>
        </w:rPr>
      </w:pPr>
      <w:r>
        <w:rPr>
          <w:noProof/>
        </w:rPr>
        <w:t>V záveroch Rady z 25. januára 2021 o diplomacii v oblasti klímy a energetiky</w:t>
      </w:r>
      <w:r>
        <w:rPr>
          <w:noProof/>
          <w:vertAlign w:val="superscript"/>
        </w:rPr>
        <w:footnoteReference w:id="17"/>
      </w:r>
      <w:r>
        <w:rPr>
          <w:noProof/>
        </w:rPr>
        <w:t xml:space="preserve"> sa zdôraznilo, že vďaka diplomatickej činnosti EÚ v oblasti energetiky by sa mala urýchliť globálna energetická transformácia a podporovať energetická efektívnosť a obnoviteľné technológie. EÚ zároveň apelovala, aby sa pri výrobe energie prestalo používať uhlie, a okrem toho vyzvala na spustenie medzinárodných iniciatív na zníženie emisií metánu. Vo februári 2021 Komisia prijala novú stratégiu adaptácie na zmenu klímy, v ktorej sa rozšírili ambície EÚ v oblasti adaptácie s partnerskými krajinami</w:t>
      </w:r>
      <w:r>
        <w:rPr>
          <w:rStyle w:val="FootnoteReference"/>
          <w:noProof/>
        </w:rPr>
        <w:footnoteReference w:id="18"/>
      </w:r>
      <w:r>
        <w:rPr>
          <w:noProof/>
        </w:rPr>
        <w:t>.</w:t>
      </w:r>
    </w:p>
    <w:p w14:paraId="4EA7C024" w14:textId="29A82948" w:rsidR="00B35183" w:rsidRDefault="00B35183" w:rsidP="00B35183">
      <w:pPr>
        <w:jc w:val="both"/>
        <w:rPr>
          <w:noProof/>
        </w:rPr>
      </w:pPr>
      <w:r>
        <w:rPr>
          <w:noProof/>
        </w:rPr>
        <w:t>V tejto súvislosti EÚ výrazne prispela k úspechu konferencie o zmene klímy COP26 v Glasgowe v roku 2021, a to aj prostredníctvom podpory EÚ pre partnerstvo s Južnou Afrikou v oblasti spravodlivej transformácie a príspevku vo výške 1 miliardy EUR na globálny finančný záväzok v oblasti lesného hospodárstva.</w:t>
      </w:r>
    </w:p>
    <w:tbl>
      <w:tblPr>
        <w:tblStyle w:val="TableGrid"/>
        <w:tblpPr w:leftFromText="180" w:rightFromText="180" w:vertAnchor="text" w:horzAnchor="margin" w:tblpY="243"/>
        <w:tblW w:w="0" w:type="auto"/>
        <w:tblLayout w:type="fixed"/>
        <w:tblLook w:val="06A0" w:firstRow="1" w:lastRow="0" w:firstColumn="1" w:lastColumn="0" w:noHBand="1" w:noVBand="1"/>
        <w:tblCaption w:val="Zvýraznený text týkajúci sa oddielu „Zelená dohoda“"/>
      </w:tblPr>
      <w:tblGrid>
        <w:gridCol w:w="9015"/>
      </w:tblGrid>
      <w:tr w:rsidR="00B35183" w14:paraId="02435A7C" w14:textId="77777777" w:rsidTr="00B62215">
        <w:trPr>
          <w:tblHeader/>
        </w:trPr>
        <w:tc>
          <w:tcPr>
            <w:tcW w:w="9015" w:type="dxa"/>
          </w:tcPr>
          <w:p w14:paraId="14830AD5" w14:textId="1AB607D4" w:rsidR="00B35183" w:rsidRDefault="00B35183" w:rsidP="00284B20">
            <w:pPr>
              <w:spacing w:before="120" w:after="120" w:line="276" w:lineRule="auto"/>
              <w:jc w:val="both"/>
              <w:rPr>
                <w:noProof/>
              </w:rPr>
            </w:pPr>
            <w:r>
              <w:rPr>
                <w:noProof/>
              </w:rPr>
              <w:t>Do konca roka 2021 prispeli opatrenia v partnerských krajinách podporované EÚ k dosiahnutiu novej kapacity energie z obnoviteľných zdrojov na úrovni 18 GW a k sprístupneniu udržateľných energetických služieb pre viac ako 22 miliónov ľudí.</w:t>
            </w:r>
          </w:p>
        </w:tc>
      </w:tr>
    </w:tbl>
    <w:p w14:paraId="6CF2F700" w14:textId="77777777" w:rsidR="00B35183" w:rsidRDefault="00B35183" w:rsidP="00B35183">
      <w:pPr>
        <w:spacing w:after="0"/>
        <w:jc w:val="both"/>
        <w:rPr>
          <w:noProof/>
        </w:rPr>
      </w:pPr>
    </w:p>
    <w:p w14:paraId="3FFA9E6F" w14:textId="25BDAC6C" w:rsidR="00B35183" w:rsidRDefault="00B35183" w:rsidP="000C2489">
      <w:pPr>
        <w:jc w:val="both"/>
        <w:rPr>
          <w:noProof/>
        </w:rPr>
      </w:pPr>
      <w:r>
        <w:rPr>
          <w:noProof/>
        </w:rPr>
        <w:t xml:space="preserve">Partneri zo západného Balkánu prijali ambiciózny akčný plán na vykonávanie zelenej agendy pre západný Balkán v súlade s Európskou zelenou dohodou. </w:t>
      </w:r>
    </w:p>
    <w:p w14:paraId="0C9CD43B" w14:textId="1FF2E7C4" w:rsidR="00B35183" w:rsidRDefault="00B35183" w:rsidP="00B35183">
      <w:pPr>
        <w:spacing w:before="240"/>
        <w:jc w:val="both"/>
        <w:rPr>
          <w:noProof/>
        </w:rPr>
      </w:pPr>
      <w:r>
        <w:rPr>
          <w:noProof/>
        </w:rPr>
        <w:t>V roku 2021 bol prijatý nový Európsky nástroj pre medzinárodnú spoluprácu v oblasti jadrovej bezpečnosti</w:t>
      </w:r>
      <w:r>
        <w:rPr>
          <w:rStyle w:val="FootnoteReference"/>
          <w:noProof/>
        </w:rPr>
        <w:footnoteReference w:id="19"/>
      </w:r>
      <w:r>
        <w:rPr>
          <w:noProof/>
        </w:rPr>
        <w:t xml:space="preserve"> s rozpočtom 300 miliónov EUR na roky 2021 – 2027 na podporu jadrovej bezpečnosti na celom svete. </w:t>
      </w:r>
    </w:p>
    <w:p w14:paraId="00283231" w14:textId="4F4EF72E" w:rsidR="00B35183" w:rsidRPr="00B35183" w:rsidRDefault="00525422" w:rsidP="00B35183">
      <w:pPr>
        <w:jc w:val="both"/>
        <w:rPr>
          <w:rFonts w:ascii="Calibri" w:eastAsia="Calibri" w:hAnsi="Calibri" w:cs="Calibri"/>
          <w:noProof/>
        </w:rPr>
      </w:pPr>
      <w:r>
        <w:rPr>
          <w:rFonts w:ascii="Calibri" w:hAnsi="Calibri"/>
          <w:noProof/>
        </w:rPr>
        <w:t>V roku 2021 EÚ pridelila z rozpočtu na humanitárnu pomoc sumu v objeme 75 miliónov EUR na pripravenosť na katastrofy vrátane potenciálnych vplyvov zmeny klímy. Cieľom oznámenia o humanitárnej činnosti uverejneného v marci 2021 je zintenzívniť konanie EÚ zamerané na riešenie humanitárnych vplyvov zmeny klímy a zhoršovanie životného prostredia a naďalej priorizovať pripravenosť na katastrofy v rámci všetkých humanitárnych činností financovaných z prostriedkov EÚ.</w:t>
      </w:r>
    </w:p>
    <w:p w14:paraId="211A30C8" w14:textId="20CC7FE7" w:rsidR="00B35183" w:rsidRDefault="00B35183" w:rsidP="00B35183">
      <w:pPr>
        <w:jc w:val="both"/>
        <w:rPr>
          <w:noProof/>
        </w:rPr>
      </w:pPr>
      <w:r>
        <w:rPr>
          <w:noProof/>
        </w:rPr>
        <w:t xml:space="preserve">EÚ v roku 2021 prispela aj k úspechu samitu OSN o potravinových systémoch a tokijského samitu venovanému problematike </w:t>
      </w:r>
      <w:bookmarkStart w:id="13" w:name="_Hlk102400635"/>
      <w:r>
        <w:rPr>
          <w:noProof/>
        </w:rPr>
        <w:t xml:space="preserve">výživy v záujme rastu </w:t>
      </w:r>
      <w:bookmarkEnd w:id="13"/>
      <w:r>
        <w:rPr>
          <w:noProof/>
        </w:rPr>
        <w:t>(Nutrition for Growth, N4G). EÚ sa na samite N4G zaviazala, že na účely riešenia problému podvýživy vyčlení na roky 2021 až 2024 prostriedky v objeme 2,5 miliardy EUR (1,4 miliardy EUR na rozvoj a 1,1 miliardy EUR na humanitárnu pomoc). Okrem toho EÚ v roku 2021 prisľúbila140 miliónov EUR na podporu Poradnej skupiny pre medzinárodný poľnohospodársky výskum, ktorá je najväčšou globálnou sieťou zaoberajúcou sa poľnohospodárskym výskumom na účely vývoja.</w:t>
      </w:r>
    </w:p>
    <w:p w14:paraId="04CE3E3B" w14:textId="316FF834" w:rsidR="00B35183" w:rsidRPr="0099400F" w:rsidRDefault="00B35183" w:rsidP="00B35183">
      <w:pPr>
        <w:jc w:val="both"/>
        <w:rPr>
          <w:noProof/>
        </w:rPr>
      </w:pPr>
      <w:r>
        <w:rPr>
          <w:noProof/>
        </w:rPr>
        <w:t>Rok 2021 bol dôležitým rokom aj pre biodiverzitu so záväzkom zdvojnásobiť vonkajšie finančné prostriedky a spustiť iniciatívu NaturAfrica na ochranu biodiverzity a zlepšenie životných podmienok. Vypracovali sa programy pre jednotlivé krajiny v záujme podpory africkej iniciatívy Veľký zelený múr. EÚ na konferencii COP26 takisto začala realizovať svoje partnerstvá v oblasti lesného hospodárstva.</w:t>
      </w:r>
    </w:p>
    <w:p w14:paraId="77360990" w14:textId="722A1EC8" w:rsidR="00B35183" w:rsidRDefault="00B35183" w:rsidP="00B35183">
      <w:pPr>
        <w:jc w:val="both"/>
        <w:rPr>
          <w:noProof/>
        </w:rPr>
      </w:pPr>
      <w:r>
        <w:rPr>
          <w:noProof/>
        </w:rPr>
        <w:t>Na podporu udržateľného a integrovaného hospodárenia s vodami vyvinula EÚ iniciatívy Tímu Európa týkajúce sa cezhraničného hospodárenia s vodami určené pre Afriku a iniciatívy týkajúce sa vodného hospodárstva, energetiky a klímy určené pre Strednú Áziu.</w:t>
      </w:r>
    </w:p>
    <w:p w14:paraId="4DA64F88" w14:textId="41016F70" w:rsidR="00B35183" w:rsidRPr="0099400F" w:rsidRDefault="00B35183" w:rsidP="00B35183">
      <w:pPr>
        <w:spacing w:after="0"/>
        <w:jc w:val="both"/>
        <w:rPr>
          <w:noProof/>
        </w:rPr>
      </w:pPr>
      <w:r>
        <w:rPr>
          <w:noProof/>
        </w:rPr>
        <w:t xml:space="preserve">EÚ sa zaviazala pokračovať v medzinárodnej spolupráci v oblasti udržateľnej spotreby a výroby vrátane obehového hospodárstva. Pokračovala vo vykonávaní hlavnej iniciatívy EÚ známej ako SWITCH to Green. </w:t>
      </w:r>
    </w:p>
    <w:p w14:paraId="4D23F1B9" w14:textId="7E10CD83" w:rsidR="0081420D" w:rsidRPr="00E10A3B" w:rsidRDefault="001E3293" w:rsidP="00796B9E">
      <w:pPr>
        <w:pStyle w:val="Heading2"/>
        <w:spacing w:before="120" w:after="120"/>
        <w:rPr>
          <w:noProof/>
        </w:rPr>
      </w:pPr>
      <w:bookmarkStart w:id="14" w:name="_Toc116575306"/>
      <w:r>
        <w:rPr>
          <w:noProof/>
        </w:rPr>
        <w:t>Digitalizácia, veda, technológie a inovácia</w:t>
      </w:r>
      <w:bookmarkEnd w:id="14"/>
    </w:p>
    <w:p w14:paraId="63F91FF2" w14:textId="3343484C" w:rsidR="00226488" w:rsidRPr="0099400F" w:rsidRDefault="00273ADA" w:rsidP="00796B9E">
      <w:pPr>
        <w:jc w:val="both"/>
        <w:rPr>
          <w:noProof/>
        </w:rPr>
      </w:pPr>
      <w:r>
        <w:rPr>
          <w:noProof/>
        </w:rPr>
        <w:t>EÚ v roku 2021 vymedzila svoje politické ciele v rámci stratégie Global Gateway v oblasti digitalizácie. Na podporu prístupu „Tímu Európa“ bola vytvorená pracovná skupina v rámci globálneho centra digitalizácie pre rozvoj (D4D). Centrum funguje prostredníctvom regionálnych pobočiek a jeho cieľom je nadviazať digitálne partnerstvá a podporiť spoločné investície. Pobočka pre Latinskú Ameriku a Karibik bola otvorená 14. decembra 2021.</w:t>
      </w:r>
    </w:p>
    <w:tbl>
      <w:tblPr>
        <w:tblStyle w:val="TableGrid"/>
        <w:tblW w:w="0" w:type="auto"/>
        <w:tblLayout w:type="fixed"/>
        <w:tblLook w:val="06A0" w:firstRow="1" w:lastRow="0" w:firstColumn="1" w:lastColumn="0" w:noHBand="1" w:noVBand="1"/>
        <w:tblCaption w:val="Zvýraznený text týkajúci sa oddielu „Digitalizácia, veda, technológie a inovácia“"/>
      </w:tblPr>
      <w:tblGrid>
        <w:gridCol w:w="9015"/>
      </w:tblGrid>
      <w:tr w:rsidR="6A002CA1" w14:paraId="1AAA1C9E" w14:textId="77777777" w:rsidTr="00B62215">
        <w:trPr>
          <w:tblHeader/>
        </w:trPr>
        <w:tc>
          <w:tcPr>
            <w:tcW w:w="9015" w:type="dxa"/>
          </w:tcPr>
          <w:p w14:paraId="74F1AD81" w14:textId="33E08E96" w:rsidR="00273ADA" w:rsidRDefault="00273ADA" w:rsidP="00697338">
            <w:pPr>
              <w:jc w:val="both"/>
              <w:rPr>
                <w:noProof/>
              </w:rPr>
            </w:pPr>
            <w:r>
              <w:rPr>
                <w:noProof/>
              </w:rPr>
              <w:t>V rámci únijného programu BELLA sa v júni 2021uskutočnilo slávnostné položenie optického kábla spájajúceho EÚ a Latinskú Ameriku a Karibik. Cieľom je poskytnúť bezpečné vysokokapacitné dátové pripojenia pre viac ako 12 000 vzdelávacích a výskumných inštitúcií v oboch regiónoch.</w:t>
            </w:r>
          </w:p>
        </w:tc>
      </w:tr>
    </w:tbl>
    <w:p w14:paraId="48C5155F" w14:textId="5C68D112" w:rsidR="00226488" w:rsidRPr="0099400F" w:rsidRDefault="00273ADA" w:rsidP="00701FB5">
      <w:pPr>
        <w:spacing w:before="240"/>
        <w:jc w:val="both"/>
        <w:rPr>
          <w:bCs/>
          <w:noProof/>
        </w:rPr>
      </w:pPr>
      <w:r>
        <w:rPr>
          <w:noProof/>
        </w:rPr>
        <w:t xml:space="preserve">V roku 2021 sa zaznamenalo výraznejšie zviditeľnenie vesmírnych programov EÚ vrátane ich kľúčovej úlohy v rámci zelenej transformácie. Prostredníctvom troch nástrojov technickej pomoci určených na pozorovanie vesmíru a Zeme sa posilní využívanie vesmírnych technológií na podporu politík partnerských krajín a EÚ. </w:t>
      </w:r>
    </w:p>
    <w:p w14:paraId="56974CBF" w14:textId="316B1118" w:rsidR="00E72584" w:rsidRDefault="00273ADA" w:rsidP="00796B9E">
      <w:pPr>
        <w:jc w:val="both"/>
        <w:rPr>
          <w:noProof/>
        </w:rPr>
      </w:pPr>
      <w:r>
        <w:rPr>
          <w:noProof/>
        </w:rPr>
        <w:t>V roku 2021 bol spustený aj program AKT – EÚ v objeme 60 miliónov EUR na posilnenie výskumných a inovačných kapacít v afrických, karibských a tichomorských (AKT) štátoch</w:t>
      </w:r>
      <w:r>
        <w:rPr>
          <w:rStyle w:val="FootnoteReference"/>
          <w:noProof/>
        </w:rPr>
        <w:footnoteReference w:id="20"/>
      </w:r>
      <w:r>
        <w:rPr>
          <w:noProof/>
        </w:rPr>
        <w:t xml:space="preserve">. </w:t>
      </w:r>
    </w:p>
    <w:p w14:paraId="716F5BF7" w14:textId="10D450D4" w:rsidR="00D31488" w:rsidRDefault="00697338" w:rsidP="00796B9E">
      <w:pPr>
        <w:jc w:val="both"/>
        <w:rPr>
          <w:noProof/>
        </w:rPr>
      </w:pPr>
      <w:r>
        <w:rPr>
          <w:noProof/>
        </w:rPr>
        <w:t>EÚ v októbri 2021 spustila svoju agendu pre západný Balkán v oblasti inovácie, výskumu, vzdelávania, kultúry, mládeže a športu</w:t>
      </w:r>
      <w:r>
        <w:rPr>
          <w:rStyle w:val="FootnoteReference"/>
          <w:noProof/>
        </w:rPr>
        <w:footnoteReference w:id="21"/>
      </w:r>
      <w:r>
        <w:rPr>
          <w:noProof/>
        </w:rPr>
        <w:t xml:space="preserve">. </w:t>
      </w:r>
    </w:p>
    <w:p w14:paraId="1773179E" w14:textId="45D7B440" w:rsidR="00DA4F6E" w:rsidRPr="00E10A3B" w:rsidRDefault="005F2578" w:rsidP="00796B9E">
      <w:pPr>
        <w:pStyle w:val="Heading2"/>
        <w:spacing w:before="120" w:after="120"/>
        <w:rPr>
          <w:noProof/>
        </w:rPr>
      </w:pPr>
      <w:bookmarkStart w:id="15" w:name="_Toc116575307"/>
      <w:r>
        <w:rPr>
          <w:noProof/>
        </w:rPr>
        <w:t>Udržateľný rast a pracovné miesta</w:t>
      </w:r>
      <w:bookmarkEnd w:id="15"/>
    </w:p>
    <w:p w14:paraId="42681A2B" w14:textId="149BCCDE" w:rsidR="00E72584" w:rsidRPr="00E72584" w:rsidRDefault="00697338" w:rsidP="00796B9E">
      <w:pPr>
        <w:jc w:val="both"/>
        <w:rPr>
          <w:bCs/>
          <w:noProof/>
        </w:rPr>
      </w:pPr>
      <w:r>
        <w:rPr>
          <w:noProof/>
        </w:rPr>
        <w:t xml:space="preserve">Počas roku 2021 sa EÚ usilovala o skvalitnenie podnikateľského a investičného prostredia, zlepšenie finančného začlenenia a prístupu k finančným službám, ako aj o podporu obchodu a uľahčenia obchodovania v záujme udržateľného rozvoja a hodnotových reťazcov. Podporovala dôstojnú prácu zlepšovaním sociálnej, pracovnej a environmentálnej udržateľnosti, prekonávaním rodovej nerovnosti a prekážok v posilňovaní ekonomického postavenia žien a mládeže a zlepšovaním politík a systémov </w:t>
      </w:r>
      <w:bookmarkStart w:id="16" w:name="_Hlk102472077"/>
      <w:r>
        <w:rPr>
          <w:noProof/>
        </w:rPr>
        <w:t>odborného vzdelávania a prípravy</w:t>
      </w:r>
      <w:bookmarkEnd w:id="16"/>
      <w:r>
        <w:rPr>
          <w:noProof/>
        </w:rPr>
        <w:t>.</w:t>
      </w:r>
    </w:p>
    <w:p w14:paraId="60CAA157" w14:textId="75D885C0" w:rsidR="00E72584" w:rsidRPr="0099400F" w:rsidRDefault="00E72584" w:rsidP="00796B9E">
      <w:pPr>
        <w:jc w:val="both"/>
        <w:rPr>
          <w:noProof/>
        </w:rPr>
      </w:pPr>
      <w:r>
        <w:rPr>
          <w:noProof/>
        </w:rPr>
        <w:t xml:space="preserve">Na rozšírenie odborného nástroja EÚ pre zamestnanosť, prácu a sociálnu ochranu (SOCIEUX+), ktorý poskytuje krátkodobú technickú partnerskú pomoc krajinám západného Balkánu, boli vyčlenené 3 milióny EUR. </w:t>
      </w:r>
    </w:p>
    <w:tbl>
      <w:tblPr>
        <w:tblStyle w:val="TableGrid"/>
        <w:tblW w:w="0" w:type="auto"/>
        <w:tblLayout w:type="fixed"/>
        <w:tblLook w:val="06A0" w:firstRow="1" w:lastRow="0" w:firstColumn="1" w:lastColumn="0" w:noHBand="1" w:noVBand="1"/>
        <w:tblCaption w:val="Zvýraznený text týkajúci sa oddielu „Udržateľný rozvoj a pracovné miesta“"/>
      </w:tblPr>
      <w:tblGrid>
        <w:gridCol w:w="9015"/>
      </w:tblGrid>
      <w:tr w:rsidR="6A002CA1" w14:paraId="19043887" w14:textId="77777777" w:rsidTr="00B62215">
        <w:trPr>
          <w:tblHeader/>
        </w:trPr>
        <w:tc>
          <w:tcPr>
            <w:tcW w:w="9015" w:type="dxa"/>
          </w:tcPr>
          <w:p w14:paraId="6BDD0506" w14:textId="6A73A322" w:rsidR="00E72584" w:rsidRDefault="00697338" w:rsidP="00697338">
            <w:pPr>
              <w:jc w:val="both"/>
              <w:rPr>
                <w:noProof/>
              </w:rPr>
            </w:pPr>
            <w:r>
              <w:rPr>
                <w:noProof/>
              </w:rPr>
              <w:t>Iniciatíva Tímu Európa bola spustená s cieľom pomôcť mladým podnikom a podnikateľom v Afrike riešiť problém prístupu k strednodobému a dlhodobému financovaniu.</w:t>
            </w:r>
          </w:p>
        </w:tc>
      </w:tr>
    </w:tbl>
    <w:p w14:paraId="3057A15C" w14:textId="3155339A" w:rsidR="00E72584" w:rsidRPr="0099400F" w:rsidRDefault="00697338" w:rsidP="00701FB5">
      <w:pPr>
        <w:spacing w:before="240"/>
        <w:jc w:val="both"/>
        <w:rPr>
          <w:bCs/>
          <w:noProof/>
        </w:rPr>
      </w:pPr>
      <w:r>
        <w:rPr>
          <w:noProof/>
        </w:rPr>
        <w:t xml:space="preserve">Cieľom pilotného projektu v hodnote 15 miliónov EUR vykonávaného v 11 afrických krajinách je zosúladiť poskytovanie odbornej prípravy v oblasti zručností s príležitosťami a potrebami investičných programov. </w:t>
      </w:r>
    </w:p>
    <w:p w14:paraId="46292B3D" w14:textId="7F57A942" w:rsidR="00E72584" w:rsidRPr="0099400F" w:rsidRDefault="00E72584" w:rsidP="00796B9E">
      <w:pPr>
        <w:jc w:val="both"/>
        <w:rPr>
          <w:bCs/>
          <w:noProof/>
        </w:rPr>
      </w:pPr>
      <w:r>
        <w:rPr>
          <w:noProof/>
        </w:rPr>
        <w:t xml:space="preserve">V správe o pokroku pri realizovaní iniciatívy zameranej na </w:t>
      </w:r>
      <w:bookmarkStart w:id="17" w:name="_Hlk102472735"/>
      <w:r>
        <w:rPr>
          <w:noProof/>
        </w:rPr>
        <w:t>pomoc obchodu</w:t>
      </w:r>
      <w:bookmarkEnd w:id="17"/>
      <w:r>
        <w:rPr>
          <w:noProof/>
        </w:rPr>
        <w:t xml:space="preserve"> za rok 2021</w:t>
      </w:r>
      <w:r>
        <w:rPr>
          <w:rStyle w:val="FootnoteReference"/>
          <w:i/>
          <w:noProof/>
        </w:rPr>
        <w:footnoteReference w:id="22"/>
      </w:r>
      <w:r>
        <w:rPr>
          <w:noProof/>
        </w:rPr>
        <w:t xml:space="preserve">, ktorá bola uverejnená v októbri, sa potvrdila pozícia EÚ a jej členských štátov ako hlavných poskytovateľov (38 %) globálnej pomoci obchodu. </w:t>
      </w:r>
    </w:p>
    <w:p w14:paraId="1A1A006A" w14:textId="29C699A7" w:rsidR="00DA4F6E" w:rsidRPr="00E10A3B" w:rsidRDefault="005F2578" w:rsidP="00796B9E">
      <w:pPr>
        <w:pStyle w:val="Heading2"/>
        <w:spacing w:before="120" w:after="120"/>
        <w:rPr>
          <w:noProof/>
        </w:rPr>
      </w:pPr>
      <w:bookmarkStart w:id="18" w:name="_Toc116575308"/>
      <w:r>
        <w:rPr>
          <w:noProof/>
        </w:rPr>
        <w:t>Migrácia</w:t>
      </w:r>
      <w:bookmarkEnd w:id="18"/>
      <w:r>
        <w:rPr>
          <w:noProof/>
        </w:rPr>
        <w:t xml:space="preserve"> </w:t>
      </w:r>
    </w:p>
    <w:p w14:paraId="36F736E4" w14:textId="5CB9EBB5" w:rsidR="001611E6" w:rsidRPr="0099400F" w:rsidRDefault="00697338" w:rsidP="00796B9E">
      <w:pPr>
        <w:jc w:val="both"/>
        <w:rPr>
          <w:bCs/>
          <w:noProof/>
        </w:rPr>
      </w:pPr>
      <w:r>
        <w:rPr>
          <w:noProof/>
        </w:rPr>
        <w:t>V roku 2021 bola pozornosť, aj vzhľadom na udalosti v Afganistane a Bielorusku a znepokojivý trend využívania migračných tokov na politický vplyv, zameraná na vykonávanie vonkajšieho rozmeru únijného Nového paktu o migrácii a azyle. Pozornosť sa zameriavala aj na pokračujúce toky nelegálnej migrácie a nebezpečné migračné toky, ako aj na nútené vysídľovanie obyvateľstva v susedstve EÚ, subsaharskej Afrike, Ázii, na Blízkom východe a v Severnej a Južnej Amerike.</w:t>
      </w:r>
    </w:p>
    <w:p w14:paraId="12E4B88C" w14:textId="324D650A" w:rsidR="001611E6" w:rsidRPr="0099400F" w:rsidRDefault="001611E6" w:rsidP="00796B9E">
      <w:pPr>
        <w:jc w:val="both"/>
        <w:rPr>
          <w:bCs/>
          <w:noProof/>
        </w:rPr>
      </w:pPr>
      <w:r>
        <w:rPr>
          <w:noProof/>
        </w:rPr>
        <w:t>V priebehu roka 2021 sa prostredníctvom Regionálneho trustového fondu Európskej únie v reakcii na krízu v Sýrii riešili základné potreby sýrskych utečencov a hostiteľských komunít v susedných krajinách. Z fondu sa poskytla pomoc pre viac ako 8,4 milióna ľudí. Na obdobie 2020 – 2024 bol odsúhlasený balík strategickej podpory vo výške 5,7 miliardy EUR pre utečencov a hostiteľské komunity v Turecku, Jordánsku, Libanone, Iraku a Sýrii.</w:t>
      </w:r>
    </w:p>
    <w:p w14:paraId="4577D93B" w14:textId="6DB93C8B" w:rsidR="002A5345" w:rsidRDefault="001611E6" w:rsidP="002A5345">
      <w:pPr>
        <w:jc w:val="both"/>
        <w:rPr>
          <w:noProof/>
        </w:rPr>
      </w:pPr>
      <w:r>
        <w:rPr>
          <w:noProof/>
        </w:rPr>
        <w:t>Na pokrytie potrieb v severnej Afrike, ktoré boli predtým financované v rámci Núdzového trustového fondu Európskej únie pre Afriku, boli v rámci nástroja NDICI – Globálna Európa prijaté opatrenia v objeme 165 miliónov EUR, pričom sa pripravoval nový program zameraný na migráciu, určený pre viaceré krajiny</w:t>
      </w:r>
      <w:r>
        <w:rPr>
          <w:noProof/>
        </w:rPr>
        <w:noBreakHyphen/>
        <w:t>.</w:t>
      </w:r>
    </w:p>
    <w:p w14:paraId="00142727" w14:textId="61A4C69E" w:rsidR="002A5345" w:rsidRPr="0099400F" w:rsidRDefault="002A5345" w:rsidP="002A5345">
      <w:pPr>
        <w:jc w:val="both"/>
        <w:rPr>
          <w:bCs/>
          <w:noProof/>
        </w:rPr>
      </w:pPr>
      <w:r>
        <w:rPr>
          <w:noProof/>
        </w:rPr>
        <w:t>V subsaharskej Afrike sa prijali opatrenia vo výške 234 miliónov EUR v rámci regionálneho viacročného orientačného programu s cieľom riešiť v partnerstve s UNHCR výzvy v danom regióne týkajúce sa núteného vysídľovania a v spolupráci s IOM pokračovať vo vykonávaní spoločnej iniciatívy na ochranu a reintegráciu migrantov.</w:t>
      </w:r>
    </w:p>
    <w:p w14:paraId="3C36D605" w14:textId="6C6A4261" w:rsidR="001611E6" w:rsidRPr="0099400F" w:rsidRDefault="001611E6" w:rsidP="00796B9E">
      <w:pPr>
        <w:jc w:val="both"/>
        <w:rPr>
          <w:bCs/>
          <w:noProof/>
        </w:rPr>
      </w:pPr>
      <w:r>
        <w:rPr>
          <w:noProof/>
        </w:rPr>
        <w:t xml:space="preserve">Na západnom Balkáne sa v decembri 2021 skončila druhá fáza regionálnej podpory riadenia migrácie s ohľadom na ochranu, vďaka čomu sa podarilo vybudovať kapacity vo všetkých oblastiach riadenia migrácie. </w:t>
      </w:r>
    </w:p>
    <w:p w14:paraId="09CFE344" w14:textId="78D2663A" w:rsidR="001611E6" w:rsidRPr="001611E6" w:rsidRDefault="002A5345" w:rsidP="00796B9E">
      <w:pPr>
        <w:jc w:val="both"/>
        <w:rPr>
          <w:bCs/>
          <w:noProof/>
        </w:rPr>
      </w:pPr>
      <w:r>
        <w:rPr>
          <w:noProof/>
        </w:rPr>
        <w:t>Koncom roka 2021 bol v Ázii prijatý balík osobitných opatrení týkajúcich sa regionálneho vysídľovania afganských obyvateľov (79 miliónov EUR), ako aj akcia (75 miliónov EUR), ktorej cieľom je podpora Iraku určená na pomoc jeho vnútorne vysídleným osobám a sýrskym utečencom prijatým na jeho území.</w:t>
      </w:r>
    </w:p>
    <w:p w14:paraId="64B86BC8" w14:textId="23CC7924" w:rsidR="00DA4F6E" w:rsidRPr="00E10A3B" w:rsidRDefault="005F2578" w:rsidP="00796B9E">
      <w:pPr>
        <w:pStyle w:val="Heading2"/>
        <w:spacing w:before="120" w:after="120"/>
        <w:rPr>
          <w:noProof/>
        </w:rPr>
      </w:pPr>
      <w:bookmarkStart w:id="19" w:name="_Toc116575309"/>
      <w:r>
        <w:rPr>
          <w:noProof/>
        </w:rPr>
        <w:t>Správa vecí verejných, mier a bezpečnosť</w:t>
      </w:r>
      <w:bookmarkEnd w:id="19"/>
    </w:p>
    <w:p w14:paraId="486B449E" w14:textId="6358E6EC" w:rsidR="00B835C8" w:rsidRDefault="00534218" w:rsidP="00796B9E">
      <w:pPr>
        <w:jc w:val="both"/>
        <w:rPr>
          <w:noProof/>
        </w:rPr>
      </w:pPr>
      <w:r>
        <w:rPr>
          <w:noProof/>
        </w:rPr>
        <w:t>V roku 2021 EÚ spustila iniciatívu Tímu Európa zameranú na demokraciu s cieľom lepšie koordinovať podporu projektov v oblasti právneho štátu, zodpovednosti a správy vecí verejných v partnerských krajinách na celom svete.</w:t>
      </w:r>
    </w:p>
    <w:p w14:paraId="5176B407" w14:textId="5CBD3299" w:rsidR="008907C0" w:rsidRPr="0099400F" w:rsidRDefault="008907C0" w:rsidP="00796B9E">
      <w:pPr>
        <w:jc w:val="both"/>
        <w:rPr>
          <w:noProof/>
        </w:rPr>
      </w:pPr>
      <w:r>
        <w:rPr>
          <w:noProof/>
        </w:rPr>
        <w:t>V decembri 2021 sa predsedníčka von der Leyenová zúčastnila na prvom samite o demokracii a predstavila nový program Komisie s názvom Globálna Európa pre ľudské práva a demokraciu.</w:t>
      </w:r>
    </w:p>
    <w:p w14:paraId="67484A26" w14:textId="242249E8" w:rsidR="00DD12F0" w:rsidRDefault="00283A3F" w:rsidP="00796B9E">
      <w:pPr>
        <w:jc w:val="both"/>
        <w:rPr>
          <w:noProof/>
        </w:rPr>
      </w:pPr>
      <w:r>
        <w:rPr>
          <w:noProof/>
        </w:rPr>
        <w:t xml:space="preserve">Spolupráca EÚ s organizáciami občianskej spoločnosti bola naďalej intenzívna. Nový tematický program pre občiansku spoločnosť v rámci nástroja NDICI – Globálna Európa v objeme 1,5 miliardy EUR bude slúžiť na podporu pri vytváraní priaznivého prostredia pre organizácie občianskej spoločnosti. Okrem toho môžu neštátne subjekty v partnerských krajinách zapojených do procesu rozširovania na západnom Balkáne a v Turecku využívať nový nástroj na podporu občianskej spoločnosti a nový program na podporu médií v rámci nástroja IPA III s celkovým financovaním vo výške 218 miliónov EUR na obdobie 2021 – 2023. </w:t>
      </w:r>
    </w:p>
    <w:p w14:paraId="381A2D05" w14:textId="73708023" w:rsidR="20C3E090" w:rsidRDefault="20C3E090" w:rsidP="00697338">
      <w:pPr>
        <w:jc w:val="both"/>
        <w:rPr>
          <w:noProof/>
        </w:rPr>
      </w:pPr>
      <w:r>
        <w:rPr>
          <w:rFonts w:ascii="Calibri" w:hAnsi="Calibri"/>
          <w:noProof/>
        </w:rPr>
        <w:t xml:space="preserve">Správa vecí verejných, mier a bezpečnosť sú naďalej dôležitými prvkami spoločných dokumentov, v ktorých sa stanovujú politické priority spolupráce medzi EÚ a väčšinou krajín európskej susedskej politiky a krajín zapojených do procesu rozširovania. V rámci nástroja IPA III sa pokračovalo v podpore súdnych orgánov a orgánov presadzovania práva s cieľom zintenzívniť boj proti organizovanému zločinu. </w:t>
      </w:r>
    </w:p>
    <w:p w14:paraId="24071B6D" w14:textId="52F3EFD5" w:rsidR="20C3E090" w:rsidRDefault="0035173F" w:rsidP="00796B9E">
      <w:pPr>
        <w:jc w:val="both"/>
        <w:rPr>
          <w:noProof/>
        </w:rPr>
      </w:pPr>
      <w:r>
        <w:rPr>
          <w:rFonts w:ascii="Calibri" w:hAnsi="Calibri"/>
          <w:noProof/>
        </w:rPr>
        <w:t>Prijatím Európskeho mierového nástroja</w:t>
      </w:r>
      <w:r>
        <w:rPr>
          <w:rFonts w:ascii="Calibri" w:eastAsia="Calibri" w:hAnsi="Calibri" w:cs="Calibri"/>
          <w:noProof/>
          <w:vertAlign w:val="superscript"/>
        </w:rPr>
        <w:footnoteReference w:id="23"/>
      </w:r>
      <w:r>
        <w:rPr>
          <w:rFonts w:ascii="Calibri" w:hAnsi="Calibri"/>
          <w:noProof/>
        </w:rPr>
        <w:t xml:space="preserve"> v marci 2021 sa otvorili nové možnosti, a to okrem iného aj na podporu vojenských a obranných spôsobilostí partnerských krajín. Cieľom je podporovať domácu odolnosť a mier a zlepšovať kapacitu a interoperabilitu ozbrojených síl v záujme prispievania k vojenským misiám a operáciám spoločnej bezpečnostnej a obrannej politiky. </w:t>
      </w:r>
    </w:p>
    <w:p w14:paraId="7E0DA5E0" w14:textId="77777777" w:rsidR="00DA4F6E" w:rsidRPr="00E10A3B" w:rsidRDefault="006A5935" w:rsidP="0057638F">
      <w:pPr>
        <w:pStyle w:val="Heading1"/>
        <w:jc w:val="both"/>
        <w:rPr>
          <w:noProof/>
        </w:rPr>
      </w:pPr>
      <w:bookmarkStart w:id="20" w:name="_Toc116575310"/>
      <w:r>
        <w:rPr>
          <w:noProof/>
        </w:rPr>
        <w:t>GLOBÁLNY VPLYV</w:t>
      </w:r>
      <w:bookmarkEnd w:id="20"/>
    </w:p>
    <w:p w14:paraId="0B911423" w14:textId="77777777" w:rsidR="00DA4F6E" w:rsidRPr="00E10A3B" w:rsidRDefault="00660DB5" w:rsidP="00796B9E">
      <w:pPr>
        <w:pStyle w:val="Heading2"/>
        <w:spacing w:before="120" w:after="120"/>
        <w:rPr>
          <w:noProof/>
        </w:rPr>
      </w:pPr>
      <w:bookmarkStart w:id="21" w:name="_Toc116575311"/>
      <w:r>
        <w:rPr>
          <w:noProof/>
        </w:rPr>
        <w:t>Subsaharská Afrika</w:t>
      </w:r>
      <w:bookmarkEnd w:id="21"/>
      <w:r>
        <w:rPr>
          <w:noProof/>
        </w:rPr>
        <w:t xml:space="preserve"> </w:t>
      </w:r>
    </w:p>
    <w:p w14:paraId="2DBC4515" w14:textId="7C13BFD8" w:rsidR="00BC3DB1" w:rsidRPr="00796B9E" w:rsidRDefault="00BC3DB1" w:rsidP="00796B9E">
      <w:pPr>
        <w:jc w:val="both"/>
        <w:rPr>
          <w:noProof/>
        </w:rPr>
      </w:pPr>
      <w:r>
        <w:rPr>
          <w:noProof/>
        </w:rPr>
        <w:t>Počas roku 2021 sa prostredníctvom dôležitých politických dialógov a dialógov o politikách otvorila cesta k samitu s Africkou úniou (AÚ), ktorý sa uskutočnil v roku 2022. Ministri zahraničných vecí EÚ a AÚ sa stretli v októbri 2021 v Kigali a načrtli štyri kľúčové prioritné oblasti, a to: posilnenú spoločnú reakciu na ochorenie COVID-19; stratégie na urýchlenie obnovy po pandémii ochorenia COVID-19, zelenú a digitálnu transformáciu; mier, bezpečnosť a správu vecí verejných; migráciu a mobilitu. V júni 2021 AÚ a Európska komisia spoločne usporiadali štvrtú konferenciu ministrov poľnohospodárstva AÚ a EÚ.</w:t>
      </w:r>
    </w:p>
    <w:p w14:paraId="2AB2F63F" w14:textId="14D600E8" w:rsidR="00BC3DB1" w:rsidRDefault="00BC3DB1" w:rsidP="00796B9E">
      <w:pPr>
        <w:jc w:val="both"/>
        <w:rPr>
          <w:noProof/>
        </w:rPr>
      </w:pPr>
      <w:r>
        <w:rPr>
          <w:noProof/>
        </w:rPr>
        <w:t>Rada 16. apríla schválila novú integrovanú stratégiu EÚ pre Sahel s komplexnejším prístupom zameraným na posilnenú správu vecí verejných, rozvoj a vzájomnú zodpovednosť. Nová stratégia pre Africký roh bola prijatá 10. mája s cieľom prehĺbiť strategické vzťahy EÚ s týmto regiónom.</w:t>
      </w:r>
    </w:p>
    <w:p w14:paraId="22DFBDE9" w14:textId="60D62CEF" w:rsidR="00E102F4" w:rsidRDefault="00E102F4" w:rsidP="00E102F4">
      <w:pPr>
        <w:jc w:val="both"/>
        <w:rPr>
          <w:noProof/>
        </w:rPr>
      </w:pPr>
      <w:r>
        <w:rPr>
          <w:noProof/>
        </w:rPr>
        <w:t xml:space="preserve">EÚ v roku 2021 poskytla v regióne humanitárnu pomoc predstavujúcu okolo 730 miliónov EUR, ktorá bola zameraná na potravinovú bezpečnosť, reakciu na ochorenie COVID-19, predchádzanie katastrofám a pripravenosť na ne, ako aj na poskytovanie základnej podpory vysídleným osobám a obyvateľstvu postihnutému konfliktom. Na krízu v Etiópii bolo vyčlenených 85,5 milióna EUR a na riešenie následkov konfliktu v Južnom Sudáne 81,3 milióna EUR. </w:t>
      </w:r>
    </w:p>
    <w:tbl>
      <w:tblPr>
        <w:tblpPr w:leftFromText="180" w:rightFromText="180" w:vertAnchor="text" w:horzAnchor="margin" w:tblpY="120"/>
        <w:tblW w:w="9015" w:type="dxa"/>
        <w:tblCellMar>
          <w:left w:w="0" w:type="dxa"/>
          <w:right w:w="0" w:type="dxa"/>
        </w:tblCellMar>
        <w:tblLook w:val="04A0" w:firstRow="1" w:lastRow="0" w:firstColumn="1" w:lastColumn="0" w:noHBand="0" w:noVBand="1"/>
        <w:tblCaption w:val="Zvýraznený text týkajúci sa kapitoly venovanej subsaharskej Afrike"/>
      </w:tblPr>
      <w:tblGrid>
        <w:gridCol w:w="9015"/>
      </w:tblGrid>
      <w:tr w:rsidR="00BC3DB1" w:rsidRPr="00796B9E" w14:paraId="3463EF32" w14:textId="77777777" w:rsidTr="00796B9E">
        <w:tc>
          <w:tcPr>
            <w:tcW w:w="90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027DEFC4" w14:textId="3953EFA4" w:rsidR="00BC3DB1" w:rsidRPr="00400BF0" w:rsidRDefault="00BC3DB1" w:rsidP="0035173F">
            <w:pPr>
              <w:jc w:val="both"/>
              <w:rPr>
                <w:noProof/>
              </w:rPr>
            </w:pPr>
            <w:r>
              <w:rPr>
                <w:noProof/>
              </w:rPr>
              <w:t xml:space="preserve">V roku 2021 došlo v spolupráci s africkými partnermi k prijatiu 44 viacročných orientačných programov pre jednotlivé krajiny na obdobie 2021 – 2027. Celkový počiatočný rozpočet pridelený subsaharskej Afrike v rámci nástroja NDICI – Globálna Európa predstavuje 29,18 miliardy EUR vrátane regionálneho programu v objeme 10,2 miliardy EUR, ktorý bude slúžiť na riešenie priorít viacerých krajín.  </w:t>
            </w:r>
          </w:p>
        </w:tc>
      </w:tr>
    </w:tbl>
    <w:p w14:paraId="5ACA9F0E" w14:textId="58642E77" w:rsidR="0081420D" w:rsidRPr="00E10A3B" w:rsidRDefault="0081420D" w:rsidP="007E7635">
      <w:pPr>
        <w:pStyle w:val="Heading2"/>
        <w:spacing w:before="120" w:after="120"/>
        <w:rPr>
          <w:noProof/>
        </w:rPr>
      </w:pPr>
      <w:bookmarkStart w:id="22" w:name="_Toc116575312"/>
      <w:r>
        <w:rPr>
          <w:noProof/>
        </w:rPr>
        <w:t>Ázia a Tichomorie</w:t>
      </w:r>
      <w:bookmarkEnd w:id="22"/>
      <w:r>
        <w:rPr>
          <w:noProof/>
        </w:rPr>
        <w:t xml:space="preserve"> </w:t>
      </w:r>
    </w:p>
    <w:p w14:paraId="722C436B" w14:textId="24BECBC4" w:rsidR="00CB1013" w:rsidRPr="0099400F" w:rsidRDefault="00CB1013" w:rsidP="00796B9E">
      <w:pPr>
        <w:jc w:val="both"/>
        <w:rPr>
          <w:noProof/>
        </w:rPr>
      </w:pPr>
      <w:r>
        <w:rPr>
          <w:noProof/>
        </w:rPr>
        <w:t>V roku 2021 bol zavedený nový politický rámec EÚ pre tento región. Zaznamenala sa zvýšená angažovanosť v rámci stratégie EÚ pre spoluprácu v indicko-tichomorskom regióne</w:t>
      </w:r>
      <w:r>
        <w:rPr>
          <w:rStyle w:val="FootnoteReference"/>
          <w:noProof/>
        </w:rPr>
        <w:footnoteReference w:id="24"/>
      </w:r>
      <w:r>
        <w:rPr>
          <w:noProof/>
        </w:rPr>
        <w:t xml:space="preserve">. </w:t>
      </w:r>
    </w:p>
    <w:p w14:paraId="63B18818" w14:textId="56658E85" w:rsidR="004E44AA" w:rsidRPr="0099400F" w:rsidRDefault="00CB1013" w:rsidP="00796B9E">
      <w:pPr>
        <w:jc w:val="both"/>
        <w:rPr>
          <w:noProof/>
        </w:rPr>
      </w:pPr>
      <w:r>
        <w:rPr>
          <w:noProof/>
        </w:rPr>
        <w:t>Trinásty samit stretnutia Ázia – Európa sa konal virtuálne v dňoch 25. a 26. novembra 2021 a jeho témou bolo „posilnenie multilateralizmu v záujme spoločného rastu“.</w:t>
      </w:r>
    </w:p>
    <w:p w14:paraId="17B8A45E" w14:textId="5C7C0E25" w:rsidR="00A356D4" w:rsidRPr="0099400F" w:rsidRDefault="00CB1013" w:rsidP="00796B9E">
      <w:pPr>
        <w:jc w:val="both"/>
        <w:rPr>
          <w:noProof/>
        </w:rPr>
      </w:pPr>
      <w:r>
        <w:rPr>
          <w:noProof/>
        </w:rPr>
        <w:t xml:space="preserve">Na samite EÚ a Japonska bola podpísaná zelená aliancia na ochranu životného prostredia, boj proti zmene klímy a dosiahnutie zeleného rastu. </w:t>
      </w:r>
    </w:p>
    <w:p w14:paraId="54FD8F18" w14:textId="4CB517CD" w:rsidR="004E44AA" w:rsidRPr="0099400F" w:rsidRDefault="00CB1013" w:rsidP="00796B9E">
      <w:pPr>
        <w:jc w:val="both"/>
        <w:rPr>
          <w:noProof/>
        </w:rPr>
      </w:pPr>
      <w:r>
        <w:rPr>
          <w:noProof/>
        </w:rPr>
        <w:t xml:space="preserve">V Bangladéši pokračovala EÚ vo svojom úsilí o zapájanie sa do riešenia humanitárnych problémov spôsobených rohingskou krízou. </w:t>
      </w:r>
    </w:p>
    <w:tbl>
      <w:tblPr>
        <w:tblStyle w:val="TableGrid"/>
        <w:tblW w:w="0" w:type="auto"/>
        <w:tblLayout w:type="fixed"/>
        <w:tblLook w:val="06A0" w:firstRow="1" w:lastRow="0" w:firstColumn="1" w:lastColumn="0" w:noHBand="1" w:noVBand="1"/>
        <w:tblCaption w:val="Zvýraznený text týkajúci sa oddielu „Ázia a Tichomorie“"/>
      </w:tblPr>
      <w:tblGrid>
        <w:gridCol w:w="9015"/>
      </w:tblGrid>
      <w:tr w:rsidR="6A002CA1" w14:paraId="05E338DE" w14:textId="77777777" w:rsidTr="00B62215">
        <w:trPr>
          <w:tblHeader/>
        </w:trPr>
        <w:tc>
          <w:tcPr>
            <w:tcW w:w="9015" w:type="dxa"/>
          </w:tcPr>
          <w:p w14:paraId="1FEDB146" w14:textId="14863132" w:rsidR="00AC630E" w:rsidRDefault="00AC630E" w:rsidP="0035173F">
            <w:pPr>
              <w:jc w:val="both"/>
              <w:rPr>
                <w:noProof/>
              </w:rPr>
            </w:pPr>
            <w:r>
              <w:rPr>
                <w:noProof/>
              </w:rPr>
              <w:t>Zeleno-modrá aliancia pre Tichomorie a Východný Timor je iniciatívou Tímu Európa, ktorá bola spustená na konferencii COP26 v novembri 2021, a ktorá slúži na podporu rovnocenných spoločností, základných hodnôt, ľudského rozvoja, mieru a bezpečnosti v 18 partnerských krajinách a ZKÚ.</w:t>
            </w:r>
          </w:p>
        </w:tc>
      </w:tr>
    </w:tbl>
    <w:p w14:paraId="4FB6F759" w14:textId="060546D8" w:rsidR="00312A23" w:rsidRDefault="00312A23" w:rsidP="00312A23">
      <w:pPr>
        <w:spacing w:before="240"/>
        <w:jc w:val="both"/>
        <w:rPr>
          <w:noProof/>
        </w:rPr>
      </w:pPr>
      <w:r>
        <w:rPr>
          <w:noProof/>
        </w:rPr>
        <w:t xml:space="preserve">V záveroch Rady o Afganistane prijatých v septembri 2021 sa stanovili kritériá pre kontakty s orgánmi Talibanu s apelom na prístup k humanitárnej pomoci, bezpečný prechod a dodržiavanie ľudských práv, a to najmä práv žien a dievčat či menšín, ako aj na dodržiavanie záväzkov v oblasti boja proti terorizmu a inkluzívnej správy vecí verejných. </w:t>
      </w:r>
    </w:p>
    <w:p w14:paraId="1F225F5C" w14:textId="062816BC" w:rsidR="004B4E9E" w:rsidRDefault="00683397" w:rsidP="00796B9E">
      <w:pPr>
        <w:jc w:val="both"/>
        <w:rPr>
          <w:noProof/>
        </w:rPr>
      </w:pPr>
      <w:r>
        <w:rPr>
          <w:noProof/>
        </w:rPr>
        <w:t>V roku 2021 sa zároveň obnovilo partnerstvo Spoločnej rady pre spoluprácu GCC a EÚ.</w:t>
      </w:r>
    </w:p>
    <w:p w14:paraId="0588A668" w14:textId="06BD8340" w:rsidR="00660DB5" w:rsidRPr="00E10A3B" w:rsidRDefault="00660DB5" w:rsidP="00796B9E">
      <w:pPr>
        <w:pStyle w:val="Heading2"/>
        <w:spacing w:before="120" w:after="120"/>
        <w:rPr>
          <w:noProof/>
        </w:rPr>
      </w:pPr>
      <w:bookmarkStart w:id="23" w:name="_Toc116575313"/>
      <w:r>
        <w:rPr>
          <w:noProof/>
        </w:rPr>
        <w:t>Severná a Južná Amerika a Karibik</w:t>
      </w:r>
      <w:bookmarkEnd w:id="23"/>
    </w:p>
    <w:p w14:paraId="4A5EFD13" w14:textId="6AEF2AC1" w:rsidR="00503BCA" w:rsidRPr="0099400F" w:rsidRDefault="0028512B" w:rsidP="00796B9E">
      <w:pPr>
        <w:jc w:val="both"/>
        <w:rPr>
          <w:noProof/>
        </w:rPr>
      </w:pPr>
      <w:r>
        <w:rPr>
          <w:noProof/>
        </w:rPr>
        <w:t>Vzťahy EÚ s týmto regiónom sa v roku 2021 zintenzívnili. Predseda Európskej rady sa zúčastnil na samite Spoločenstva štátov Latinskej Ameriky a Karibiku (CELAC). Dňa 2. decembra 2021 sa stretli vedúci predstavitelia EÚ a LAK a po šesťročnej prestávke obnovili dialóg medzi dvoma regiónmi na vysokej úrovni. V diskusii sa potvrdil spoločný program zameraný na udržateľnú, digitálnu a inkluzívnu obnovu po pandémii.</w:t>
      </w:r>
    </w:p>
    <w:p w14:paraId="3AE58F1C" w14:textId="05714949" w:rsidR="00E65E62" w:rsidRPr="0099400F" w:rsidRDefault="00E95029" w:rsidP="00796B9E">
      <w:pPr>
        <w:jc w:val="both"/>
        <w:rPr>
          <w:noProof/>
        </w:rPr>
      </w:pPr>
      <w:r>
        <w:rPr>
          <w:noProof/>
        </w:rPr>
        <w:t>Dosiahol sa pokrok pri ratifikácii Dohody o pridružení medzi EÚ a Strednou Amerikou, pričom pokračovala spolupráca s úniou  Mercosur a s Čile týkajúca sa uzavretia dohôd s EÚ o pridružení, ako aj spolupráca s Mexikom na modernizácii globálnej dohody.</w:t>
      </w:r>
    </w:p>
    <w:p w14:paraId="6DACC526" w14:textId="166912EF" w:rsidR="00084CAA" w:rsidRDefault="0028512B" w:rsidP="00796B9E">
      <w:pPr>
        <w:jc w:val="both"/>
        <w:rPr>
          <w:noProof/>
        </w:rPr>
      </w:pPr>
      <w:r>
        <w:rPr>
          <w:noProof/>
        </w:rPr>
        <w:t>EÚ v reakcii na politické represie a volebné podvody obnovila a posilnila svoj sankčný režim voči Nikarague.</w:t>
      </w:r>
    </w:p>
    <w:p w14:paraId="62CBBF74" w14:textId="1D27E718" w:rsidR="0019732A" w:rsidRPr="0099400F" w:rsidRDefault="009301B4" w:rsidP="0019732A">
      <w:pPr>
        <w:jc w:val="both"/>
        <w:rPr>
          <w:noProof/>
        </w:rPr>
      </w:pPr>
      <w:r>
        <w:rPr>
          <w:noProof/>
        </w:rPr>
        <w:t xml:space="preserve">EÚ takisto naďalej podporovala ochranu a integráciu migrantov a utečencov z Venezuely, a to aj v rámci ich hostiteľských krajín. </w:t>
      </w:r>
    </w:p>
    <w:tbl>
      <w:tblPr>
        <w:tblStyle w:val="TableGrid"/>
        <w:tblW w:w="0" w:type="auto"/>
        <w:tblLayout w:type="fixed"/>
        <w:tblLook w:val="06A0" w:firstRow="1" w:lastRow="0" w:firstColumn="1" w:lastColumn="0" w:noHBand="1" w:noVBand="1"/>
        <w:tblCaption w:val="Zvýraznený text týkajúci sa oddielu „Severná a Južná Amerika a Karibik“"/>
      </w:tblPr>
      <w:tblGrid>
        <w:gridCol w:w="9015"/>
      </w:tblGrid>
      <w:tr w:rsidR="6A002CA1" w14:paraId="2794579F" w14:textId="77777777" w:rsidTr="00B62215">
        <w:trPr>
          <w:tblHeader/>
        </w:trPr>
        <w:tc>
          <w:tcPr>
            <w:tcW w:w="9015" w:type="dxa"/>
          </w:tcPr>
          <w:p w14:paraId="2375529E" w14:textId="1EBA9E64" w:rsidR="00524E86" w:rsidRDefault="00342311" w:rsidP="00342311">
            <w:pPr>
              <w:jc w:val="both"/>
              <w:rPr>
                <w:noProof/>
              </w:rPr>
            </w:pPr>
            <w:r>
              <w:rPr>
                <w:noProof/>
              </w:rPr>
              <w:t>V roku 2021 EÚ zmobilizovala 17 miliónov EUR na zmiernenie akútnej potravinovej neistoty na Haiti a na ochranu obetí násilia. EÚ investovala aj do pripravenosti na katastrofy, pričom po zemetrasení, ku ktorému došlo 14. augusta, rýchlo zmobilizovala núdzové financovanie.</w:t>
            </w:r>
          </w:p>
        </w:tc>
      </w:tr>
    </w:tbl>
    <w:p w14:paraId="3D80384B" w14:textId="46081B1E" w:rsidR="00DA4F6E" w:rsidRPr="00E10A3B" w:rsidRDefault="00DA4F6E" w:rsidP="00796B9E">
      <w:pPr>
        <w:pStyle w:val="Heading2"/>
        <w:spacing w:before="120" w:after="120"/>
        <w:rPr>
          <w:noProof/>
        </w:rPr>
      </w:pPr>
      <w:bookmarkStart w:id="24" w:name="_Toc116575314"/>
      <w:r>
        <w:rPr>
          <w:noProof/>
        </w:rPr>
        <w:t>Európske susedstvo</w:t>
      </w:r>
      <w:bookmarkEnd w:id="24"/>
    </w:p>
    <w:p w14:paraId="7796167B" w14:textId="388C362C" w:rsidR="00A260CE" w:rsidRPr="0099400F" w:rsidRDefault="00A260CE" w:rsidP="00796B9E">
      <w:pPr>
        <w:jc w:val="both"/>
        <w:rPr>
          <w:noProof/>
        </w:rPr>
      </w:pPr>
      <w:r>
        <w:rPr>
          <w:noProof/>
        </w:rPr>
        <w:t>Počas roku 2021 EÚ pokračovala v rozvíjaní svojich vzťahov s východnými partnermi na bilaterálnej aj regionálnej úrovni v rámci európskej susedskej politiky a Východného partnerstva.</w:t>
      </w:r>
    </w:p>
    <w:p w14:paraId="4E76AB9D" w14:textId="213E5034" w:rsidR="00A260CE" w:rsidRPr="0099400F" w:rsidRDefault="00A260CE" w:rsidP="00796B9E">
      <w:pPr>
        <w:jc w:val="both"/>
        <w:rPr>
          <w:noProof/>
        </w:rPr>
      </w:pPr>
      <w:r>
        <w:rPr>
          <w:noProof/>
        </w:rPr>
        <w:t>EÚ udržiavala aktívny dialóg na najvyššej politickej úrovni vrátane samitu v októbri v Kyjeve.</w:t>
      </w:r>
    </w:p>
    <w:p w14:paraId="2252ED7A" w14:textId="7770D589" w:rsidR="00E825BD" w:rsidRPr="0099400F" w:rsidRDefault="00B16467" w:rsidP="00796B9E">
      <w:pPr>
        <w:jc w:val="both"/>
        <w:rPr>
          <w:noProof/>
        </w:rPr>
      </w:pPr>
      <w:r>
        <w:rPr>
          <w:noProof/>
        </w:rPr>
        <w:t>Na samite partnerstva v decembri 2021 bol schválený nový program pre Východné partnerstvo. Súvisiaci hospodársky a investičný plán predstavuje 2,3 miliardy EUR a jeho cieľom je získať ďalšie investície až do výšky 17 miliárd EUR.</w:t>
      </w:r>
    </w:p>
    <w:p w14:paraId="1D287204" w14:textId="49C2EB74" w:rsidR="00E97055" w:rsidRPr="00796B9E" w:rsidRDefault="7969104D" w:rsidP="00796B9E">
      <w:pPr>
        <w:jc w:val="both"/>
        <w:rPr>
          <w:noProof/>
        </w:rPr>
      </w:pPr>
      <w:r>
        <w:rPr>
          <w:noProof/>
        </w:rPr>
        <w:t>Vykonávanie sa spustí vďaka realizácii hlavných iniciatív, ktoré sú stanovené v plánoch jednotlivých partnerských krajín. Hoci sa bieloruský režim rozhodol pozastaviť svoju účasť vo Východnom partnerstve, EÚ naďalej podporuje občanov a občiansku spoločnosť v tejto krajine.</w:t>
      </w:r>
    </w:p>
    <w:p w14:paraId="3CD3514B" w14:textId="13663577" w:rsidR="00A00F78" w:rsidRPr="0099400F" w:rsidRDefault="009301B4" w:rsidP="00A00F78">
      <w:pPr>
        <w:jc w:val="both"/>
        <w:rPr>
          <w:noProof/>
        </w:rPr>
      </w:pPr>
      <w:r>
        <w:rPr>
          <w:noProof/>
        </w:rPr>
        <w:t>Na novembrovej ministerskej konferencii potvrdila EÚ a partneri z južného susedstva svoj záväzok plniť nový program pre Stredozemie</w:t>
      </w:r>
      <w:r>
        <w:rPr>
          <w:noProof/>
          <w:vertAlign w:val="superscript"/>
        </w:rPr>
        <w:footnoteReference w:id="25"/>
      </w:r>
      <w:r>
        <w:rPr>
          <w:noProof/>
        </w:rPr>
        <w:t xml:space="preserve"> vrátane osobitného hospodárskeho a investičného plánu.</w:t>
      </w:r>
    </w:p>
    <w:p w14:paraId="0FFBAF99" w14:textId="6DD2CF19" w:rsidR="00223CB0" w:rsidRPr="0099400F" w:rsidRDefault="00223CB0" w:rsidP="00796B9E">
      <w:pPr>
        <w:jc w:val="both"/>
        <w:rPr>
          <w:noProof/>
        </w:rPr>
      </w:pPr>
      <w:r>
        <w:rPr>
          <w:noProof/>
        </w:rPr>
        <w:t>EÚ naďalej poskytovala pomoc Sýrii a susedným krajinám prijímajúcim utečencov. Výsledkom piatej bruselskej konferencie, ktorá sa uskutočnila v marci, boli finančné záväzky v hodnote 5,3 miliardy EUR.</w:t>
      </w:r>
    </w:p>
    <w:p w14:paraId="71E7746E" w14:textId="1414763A" w:rsidR="00BF643F" w:rsidRDefault="00685654" w:rsidP="00796B9E">
      <w:pPr>
        <w:jc w:val="both"/>
        <w:rPr>
          <w:noProof/>
        </w:rPr>
      </w:pPr>
      <w:r>
        <w:rPr>
          <w:noProof/>
        </w:rPr>
        <w:t xml:space="preserve">EÚ takisto naďalej podporovala úsilie o stabilizáciu Líbye. Prostredníctvom operácie EUNAVFOR MED IRINI sa zaručilo vykonávanie zbrojného embarga OSN, pričom sa prostredníctvom pomocnej misie Európskej únie pre integrované riadenie hraníc v Líbyi budovali kapacity líbyjských orgánov v oblasti riadenia hraníc, presadzovania práva a trestnej justície. </w:t>
      </w:r>
    </w:p>
    <w:p w14:paraId="7F8B47D6" w14:textId="0A8244D5" w:rsidR="345F7024" w:rsidRDefault="0081420D" w:rsidP="00796B9E">
      <w:pPr>
        <w:pStyle w:val="Heading2"/>
        <w:spacing w:before="120" w:after="120"/>
        <w:rPr>
          <w:noProof/>
        </w:rPr>
      </w:pPr>
      <w:bookmarkStart w:id="25" w:name="_Toc116575315"/>
      <w:r>
        <w:rPr>
          <w:noProof/>
        </w:rPr>
        <w:t>Rozširovanie</w:t>
      </w:r>
      <w:bookmarkEnd w:id="25"/>
    </w:p>
    <w:p w14:paraId="3D34BDE7" w14:textId="303825C2" w:rsidR="3026B101" w:rsidRPr="00927362" w:rsidRDefault="345F7024" w:rsidP="00796B9E">
      <w:pPr>
        <w:jc w:val="both"/>
        <w:rPr>
          <w:noProof/>
        </w:rPr>
      </w:pPr>
      <w:r>
        <w:rPr>
          <w:noProof/>
        </w:rPr>
        <w:t>V októbri 2021 sa v rámci balíka Komisie týkajúceho sa rozširovania preskúmala situácia v kandidátskych a potenciálnych kandidátskych krajinách. Výsledkom tohto úsilia bol jasný plán na urýchlenie reforiem v súlade s revidovanou metodikou rozširovania založenou na zásade vlastných zásluh. V decembri sa otvorili štyri kapitoly rokovaní so Srbskom o pristúpení k EÚ týkajúce sa zelenej agendy a udržateľnej prepojenosti, zatiaľ čo na medzivládnej konferencii bolo vydané dodatočné politické usmernenie pre Čiernu Horu v záujme ďalšieho pokroku tejto krajiny na ceste k jej pristúpeniu k EÚ.</w:t>
      </w:r>
    </w:p>
    <w:p w14:paraId="1B5EC5A0" w14:textId="30C45FE6" w:rsidR="3026B101" w:rsidRPr="00927362" w:rsidRDefault="006B6BF4" w:rsidP="00796B9E">
      <w:pPr>
        <w:jc w:val="both"/>
        <w:rPr>
          <w:noProof/>
        </w:rPr>
      </w:pPr>
      <w:r>
        <w:rPr>
          <w:noProof/>
        </w:rPr>
        <w:t xml:space="preserve">Súčasne s tým sa začalo vykonávanie hospodárskeho a investičného plánu a zelenej agendy pre západný Balkán v objeme 9 miliárd EUR. Cieľom plánu je prekonať sociálno-ekonomickú priepasť medzi týmto regiónom a EÚ, podporiť oživenie hospodárstva a zelenú a digitálnu transformáciu a zapojiť región do vykonávania kľúčových iniciatív EÚ s cieľom priniesť občanom týchto krajín hmatateľné výhody. </w:t>
      </w:r>
    </w:p>
    <w:p w14:paraId="52D488DA" w14:textId="328B788E" w:rsidR="3026B101" w:rsidRPr="00927362" w:rsidRDefault="00FC1E0C" w:rsidP="00796B9E">
      <w:pPr>
        <w:jc w:val="both"/>
        <w:rPr>
          <w:noProof/>
        </w:rPr>
      </w:pPr>
      <w:r>
        <w:rPr>
          <w:noProof/>
        </w:rPr>
        <w:t>To závisí od úspešného zavedenia nástroja IPA III prijatého v roku 2021. V prvom programovom plánovaní nástroja IPA III sa vyčlenilo viac ako 4,1 miliardy EUR, z čoho 75 % predstavuje príspevok priamo na hospodársky a investičný plán.</w:t>
      </w:r>
    </w:p>
    <w:p w14:paraId="7AAF6947" w14:textId="34F1AEBC" w:rsidR="3026B101" w:rsidRPr="00927362" w:rsidRDefault="006B6BF4" w:rsidP="00796B9E">
      <w:pPr>
        <w:jc w:val="both"/>
        <w:rPr>
          <w:noProof/>
        </w:rPr>
      </w:pPr>
      <w:r>
        <w:rPr>
          <w:noProof/>
        </w:rPr>
        <w:t>Jednoznačná podpora európskej perspektívy západného Balkánu a záväzok zlepšiť spoluprácu s týmto regiónom sa potvrdili aj na dvoch samitoch: na samite berlínskeho procesu v Berlíne (v júli) a na samite EÚ – západný Balkán v Brde (v októbri).</w:t>
      </w:r>
    </w:p>
    <w:p w14:paraId="126167CF" w14:textId="2F24FDC9" w:rsidR="3026B101" w:rsidRDefault="345F7024" w:rsidP="00796B9E">
      <w:pPr>
        <w:jc w:val="both"/>
        <w:rPr>
          <w:noProof/>
        </w:rPr>
      </w:pPr>
      <w:r>
        <w:rPr>
          <w:noProof/>
        </w:rPr>
        <w:t xml:space="preserve">EÚ a jej partneri zo západného Balkánu pokračovali vo vykonávaní balíka finančnej pomoci vo výške 3,3 miliardy EUR prijatého v roku 2020 na boj proti pandémii ochorenia COVID-19 a jej sociálno-ekonomickým vplyvom, ako aj na podporu očkovacích kampaní. Tento región dostal od EÚ a jej členských štátov viac ako 6,5 milióna dávok vakcín proti ochoreniu COVID-19 popri dávkach vakcín zakúpených v predstihu prostredníctvom nástroja COVAX – išlo o 1,5 milióna dávok. </w:t>
      </w:r>
    </w:p>
    <w:p w14:paraId="6509C243" w14:textId="6762E5E2" w:rsidR="0023717D" w:rsidRDefault="006B6BF4" w:rsidP="00796B9E">
      <w:pPr>
        <w:jc w:val="both"/>
        <w:rPr>
          <w:noProof/>
        </w:rPr>
      </w:pPr>
      <w:r>
        <w:rPr>
          <w:noProof/>
        </w:rPr>
        <w:t xml:space="preserve">V roku 2021 sa prostredníctvom nástroja pre utečencov v Turecku poskytla podpora zameraná na základné humanitárne potreby pre približne 1,8 milióna utečencov a podpora zameraná na vzdelávanie pre 695 000 detí utečencov. Milióny ľudí využívajú aj služby zdravotnej starostlivosti a ochrany. V rámci rozvojového prvku nástroja bolo vyčlenených 560 miliónov EUR na zabezpečenie pokračujúcej podpory zameranej na vzdelávanie pre utečencov v Turecku a na zabezpečenie riadenia migrácie a hraníc. </w:t>
      </w:r>
    </w:p>
    <w:p w14:paraId="1696893B" w14:textId="5B245FE6" w:rsidR="00DA4F6E" w:rsidRPr="00E10A3B" w:rsidRDefault="00FC1E0C" w:rsidP="0057638F">
      <w:pPr>
        <w:pStyle w:val="Heading2"/>
        <w:spacing w:before="120" w:after="120"/>
        <w:rPr>
          <w:noProof/>
        </w:rPr>
      </w:pPr>
      <w:bookmarkStart w:id="26" w:name="_Toc116575316"/>
      <w:r>
        <w:rPr>
          <w:noProof/>
        </w:rPr>
        <w:t>Zámorské krajiny a územia (ZKÚ)</w:t>
      </w:r>
      <w:bookmarkEnd w:id="26"/>
    </w:p>
    <w:p w14:paraId="29D2A756" w14:textId="26B693E6" w:rsidR="00BF643F" w:rsidRPr="0099400F" w:rsidRDefault="000E67FC" w:rsidP="00796B9E">
      <w:pPr>
        <w:jc w:val="both"/>
        <w:rPr>
          <w:iCs/>
          <w:noProof/>
        </w:rPr>
      </w:pPr>
      <w:r>
        <w:rPr>
          <w:noProof/>
        </w:rPr>
        <w:t>ZKÚ udržiavajú osobitné ústavné väzby s tromi členskými štátmi: s Dánskom, Francúzskom a Holandskom. Nové rozhodnutie o pridružení zámoria vrátane Grónska</w:t>
      </w:r>
      <w:r>
        <w:rPr>
          <w:noProof/>
          <w:vertAlign w:val="superscript"/>
        </w:rPr>
        <w:footnoteReference w:id="26"/>
      </w:r>
      <w:r>
        <w:rPr>
          <w:noProof/>
        </w:rPr>
        <w:t xml:space="preserve"> prinieslo aktualizáciu právneho rámca partnerstva EÚ a ZKÚ, pričom do rovnakého nástroja bola zaradená aj spolupráca. EÚ vyčlenila pre ZKÚ na roky 2021 – 2027 finančnú podporu vo výške 500 miliónov EUR.</w:t>
      </w:r>
    </w:p>
    <w:p w14:paraId="6E5394AA" w14:textId="01713F14" w:rsidR="00DC151C" w:rsidRPr="0099400F" w:rsidRDefault="00DC151C" w:rsidP="00796B9E">
      <w:pPr>
        <w:jc w:val="both"/>
        <w:rPr>
          <w:noProof/>
        </w:rPr>
      </w:pPr>
      <w:r>
        <w:rPr>
          <w:noProof/>
        </w:rPr>
        <w:t>Prostredníctvom troch regionálnych programov sa podporí spolupráca v rámci ZKÚ v regiónoch Karibiku, Tichého oceánu a Indického oceánu.</w:t>
      </w:r>
    </w:p>
    <w:tbl>
      <w:tblPr>
        <w:tblStyle w:val="TableGrid"/>
        <w:tblW w:w="0" w:type="auto"/>
        <w:tblLayout w:type="fixed"/>
        <w:tblLook w:val="06A0" w:firstRow="1" w:lastRow="0" w:firstColumn="1" w:lastColumn="0" w:noHBand="1" w:noVBand="1"/>
        <w:tblCaption w:val="Zvýraznený text týkajúci sa oddielu „Zámorské krajiny a územia (ZKÚ)“"/>
      </w:tblPr>
      <w:tblGrid>
        <w:gridCol w:w="9015"/>
      </w:tblGrid>
      <w:tr w:rsidR="6A002CA1" w14:paraId="4EB33E9A" w14:textId="77777777" w:rsidTr="00B62215">
        <w:trPr>
          <w:tblHeader/>
        </w:trPr>
        <w:tc>
          <w:tcPr>
            <w:tcW w:w="9015" w:type="dxa"/>
          </w:tcPr>
          <w:p w14:paraId="6EE7D4FD" w14:textId="5B62E8F8" w:rsidR="000E67FC" w:rsidRDefault="0095353B" w:rsidP="0095353B">
            <w:pPr>
              <w:spacing w:before="120" w:after="120" w:line="276" w:lineRule="auto"/>
              <w:jc w:val="both"/>
              <w:rPr>
                <w:noProof/>
              </w:rPr>
            </w:pPr>
            <w:r>
              <w:rPr>
                <w:noProof/>
              </w:rPr>
              <w:t>EÚ poskytne počas rokov 2021 – 2027 pomoc Novej Kaledónii (30,9 milióna EUR), Svätému Martinu (7,7 milióna EUR) a Sabe (4,1 milióna EUR) pri vypracovaní potrebnej politiky, právneho rámca a infraštruktúry na realizáciu prechodu na čistú energiu.</w:t>
            </w:r>
          </w:p>
        </w:tc>
      </w:tr>
    </w:tbl>
    <w:p w14:paraId="6BE81FE7" w14:textId="3DD26392" w:rsidR="006B6BF4" w:rsidRDefault="006B6BF4">
      <w:pPr>
        <w:rPr>
          <w:noProof/>
        </w:rPr>
      </w:pPr>
    </w:p>
    <w:sectPr w:rsidR="006B6BF4" w:rsidSect="00707E06">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353EE2" w14:textId="77777777" w:rsidR="00865557" w:rsidRDefault="00865557" w:rsidP="00956A11">
      <w:pPr>
        <w:spacing w:after="0" w:line="240" w:lineRule="auto"/>
      </w:pPr>
      <w:r>
        <w:separator/>
      </w:r>
    </w:p>
  </w:endnote>
  <w:endnote w:type="continuationSeparator" w:id="0">
    <w:p w14:paraId="42E10176" w14:textId="77777777" w:rsidR="00865557" w:rsidRDefault="00865557" w:rsidP="00956A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42D97" w14:textId="77777777" w:rsidR="00D021FA" w:rsidRPr="00D021FA" w:rsidRDefault="00D021FA" w:rsidP="00D021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7C86A" w14:textId="0ADF4C89" w:rsidR="00B65F05" w:rsidRPr="00D021FA" w:rsidRDefault="00D021FA" w:rsidP="00D021FA">
    <w:pPr>
      <w:pStyle w:val="FooterCoverPage"/>
      <w:rPr>
        <w:rFonts w:ascii="Arial" w:hAnsi="Arial" w:cs="Arial"/>
        <w:b/>
        <w:sz w:val="48"/>
      </w:rPr>
    </w:pPr>
    <w:r w:rsidRPr="00D021FA">
      <w:rPr>
        <w:rFonts w:ascii="Arial" w:hAnsi="Arial" w:cs="Arial"/>
        <w:b/>
        <w:sz w:val="48"/>
      </w:rPr>
      <w:t>SK</w:t>
    </w:r>
    <w:r w:rsidRPr="00D021FA">
      <w:rPr>
        <w:rFonts w:ascii="Arial" w:hAnsi="Arial" w:cs="Arial"/>
        <w:b/>
        <w:sz w:val="48"/>
      </w:rPr>
      <w:tab/>
    </w:r>
    <w:r w:rsidRPr="00D021FA">
      <w:rPr>
        <w:rFonts w:ascii="Arial" w:hAnsi="Arial" w:cs="Arial"/>
        <w:b/>
        <w:sz w:val="48"/>
      </w:rPr>
      <w:tab/>
    </w:r>
    <w:r w:rsidRPr="00D021FA">
      <w:tab/>
    </w:r>
    <w:r w:rsidRPr="00D021FA">
      <w:rPr>
        <w:rFonts w:ascii="Arial" w:hAnsi="Arial" w:cs="Arial"/>
        <w:b/>
        <w:sz w:val="48"/>
      </w:rPr>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6DCDBF" w14:textId="77777777" w:rsidR="00D021FA" w:rsidRPr="00D021FA" w:rsidRDefault="00D021FA" w:rsidP="00D021F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3CD8F" w14:textId="77777777" w:rsidR="00865557" w:rsidRDefault="0086555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8247033"/>
      <w:docPartObj>
        <w:docPartGallery w:val="Page Numbers (Bottom of Page)"/>
        <w:docPartUnique/>
      </w:docPartObj>
    </w:sdtPr>
    <w:sdtEndPr>
      <w:rPr>
        <w:noProof/>
      </w:rPr>
    </w:sdtEndPr>
    <w:sdtContent>
      <w:p w14:paraId="6E0B7D56" w14:textId="49D440C6" w:rsidR="00865557" w:rsidRDefault="00865557">
        <w:pPr>
          <w:pStyle w:val="Footer"/>
          <w:jc w:val="right"/>
        </w:pPr>
        <w:r>
          <w:fldChar w:fldCharType="begin"/>
        </w:r>
        <w:r>
          <w:instrText xml:space="preserve"> PAGE   \* MERGEFORMAT </w:instrText>
        </w:r>
        <w:r>
          <w:fldChar w:fldCharType="separate"/>
        </w:r>
        <w:r w:rsidR="00D021FA">
          <w:rPr>
            <w:noProof/>
          </w:rPr>
          <w:t>1</w:t>
        </w:r>
        <w:r>
          <w:fldChar w:fldCharType="end"/>
        </w:r>
      </w:p>
    </w:sdtContent>
  </w:sdt>
  <w:p w14:paraId="49D43285" w14:textId="77777777" w:rsidR="00865557" w:rsidRDefault="0086555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89EE3" w14:textId="77777777" w:rsidR="00865557" w:rsidRDefault="008655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502D16" w14:textId="77777777" w:rsidR="00865557" w:rsidRDefault="00865557" w:rsidP="00956A11">
      <w:pPr>
        <w:spacing w:after="0" w:line="240" w:lineRule="auto"/>
      </w:pPr>
      <w:r>
        <w:separator/>
      </w:r>
    </w:p>
  </w:footnote>
  <w:footnote w:type="continuationSeparator" w:id="0">
    <w:p w14:paraId="1A56555C" w14:textId="77777777" w:rsidR="00865557" w:rsidRDefault="00865557" w:rsidP="00956A11">
      <w:pPr>
        <w:spacing w:after="0" w:line="240" w:lineRule="auto"/>
      </w:pPr>
      <w:r>
        <w:continuationSeparator/>
      </w:r>
    </w:p>
  </w:footnote>
  <w:footnote w:id="1">
    <w:p w14:paraId="3E9035E8" w14:textId="3CEE18B7" w:rsidR="00865557" w:rsidRPr="009E2A3A" w:rsidRDefault="00865557" w:rsidP="00197295">
      <w:pPr>
        <w:pStyle w:val="FootnoteText"/>
        <w:rPr>
          <w:sz w:val="18"/>
          <w:szCs w:val="18"/>
        </w:rPr>
      </w:pPr>
      <w:r>
        <w:rPr>
          <w:rStyle w:val="FootnoteReference"/>
        </w:rPr>
        <w:footnoteRef/>
      </w:r>
      <w:r>
        <w:t xml:space="preserve"> Podrobnejšie informácie nájdete v pracovnom dokumente útvarov Komisie priloženom k tejto výročnej správe, a to konkrétne v úvode v časti I.</w:t>
      </w:r>
    </w:p>
  </w:footnote>
  <w:footnote w:id="2">
    <w:p w14:paraId="4DFC2A4A" w14:textId="33757341" w:rsidR="00865557" w:rsidRPr="002A5345" w:rsidRDefault="00865557">
      <w:pPr>
        <w:pStyle w:val="FootnoteText"/>
      </w:pPr>
      <w:r>
        <w:rPr>
          <w:rStyle w:val="FootnoteReference"/>
        </w:rPr>
        <w:footnoteRef/>
      </w:r>
      <w:r>
        <w:t xml:space="preserve"> </w:t>
      </w:r>
      <w:hyperlink r:id="rId1" w:history="1">
        <w:r>
          <w:rPr>
            <w:rStyle w:val="Hyperlink"/>
          </w:rPr>
          <w:t>Nariadenie (EÚ) 2021/947 z 9. júna 2021</w:t>
        </w:r>
      </w:hyperlink>
      <w:r>
        <w:t>.</w:t>
      </w:r>
    </w:p>
  </w:footnote>
  <w:footnote w:id="3">
    <w:p w14:paraId="6AE9F3D4" w14:textId="1B51A2A7" w:rsidR="00865557" w:rsidRPr="002A5345" w:rsidRDefault="00865557" w:rsidP="003A7314">
      <w:pPr>
        <w:pStyle w:val="FootnoteText"/>
      </w:pPr>
      <w:r>
        <w:rPr>
          <w:rStyle w:val="FootnoteReference"/>
        </w:rPr>
        <w:footnoteRef/>
      </w:r>
      <w:r>
        <w:t xml:space="preserve"> </w:t>
      </w:r>
      <w:hyperlink r:id="rId2" w:history="1">
        <w:r>
          <w:rPr>
            <w:rStyle w:val="Hyperlink"/>
          </w:rPr>
          <w:t>Balík z roku 2021 týkajúci sa rozširovania (europa.eu)</w:t>
        </w:r>
      </w:hyperlink>
      <w:r>
        <w:t>.</w:t>
      </w:r>
    </w:p>
  </w:footnote>
  <w:footnote w:id="4">
    <w:p w14:paraId="1177D91A" w14:textId="3658CED1" w:rsidR="00865557" w:rsidRPr="001045F2" w:rsidRDefault="00865557" w:rsidP="00AF2080">
      <w:pPr>
        <w:pStyle w:val="FootnoteText"/>
      </w:pPr>
      <w:r>
        <w:rPr>
          <w:rStyle w:val="FootnoteReference"/>
        </w:rPr>
        <w:footnoteRef/>
      </w:r>
      <w:r>
        <w:t xml:space="preserve"> </w:t>
      </w:r>
      <w:hyperlink r:id="rId3" w:anchor=":~:text=JOIN%282021%29%202%20final%20JOINT%20COMMUNICATION%20TO%20THE%20EUROPEAN,new%20Agenda%20for%20the%20Mediterranean%20%7BSWD%282021%29%2023%20final%7D" w:history="1">
        <w:r>
          <w:rPr>
            <w:rStyle w:val="Hyperlink"/>
          </w:rPr>
          <w:t>JOIN(2021) 2 final z 9. februára 2021</w:t>
        </w:r>
      </w:hyperlink>
      <w:r>
        <w:t>.</w:t>
      </w:r>
    </w:p>
  </w:footnote>
  <w:footnote w:id="5">
    <w:p w14:paraId="68CED7E6" w14:textId="224B8391" w:rsidR="00865557" w:rsidRPr="00707E06" w:rsidRDefault="00865557">
      <w:pPr>
        <w:pStyle w:val="FootnoteText"/>
      </w:pPr>
      <w:r>
        <w:rPr>
          <w:rStyle w:val="FootnoteReference"/>
        </w:rPr>
        <w:footnoteRef/>
      </w:r>
      <w:r>
        <w:t xml:space="preserve"> </w:t>
      </w:r>
      <w:hyperlink r:id="rId4" w:history="1">
        <w:r>
          <w:rPr>
            <w:rStyle w:val="Hyperlink"/>
          </w:rPr>
          <w:t>COM(2021) 110 final z 10. marca 2021</w:t>
        </w:r>
      </w:hyperlink>
      <w:r>
        <w:t>.</w:t>
      </w:r>
    </w:p>
  </w:footnote>
  <w:footnote w:id="6">
    <w:p w14:paraId="3343547B" w14:textId="77777777" w:rsidR="00865557" w:rsidRDefault="00865557" w:rsidP="00983977">
      <w:pPr>
        <w:pStyle w:val="FootnoteText"/>
      </w:pPr>
      <w:r>
        <w:rPr>
          <w:rStyle w:val="FootnoteReference"/>
        </w:rPr>
        <w:footnoteRef/>
      </w:r>
      <w:r>
        <w:t xml:space="preserve"> </w:t>
      </w:r>
      <w:hyperlink r:id="rId5" w:history="1">
        <w:r>
          <w:rPr>
            <w:rStyle w:val="Hyperlink"/>
          </w:rPr>
          <w:t>https://fpi.ec.europa.eu/what-we-do/european-peace-facility_en</w:t>
        </w:r>
      </w:hyperlink>
      <w:r>
        <w:t xml:space="preserve">. </w:t>
      </w:r>
    </w:p>
  </w:footnote>
  <w:footnote w:id="7">
    <w:p w14:paraId="2366BA54" w14:textId="28858907" w:rsidR="006A6463" w:rsidRPr="00603941" w:rsidRDefault="006A6463">
      <w:pPr>
        <w:pStyle w:val="FootnoteText"/>
      </w:pPr>
      <w:r>
        <w:rPr>
          <w:rStyle w:val="FootnoteReference"/>
        </w:rPr>
        <w:t>*</w:t>
      </w:r>
      <w:r>
        <w:t xml:space="preserve"> Týmto označením nie sú dotknuté pozície týkajúe sa štatútu tejto krajiny, pričom dané označenie je v súlade s rezolúciou Bezpečnostnej rady OSN 1244/1999 a stanoviskom Medzinárodného súdneho dvora k vyhláseniu nezávislosti Kosova.</w:t>
      </w:r>
    </w:p>
  </w:footnote>
  <w:footnote w:id="8">
    <w:p w14:paraId="4A0A1DE8" w14:textId="40622354" w:rsidR="00865557" w:rsidRPr="00E7001A" w:rsidRDefault="00865557">
      <w:pPr>
        <w:pStyle w:val="FootnoteText"/>
      </w:pPr>
      <w:r>
        <w:rPr>
          <w:rStyle w:val="FootnoteReference"/>
        </w:rPr>
        <w:footnoteRef/>
      </w:r>
      <w:r>
        <w:t xml:space="preserve"> </w:t>
      </w:r>
      <w:hyperlink r:id="rId6" w:anchor=":~:text=JOIN%20%282021%29%2030%20final%20Joint%20Communication%20to%20the,of%20the%20Regions%20and%20the%20European%20Investment%20Bank" w:history="1">
        <w:r>
          <w:rPr>
            <w:rStyle w:val="Hyperlink"/>
          </w:rPr>
          <w:t>JOIN(2021) 30 final z 1. decembra 2021</w:t>
        </w:r>
      </w:hyperlink>
      <w:r>
        <w:t>.</w:t>
      </w:r>
    </w:p>
  </w:footnote>
  <w:footnote w:id="9">
    <w:p w14:paraId="14F25684" w14:textId="2A257994" w:rsidR="00865557" w:rsidRPr="00F62434" w:rsidRDefault="00865557" w:rsidP="00F62434">
      <w:pPr>
        <w:pStyle w:val="FootnoteText"/>
      </w:pPr>
      <w:r>
        <w:rPr>
          <w:rStyle w:val="FootnoteReference"/>
        </w:rPr>
        <w:footnoteRef/>
      </w:r>
      <w:r>
        <w:rPr>
          <w:vertAlign w:val="superscript"/>
        </w:rPr>
        <w:t xml:space="preserve"> </w:t>
      </w:r>
      <w:hyperlink r:id="rId7" w:history="1">
        <w:r>
          <w:rPr>
            <w:rStyle w:val="Hyperlink"/>
          </w:rPr>
          <w:t>COM(2021) 66 final z 18. februára 2021</w:t>
        </w:r>
      </w:hyperlink>
      <w:r>
        <w:t xml:space="preserve">. </w:t>
      </w:r>
    </w:p>
  </w:footnote>
  <w:footnote w:id="10">
    <w:p w14:paraId="4E2A0886" w14:textId="1D932F0D" w:rsidR="00865557" w:rsidRDefault="00865557" w:rsidP="008C1D09">
      <w:pPr>
        <w:pStyle w:val="FootnoteText"/>
        <w:jc w:val="both"/>
      </w:pPr>
      <w:r>
        <w:rPr>
          <w:vertAlign w:val="superscript"/>
        </w:rPr>
        <w:footnoteRef/>
      </w:r>
      <w:r>
        <w:t xml:space="preserve"> Na základe predbežných údajov OECD za rok 2021, ktoré boli zverejnené na jar 2022.</w:t>
      </w:r>
    </w:p>
  </w:footnote>
  <w:footnote w:id="11">
    <w:p w14:paraId="3D95EE45" w14:textId="4A132548" w:rsidR="00865557" w:rsidRPr="00FF12C8" w:rsidRDefault="00865557" w:rsidP="008C1D09">
      <w:pPr>
        <w:pStyle w:val="FootnoteText"/>
        <w:jc w:val="both"/>
      </w:pPr>
      <w:r>
        <w:rPr>
          <w:rStyle w:val="FootnoteReference"/>
        </w:rPr>
        <w:footnoteRef/>
      </w:r>
      <w:r>
        <w:t xml:space="preserve"> „Globálna oficiálna rozvojová pomoc“ je tu vymedzená tak, že zahŕňa oficiálnu rozvojovú pomoc, ktorú nahlásila EÚ spoločne a všetky ostatné darcovské krajiny.</w:t>
      </w:r>
    </w:p>
  </w:footnote>
  <w:footnote w:id="12">
    <w:p w14:paraId="3BE2B4FE" w14:textId="792FE75A" w:rsidR="00865557" w:rsidRDefault="00865557" w:rsidP="008C1D09">
      <w:pPr>
        <w:pStyle w:val="FootnoteText"/>
        <w:jc w:val="both"/>
      </w:pPr>
      <w:r>
        <w:rPr>
          <w:vertAlign w:val="superscript"/>
        </w:rPr>
        <w:footnoteRef/>
      </w:r>
      <w:r>
        <w:rPr>
          <w:vertAlign w:val="superscript"/>
        </w:rPr>
        <w:t xml:space="preserve"> </w:t>
      </w:r>
      <w:r>
        <w:t>Tento pomer sa mierne znížil, keďže nominálny nárast oficiálnej rozvojovej pomoci nebol úmerný vysokému nominálnemu nárastu HND v dôsledku oživenia hospodárstva.</w:t>
      </w:r>
    </w:p>
  </w:footnote>
  <w:footnote w:id="13">
    <w:p w14:paraId="16417491" w14:textId="60AEFC2E" w:rsidR="00865557" w:rsidRPr="001045F2" w:rsidRDefault="00865557" w:rsidP="00E33CAC">
      <w:pPr>
        <w:pStyle w:val="FootnoteText"/>
      </w:pPr>
      <w:r>
        <w:rPr>
          <w:rStyle w:val="FootnoteReference"/>
        </w:rPr>
        <w:footnoteRef/>
      </w:r>
      <w:r>
        <w:t xml:space="preserve"> </w:t>
      </w:r>
      <w:hyperlink r:id="rId8" w:anchor=":~:text=JOIN%20%282021%29%203%20final%20JOINT%20COMMUNICATION%20TO%20THE,on%20strengthening%20the%20EU%E2%80%99s%20contribution%20to%20rules-based%20multilateralism" w:history="1">
        <w:r>
          <w:rPr>
            <w:rStyle w:val="Hyperlink"/>
          </w:rPr>
          <w:t>JOIN(2021) 3 final zo 17. februára 2021</w:t>
        </w:r>
      </w:hyperlink>
      <w:r>
        <w:t>.</w:t>
      </w:r>
    </w:p>
  </w:footnote>
  <w:footnote w:id="14">
    <w:p w14:paraId="3419CFD0" w14:textId="74CBDA6A" w:rsidR="00865557" w:rsidRPr="00A17476" w:rsidRDefault="00865557">
      <w:pPr>
        <w:pStyle w:val="FootnoteText"/>
      </w:pPr>
      <w:r>
        <w:rPr>
          <w:rStyle w:val="FootnoteReference"/>
        </w:rPr>
        <w:footnoteRef/>
      </w:r>
      <w:r>
        <w:t xml:space="preserve"> K júnu 2021. </w:t>
      </w:r>
    </w:p>
  </w:footnote>
  <w:footnote w:id="15">
    <w:p w14:paraId="75B30A2A" w14:textId="0EA7E48A" w:rsidR="00865557" w:rsidRPr="001045F2" w:rsidRDefault="00865557" w:rsidP="008849C8">
      <w:pPr>
        <w:pStyle w:val="FootnoteText"/>
      </w:pPr>
      <w:r>
        <w:rPr>
          <w:rStyle w:val="FootnoteReference"/>
        </w:rPr>
        <w:footnoteRef/>
      </w:r>
      <w:r>
        <w:t xml:space="preserve"> </w:t>
      </w:r>
      <w:hyperlink r:id="rId9" w:anchor=":~:text=JOIN%20%282021%29%2030%20final%20Joint%20Communication%20to%20the,of%20the%20Regions%20and%20the%20European%20Investment%20Bank" w:history="1">
        <w:r>
          <w:rPr>
            <w:rStyle w:val="Hyperlink"/>
          </w:rPr>
          <w:t>JOIN(2021) 30 final z 1. decembra 2021</w:t>
        </w:r>
      </w:hyperlink>
      <w:r>
        <w:t>.</w:t>
      </w:r>
    </w:p>
  </w:footnote>
  <w:footnote w:id="16">
    <w:p w14:paraId="1712452A" w14:textId="77777777" w:rsidR="00865557" w:rsidRDefault="00865557" w:rsidP="00A17476">
      <w:pPr>
        <w:pStyle w:val="FootnoteText"/>
      </w:pPr>
      <w:r>
        <w:rPr>
          <w:rStyle w:val="FootnoteReference"/>
        </w:rPr>
        <w:footnoteRef/>
      </w:r>
      <w:r>
        <w:t xml:space="preserve"> Údaje za rok 2021 sú stále predbežné.</w:t>
      </w:r>
    </w:p>
  </w:footnote>
  <w:footnote w:id="17">
    <w:p w14:paraId="62DF4BA5" w14:textId="5C2C304A" w:rsidR="00865557" w:rsidRDefault="00865557" w:rsidP="00132338">
      <w:pPr>
        <w:spacing w:after="0"/>
        <w:jc w:val="both"/>
      </w:pPr>
      <w:r>
        <w:rPr>
          <w:vertAlign w:val="superscript"/>
        </w:rPr>
        <w:footnoteRef/>
      </w:r>
      <w:r>
        <w:rPr>
          <w:rStyle w:val="FootnoteTextChar"/>
        </w:rPr>
        <w:t xml:space="preserve"> </w:t>
      </w:r>
      <w:hyperlink r:id="rId10" w:history="1">
        <w:r>
          <w:rPr>
            <w:rStyle w:val="Hyperlink"/>
            <w:sz w:val="20"/>
          </w:rPr>
          <w:t>Závery Rady 5263/21 z 25. januára 2021</w:t>
        </w:r>
      </w:hyperlink>
      <w:r>
        <w:rPr>
          <w:rStyle w:val="FootnoteTextChar"/>
        </w:rPr>
        <w:t xml:space="preserve">. </w:t>
      </w:r>
    </w:p>
  </w:footnote>
  <w:footnote w:id="18">
    <w:p w14:paraId="1EF98FA9" w14:textId="3F754468" w:rsidR="00865557" w:rsidRPr="00DD6589" w:rsidRDefault="00865557" w:rsidP="00132338">
      <w:pPr>
        <w:pStyle w:val="FootnoteText"/>
        <w:jc w:val="both"/>
      </w:pPr>
      <w:r>
        <w:rPr>
          <w:rStyle w:val="FootnoteReference"/>
        </w:rPr>
        <w:footnoteRef/>
      </w:r>
      <w:r>
        <w:t xml:space="preserve"> </w:t>
      </w:r>
      <w:hyperlink r:id="rId11" w:history="1">
        <w:r>
          <w:rPr>
            <w:rStyle w:val="Hyperlink"/>
          </w:rPr>
          <w:t>https://ec.europa.eu/clima/eu-action/adaptation-climate-change/eu-adaptation-strategy_en</w:t>
        </w:r>
      </w:hyperlink>
      <w:r>
        <w:t xml:space="preserve">. </w:t>
      </w:r>
    </w:p>
  </w:footnote>
  <w:footnote w:id="19">
    <w:p w14:paraId="17F8ED63" w14:textId="59C1C294" w:rsidR="00865557" w:rsidRPr="00F83121" w:rsidRDefault="00865557" w:rsidP="00132338">
      <w:pPr>
        <w:pStyle w:val="FootnoteText"/>
        <w:jc w:val="both"/>
      </w:pPr>
      <w:r>
        <w:rPr>
          <w:rStyle w:val="FootnoteReference"/>
        </w:rPr>
        <w:footnoteRef/>
      </w:r>
      <w:r>
        <w:t xml:space="preserve"> </w:t>
      </w:r>
      <w:hyperlink r:id="rId12" w:history="1">
        <w:r>
          <w:rPr>
            <w:rStyle w:val="Hyperlink"/>
          </w:rPr>
          <w:t>Nariadenie Rady 2021/948 z 27. mája 2021</w:t>
        </w:r>
      </w:hyperlink>
      <w:r>
        <w:t>.</w:t>
      </w:r>
    </w:p>
  </w:footnote>
  <w:footnote w:id="20">
    <w:p w14:paraId="737B8867" w14:textId="5887DCD9" w:rsidR="00865557" w:rsidRPr="00B468A0" w:rsidRDefault="00865557">
      <w:pPr>
        <w:pStyle w:val="FootnoteText"/>
      </w:pPr>
      <w:r>
        <w:rPr>
          <w:rStyle w:val="FootnoteReference"/>
        </w:rPr>
        <w:footnoteRef/>
      </w:r>
      <w:r>
        <w:t xml:space="preserve"> </w:t>
      </w:r>
      <w:hyperlink r:id="rId13" w:history="1">
        <w:r>
          <w:rPr>
            <w:rStyle w:val="Hyperlink"/>
          </w:rPr>
          <w:t>Výskumný a inovačný program AKT – EÚ (europa.eu)</w:t>
        </w:r>
      </w:hyperlink>
      <w:r>
        <w:t>.</w:t>
      </w:r>
    </w:p>
  </w:footnote>
  <w:footnote w:id="21">
    <w:p w14:paraId="3C2D89B1" w14:textId="3A8BBCA4" w:rsidR="00865557" w:rsidRPr="004127E9" w:rsidRDefault="00865557">
      <w:pPr>
        <w:pStyle w:val="FootnoteText"/>
      </w:pPr>
      <w:r>
        <w:rPr>
          <w:rStyle w:val="FootnoteReference"/>
        </w:rPr>
        <w:footnoteRef/>
      </w:r>
      <w:r>
        <w:t xml:space="preserve"> </w:t>
      </w:r>
      <w:hyperlink r:id="rId14" w:history="1">
        <w:r>
          <w:rPr>
            <w:rStyle w:val="Hyperlink"/>
          </w:rPr>
          <w:t>https://data.europa.eu/doi/10.2777/831554</w:t>
        </w:r>
      </w:hyperlink>
      <w:r>
        <w:t xml:space="preserve">. </w:t>
      </w:r>
    </w:p>
  </w:footnote>
  <w:footnote w:id="22">
    <w:p w14:paraId="64B1F208" w14:textId="5A591394" w:rsidR="00865557" w:rsidRPr="00F83121" w:rsidRDefault="00865557">
      <w:pPr>
        <w:pStyle w:val="FootnoteText"/>
      </w:pPr>
      <w:r>
        <w:rPr>
          <w:rStyle w:val="FootnoteReference"/>
        </w:rPr>
        <w:footnoteRef/>
      </w:r>
      <w:r>
        <w:t xml:space="preserve"> </w:t>
      </w:r>
      <w:hyperlink r:id="rId15" w:tgtFrame="_blank" w:history="1">
        <w:r>
          <w:rPr>
            <w:rStyle w:val="Hyperlink"/>
          </w:rPr>
          <w:t>https://data.europa.eu/doi/10.2841/018990</w:t>
        </w:r>
      </w:hyperlink>
      <w:r>
        <w:t>.</w:t>
      </w:r>
    </w:p>
  </w:footnote>
  <w:footnote w:id="23">
    <w:p w14:paraId="569630AE" w14:textId="28ABE862" w:rsidR="00865557" w:rsidRDefault="00865557" w:rsidP="00701FB5">
      <w:pPr>
        <w:pStyle w:val="FootnoteText"/>
      </w:pPr>
      <w:r>
        <w:rPr>
          <w:vertAlign w:val="superscript"/>
        </w:rPr>
        <w:footnoteRef/>
      </w:r>
      <w:r>
        <w:rPr>
          <w:vertAlign w:val="superscript"/>
        </w:rPr>
        <w:t xml:space="preserve"> </w:t>
      </w:r>
      <w:hyperlink r:id="rId16" w:history="1">
        <w:r>
          <w:rPr>
            <w:rStyle w:val="Hyperlink"/>
          </w:rPr>
          <w:t>Rozhodnutie Rady (SZBP) 2021/509 z 22. marca 2021</w:t>
        </w:r>
      </w:hyperlink>
      <w:r>
        <w:t xml:space="preserve">. </w:t>
      </w:r>
    </w:p>
  </w:footnote>
  <w:footnote w:id="24">
    <w:p w14:paraId="246EB83A" w14:textId="193F723F" w:rsidR="00865557" w:rsidRDefault="00865557" w:rsidP="00701FB5">
      <w:pPr>
        <w:pStyle w:val="FootnoteText"/>
      </w:pPr>
      <w:r>
        <w:rPr>
          <w:rStyle w:val="FootnoteReference"/>
        </w:rPr>
        <w:footnoteRef/>
      </w:r>
      <w:r>
        <w:t xml:space="preserve"> </w:t>
      </w:r>
      <w:hyperlink r:id="rId17" w:history="1">
        <w:r>
          <w:rPr>
            <w:rStyle w:val="Hyperlink"/>
          </w:rPr>
          <w:t>JOIN(2021) 24 final zo 16. septembra 2021</w:t>
        </w:r>
      </w:hyperlink>
      <w:r>
        <w:t xml:space="preserve">.  </w:t>
      </w:r>
    </w:p>
  </w:footnote>
  <w:footnote w:id="25">
    <w:p w14:paraId="7D5D90FD" w14:textId="437006C8" w:rsidR="00865557" w:rsidRPr="001045F2" w:rsidRDefault="00865557" w:rsidP="00A00F78">
      <w:pPr>
        <w:pStyle w:val="FootnoteText"/>
      </w:pPr>
      <w:r>
        <w:rPr>
          <w:rStyle w:val="FootnoteReference"/>
        </w:rPr>
        <w:footnoteRef/>
      </w:r>
      <w:r>
        <w:t xml:space="preserve"> </w:t>
      </w:r>
      <w:hyperlink r:id="rId18" w:history="1">
        <w:r>
          <w:rPr>
            <w:rStyle w:val="Hyperlink"/>
          </w:rPr>
          <w:t>JOIN(2021) 2 final z 9. februára 2021</w:t>
        </w:r>
      </w:hyperlink>
      <w:r>
        <w:t>.</w:t>
      </w:r>
    </w:p>
  </w:footnote>
  <w:footnote w:id="26">
    <w:p w14:paraId="04F7F0E0" w14:textId="4C00D34C" w:rsidR="00865557" w:rsidRPr="00FF2B4C" w:rsidRDefault="00865557" w:rsidP="00225BCF">
      <w:pPr>
        <w:pStyle w:val="FootnoteText"/>
        <w:jc w:val="both"/>
      </w:pPr>
      <w:r>
        <w:rPr>
          <w:rStyle w:val="FootnoteReference"/>
        </w:rPr>
        <w:footnoteRef/>
      </w:r>
      <w:r>
        <w:t xml:space="preserve"> </w:t>
      </w:r>
      <w:hyperlink r:id="rId19" w:history="1">
        <w:r>
          <w:rPr>
            <w:rStyle w:val="Hyperlink"/>
          </w:rPr>
          <w:t>Rozhodnutie Rady (EÚ) 2021/1764 z 5. októbra 2021</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88945" w14:textId="77777777" w:rsidR="00D021FA" w:rsidRPr="00D021FA" w:rsidRDefault="00D021FA" w:rsidP="00D021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3D41C" w14:textId="77777777" w:rsidR="00D021FA" w:rsidRPr="00D021FA" w:rsidRDefault="00D021FA" w:rsidP="00D021F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DBCBA" w14:textId="77777777" w:rsidR="00D021FA" w:rsidRPr="00D021FA" w:rsidRDefault="00D021FA" w:rsidP="00D021F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7A00B" w14:textId="77777777" w:rsidR="00865557" w:rsidRDefault="0086555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52D2F" w14:textId="77777777" w:rsidR="00865557" w:rsidRDefault="0086555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1AA89" w14:textId="77777777" w:rsidR="00865557" w:rsidRDefault="008655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869E8"/>
    <w:multiLevelType w:val="hybridMultilevel"/>
    <w:tmpl w:val="ECB0AAD8"/>
    <w:lvl w:ilvl="0" w:tplc="6CF2D72A">
      <w:start w:val="202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0B4F11"/>
    <w:multiLevelType w:val="hybridMultilevel"/>
    <w:tmpl w:val="E640E420"/>
    <w:lvl w:ilvl="0" w:tplc="BAD4E826">
      <w:start w:val="2019"/>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80BC2E9B-B404-4FC0-A344-5174C1A8E6EE"/>
    <w:docVar w:name="LW_COVERPAGE_TYPE" w:val="1"/>
    <w:docVar w:name="LW_CROSSREFERENCE" w:val="{SWD(2022) 353 final}"/>
    <w:docVar w:name="LW_DocType" w:val="NORMAL"/>
    <w:docVar w:name="LW_EMISSION" w:val="8. 11. 2022"/>
    <w:docVar w:name="LW_EMISSION_ISODATE" w:val="2022-11-08"/>
    <w:docVar w:name="LW_EMISSION_LOCATION" w:val="BRX"/>
    <w:docVar w:name="LW_EMISSION_PREFIX" w:val="V Bruseli"/>
    <w:docVar w:name="LW_EMISSION_SUFFIX" w:val=" "/>
    <w:docVar w:name="LW_ID_DOCTYPE_NONLW" w:val="CP-006"/>
    <w:docVar w:name="LW_LANGUE" w:val="SK"/>
    <w:docVar w:name="LW_LEVEL_OF_SENSITIVITY" w:val="Standard treatment"/>
    <w:docVar w:name="LW_NOM.INST" w:val="EURÓPSKA KOMISIA"/>
    <w:docVar w:name="LW_NOM.INST_JOINTDOC" w:val="&lt;EMPTY&gt;"/>
    <w:docVar w:name="LW_PART_NBR" w:val="1"/>
    <w:docVar w:name="LW_PART_NBR_TOTAL" w:val="1"/>
    <w:docVar w:name="LW_REF.INST.NEW" w:val="COM"/>
    <w:docVar w:name="LW_REF.INST.NEW_ADOPTED" w:val="final"/>
    <w:docVar w:name="LW_REF.INST.NEW_TEXT" w:val="(2022) 57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Výročná správa za rok 2022_x000b__x000b__x000b__x000b__x000b__x000b_o vykonávaní nástrojov vonkajšej činnosti Európskej únie_x000b__x000b__x000b__x000b_v roku 2021_x000b_"/>
    <w:docVar w:name="LW_TYPE.DOC.CP" w:val="SPRÁVA KOMISIE EURÓPSKEMU PARLAMENTU A RADE"/>
    <w:docVar w:name="LwApiVersions" w:val="LW4CoDe 1.23.2.0; LW 8.0, Build 20211117"/>
  </w:docVars>
  <w:rsids>
    <w:rsidRoot w:val="00DA4F6E"/>
    <w:rsid w:val="00000770"/>
    <w:rsid w:val="000056E7"/>
    <w:rsid w:val="00005C27"/>
    <w:rsid w:val="00005E80"/>
    <w:rsid w:val="00010B4F"/>
    <w:rsid w:val="00015BAA"/>
    <w:rsid w:val="00016F80"/>
    <w:rsid w:val="00024C97"/>
    <w:rsid w:val="00026A42"/>
    <w:rsid w:val="000307AC"/>
    <w:rsid w:val="0003527F"/>
    <w:rsid w:val="00036AD5"/>
    <w:rsid w:val="00036AD6"/>
    <w:rsid w:val="00037302"/>
    <w:rsid w:val="00037407"/>
    <w:rsid w:val="00047EF6"/>
    <w:rsid w:val="00054EDF"/>
    <w:rsid w:val="00055DB3"/>
    <w:rsid w:val="00056468"/>
    <w:rsid w:val="000579DB"/>
    <w:rsid w:val="00061EE1"/>
    <w:rsid w:val="00064349"/>
    <w:rsid w:val="0007356F"/>
    <w:rsid w:val="000736D5"/>
    <w:rsid w:val="00082CE8"/>
    <w:rsid w:val="00084CAA"/>
    <w:rsid w:val="00093201"/>
    <w:rsid w:val="00094A28"/>
    <w:rsid w:val="00095E20"/>
    <w:rsid w:val="000A44F4"/>
    <w:rsid w:val="000B1E5A"/>
    <w:rsid w:val="000B3207"/>
    <w:rsid w:val="000B43C9"/>
    <w:rsid w:val="000B6690"/>
    <w:rsid w:val="000C007E"/>
    <w:rsid w:val="000C2489"/>
    <w:rsid w:val="000C2E72"/>
    <w:rsid w:val="000C38D3"/>
    <w:rsid w:val="000E36D2"/>
    <w:rsid w:val="000E4E99"/>
    <w:rsid w:val="000E67FC"/>
    <w:rsid w:val="000F29DD"/>
    <w:rsid w:val="000F4BB9"/>
    <w:rsid w:val="001109CA"/>
    <w:rsid w:val="001120E1"/>
    <w:rsid w:val="001146A3"/>
    <w:rsid w:val="00124318"/>
    <w:rsid w:val="00127F4E"/>
    <w:rsid w:val="00131A31"/>
    <w:rsid w:val="00132338"/>
    <w:rsid w:val="00134B6F"/>
    <w:rsid w:val="001359B6"/>
    <w:rsid w:val="00143D46"/>
    <w:rsid w:val="00144A81"/>
    <w:rsid w:val="00144F87"/>
    <w:rsid w:val="00145A47"/>
    <w:rsid w:val="00147C20"/>
    <w:rsid w:val="00155816"/>
    <w:rsid w:val="001565DD"/>
    <w:rsid w:val="00160741"/>
    <w:rsid w:val="001611E6"/>
    <w:rsid w:val="0016137F"/>
    <w:rsid w:val="00176242"/>
    <w:rsid w:val="00176584"/>
    <w:rsid w:val="001771FF"/>
    <w:rsid w:val="00184334"/>
    <w:rsid w:val="00187F2D"/>
    <w:rsid w:val="00190471"/>
    <w:rsid w:val="00191218"/>
    <w:rsid w:val="00194B53"/>
    <w:rsid w:val="00197295"/>
    <w:rsid w:val="0019732A"/>
    <w:rsid w:val="001A031D"/>
    <w:rsid w:val="001B7C24"/>
    <w:rsid w:val="001C1B32"/>
    <w:rsid w:val="001C2AE5"/>
    <w:rsid w:val="001C3598"/>
    <w:rsid w:val="001C3FA4"/>
    <w:rsid w:val="001C7F40"/>
    <w:rsid w:val="001D35F7"/>
    <w:rsid w:val="001D74FD"/>
    <w:rsid w:val="001E0673"/>
    <w:rsid w:val="001E2045"/>
    <w:rsid w:val="001E3293"/>
    <w:rsid w:val="001E769A"/>
    <w:rsid w:val="001E7E4A"/>
    <w:rsid w:val="001F7FFA"/>
    <w:rsid w:val="00201D03"/>
    <w:rsid w:val="00206B03"/>
    <w:rsid w:val="00210566"/>
    <w:rsid w:val="00210FA2"/>
    <w:rsid w:val="002114E8"/>
    <w:rsid w:val="002126C2"/>
    <w:rsid w:val="00212F69"/>
    <w:rsid w:val="00223CB0"/>
    <w:rsid w:val="00225BCF"/>
    <w:rsid w:val="00226488"/>
    <w:rsid w:val="00226DC8"/>
    <w:rsid w:val="0022765D"/>
    <w:rsid w:val="00231A3A"/>
    <w:rsid w:val="00232BE4"/>
    <w:rsid w:val="0023717D"/>
    <w:rsid w:val="00243212"/>
    <w:rsid w:val="00246298"/>
    <w:rsid w:val="002510F7"/>
    <w:rsid w:val="00251E6B"/>
    <w:rsid w:val="002563C4"/>
    <w:rsid w:val="002652D5"/>
    <w:rsid w:val="00272A90"/>
    <w:rsid w:val="00273ADA"/>
    <w:rsid w:val="00274210"/>
    <w:rsid w:val="00277F87"/>
    <w:rsid w:val="00283A3F"/>
    <w:rsid w:val="00284B20"/>
    <w:rsid w:val="0028512B"/>
    <w:rsid w:val="002860BB"/>
    <w:rsid w:val="002864D1"/>
    <w:rsid w:val="0028697F"/>
    <w:rsid w:val="00290EE9"/>
    <w:rsid w:val="00292BC7"/>
    <w:rsid w:val="002A00E5"/>
    <w:rsid w:val="002A1311"/>
    <w:rsid w:val="002A2053"/>
    <w:rsid w:val="002A5345"/>
    <w:rsid w:val="002A59B5"/>
    <w:rsid w:val="002A6F13"/>
    <w:rsid w:val="002B0019"/>
    <w:rsid w:val="002B22F3"/>
    <w:rsid w:val="002B49EF"/>
    <w:rsid w:val="002B7D60"/>
    <w:rsid w:val="002C20C3"/>
    <w:rsid w:val="002C5346"/>
    <w:rsid w:val="002C5AEC"/>
    <w:rsid w:val="002C6677"/>
    <w:rsid w:val="002E2749"/>
    <w:rsid w:val="002E629D"/>
    <w:rsid w:val="002F4C19"/>
    <w:rsid w:val="002F509B"/>
    <w:rsid w:val="002F7FD3"/>
    <w:rsid w:val="0030111B"/>
    <w:rsid w:val="00303AE7"/>
    <w:rsid w:val="00304334"/>
    <w:rsid w:val="003047B5"/>
    <w:rsid w:val="00306ACA"/>
    <w:rsid w:val="00312A23"/>
    <w:rsid w:val="00320348"/>
    <w:rsid w:val="0032048F"/>
    <w:rsid w:val="00320D70"/>
    <w:rsid w:val="0032565B"/>
    <w:rsid w:val="00326598"/>
    <w:rsid w:val="00335610"/>
    <w:rsid w:val="00337312"/>
    <w:rsid w:val="00342311"/>
    <w:rsid w:val="00343399"/>
    <w:rsid w:val="003464A2"/>
    <w:rsid w:val="00347E24"/>
    <w:rsid w:val="0035173F"/>
    <w:rsid w:val="00356F49"/>
    <w:rsid w:val="00360F70"/>
    <w:rsid w:val="00363A51"/>
    <w:rsid w:val="0036475C"/>
    <w:rsid w:val="00371D1D"/>
    <w:rsid w:val="00374C32"/>
    <w:rsid w:val="003750C4"/>
    <w:rsid w:val="00375866"/>
    <w:rsid w:val="0038249F"/>
    <w:rsid w:val="003919E6"/>
    <w:rsid w:val="00394408"/>
    <w:rsid w:val="003A7314"/>
    <w:rsid w:val="003B3630"/>
    <w:rsid w:val="003B3B75"/>
    <w:rsid w:val="003C1F38"/>
    <w:rsid w:val="003C2619"/>
    <w:rsid w:val="003C3243"/>
    <w:rsid w:val="003C6AD2"/>
    <w:rsid w:val="003C6B47"/>
    <w:rsid w:val="003D0675"/>
    <w:rsid w:val="003E1337"/>
    <w:rsid w:val="0040032D"/>
    <w:rsid w:val="00400BF0"/>
    <w:rsid w:val="00400F72"/>
    <w:rsid w:val="004038A8"/>
    <w:rsid w:val="0040408A"/>
    <w:rsid w:val="004127E9"/>
    <w:rsid w:val="00413208"/>
    <w:rsid w:val="00416C89"/>
    <w:rsid w:val="00417C13"/>
    <w:rsid w:val="00420256"/>
    <w:rsid w:val="00420C83"/>
    <w:rsid w:val="004214DB"/>
    <w:rsid w:val="00426B90"/>
    <w:rsid w:val="00430AC3"/>
    <w:rsid w:val="00440EAF"/>
    <w:rsid w:val="00451D81"/>
    <w:rsid w:val="004623D8"/>
    <w:rsid w:val="00466606"/>
    <w:rsid w:val="00471C1B"/>
    <w:rsid w:val="00471CE1"/>
    <w:rsid w:val="00473C37"/>
    <w:rsid w:val="004804C5"/>
    <w:rsid w:val="00486610"/>
    <w:rsid w:val="00493D6B"/>
    <w:rsid w:val="004A589E"/>
    <w:rsid w:val="004A63CE"/>
    <w:rsid w:val="004A6602"/>
    <w:rsid w:val="004A98DC"/>
    <w:rsid w:val="004B1592"/>
    <w:rsid w:val="004B421A"/>
    <w:rsid w:val="004B4E9E"/>
    <w:rsid w:val="004B6946"/>
    <w:rsid w:val="004C2FA3"/>
    <w:rsid w:val="004C389C"/>
    <w:rsid w:val="004C666A"/>
    <w:rsid w:val="004C7C05"/>
    <w:rsid w:val="004D166A"/>
    <w:rsid w:val="004D3E3C"/>
    <w:rsid w:val="004D4DBB"/>
    <w:rsid w:val="004E0719"/>
    <w:rsid w:val="004E44AA"/>
    <w:rsid w:val="004E6B7A"/>
    <w:rsid w:val="004F01ED"/>
    <w:rsid w:val="004F51FA"/>
    <w:rsid w:val="004F5A0D"/>
    <w:rsid w:val="00500A1D"/>
    <w:rsid w:val="00500B92"/>
    <w:rsid w:val="00501D5C"/>
    <w:rsid w:val="00503BCA"/>
    <w:rsid w:val="00504DF5"/>
    <w:rsid w:val="005207DF"/>
    <w:rsid w:val="00524C19"/>
    <w:rsid w:val="00524E86"/>
    <w:rsid w:val="00525422"/>
    <w:rsid w:val="00531706"/>
    <w:rsid w:val="00534218"/>
    <w:rsid w:val="00537A15"/>
    <w:rsid w:val="0054077E"/>
    <w:rsid w:val="0054167F"/>
    <w:rsid w:val="0054333E"/>
    <w:rsid w:val="00544A6F"/>
    <w:rsid w:val="00553264"/>
    <w:rsid w:val="005560CB"/>
    <w:rsid w:val="00563EB7"/>
    <w:rsid w:val="00564451"/>
    <w:rsid w:val="00567E4C"/>
    <w:rsid w:val="005735F2"/>
    <w:rsid w:val="0057638F"/>
    <w:rsid w:val="00582F72"/>
    <w:rsid w:val="00583FAF"/>
    <w:rsid w:val="005916C8"/>
    <w:rsid w:val="00592DA7"/>
    <w:rsid w:val="0059418C"/>
    <w:rsid w:val="005A177E"/>
    <w:rsid w:val="005A42CD"/>
    <w:rsid w:val="005A6103"/>
    <w:rsid w:val="005B0AAE"/>
    <w:rsid w:val="005B450F"/>
    <w:rsid w:val="005C0B0C"/>
    <w:rsid w:val="005C287E"/>
    <w:rsid w:val="005C5BAB"/>
    <w:rsid w:val="005D0E69"/>
    <w:rsid w:val="005D2C3E"/>
    <w:rsid w:val="005D583F"/>
    <w:rsid w:val="005E017C"/>
    <w:rsid w:val="005E12AA"/>
    <w:rsid w:val="005E7B7E"/>
    <w:rsid w:val="005F2578"/>
    <w:rsid w:val="00601DE6"/>
    <w:rsid w:val="00603902"/>
    <w:rsid w:val="00603941"/>
    <w:rsid w:val="00605383"/>
    <w:rsid w:val="00610138"/>
    <w:rsid w:val="00624512"/>
    <w:rsid w:val="00627DC3"/>
    <w:rsid w:val="0064099B"/>
    <w:rsid w:val="0064484D"/>
    <w:rsid w:val="00650A20"/>
    <w:rsid w:val="00651E7D"/>
    <w:rsid w:val="00653D8D"/>
    <w:rsid w:val="00654B0C"/>
    <w:rsid w:val="00655A42"/>
    <w:rsid w:val="00656967"/>
    <w:rsid w:val="006604CA"/>
    <w:rsid w:val="00660C34"/>
    <w:rsid w:val="00660DB5"/>
    <w:rsid w:val="00663539"/>
    <w:rsid w:val="00665A8B"/>
    <w:rsid w:val="00671CF2"/>
    <w:rsid w:val="006720D5"/>
    <w:rsid w:val="0067640B"/>
    <w:rsid w:val="00677306"/>
    <w:rsid w:val="00682AD2"/>
    <w:rsid w:val="00683397"/>
    <w:rsid w:val="00685118"/>
    <w:rsid w:val="00685654"/>
    <w:rsid w:val="00686A17"/>
    <w:rsid w:val="006870A0"/>
    <w:rsid w:val="006930DF"/>
    <w:rsid w:val="00697338"/>
    <w:rsid w:val="006A5810"/>
    <w:rsid w:val="006A5935"/>
    <w:rsid w:val="006A6463"/>
    <w:rsid w:val="006B2965"/>
    <w:rsid w:val="006B5042"/>
    <w:rsid w:val="006B5998"/>
    <w:rsid w:val="006B6BF4"/>
    <w:rsid w:val="006C3EB0"/>
    <w:rsid w:val="006C4A46"/>
    <w:rsid w:val="006C7EA2"/>
    <w:rsid w:val="006D4D9E"/>
    <w:rsid w:val="006D51FD"/>
    <w:rsid w:val="006D53DC"/>
    <w:rsid w:val="006D684E"/>
    <w:rsid w:val="006E5414"/>
    <w:rsid w:val="006F2DFC"/>
    <w:rsid w:val="006F533E"/>
    <w:rsid w:val="006F5517"/>
    <w:rsid w:val="00701FB5"/>
    <w:rsid w:val="00702957"/>
    <w:rsid w:val="00704E24"/>
    <w:rsid w:val="007062A1"/>
    <w:rsid w:val="0070789E"/>
    <w:rsid w:val="00707A0E"/>
    <w:rsid w:val="00707E06"/>
    <w:rsid w:val="0071115F"/>
    <w:rsid w:val="00716D74"/>
    <w:rsid w:val="00720105"/>
    <w:rsid w:val="00723261"/>
    <w:rsid w:val="0074077D"/>
    <w:rsid w:val="00740C93"/>
    <w:rsid w:val="00746A28"/>
    <w:rsid w:val="00747B65"/>
    <w:rsid w:val="00755C65"/>
    <w:rsid w:val="0076145F"/>
    <w:rsid w:val="00761AB2"/>
    <w:rsid w:val="00766105"/>
    <w:rsid w:val="00770990"/>
    <w:rsid w:val="00777F2F"/>
    <w:rsid w:val="00784CBE"/>
    <w:rsid w:val="00785832"/>
    <w:rsid w:val="00790573"/>
    <w:rsid w:val="00796B9E"/>
    <w:rsid w:val="007A0508"/>
    <w:rsid w:val="007B063F"/>
    <w:rsid w:val="007B0A4F"/>
    <w:rsid w:val="007B251D"/>
    <w:rsid w:val="007B63E4"/>
    <w:rsid w:val="007B7D46"/>
    <w:rsid w:val="007C0313"/>
    <w:rsid w:val="007C6839"/>
    <w:rsid w:val="007D15A2"/>
    <w:rsid w:val="007E1666"/>
    <w:rsid w:val="007E7635"/>
    <w:rsid w:val="008009F5"/>
    <w:rsid w:val="00804C0C"/>
    <w:rsid w:val="00812175"/>
    <w:rsid w:val="0081420D"/>
    <w:rsid w:val="00820E68"/>
    <w:rsid w:val="00822B09"/>
    <w:rsid w:val="00826789"/>
    <w:rsid w:val="00842B42"/>
    <w:rsid w:val="008438BE"/>
    <w:rsid w:val="00845AFD"/>
    <w:rsid w:val="00855459"/>
    <w:rsid w:val="00864D48"/>
    <w:rsid w:val="00865557"/>
    <w:rsid w:val="00870719"/>
    <w:rsid w:val="00874BFD"/>
    <w:rsid w:val="008812B3"/>
    <w:rsid w:val="00882719"/>
    <w:rsid w:val="0088487D"/>
    <w:rsid w:val="008849C8"/>
    <w:rsid w:val="00890694"/>
    <w:rsid w:val="008907C0"/>
    <w:rsid w:val="00891A09"/>
    <w:rsid w:val="00897CBF"/>
    <w:rsid w:val="008B0675"/>
    <w:rsid w:val="008B227A"/>
    <w:rsid w:val="008B2B19"/>
    <w:rsid w:val="008B3166"/>
    <w:rsid w:val="008C0139"/>
    <w:rsid w:val="008C07A0"/>
    <w:rsid w:val="008C1D09"/>
    <w:rsid w:val="008C2BDA"/>
    <w:rsid w:val="008C3585"/>
    <w:rsid w:val="008C56D1"/>
    <w:rsid w:val="008C5F2B"/>
    <w:rsid w:val="008D59AD"/>
    <w:rsid w:val="008E04AA"/>
    <w:rsid w:val="008E05C2"/>
    <w:rsid w:val="008F1E56"/>
    <w:rsid w:val="008F7A89"/>
    <w:rsid w:val="00900B3D"/>
    <w:rsid w:val="0090470D"/>
    <w:rsid w:val="00916207"/>
    <w:rsid w:val="009175D1"/>
    <w:rsid w:val="00920D78"/>
    <w:rsid w:val="00921D0E"/>
    <w:rsid w:val="00923024"/>
    <w:rsid w:val="00927362"/>
    <w:rsid w:val="009301B4"/>
    <w:rsid w:val="009306D5"/>
    <w:rsid w:val="0093194B"/>
    <w:rsid w:val="009364F7"/>
    <w:rsid w:val="00940FCE"/>
    <w:rsid w:val="00942A49"/>
    <w:rsid w:val="0095353B"/>
    <w:rsid w:val="009565F3"/>
    <w:rsid w:val="00956A11"/>
    <w:rsid w:val="00957ABB"/>
    <w:rsid w:val="00962F70"/>
    <w:rsid w:val="0096432D"/>
    <w:rsid w:val="00972AB6"/>
    <w:rsid w:val="00973F33"/>
    <w:rsid w:val="0097500F"/>
    <w:rsid w:val="009819A5"/>
    <w:rsid w:val="00983977"/>
    <w:rsid w:val="00990136"/>
    <w:rsid w:val="00991A9E"/>
    <w:rsid w:val="00992418"/>
    <w:rsid w:val="009926DB"/>
    <w:rsid w:val="0099400F"/>
    <w:rsid w:val="00995997"/>
    <w:rsid w:val="009966F2"/>
    <w:rsid w:val="00997665"/>
    <w:rsid w:val="009A020B"/>
    <w:rsid w:val="009A0D6D"/>
    <w:rsid w:val="009A4D72"/>
    <w:rsid w:val="009B3554"/>
    <w:rsid w:val="009B5502"/>
    <w:rsid w:val="009B5E8F"/>
    <w:rsid w:val="009B6492"/>
    <w:rsid w:val="009B727F"/>
    <w:rsid w:val="009C198C"/>
    <w:rsid w:val="009C37CB"/>
    <w:rsid w:val="009C504A"/>
    <w:rsid w:val="009E0914"/>
    <w:rsid w:val="009E2A3A"/>
    <w:rsid w:val="009E4262"/>
    <w:rsid w:val="009E66AA"/>
    <w:rsid w:val="009E6D4A"/>
    <w:rsid w:val="009F54B2"/>
    <w:rsid w:val="009F6BAA"/>
    <w:rsid w:val="00A00F78"/>
    <w:rsid w:val="00A05FAE"/>
    <w:rsid w:val="00A12259"/>
    <w:rsid w:val="00A1414E"/>
    <w:rsid w:val="00A1738E"/>
    <w:rsid w:val="00A17476"/>
    <w:rsid w:val="00A260CE"/>
    <w:rsid w:val="00A27991"/>
    <w:rsid w:val="00A356D4"/>
    <w:rsid w:val="00A43987"/>
    <w:rsid w:val="00A454BF"/>
    <w:rsid w:val="00A57CBF"/>
    <w:rsid w:val="00A64431"/>
    <w:rsid w:val="00A64456"/>
    <w:rsid w:val="00A71814"/>
    <w:rsid w:val="00A80BEF"/>
    <w:rsid w:val="00AA3D7D"/>
    <w:rsid w:val="00AB19D7"/>
    <w:rsid w:val="00AB41E8"/>
    <w:rsid w:val="00AB4B82"/>
    <w:rsid w:val="00AB7548"/>
    <w:rsid w:val="00AB7B91"/>
    <w:rsid w:val="00AC630E"/>
    <w:rsid w:val="00AD0B31"/>
    <w:rsid w:val="00AE0B3C"/>
    <w:rsid w:val="00AE3B09"/>
    <w:rsid w:val="00AF2080"/>
    <w:rsid w:val="00AF6332"/>
    <w:rsid w:val="00B00360"/>
    <w:rsid w:val="00B015C3"/>
    <w:rsid w:val="00B03D43"/>
    <w:rsid w:val="00B04281"/>
    <w:rsid w:val="00B0754A"/>
    <w:rsid w:val="00B105BA"/>
    <w:rsid w:val="00B15088"/>
    <w:rsid w:val="00B16467"/>
    <w:rsid w:val="00B2153A"/>
    <w:rsid w:val="00B2266A"/>
    <w:rsid w:val="00B247EB"/>
    <w:rsid w:val="00B25A01"/>
    <w:rsid w:val="00B301D5"/>
    <w:rsid w:val="00B35183"/>
    <w:rsid w:val="00B4534D"/>
    <w:rsid w:val="00B468A0"/>
    <w:rsid w:val="00B52966"/>
    <w:rsid w:val="00B60315"/>
    <w:rsid w:val="00B61B09"/>
    <w:rsid w:val="00B62215"/>
    <w:rsid w:val="00B635C7"/>
    <w:rsid w:val="00B65C92"/>
    <w:rsid w:val="00B65F05"/>
    <w:rsid w:val="00B67D0A"/>
    <w:rsid w:val="00B72552"/>
    <w:rsid w:val="00B75FBC"/>
    <w:rsid w:val="00B80E5A"/>
    <w:rsid w:val="00B812A6"/>
    <w:rsid w:val="00B8342A"/>
    <w:rsid w:val="00B835C8"/>
    <w:rsid w:val="00B847C9"/>
    <w:rsid w:val="00B857B7"/>
    <w:rsid w:val="00B87728"/>
    <w:rsid w:val="00B93A2D"/>
    <w:rsid w:val="00BA21CC"/>
    <w:rsid w:val="00BB3DDD"/>
    <w:rsid w:val="00BB7FB2"/>
    <w:rsid w:val="00BC0C11"/>
    <w:rsid w:val="00BC173E"/>
    <w:rsid w:val="00BC3DB1"/>
    <w:rsid w:val="00BC40BF"/>
    <w:rsid w:val="00BC79D7"/>
    <w:rsid w:val="00BD2C91"/>
    <w:rsid w:val="00BD369B"/>
    <w:rsid w:val="00BD7FDD"/>
    <w:rsid w:val="00BE567F"/>
    <w:rsid w:val="00BE7634"/>
    <w:rsid w:val="00BF082F"/>
    <w:rsid w:val="00BF39F7"/>
    <w:rsid w:val="00BF4F4E"/>
    <w:rsid w:val="00BF643F"/>
    <w:rsid w:val="00C011CE"/>
    <w:rsid w:val="00C13086"/>
    <w:rsid w:val="00C13D99"/>
    <w:rsid w:val="00C14CF0"/>
    <w:rsid w:val="00C20EA1"/>
    <w:rsid w:val="00C21E02"/>
    <w:rsid w:val="00C23B45"/>
    <w:rsid w:val="00C32FB7"/>
    <w:rsid w:val="00C34E96"/>
    <w:rsid w:val="00C40F9D"/>
    <w:rsid w:val="00C42721"/>
    <w:rsid w:val="00C53B99"/>
    <w:rsid w:val="00C54508"/>
    <w:rsid w:val="00C54A98"/>
    <w:rsid w:val="00C54F97"/>
    <w:rsid w:val="00C55CA7"/>
    <w:rsid w:val="00C56F5E"/>
    <w:rsid w:val="00C6036B"/>
    <w:rsid w:val="00C63A6F"/>
    <w:rsid w:val="00C661CC"/>
    <w:rsid w:val="00C66C11"/>
    <w:rsid w:val="00C67848"/>
    <w:rsid w:val="00C76B89"/>
    <w:rsid w:val="00C82942"/>
    <w:rsid w:val="00C9576D"/>
    <w:rsid w:val="00C97296"/>
    <w:rsid w:val="00CB1013"/>
    <w:rsid w:val="00CB38B7"/>
    <w:rsid w:val="00CB68FB"/>
    <w:rsid w:val="00CC0E81"/>
    <w:rsid w:val="00CC63E2"/>
    <w:rsid w:val="00CC6EE5"/>
    <w:rsid w:val="00CD203A"/>
    <w:rsid w:val="00CD39BD"/>
    <w:rsid w:val="00CD3D3F"/>
    <w:rsid w:val="00CE4F36"/>
    <w:rsid w:val="00CE74DD"/>
    <w:rsid w:val="00CE7CC2"/>
    <w:rsid w:val="00CF0767"/>
    <w:rsid w:val="00D010D2"/>
    <w:rsid w:val="00D021FA"/>
    <w:rsid w:val="00D028F1"/>
    <w:rsid w:val="00D06416"/>
    <w:rsid w:val="00D118E2"/>
    <w:rsid w:val="00D120A8"/>
    <w:rsid w:val="00D20B91"/>
    <w:rsid w:val="00D22238"/>
    <w:rsid w:val="00D22552"/>
    <w:rsid w:val="00D22FAB"/>
    <w:rsid w:val="00D265A6"/>
    <w:rsid w:val="00D27994"/>
    <w:rsid w:val="00D303F5"/>
    <w:rsid w:val="00D31488"/>
    <w:rsid w:val="00D31C81"/>
    <w:rsid w:val="00D329E7"/>
    <w:rsid w:val="00D3481F"/>
    <w:rsid w:val="00D40446"/>
    <w:rsid w:val="00D40F03"/>
    <w:rsid w:val="00D51729"/>
    <w:rsid w:val="00D53A6D"/>
    <w:rsid w:val="00D57EE8"/>
    <w:rsid w:val="00D7204F"/>
    <w:rsid w:val="00D73911"/>
    <w:rsid w:val="00D769E1"/>
    <w:rsid w:val="00D76F57"/>
    <w:rsid w:val="00D80C83"/>
    <w:rsid w:val="00D82B03"/>
    <w:rsid w:val="00D936AD"/>
    <w:rsid w:val="00D95916"/>
    <w:rsid w:val="00D979BB"/>
    <w:rsid w:val="00DA371E"/>
    <w:rsid w:val="00DA4F6E"/>
    <w:rsid w:val="00DA649E"/>
    <w:rsid w:val="00DA6F10"/>
    <w:rsid w:val="00DA7349"/>
    <w:rsid w:val="00DA7BC9"/>
    <w:rsid w:val="00DB11B6"/>
    <w:rsid w:val="00DB3311"/>
    <w:rsid w:val="00DB6184"/>
    <w:rsid w:val="00DB66A6"/>
    <w:rsid w:val="00DB6CF2"/>
    <w:rsid w:val="00DC151C"/>
    <w:rsid w:val="00DC32E9"/>
    <w:rsid w:val="00DC6DEB"/>
    <w:rsid w:val="00DC788A"/>
    <w:rsid w:val="00DD12F0"/>
    <w:rsid w:val="00DD32F7"/>
    <w:rsid w:val="00DD6A1E"/>
    <w:rsid w:val="00DD77E9"/>
    <w:rsid w:val="00DE00FE"/>
    <w:rsid w:val="00DE6A27"/>
    <w:rsid w:val="00DF4DCB"/>
    <w:rsid w:val="00DF661F"/>
    <w:rsid w:val="00E0578D"/>
    <w:rsid w:val="00E102F4"/>
    <w:rsid w:val="00E10A3B"/>
    <w:rsid w:val="00E115EA"/>
    <w:rsid w:val="00E1290D"/>
    <w:rsid w:val="00E2114A"/>
    <w:rsid w:val="00E21799"/>
    <w:rsid w:val="00E32F80"/>
    <w:rsid w:val="00E33A4B"/>
    <w:rsid w:val="00E33CAC"/>
    <w:rsid w:val="00E42AB4"/>
    <w:rsid w:val="00E4315C"/>
    <w:rsid w:val="00E43882"/>
    <w:rsid w:val="00E459D7"/>
    <w:rsid w:val="00E51AA0"/>
    <w:rsid w:val="00E53B79"/>
    <w:rsid w:val="00E55EFF"/>
    <w:rsid w:val="00E632C8"/>
    <w:rsid w:val="00E648C1"/>
    <w:rsid w:val="00E65E62"/>
    <w:rsid w:val="00E7001A"/>
    <w:rsid w:val="00E72584"/>
    <w:rsid w:val="00E7297C"/>
    <w:rsid w:val="00E7587C"/>
    <w:rsid w:val="00E825BD"/>
    <w:rsid w:val="00E83560"/>
    <w:rsid w:val="00E83820"/>
    <w:rsid w:val="00E95029"/>
    <w:rsid w:val="00E97055"/>
    <w:rsid w:val="00EA7907"/>
    <w:rsid w:val="00EB19B9"/>
    <w:rsid w:val="00EC04FA"/>
    <w:rsid w:val="00EC15E2"/>
    <w:rsid w:val="00EC1FAE"/>
    <w:rsid w:val="00EC6946"/>
    <w:rsid w:val="00EC7FC0"/>
    <w:rsid w:val="00ED3E0E"/>
    <w:rsid w:val="00EE0714"/>
    <w:rsid w:val="00EF05BA"/>
    <w:rsid w:val="00EF1B2C"/>
    <w:rsid w:val="00EF3464"/>
    <w:rsid w:val="00EF714A"/>
    <w:rsid w:val="00F00596"/>
    <w:rsid w:val="00F0747A"/>
    <w:rsid w:val="00F10EDD"/>
    <w:rsid w:val="00F11370"/>
    <w:rsid w:val="00F128E0"/>
    <w:rsid w:val="00F12B41"/>
    <w:rsid w:val="00F1341F"/>
    <w:rsid w:val="00F13C82"/>
    <w:rsid w:val="00F15843"/>
    <w:rsid w:val="00F17041"/>
    <w:rsid w:val="00F23692"/>
    <w:rsid w:val="00F307AF"/>
    <w:rsid w:val="00F30B2C"/>
    <w:rsid w:val="00F330F7"/>
    <w:rsid w:val="00F3504B"/>
    <w:rsid w:val="00F37603"/>
    <w:rsid w:val="00F37E09"/>
    <w:rsid w:val="00F40C57"/>
    <w:rsid w:val="00F44550"/>
    <w:rsid w:val="00F50BFA"/>
    <w:rsid w:val="00F559C2"/>
    <w:rsid w:val="00F62434"/>
    <w:rsid w:val="00F62DDE"/>
    <w:rsid w:val="00F64EB9"/>
    <w:rsid w:val="00F72929"/>
    <w:rsid w:val="00F749AD"/>
    <w:rsid w:val="00F7536C"/>
    <w:rsid w:val="00F762C6"/>
    <w:rsid w:val="00F83121"/>
    <w:rsid w:val="00F90C2D"/>
    <w:rsid w:val="00F92638"/>
    <w:rsid w:val="00F92727"/>
    <w:rsid w:val="00F93FD7"/>
    <w:rsid w:val="00F94E26"/>
    <w:rsid w:val="00F974EB"/>
    <w:rsid w:val="00FA104C"/>
    <w:rsid w:val="00FA3F4E"/>
    <w:rsid w:val="00FA52B1"/>
    <w:rsid w:val="00FB0B31"/>
    <w:rsid w:val="00FB4D70"/>
    <w:rsid w:val="00FC1E0C"/>
    <w:rsid w:val="00FC4766"/>
    <w:rsid w:val="00FD1F88"/>
    <w:rsid w:val="00FE1918"/>
    <w:rsid w:val="00FE2877"/>
    <w:rsid w:val="00FE7E44"/>
    <w:rsid w:val="00FE7F75"/>
    <w:rsid w:val="00FF12C8"/>
    <w:rsid w:val="01EEE767"/>
    <w:rsid w:val="0241AA68"/>
    <w:rsid w:val="0497CD48"/>
    <w:rsid w:val="05843B28"/>
    <w:rsid w:val="0643A440"/>
    <w:rsid w:val="0663B8B7"/>
    <w:rsid w:val="0687D5E2"/>
    <w:rsid w:val="07888683"/>
    <w:rsid w:val="07C1B757"/>
    <w:rsid w:val="07CF6E0A"/>
    <w:rsid w:val="096B3E6B"/>
    <w:rsid w:val="09A239F7"/>
    <w:rsid w:val="0E2533CF"/>
    <w:rsid w:val="0FBEDCB8"/>
    <w:rsid w:val="12D22EBC"/>
    <w:rsid w:val="12F42955"/>
    <w:rsid w:val="13983736"/>
    <w:rsid w:val="17743412"/>
    <w:rsid w:val="17A470EF"/>
    <w:rsid w:val="17D38C60"/>
    <w:rsid w:val="181CCECD"/>
    <w:rsid w:val="18324229"/>
    <w:rsid w:val="1908A77D"/>
    <w:rsid w:val="1A246513"/>
    <w:rsid w:val="1A93713E"/>
    <w:rsid w:val="1C43B433"/>
    <w:rsid w:val="1C46DB61"/>
    <w:rsid w:val="1DEF2BD4"/>
    <w:rsid w:val="1F86C545"/>
    <w:rsid w:val="2032F8FD"/>
    <w:rsid w:val="20C3E090"/>
    <w:rsid w:val="22699916"/>
    <w:rsid w:val="22DA85BE"/>
    <w:rsid w:val="2372F535"/>
    <w:rsid w:val="23983F5F"/>
    <w:rsid w:val="24F0D83B"/>
    <w:rsid w:val="25F3E3CA"/>
    <w:rsid w:val="280176C6"/>
    <w:rsid w:val="2D988680"/>
    <w:rsid w:val="2EB96698"/>
    <w:rsid w:val="3026B101"/>
    <w:rsid w:val="3120C412"/>
    <w:rsid w:val="32A480BE"/>
    <w:rsid w:val="32BC9473"/>
    <w:rsid w:val="32DCA8EA"/>
    <w:rsid w:val="34522B4E"/>
    <w:rsid w:val="345F7024"/>
    <w:rsid w:val="34E7A7B7"/>
    <w:rsid w:val="37A305DA"/>
    <w:rsid w:val="3895B6F2"/>
    <w:rsid w:val="3A770988"/>
    <w:rsid w:val="3B28B059"/>
    <w:rsid w:val="3BC2AA4E"/>
    <w:rsid w:val="3C6310E7"/>
    <w:rsid w:val="3F3E1A0D"/>
    <w:rsid w:val="3F79CD77"/>
    <w:rsid w:val="41011D5B"/>
    <w:rsid w:val="42342149"/>
    <w:rsid w:val="42C9D285"/>
    <w:rsid w:val="42D0E4C3"/>
    <w:rsid w:val="43E45587"/>
    <w:rsid w:val="44008BEA"/>
    <w:rsid w:val="44207634"/>
    <w:rsid w:val="444C37B4"/>
    <w:rsid w:val="45534781"/>
    <w:rsid w:val="45C1A9B5"/>
    <w:rsid w:val="45F5F3FD"/>
    <w:rsid w:val="46AC3338"/>
    <w:rsid w:val="476E787A"/>
    <w:rsid w:val="486F2879"/>
    <w:rsid w:val="48F94A77"/>
    <w:rsid w:val="49CFE14D"/>
    <w:rsid w:val="4A73DAC5"/>
    <w:rsid w:val="4B94D3E4"/>
    <w:rsid w:val="4D5DF7A0"/>
    <w:rsid w:val="4DCCBB9A"/>
    <w:rsid w:val="4DEC8D58"/>
    <w:rsid w:val="542B47E1"/>
    <w:rsid w:val="56026D21"/>
    <w:rsid w:val="59E0FADB"/>
    <w:rsid w:val="59EA08D7"/>
    <w:rsid w:val="5E4460FD"/>
    <w:rsid w:val="5F78E59D"/>
    <w:rsid w:val="5F9D961B"/>
    <w:rsid w:val="60594A5B"/>
    <w:rsid w:val="652CBB7E"/>
    <w:rsid w:val="65665B00"/>
    <w:rsid w:val="65C9714F"/>
    <w:rsid w:val="65FA1CFE"/>
    <w:rsid w:val="6A002CA1"/>
    <w:rsid w:val="6B0D693B"/>
    <w:rsid w:val="6C7ADB54"/>
    <w:rsid w:val="6D37CD63"/>
    <w:rsid w:val="7056774A"/>
    <w:rsid w:val="707ED032"/>
    <w:rsid w:val="71AD50BC"/>
    <w:rsid w:val="737BD704"/>
    <w:rsid w:val="748F4445"/>
    <w:rsid w:val="74E7301A"/>
    <w:rsid w:val="75A3FC3A"/>
    <w:rsid w:val="75DF5661"/>
    <w:rsid w:val="76FDDADE"/>
    <w:rsid w:val="787FFDBB"/>
    <w:rsid w:val="78B89518"/>
    <w:rsid w:val="7969104D"/>
    <w:rsid w:val="7C8CBB62"/>
    <w:rsid w:val="7D614FB6"/>
    <w:rsid w:val="7DA095CF"/>
    <w:rsid w:val="7DB84A5D"/>
    <w:rsid w:val="7EE9851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BA74F9A"/>
  <w15:chartTrackingRefBased/>
  <w15:docId w15:val="{A2B035B9-B9D8-451F-9B1A-C94A21FE6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6475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E4262"/>
    <w:pPr>
      <w:keepNext/>
      <w:keepLines/>
      <w:spacing w:before="40" w:after="0" w:line="276" w:lineRule="auto"/>
      <w:jc w:val="both"/>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849C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5F2578"/>
    <w:rPr>
      <w:sz w:val="16"/>
      <w:szCs w:val="16"/>
    </w:rPr>
  </w:style>
  <w:style w:type="paragraph" w:styleId="CommentText">
    <w:name w:val="annotation text"/>
    <w:basedOn w:val="Normal"/>
    <w:link w:val="CommentTextChar"/>
    <w:uiPriority w:val="99"/>
    <w:unhideWhenUsed/>
    <w:rsid w:val="005F2578"/>
    <w:pPr>
      <w:spacing w:line="240" w:lineRule="auto"/>
    </w:pPr>
    <w:rPr>
      <w:sz w:val="20"/>
      <w:szCs w:val="20"/>
    </w:rPr>
  </w:style>
  <w:style w:type="character" w:customStyle="1" w:styleId="CommentTextChar">
    <w:name w:val="Comment Text Char"/>
    <w:basedOn w:val="DefaultParagraphFont"/>
    <w:link w:val="CommentText"/>
    <w:uiPriority w:val="99"/>
    <w:rsid w:val="005F2578"/>
    <w:rPr>
      <w:sz w:val="20"/>
      <w:szCs w:val="20"/>
    </w:rPr>
  </w:style>
  <w:style w:type="paragraph" w:styleId="CommentSubject">
    <w:name w:val="annotation subject"/>
    <w:basedOn w:val="CommentText"/>
    <w:next w:val="CommentText"/>
    <w:link w:val="CommentSubjectChar"/>
    <w:uiPriority w:val="99"/>
    <w:semiHidden/>
    <w:unhideWhenUsed/>
    <w:rsid w:val="005F2578"/>
    <w:rPr>
      <w:b/>
      <w:bCs/>
    </w:rPr>
  </w:style>
  <w:style w:type="character" w:customStyle="1" w:styleId="CommentSubjectChar">
    <w:name w:val="Comment Subject Char"/>
    <w:basedOn w:val="CommentTextChar"/>
    <w:link w:val="CommentSubject"/>
    <w:uiPriority w:val="99"/>
    <w:semiHidden/>
    <w:rsid w:val="005F2578"/>
    <w:rPr>
      <w:b/>
      <w:bCs/>
      <w:sz w:val="20"/>
      <w:szCs w:val="20"/>
    </w:rPr>
  </w:style>
  <w:style w:type="paragraph" w:styleId="BalloonText">
    <w:name w:val="Balloon Text"/>
    <w:basedOn w:val="Normal"/>
    <w:link w:val="BalloonTextChar"/>
    <w:uiPriority w:val="99"/>
    <w:semiHidden/>
    <w:unhideWhenUsed/>
    <w:rsid w:val="00094A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4A28"/>
    <w:rPr>
      <w:rFonts w:ascii="Segoe UI" w:hAnsi="Segoe UI" w:cs="Segoe UI"/>
      <w:sz w:val="18"/>
      <w:szCs w:val="18"/>
    </w:rPr>
  </w:style>
  <w:style w:type="paragraph" w:styleId="ListParagraph">
    <w:name w:val="List Paragraph"/>
    <w:basedOn w:val="Normal"/>
    <w:uiPriority w:val="34"/>
    <w:qFormat/>
    <w:rsid w:val="0038249F"/>
    <w:pPr>
      <w:ind w:left="720"/>
      <w:contextualSpacing/>
    </w:pPr>
  </w:style>
  <w:style w:type="paragraph" w:styleId="FootnoteText">
    <w:name w:val="footnote text"/>
    <w:aliases w:val="Footnote Text Char1 Char,Footnote Text Char Char Char,Footnote Text Char1 Char Char Char,Footnote Text Char Char Char Char Char,Footnote Text Char1 Char1 Char,Footnote Text Char Char Char1 Char,single space,fn,ft,Fußnote,f,Schriftart: 9 pt"/>
    <w:basedOn w:val="Normal"/>
    <w:link w:val="FootnoteTextChar"/>
    <w:uiPriority w:val="99"/>
    <w:unhideWhenUsed/>
    <w:qFormat/>
    <w:rsid w:val="00956A11"/>
    <w:pPr>
      <w:spacing w:after="0" w:line="240" w:lineRule="auto"/>
    </w:pPr>
    <w:rPr>
      <w:sz w:val="20"/>
      <w:szCs w:val="20"/>
    </w:rPr>
  </w:style>
  <w:style w:type="character" w:customStyle="1" w:styleId="FootnoteTextChar">
    <w:name w:val="Footnote Text Char"/>
    <w:aliases w:val="Footnote Text Char1 Char Char,Footnote Text Char Char Char Char,Footnote Text Char1 Char Char Char Char,Footnote Text Char Char Char Char Char Char,Footnote Text Char1 Char1 Char Char,Footnote Text Char Char Char1 Char Char,fn Char"/>
    <w:basedOn w:val="DefaultParagraphFont"/>
    <w:link w:val="FootnoteText"/>
    <w:uiPriority w:val="99"/>
    <w:qFormat/>
    <w:rsid w:val="00956A11"/>
    <w:rPr>
      <w:sz w:val="20"/>
      <w:szCs w:val="20"/>
    </w:rPr>
  </w:style>
  <w:style w:type="character" w:styleId="FootnoteReference">
    <w:name w:val="footnote reference"/>
    <w:aliases w:val="BVI fnr,EN Footnote Reference,-E Fußnotenzeichen,Footnote,Footnote symbol,Footnote number,Footnote Reference Number,Footnote reference number,Times 10 Point,Exposant 3 Point,Footnote Reference Superscript, BVI fnr,ftre,Exposant 3 Poi"/>
    <w:basedOn w:val="DefaultParagraphFont"/>
    <w:link w:val="Nota"/>
    <w:uiPriority w:val="99"/>
    <w:unhideWhenUsed/>
    <w:qFormat/>
    <w:rsid w:val="00956A11"/>
    <w:rPr>
      <w:vertAlign w:val="superscript"/>
    </w:rPr>
  </w:style>
  <w:style w:type="character" w:styleId="Hyperlink">
    <w:name w:val="Hyperlink"/>
    <w:basedOn w:val="DefaultParagraphFont"/>
    <w:uiPriority w:val="99"/>
    <w:unhideWhenUsed/>
    <w:rsid w:val="00583FAF"/>
    <w:rPr>
      <w:color w:val="0563C1" w:themeColor="hyperlink"/>
      <w:u w:val="single"/>
    </w:rPr>
  </w:style>
  <w:style w:type="character" w:customStyle="1" w:styleId="Heading2Char">
    <w:name w:val="Heading 2 Char"/>
    <w:basedOn w:val="DefaultParagraphFont"/>
    <w:link w:val="Heading2"/>
    <w:uiPriority w:val="9"/>
    <w:rsid w:val="009E4262"/>
    <w:rPr>
      <w:rFonts w:asciiTheme="majorHAnsi" w:eastAsiaTheme="majorEastAsia" w:hAnsiTheme="majorHAnsi" w:cstheme="majorBidi"/>
      <w:color w:val="2F5496" w:themeColor="accent1" w:themeShade="BF"/>
      <w:sz w:val="26"/>
      <w:szCs w:val="26"/>
    </w:rPr>
  </w:style>
  <w:style w:type="paragraph" w:customStyle="1" w:styleId="Nota">
    <w:name w:val="Nota"/>
    <w:aliases w:val=" Char1,Char1,(NECG) Footnote Reference,fr,Appel note de bas de p,o,Style 6,Signature Ch"/>
    <w:basedOn w:val="Normal"/>
    <w:link w:val="FootnoteReference"/>
    <w:uiPriority w:val="99"/>
    <w:rsid w:val="009E4262"/>
    <w:pPr>
      <w:spacing w:line="240" w:lineRule="exact"/>
    </w:pPr>
    <w:rPr>
      <w:vertAlign w:val="superscript"/>
    </w:rPr>
  </w:style>
  <w:style w:type="character" w:customStyle="1" w:styleId="Heading1Char">
    <w:name w:val="Heading 1 Char"/>
    <w:basedOn w:val="DefaultParagraphFont"/>
    <w:link w:val="Heading1"/>
    <w:uiPriority w:val="9"/>
    <w:rsid w:val="0036475C"/>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6D68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684E"/>
  </w:style>
  <w:style w:type="paragraph" w:styleId="Footer">
    <w:name w:val="footer"/>
    <w:basedOn w:val="Normal"/>
    <w:link w:val="FooterChar"/>
    <w:uiPriority w:val="99"/>
    <w:unhideWhenUsed/>
    <w:rsid w:val="006D68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684E"/>
  </w:style>
  <w:style w:type="character" w:styleId="FollowedHyperlink">
    <w:name w:val="FollowedHyperlink"/>
    <w:basedOn w:val="DefaultParagraphFont"/>
    <w:uiPriority w:val="99"/>
    <w:semiHidden/>
    <w:unhideWhenUsed/>
    <w:rsid w:val="001120E1"/>
    <w:rPr>
      <w:color w:val="954F72" w:themeColor="followedHyperlink"/>
      <w:u w:val="single"/>
    </w:rPr>
  </w:style>
  <w:style w:type="paragraph" w:styleId="Revision">
    <w:name w:val="Revision"/>
    <w:hidden/>
    <w:uiPriority w:val="99"/>
    <w:semiHidden/>
    <w:rsid w:val="00D936AD"/>
    <w:pPr>
      <w:spacing w:after="0" w:line="240" w:lineRule="auto"/>
    </w:pPr>
  </w:style>
  <w:style w:type="character" w:customStyle="1" w:styleId="UnresolvedMention1">
    <w:name w:val="Unresolved Mention1"/>
    <w:basedOn w:val="DefaultParagraphFont"/>
    <w:uiPriority w:val="99"/>
    <w:semiHidden/>
    <w:unhideWhenUsed/>
    <w:rsid w:val="00400F72"/>
    <w:rPr>
      <w:color w:val="605E5C"/>
      <w:shd w:val="clear" w:color="auto" w:fill="E1DFDD"/>
    </w:rPr>
  </w:style>
  <w:style w:type="paragraph" w:styleId="NormalWeb">
    <w:name w:val="Normal (Web)"/>
    <w:basedOn w:val="Normal"/>
    <w:uiPriority w:val="99"/>
    <w:semiHidden/>
    <w:unhideWhenUsed/>
    <w:rsid w:val="008C358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OCHeading">
    <w:name w:val="TOC Heading"/>
    <w:basedOn w:val="Heading1"/>
    <w:next w:val="Normal"/>
    <w:uiPriority w:val="39"/>
    <w:unhideWhenUsed/>
    <w:qFormat/>
    <w:rsid w:val="009819A5"/>
    <w:pPr>
      <w:outlineLvl w:val="9"/>
    </w:pPr>
  </w:style>
  <w:style w:type="paragraph" w:styleId="TOC1">
    <w:name w:val="toc 1"/>
    <w:basedOn w:val="Normal"/>
    <w:next w:val="Normal"/>
    <w:autoRedefine/>
    <w:uiPriority w:val="39"/>
    <w:unhideWhenUsed/>
    <w:rsid w:val="009819A5"/>
    <w:pPr>
      <w:spacing w:after="100"/>
    </w:pPr>
  </w:style>
  <w:style w:type="paragraph" w:styleId="TOC2">
    <w:name w:val="toc 2"/>
    <w:basedOn w:val="Normal"/>
    <w:next w:val="Normal"/>
    <w:autoRedefine/>
    <w:uiPriority w:val="39"/>
    <w:unhideWhenUsed/>
    <w:rsid w:val="009819A5"/>
    <w:pPr>
      <w:spacing w:after="100"/>
      <w:ind w:left="220"/>
    </w:pPr>
  </w:style>
  <w:style w:type="character" w:customStyle="1" w:styleId="UnresolvedMention2">
    <w:name w:val="Unresolved Mention2"/>
    <w:basedOn w:val="DefaultParagraphFont"/>
    <w:uiPriority w:val="99"/>
    <w:semiHidden/>
    <w:unhideWhenUsed/>
    <w:rsid w:val="00685118"/>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3Char">
    <w:name w:val="Heading 3 Char"/>
    <w:basedOn w:val="DefaultParagraphFont"/>
    <w:link w:val="Heading3"/>
    <w:uiPriority w:val="9"/>
    <w:semiHidden/>
    <w:rsid w:val="008849C8"/>
    <w:rPr>
      <w:rFonts w:asciiTheme="majorHAnsi" w:eastAsiaTheme="majorEastAsia" w:hAnsiTheme="majorHAnsi" w:cstheme="majorBidi"/>
      <w:color w:val="1F3763" w:themeColor="accent1" w:themeShade="7F"/>
      <w:sz w:val="24"/>
      <w:szCs w:val="24"/>
    </w:rPr>
  </w:style>
  <w:style w:type="character" w:customStyle="1" w:styleId="normaltextrun">
    <w:name w:val="normaltextrun"/>
    <w:basedOn w:val="DefaultParagraphFont"/>
    <w:rsid w:val="00210566"/>
  </w:style>
  <w:style w:type="character" w:customStyle="1" w:styleId="eop">
    <w:name w:val="eop"/>
    <w:basedOn w:val="DefaultParagraphFont"/>
    <w:rsid w:val="00210566"/>
  </w:style>
  <w:style w:type="character" w:customStyle="1" w:styleId="Marker">
    <w:name w:val="Marker"/>
    <w:basedOn w:val="DefaultParagraphFont"/>
    <w:rsid w:val="00CC63E2"/>
    <w:rPr>
      <w:color w:val="0000FF"/>
      <w:shd w:val="clear" w:color="auto" w:fill="auto"/>
    </w:rPr>
  </w:style>
  <w:style w:type="paragraph" w:customStyle="1" w:styleId="Pagedecouverture">
    <w:name w:val="Page de couverture"/>
    <w:basedOn w:val="Normal"/>
    <w:next w:val="Normal"/>
    <w:rsid w:val="00CC63E2"/>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CC63E2"/>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C63E2"/>
    <w:rPr>
      <w:rFonts w:ascii="Times New Roman" w:hAnsi="Times New Roman" w:cs="Times New Roman"/>
      <w:sz w:val="24"/>
    </w:rPr>
  </w:style>
  <w:style w:type="paragraph" w:customStyle="1" w:styleId="FooterSensitivity">
    <w:name w:val="Footer Sensitivity"/>
    <w:basedOn w:val="Normal"/>
    <w:link w:val="FooterSensitivityChar"/>
    <w:rsid w:val="00CC63E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C63E2"/>
    <w:rPr>
      <w:rFonts w:ascii="Times New Roman" w:hAnsi="Times New Roman" w:cs="Times New Roman"/>
      <w:b/>
      <w:sz w:val="32"/>
    </w:rPr>
  </w:style>
  <w:style w:type="paragraph" w:customStyle="1" w:styleId="HeaderCoverPage">
    <w:name w:val="Header Cover Page"/>
    <w:basedOn w:val="Normal"/>
    <w:link w:val="HeaderCoverPageChar"/>
    <w:rsid w:val="00CC63E2"/>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C63E2"/>
    <w:rPr>
      <w:rFonts w:ascii="Times New Roman" w:hAnsi="Times New Roman" w:cs="Times New Roman"/>
      <w:sz w:val="24"/>
    </w:rPr>
  </w:style>
  <w:style w:type="paragraph" w:customStyle="1" w:styleId="HeaderSensitivity">
    <w:name w:val="Header Sensitivity"/>
    <w:basedOn w:val="Normal"/>
    <w:link w:val="HeaderSensitivityChar"/>
    <w:rsid w:val="00CC63E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C63E2"/>
    <w:rPr>
      <w:rFonts w:ascii="Times New Roman" w:hAnsi="Times New Roman" w:cs="Times New Roman"/>
      <w:b/>
      <w:sz w:val="32"/>
    </w:rPr>
  </w:style>
  <w:style w:type="paragraph" w:customStyle="1" w:styleId="HeaderSensitivityRight">
    <w:name w:val="Header Sensitivity Right"/>
    <w:basedOn w:val="Normal"/>
    <w:link w:val="HeaderSensitivityRightChar"/>
    <w:rsid w:val="00CC63E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C63E2"/>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85892">
      <w:bodyDiv w:val="1"/>
      <w:marLeft w:val="0"/>
      <w:marRight w:val="0"/>
      <w:marTop w:val="0"/>
      <w:marBottom w:val="0"/>
      <w:divBdr>
        <w:top w:val="none" w:sz="0" w:space="0" w:color="auto"/>
        <w:left w:val="none" w:sz="0" w:space="0" w:color="auto"/>
        <w:bottom w:val="none" w:sz="0" w:space="0" w:color="auto"/>
        <w:right w:val="none" w:sz="0" w:space="0" w:color="auto"/>
      </w:divBdr>
    </w:div>
    <w:div w:id="685710105">
      <w:bodyDiv w:val="1"/>
      <w:marLeft w:val="0"/>
      <w:marRight w:val="0"/>
      <w:marTop w:val="0"/>
      <w:marBottom w:val="0"/>
      <w:divBdr>
        <w:top w:val="none" w:sz="0" w:space="0" w:color="auto"/>
        <w:left w:val="none" w:sz="0" w:space="0" w:color="auto"/>
        <w:bottom w:val="none" w:sz="0" w:space="0" w:color="auto"/>
        <w:right w:val="none" w:sz="0" w:space="0" w:color="auto"/>
      </w:divBdr>
    </w:div>
    <w:div w:id="823668076">
      <w:bodyDiv w:val="1"/>
      <w:marLeft w:val="0"/>
      <w:marRight w:val="0"/>
      <w:marTop w:val="0"/>
      <w:marBottom w:val="0"/>
      <w:divBdr>
        <w:top w:val="none" w:sz="0" w:space="0" w:color="auto"/>
        <w:left w:val="none" w:sz="0" w:space="0" w:color="auto"/>
        <w:bottom w:val="none" w:sz="0" w:space="0" w:color="auto"/>
        <w:right w:val="none" w:sz="0" w:space="0" w:color="auto"/>
      </w:divBdr>
    </w:div>
    <w:div w:id="1002126515">
      <w:bodyDiv w:val="1"/>
      <w:marLeft w:val="0"/>
      <w:marRight w:val="0"/>
      <w:marTop w:val="0"/>
      <w:marBottom w:val="0"/>
      <w:divBdr>
        <w:top w:val="none" w:sz="0" w:space="0" w:color="auto"/>
        <w:left w:val="none" w:sz="0" w:space="0" w:color="auto"/>
        <w:bottom w:val="none" w:sz="0" w:space="0" w:color="auto"/>
        <w:right w:val="none" w:sz="0" w:space="0" w:color="auto"/>
      </w:divBdr>
    </w:div>
    <w:div w:id="1198857024">
      <w:bodyDiv w:val="1"/>
      <w:marLeft w:val="0"/>
      <w:marRight w:val="0"/>
      <w:marTop w:val="0"/>
      <w:marBottom w:val="0"/>
      <w:divBdr>
        <w:top w:val="none" w:sz="0" w:space="0" w:color="auto"/>
        <w:left w:val="none" w:sz="0" w:space="0" w:color="auto"/>
        <w:bottom w:val="none" w:sz="0" w:space="0" w:color="auto"/>
        <w:right w:val="none" w:sz="0" w:space="0" w:color="auto"/>
      </w:divBdr>
    </w:div>
    <w:div w:id="1345090014">
      <w:bodyDiv w:val="1"/>
      <w:marLeft w:val="0"/>
      <w:marRight w:val="0"/>
      <w:marTop w:val="0"/>
      <w:marBottom w:val="0"/>
      <w:divBdr>
        <w:top w:val="none" w:sz="0" w:space="0" w:color="auto"/>
        <w:left w:val="none" w:sz="0" w:space="0" w:color="auto"/>
        <w:bottom w:val="none" w:sz="0" w:space="0" w:color="auto"/>
        <w:right w:val="none" w:sz="0" w:space="0" w:color="auto"/>
      </w:divBdr>
    </w:div>
    <w:div w:id="1465077580">
      <w:bodyDiv w:val="1"/>
      <w:marLeft w:val="0"/>
      <w:marRight w:val="0"/>
      <w:marTop w:val="0"/>
      <w:marBottom w:val="0"/>
      <w:divBdr>
        <w:top w:val="none" w:sz="0" w:space="0" w:color="auto"/>
        <w:left w:val="none" w:sz="0" w:space="0" w:color="auto"/>
        <w:bottom w:val="none" w:sz="0" w:space="0" w:color="auto"/>
        <w:right w:val="none" w:sz="0" w:space="0" w:color="auto"/>
      </w:divBdr>
    </w:div>
    <w:div w:id="1950164499">
      <w:bodyDiv w:val="1"/>
      <w:marLeft w:val="0"/>
      <w:marRight w:val="0"/>
      <w:marTop w:val="0"/>
      <w:marBottom w:val="0"/>
      <w:divBdr>
        <w:top w:val="none" w:sz="0" w:space="0" w:color="auto"/>
        <w:left w:val="none" w:sz="0" w:space="0" w:color="auto"/>
        <w:bottom w:val="none" w:sz="0" w:space="0" w:color="auto"/>
        <w:right w:val="none" w:sz="0" w:space="0" w:color="auto"/>
      </w:divBdr>
    </w:div>
    <w:div w:id="2000649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SK/TXT/?uri=JOIN:2021:3:FIN" TargetMode="External"/><Relationship Id="rId13" Type="http://schemas.openxmlformats.org/officeDocument/2006/relationships/hyperlink" Target="https://international-partnerships.ec.europa.eu/policies/programming/programmes/acp-eu-research-and-innovation-programme_en" TargetMode="External"/><Relationship Id="rId18" Type="http://schemas.openxmlformats.org/officeDocument/2006/relationships/hyperlink" Target="https://eur-lex.europa.eu/legal-content/SK/ALL/?uri=JOIN:2021:2:FIN" TargetMode="External"/><Relationship Id="rId3" Type="http://schemas.openxmlformats.org/officeDocument/2006/relationships/hyperlink" Target="https://www.eeas.europa.eu/sites/default/files/joint_communication_renewed_partnership_southern_neighbourhood.pdf" TargetMode="External"/><Relationship Id="rId7" Type="http://schemas.openxmlformats.org/officeDocument/2006/relationships/hyperlink" Target="https://eur-lex.europa.eu/legal-content/SK/TXT/?uri=COM:2021:66:FIN" TargetMode="External"/><Relationship Id="rId12" Type="http://schemas.openxmlformats.org/officeDocument/2006/relationships/hyperlink" Target="https://eur-lex.europa.eu/legal-content/EN/TXT/?toc=OJ%3AL%3A2021%3A209%3ATOC&amp;uri=uriserv%3AOJ.L_.2021.209.01.0079.01.ENG" TargetMode="External"/><Relationship Id="rId17" Type="http://schemas.openxmlformats.org/officeDocument/2006/relationships/hyperlink" Target="https://www.eeas.europa.eu/sites/default/files/jointcommunication_2021_24_1_en.pdf" TargetMode="External"/><Relationship Id="rId2" Type="http://schemas.openxmlformats.org/officeDocument/2006/relationships/hyperlink" Target="https://ec.europa.eu/commission/presscorner/detail/sk/IP_21_5275" TargetMode="External"/><Relationship Id="rId16" Type="http://schemas.openxmlformats.org/officeDocument/2006/relationships/hyperlink" Target="https://eur-lex.europa.eu/legal-content/SK/TXT/PDF/?uri=CELEX:32021D0509&amp;from=EN" TargetMode="External"/><Relationship Id="rId1" Type="http://schemas.openxmlformats.org/officeDocument/2006/relationships/hyperlink" Target="https://eur-lex.europa.eu/eli/reg/2021/947/oj" TargetMode="External"/><Relationship Id="rId6" Type="http://schemas.openxmlformats.org/officeDocument/2006/relationships/hyperlink" Target="https://eur-lex.europa.eu/legal-content/SK/TXT/?pk_campaign=preparatory&amp;pk_content=communication&amp;pk_keyword=global+gateway&amp;pk_medium=TW&amp;pk_source=EURLEX&amp;uri=JOIN%3A2021%3A30%3AFIN" TargetMode="External"/><Relationship Id="rId11" Type="http://schemas.openxmlformats.org/officeDocument/2006/relationships/hyperlink" Target="https://ec.europa.eu/clima/eu-action/adaptation-climate-change/eu-adaptation-strategy_en" TargetMode="External"/><Relationship Id="rId5" Type="http://schemas.openxmlformats.org/officeDocument/2006/relationships/hyperlink" Target="https://fpi.ec.europa.eu/what-we-do/european-peace-facility_en" TargetMode="External"/><Relationship Id="rId15" Type="http://schemas.openxmlformats.org/officeDocument/2006/relationships/hyperlink" Target="https://data.europa.eu/doi/10.2841/018990" TargetMode="External"/><Relationship Id="rId10" Type="http://schemas.openxmlformats.org/officeDocument/2006/relationships/hyperlink" Target="https://www.consilium.europa.eu/media/48057/st05263-en21.pdf" TargetMode="External"/><Relationship Id="rId19" Type="http://schemas.openxmlformats.org/officeDocument/2006/relationships/hyperlink" Target="https://eur-lex.europa.eu/legal-content/EN/TXT/?uri=uriserv%3AOJ.L_.2021.355.01.0006.01.ENG&amp;toc=OJ%3AL%3A2021%3A355%3ATOC" TargetMode="External"/><Relationship Id="rId4" Type="http://schemas.openxmlformats.org/officeDocument/2006/relationships/hyperlink" Target="https://ec.europa.eu/echo/files/aid/hacommunication2021.pdf" TargetMode="External"/><Relationship Id="rId9" Type="http://schemas.openxmlformats.org/officeDocument/2006/relationships/hyperlink" Target="https://eur-lex.europa.eu/legal-content/SK/TXT/?pk_campaign=preparatory&amp;pk_content=communication&amp;pk_keyword=global+gateway&amp;pk_medium=TW&amp;pk_source=EURLEX&amp;uri=JOIN%3A2021%3A30%3AFIN" TargetMode="External"/><Relationship Id="rId14" Type="http://schemas.openxmlformats.org/officeDocument/2006/relationships/hyperlink" Target="https://data.europa.eu/doi/10.2777/8315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B932C594152AAA47981A4B9E8BE20227" ma:contentTypeVersion="2" ma:contentTypeDescription="Create a new document in this library." ma:contentTypeScope="" ma:versionID="e25aaf96fea7dca20455e99a3d97dd01">
  <xsd:schema xmlns:xsd="http://www.w3.org/2001/XMLSchema" xmlns:xs="http://www.w3.org/2001/XMLSchema" xmlns:p="http://schemas.microsoft.com/office/2006/metadata/properties" xmlns:ns2="http://schemas.microsoft.com/sharepoint/v3/fields" xmlns:ns3="baf26e56-5b16-4356-ab3a-5de2c6eb7562" xmlns:ns4="a05192f5-6b53-4642-990c-0607e033a9aa" targetNamespace="http://schemas.microsoft.com/office/2006/metadata/properties" ma:root="true" ma:fieldsID="bb97571197a6506e089ca5add96b86c1" ns2:_="" ns3:_="" ns4:_="">
    <xsd:import namespace="http://schemas.microsoft.com/sharepoint/v3/fields"/>
    <xsd:import namespace="baf26e56-5b16-4356-ab3a-5de2c6eb7562"/>
    <xsd:import namespace="a05192f5-6b53-4642-990c-0607e033a9aa"/>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baf26e56-5b16-4356-ab3a-5de2c6eb7562"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xsd="http://www.w3.org/2001/XMLSchema" xmlns:xs="http://www.w3.org/2001/XMLSchema" xmlns:dms="http://schemas.microsoft.com/office/2006/documentManagement/types" xmlns:pc="http://schemas.microsoft.com/office/infopath/2007/PartnerControls" targetNamespace="a05192f5-6b53-4642-990c-0607e033a9a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Reference xmlns="baf26e56-5b16-4356-ab3a-5de2c6eb7562" xsi:nil="true"/>
    <EC_Collab_DocumentLanguage xmlns="baf26e56-5b16-4356-ab3a-5de2c6eb7562">EN</EC_Collab_DocumentLanguage>
    <_Status xmlns="http://schemas.microsoft.com/sharepoint/v3/fields">Not Started</_Status>
    <EC_Collab_Status xmlns="baf26e56-5b16-4356-ab3a-5de2c6eb7562">Draft</EC_Collab_Statu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3B792-21F9-4517-8971-433AABF7BED8}">
  <ds:schemaRefs>
    <ds:schemaRef ds:uri="http://schemas.microsoft.com/sharepoint/v3/contenttype/forms"/>
  </ds:schemaRefs>
</ds:datastoreItem>
</file>

<file path=customXml/itemProps2.xml><?xml version="1.0" encoding="utf-8"?>
<ds:datastoreItem xmlns:ds="http://schemas.openxmlformats.org/officeDocument/2006/customXml" ds:itemID="{2AEE7606-D93D-4FBB-9776-903E953C82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baf26e56-5b16-4356-ab3a-5de2c6eb7562"/>
    <ds:schemaRef ds:uri="a05192f5-6b53-4642-990c-0607e033a9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58F394-D74C-4499-B6BD-51A3DEDFD81B}">
  <ds:schemaRefs>
    <ds:schemaRef ds:uri="http://schemas.microsoft.com/office/2006/metadata/properties"/>
    <ds:schemaRef ds:uri="http://schemas.microsoft.com/office/infopath/2007/PartnerControls"/>
    <ds:schemaRef ds:uri="baf26e56-5b16-4356-ab3a-5de2c6eb7562"/>
    <ds:schemaRef ds:uri="http://schemas.microsoft.com/sharepoint/v3/fields"/>
  </ds:schemaRefs>
</ds:datastoreItem>
</file>

<file path=customXml/itemProps4.xml><?xml version="1.0" encoding="utf-8"?>
<ds:datastoreItem xmlns:ds="http://schemas.openxmlformats.org/officeDocument/2006/customXml" ds:itemID="{3834E7A5-07D4-49A3-8057-055A3286F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571</TotalTime>
  <Pages>14</Pages>
  <Words>4947</Words>
  <Characters>29589</Characters>
  <Application>Microsoft Office Word</Application>
  <DocSecurity>0</DocSecurity>
  <Lines>462</Lines>
  <Paragraphs>173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79</cp:revision>
  <dcterms:created xsi:type="dcterms:W3CDTF">2022-07-04T17:12:00Z</dcterms:created>
  <dcterms:modified xsi:type="dcterms:W3CDTF">2022-11-08T07:52:00Z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0x010100258AA79CEB83498886A3A0868112325000B932C594152AAA47981A4B9E8BE20227</vt:lpwstr>
  </property>
  <property fmtid="{D5CDD505-2E9C-101B-9397-08002B2CF9AE}" pid="3" name="MSIP_Label_6bd9ddd1-4d20-43f6-abfa-fc3c07406f94_Enabled">
    <vt:lpwstr>true</vt:lpwstr>
  </property>
  <property fmtid="{D5CDD505-2E9C-101B-9397-08002B2CF9AE}" pid="4" name="MSIP_Label_6bd9ddd1-4d20-43f6-abfa-fc3c07406f94_SetDate">
    <vt:lpwstr>2022-05-13T15:01:52Z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2c1bdf1c-2eb6-4cd8-bf58-0b486713576e</vt:lpwstr>
  </property>
  <property fmtid="{D5CDD505-2E9C-101B-9397-08002B2CF9AE}" pid="9" name="MSIP_Label_6bd9ddd1-4d20-43f6-abfa-fc3c07406f94_ContentBits">
    <vt:lpwstr>0</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CP-006</vt:lpwstr>
  </property>
  <property fmtid="{D5CDD505-2E9C-101B-9397-08002B2CF9AE}" pid="15" name="Last edited using">
    <vt:lpwstr>LW 8.1, Build 20220902</vt:lpwstr>
  </property>
  <property fmtid="{D5CDD505-2E9C-101B-9397-08002B2CF9AE}" pid="16" name="Created using">
    <vt:lpwstr>LW 8.0, Build 20220128</vt:lpwstr>
  </property>
  <property name="OP_sanitized" fmtid="{D5CDD505-2E9C-101B-9397-08002B2CF9AE}" pid="17">
    <vt:lpwstr>True</vt:lpwstr>
  </property>
</Properties>
</file>