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F982959-13A6-4632-9B19-2966532B2F87" style="width:450.7pt;height:351.6pt">
            <v:imagedata r:id="rId9" o:title=""/>
          </v:shape>
        </w:pict>
      </w:r>
    </w:p>
    <w:p>
      <w:pPr>
        <w:rPr>
          <w:noProof/>
          <w:szCs w:val="24"/>
        </w:rPr>
        <w:sectPr>
          <w:footerReference w:type="default" r:id="rId10"/>
          <w:footnotePr>
            <w:numRestart w:val="eachSect"/>
          </w:footnotePr>
          <w:pgSz w:w="11907" w:h="16839"/>
          <w:pgMar w:top="1134" w:right="1417" w:bottom="1134" w:left="1417" w:header="709" w:footer="709" w:gutter="0"/>
          <w:pgNumType w:start="0"/>
          <w:cols w:space="720"/>
          <w:docGrid w:linePitch="360"/>
        </w:sectPr>
      </w:pPr>
    </w:p>
    <w:p>
      <w:pPr>
        <w:pStyle w:val="Exposdesmotifstitre"/>
        <w:rPr>
          <w:noProof/>
          <w:szCs w:val="24"/>
        </w:rPr>
      </w:pPr>
      <w:bookmarkStart w:id="0" w:name="_GoBack"/>
      <w:bookmarkEnd w:id="0"/>
      <w:r>
        <w:rPr>
          <w:noProof/>
          <w:szCs w:val="24"/>
        </w:rPr>
        <w:lastRenderedPageBreak/>
        <w:t>DÔVODOVÁ SPRÁVA</w:t>
      </w:r>
    </w:p>
    <w:p>
      <w:pPr>
        <w:widowControl w:val="0"/>
        <w:shd w:val="clear" w:color="auto" w:fill="FFFFFF"/>
        <w:autoSpaceDE w:val="0"/>
        <w:autoSpaceDN w:val="0"/>
        <w:adjustRightInd w:val="0"/>
        <w:spacing w:before="230" w:after="0" w:line="269" w:lineRule="exact"/>
        <w:rPr>
          <w:noProof/>
          <w:szCs w:val="24"/>
        </w:rPr>
      </w:pPr>
      <w:r>
        <w:rPr>
          <w:noProof/>
          <w:szCs w:val="24"/>
        </w:rPr>
        <w:t>Podľa článku 395 ods. 1 smernice Rady 2006/112/ES z 28. novembra 2006 o spoločnom systéme dane z pridanej hodnoty</w:t>
      </w:r>
      <w:r>
        <w:rPr>
          <w:rStyle w:val="FootnoteReference"/>
          <w:noProof/>
          <w:szCs w:val="24"/>
        </w:rPr>
        <w:footnoteReference w:id="2"/>
      </w:r>
      <w:r>
        <w:rPr>
          <w:noProof/>
          <w:szCs w:val="24"/>
        </w:rPr>
        <w:t xml:space="preserve"> (ďalej len „smernica o DPH“) môže Rada jednomyseľne na návrh Komisie oprávniť ktorýkoľvek členský štát, aby uplatňoval osobitné opatrenia odchyľujúce sa od ustanovení uvedenej smernice s cieľom zjednodušiť výber DPH alebo zabrániť určitým formám daňových únikov alebo vyhýbaniu sa daňovým povinnostiam.</w:t>
      </w:r>
    </w:p>
    <w:p>
      <w:pPr>
        <w:widowControl w:val="0"/>
        <w:shd w:val="clear" w:color="auto" w:fill="FFFFFF"/>
        <w:autoSpaceDE w:val="0"/>
        <w:autoSpaceDN w:val="0"/>
        <w:adjustRightInd w:val="0"/>
        <w:spacing w:before="230" w:after="0" w:line="269" w:lineRule="exact"/>
        <w:rPr>
          <w:noProof/>
          <w:szCs w:val="24"/>
        </w:rPr>
      </w:pPr>
      <w:r>
        <w:rPr>
          <w:noProof/>
          <w:szCs w:val="24"/>
        </w:rPr>
        <w:t>Malta požiadala listom, ktorý Komisia zaevidovala 20. októbra 2020, o povolenie zvýšiť limit súčasného opatrenia odchyľujúceho sa od článku 287 smernice o DPH, aby mohla do 31. decembra 2024 oslobodiť od DPH zdaniteľné osoby, ktorých ročný obrat nie je vyšší ako 30 000 EUR. Komisia požiadala v súvislosti so žiadosťou o ďalšie informácie, ktoré jej boli poskytnuté listom, ktorý zaevidovala 9. novembra 2020.</w:t>
      </w:r>
    </w:p>
    <w:p>
      <w:pPr>
        <w:widowControl w:val="0"/>
        <w:shd w:val="clear" w:color="auto" w:fill="FFFFFF"/>
        <w:autoSpaceDE w:val="0"/>
        <w:autoSpaceDN w:val="0"/>
        <w:adjustRightInd w:val="0"/>
        <w:spacing w:before="230" w:after="0" w:line="269" w:lineRule="exact"/>
        <w:rPr>
          <w:noProof/>
          <w:szCs w:val="24"/>
        </w:rPr>
      </w:pPr>
      <w:r>
        <w:rPr>
          <w:noProof/>
          <w:szCs w:val="24"/>
        </w:rPr>
        <w:t>O žiadosti predloženej Maltou Komisia v súlade s článkom 395 ods. 2 smernice o DPH informovala ostatné členské štáty listom zo 17. decembra 2020. Listom z 18. decembra 2020 Komisia oznámila Malte, že má všetky informácie potrebné na posúdenie žiadosti.</w:t>
      </w:r>
    </w:p>
    <w:p>
      <w:pPr>
        <w:rPr>
          <w:noProof/>
          <w:szCs w:val="24"/>
        </w:rPr>
      </w:pPr>
    </w:p>
    <w:p>
      <w:pPr>
        <w:pStyle w:val="ManualHeading1"/>
        <w:rPr>
          <w:noProof/>
          <w:szCs w:val="24"/>
        </w:rPr>
      </w:pPr>
      <w:r>
        <w:rPr>
          <w:noProof/>
          <w:szCs w:val="24"/>
        </w:rPr>
        <w:t>1.</w:t>
      </w:r>
      <w:r>
        <w:rPr>
          <w:noProof/>
          <w:szCs w:val="24"/>
        </w:rPr>
        <w:tab/>
        <w:t>KONTEXT NÁVRHU</w:t>
      </w:r>
    </w:p>
    <w:p>
      <w:pPr>
        <w:pStyle w:val="ManualHeading2"/>
        <w:rPr>
          <w:rFonts w:eastAsia="Arial Unicode MS"/>
          <w:noProof/>
          <w:szCs w:val="24"/>
        </w:rPr>
      </w:pPr>
      <w:r>
        <w:rPr>
          <w:noProof/>
          <w:color w:val="000000"/>
          <w:szCs w:val="24"/>
          <w:u w:color="000000"/>
          <w:bdr w:val="nil"/>
        </w:rPr>
        <w:t>•</w:t>
      </w:r>
      <w:r>
        <w:rPr>
          <w:noProof/>
          <w:szCs w:val="24"/>
        </w:rPr>
        <w:tab/>
        <w:t>Dôvody a ciele návrhu</w:t>
      </w:r>
    </w:p>
    <w:p>
      <w:pPr>
        <w:pBdr>
          <w:top w:val="nil"/>
          <w:left w:val="nil"/>
          <w:bottom w:val="nil"/>
          <w:right w:val="nil"/>
          <w:between w:val="nil"/>
          <w:bar w:val="nil"/>
        </w:pBdr>
        <w:spacing w:before="0" w:after="240"/>
        <w:rPr>
          <w:rFonts w:eastAsia="Arial Unicode MS"/>
          <w:noProof/>
          <w:szCs w:val="24"/>
        </w:rPr>
      </w:pPr>
      <w:r>
        <w:rPr>
          <w:noProof/>
          <w:szCs w:val="24"/>
        </w:rPr>
        <w:t>V hlave XII kapitole 1 smernice o DPH sa členským štátom umožňuje, aby uplatňovali osobitné úpravy pre malé podniky vrátane možnosti oslobodiť od dane zdaniteľné osoby, ktorých ročný obrat nepresahuje určitú sumu. Toto oslobodenie od dane znamená, že zdaniteľná osoba nemusí účtovať DPH na svoje dodania, resp. poskytnutia, a teda si nemôže odpočítať DPH na svojich vstupoch.</w:t>
      </w:r>
    </w:p>
    <w:p>
      <w:pPr>
        <w:rPr>
          <w:noProof/>
          <w:szCs w:val="24"/>
        </w:rPr>
      </w:pPr>
      <w:r>
        <w:rPr>
          <w:noProof/>
          <w:szCs w:val="24"/>
        </w:rPr>
        <w:t>Podľa článku 287 smernice o DPH môžu jednotlivé členské štáty, ktoré pristúpili k Únii po 1. januári 1978, oslobodiť od DPH zdaniteľné osoby, ktorých ročný obrat nie je vyšší ako ekvivalent súm v národnej mene pri prepočítacom kurze platnom v deň ich pristúpenia, ako sa uvádza v danom ustanovení. Malta začala používať euro 1. januára 2008.</w:t>
      </w:r>
    </w:p>
    <w:p>
      <w:pPr>
        <w:rPr>
          <w:noProof/>
          <w:szCs w:val="24"/>
        </w:rPr>
      </w:pPr>
      <w:r>
        <w:rPr>
          <w:noProof/>
          <w:szCs w:val="24"/>
        </w:rPr>
        <w:t>Podľa článku 287 bodu 13 smernice o DPH môže Malta oslobodiť od DPH tri kategórie zdaniteľných osôb: zdaniteľné osoby, ktorých ročný obrat nie je vyšší ako 37 000 EUR, ak ich ekonomická činnosť pozostáva predovšetkým z dodávania tovaru, zdaniteľné osoby, ktorých ročný obrat nie je vyšší ako 24 300 EUR, ak ich ekonomická činnosť pozostáva predovšetkým z poskytovania služieb s nízkou pridanou hodnotou (vysoké vstupné náklady), a zdaniteľné osoby, ktorých ročný obrat nie je vyšší ako 14 600 EUR v ostatných prípadoch, konkrétne pri poskytovaní služieb s vysokou pridanou hodnotou (nízke vstupné náklady).</w:t>
      </w:r>
    </w:p>
    <w:p>
      <w:pPr>
        <w:rPr>
          <w:noProof/>
          <w:szCs w:val="24"/>
        </w:rPr>
      </w:pPr>
      <w:r>
        <w:rPr>
          <w:noProof/>
          <w:szCs w:val="24"/>
        </w:rPr>
        <w:t xml:space="preserve">Od svojho pristúpenia Malta využívala toto ustanovenie na pomoc malým podnikom a podporu na začatie činnosti nových podnikov. Preukázateľne ide o užitočné zjednodušujúce opatrenie, keďže podnikom, ktorých ročný obrat nepresahuje určitú sumu, sa vďaka nemu rušia mnohé povinnosti súvisiace s DPH, čím sa znižujú prevádzkové náklady týchto podnikov. Vplyv na príjmy bol zároveň zanedbateľný. Maltská vláda je odhodlaná naďalej uplatňovať opatrenia s cieľom zjednodušiť povinnosti malých prevádzkovateľov v súlade </w:t>
      </w:r>
      <w:r>
        <w:rPr>
          <w:noProof/>
          <w:szCs w:val="24"/>
        </w:rPr>
        <w:lastRenderedPageBreak/>
        <w:t>s cieľmi Únie pre malé podniky stanovenými v oznámení Komisie „Najskôr myslieť v malom“ Iniciatíva „Small Business Act“ pre Európu</w:t>
      </w:r>
      <w:r>
        <w:rPr>
          <w:rStyle w:val="FootnoteReference"/>
          <w:noProof/>
          <w:szCs w:val="24"/>
        </w:rPr>
        <w:footnoteReference w:id="3"/>
      </w:r>
      <w:r>
        <w:rPr>
          <w:noProof/>
          <w:szCs w:val="24"/>
        </w:rPr>
        <w:t>.</w:t>
      </w:r>
    </w:p>
    <w:p>
      <w:pPr>
        <w:rPr>
          <w:noProof/>
          <w:szCs w:val="24"/>
        </w:rPr>
      </w:pPr>
      <w:r>
        <w:rPr>
          <w:noProof/>
          <w:szCs w:val="24"/>
        </w:rPr>
        <w:t>Na tento účel sa vykonávacím rozhodnutím (EÚ) 2018/279 z 20. februára 2018 povolilo Malte zvýšiť limit pre kategóriu s najnižším obratom, t. j. 14 600 EUR, na 20 000 EUR. Vykonávacím rozhodnutím Rady (EÚ) 2020/1662 z 3. novembra 2020</w:t>
      </w:r>
      <w:r>
        <w:rPr>
          <w:rStyle w:val="FootnoteReference"/>
          <w:noProof/>
          <w:szCs w:val="24"/>
        </w:rPr>
        <w:footnoteReference w:id="4"/>
      </w:r>
      <w:r>
        <w:rPr>
          <w:noProof/>
          <w:szCs w:val="24"/>
        </w:rPr>
        <w:t xml:space="preserve"> sa Malte povolilo predĺžiť uplatňovanie tohto opatrenia do 31. decembra 2024.</w:t>
      </w:r>
    </w:p>
    <w:p>
      <w:pPr>
        <w:rPr>
          <w:noProof/>
          <w:szCs w:val="24"/>
        </w:rPr>
      </w:pPr>
      <w:r>
        <w:rPr>
          <w:noProof/>
          <w:szCs w:val="24"/>
        </w:rPr>
        <w:t>Prijatie a následná transpozícia tohto osobitného opatrenia</w:t>
      </w:r>
      <w:r>
        <w:rPr>
          <w:rStyle w:val="FootnoteReference"/>
          <w:noProof/>
          <w:szCs w:val="24"/>
        </w:rPr>
        <w:footnoteReference w:id="5"/>
      </w:r>
      <w:r>
        <w:rPr>
          <w:noProof/>
          <w:szCs w:val="24"/>
        </w:rPr>
        <w:t xml:space="preserve"> do vnútroštátneho práva 1. júla 2018 viedli k tomu, že zvýšený limit ročného obratu v rámci tejto špecifickej kategórie zjednodušujúcej úpravy pre MSP využilo viac ako 1 262 malých podnikov.</w:t>
      </w:r>
    </w:p>
    <w:p>
      <w:pPr>
        <w:pBdr>
          <w:top w:val="nil"/>
          <w:left w:val="nil"/>
          <w:bottom w:val="nil"/>
          <w:right w:val="nil"/>
          <w:between w:val="nil"/>
          <w:bar w:val="nil"/>
        </w:pBdr>
        <w:spacing w:before="0" w:after="240"/>
        <w:rPr>
          <w:noProof/>
          <w:spacing w:val="-4"/>
          <w:szCs w:val="24"/>
        </w:rPr>
      </w:pPr>
      <w:r>
        <w:rPr>
          <w:noProof/>
          <w:spacing w:val="-4"/>
          <w:szCs w:val="24"/>
        </w:rPr>
        <w:t>Usudzuje sa, že zvýšením limitu na 30 000 EUR pre zdaniteľné osoby, ktorých ekonomická činnosť pozostáva predovšetkým z poskytovania služieb s nízkou pridanou hodnotou (vysoké vstupné náklady) alebo poskytovania služieb s vysokou pridanou hodnotou (nízke vstupné náklady), sa výrazne zníži administratívna záťaž podnikov oprávnených využívať túto úpravu, a najmä mikropodnikov, keďže budú oslobodené od povinností súvisiacich s DPH v rámci všeobecnej úpravy uplatňovania DPH, ako je vedenie záznamov o DPH alebo podávanie daňových priznaní k DPH.</w:t>
      </w:r>
    </w:p>
    <w:p>
      <w:pPr>
        <w:rPr>
          <w:noProof/>
          <w:szCs w:val="24"/>
        </w:rPr>
      </w:pPr>
      <w:r>
        <w:rPr>
          <w:noProof/>
          <w:szCs w:val="24"/>
        </w:rPr>
        <w:t>Uvedené osobitné opatrenie významne znížilo administratívnu záťaž a náklady už uvedenému značnému počtu maltských malých podnikov. Uplatňovanie osobitného opatrenia navyše umožnilo Malte vyčleniť viac zdrojov na boj proti podvodom v oblasti DPH a na posilnenie presadzovania súčasného systému DPH.</w:t>
      </w:r>
    </w:p>
    <w:p>
      <w:pPr>
        <w:rPr>
          <w:noProof/>
          <w:spacing w:val="-4"/>
          <w:szCs w:val="24"/>
        </w:rPr>
      </w:pPr>
      <w:r>
        <w:rPr>
          <w:noProof/>
          <w:spacing w:val="-4"/>
          <w:szCs w:val="24"/>
        </w:rPr>
        <w:t>Toto odchyľujúce sa opatrenie, ktorým sa zjednodušujú povinnosti pre malých prevádzkovateľov, je v súlade s cieľmi, ktoré Európska únia stanovila v súvislosti s malými podnikmi.</w:t>
      </w:r>
    </w:p>
    <w:p>
      <w:pPr>
        <w:pBdr>
          <w:top w:val="nil"/>
          <w:left w:val="nil"/>
          <w:bottom w:val="nil"/>
          <w:right w:val="nil"/>
          <w:between w:val="nil"/>
          <w:bar w:val="nil"/>
        </w:pBdr>
        <w:spacing w:before="0" w:after="240"/>
        <w:rPr>
          <w:noProof/>
          <w:szCs w:val="24"/>
        </w:rPr>
      </w:pPr>
      <w:r>
        <w:rPr>
          <w:noProof/>
          <w:szCs w:val="24"/>
        </w:rPr>
        <w:t>Je preto vhodné povoliť Malte, aby uplatňovala dané odchyľujúce sa opatrenie do 31. decembra 2024.</w:t>
      </w:r>
    </w:p>
    <w:p>
      <w:pPr>
        <w:pStyle w:val="ManualHeading2"/>
        <w:rPr>
          <w:rFonts w:eastAsia="Arial Unicode MS"/>
          <w:noProof/>
          <w:color w:val="000000"/>
          <w:szCs w:val="24"/>
          <w:u w:color="000000"/>
          <w:bdr w:val="nil"/>
        </w:rPr>
      </w:pPr>
      <w:r>
        <w:rPr>
          <w:noProof/>
          <w:color w:val="000000"/>
          <w:szCs w:val="24"/>
          <w:u w:color="000000"/>
          <w:bdr w:val="nil"/>
        </w:rPr>
        <w:t>•</w:t>
      </w:r>
      <w:r>
        <w:rPr>
          <w:noProof/>
          <w:szCs w:val="24"/>
        </w:rPr>
        <w:tab/>
        <w:t>Súlad s existujúcimi ustanoveniami v tejto oblasti politiky</w:t>
      </w:r>
    </w:p>
    <w:p>
      <w:pPr>
        <w:pBdr>
          <w:top w:val="nil"/>
          <w:left w:val="nil"/>
          <w:bottom w:val="nil"/>
          <w:right w:val="nil"/>
          <w:between w:val="nil"/>
          <w:bar w:val="nil"/>
        </w:pBdr>
        <w:spacing w:before="0" w:after="240"/>
        <w:rPr>
          <w:noProof/>
          <w:szCs w:val="24"/>
        </w:rPr>
      </w:pPr>
      <w:r>
        <w:rPr>
          <w:noProof/>
          <w:szCs w:val="24"/>
        </w:rPr>
        <w:t>Odchyľujúce sa opatrenie je v súlade s koncepciou smernice Rady (EÚ) 2020/285</w:t>
      </w:r>
      <w:r>
        <w:rPr>
          <w:rStyle w:val="FootnoteReference"/>
          <w:noProof/>
          <w:szCs w:val="24"/>
        </w:rPr>
        <w:footnoteReference w:id="6"/>
      </w:r>
      <w:r>
        <w:rPr>
          <w:noProof/>
          <w:szCs w:val="24"/>
        </w:rPr>
        <w:t>, ktorou sa menia články 281 až 294 smernice o DPH, pokiaľ ide o osobitnú úpravu pre malé podniky, ktorá vyplynula z akčného plánu v oblasti DPH</w:t>
      </w:r>
      <w:r>
        <w:rPr>
          <w:rStyle w:val="FootnoteReference"/>
          <w:rFonts w:eastAsia="Arial Unicode MS"/>
          <w:noProof/>
          <w:szCs w:val="24"/>
        </w:rPr>
        <w:footnoteReference w:id="7"/>
      </w:r>
      <w:r>
        <w:rPr>
          <w:noProof/>
          <w:szCs w:val="24"/>
        </w:rPr>
        <w:t xml:space="preserve"> a ktorej cieľom je vytvoriť pre tieto podniky modernú, zjednodušenú úpravu. Jeho cieľom je najmä znížiť náklady na dodržiavanie predpisov v oblasti DPH, znížiť narušenia hospodárskej súťaže na vnútroštátnej úrovni aj na úrovni EÚ, znížiť negatívny vplyv limitu a uľahčiť dodržiavanie predpisov podnikmi, ako aj monitorovanie zo strany daňových správ.</w:t>
      </w:r>
    </w:p>
    <w:p>
      <w:pPr>
        <w:pBdr>
          <w:top w:val="nil"/>
          <w:left w:val="nil"/>
          <w:bottom w:val="nil"/>
          <w:right w:val="nil"/>
          <w:between w:val="nil"/>
          <w:bar w:val="nil"/>
        </w:pBdr>
        <w:spacing w:before="0" w:after="240"/>
        <w:rPr>
          <w:noProof/>
          <w:szCs w:val="24"/>
        </w:rPr>
      </w:pPr>
      <w:r>
        <w:rPr>
          <w:noProof/>
          <w:szCs w:val="24"/>
        </w:rPr>
        <w:lastRenderedPageBreak/>
        <w:t>Okrem toho je limit 30 000 EUR v súlade so smernicou (EÚ) 2020/285, keďže tá umožňuje členským štátom stanoviť limit ročného obratu požadovaný na účely oslobodenia od DPH na sumu najviac 85 000 EUR (alebo jej ekvivalent v národnej mene).</w:t>
      </w:r>
    </w:p>
    <w:p>
      <w:pPr>
        <w:pBdr>
          <w:top w:val="nil"/>
          <w:left w:val="nil"/>
          <w:bottom w:val="nil"/>
          <w:right w:val="nil"/>
          <w:between w:val="nil"/>
          <w:bar w:val="nil"/>
        </w:pBdr>
        <w:spacing w:before="0" w:after="240"/>
        <w:rPr>
          <w:noProof/>
          <w:szCs w:val="24"/>
        </w:rPr>
      </w:pPr>
      <w:r>
        <w:rPr>
          <w:noProof/>
          <w:szCs w:val="24"/>
        </w:rPr>
        <w:t>Podobné výnimky, ktorými sa od DPH oslobodzujú zdaniteľné osoby, ktorých ročný obrat je nižší ako určitý limit, boli v súlade s ustanoveniami článkov 285 a 287 smernice o DPH udelené iným členským štátom. Holandsku</w:t>
      </w:r>
      <w:r>
        <w:rPr>
          <w:rStyle w:val="FootnoteReference"/>
          <w:rFonts w:eastAsia="Arial Unicode MS"/>
          <w:noProof/>
          <w:szCs w:val="24"/>
        </w:rPr>
        <w:footnoteReference w:id="8"/>
      </w:r>
      <w:r>
        <w:rPr>
          <w:noProof/>
          <w:szCs w:val="24"/>
        </w:rPr>
        <w:t xml:space="preserve"> bol povolený limit 25 000 EUR; Taliansku</w:t>
      </w:r>
      <w:r>
        <w:rPr>
          <w:rStyle w:val="FootnoteReference"/>
          <w:noProof/>
          <w:szCs w:val="24"/>
        </w:rPr>
        <w:footnoteReference w:id="9"/>
      </w:r>
      <w:r>
        <w:rPr>
          <w:noProof/>
          <w:szCs w:val="24"/>
        </w:rPr>
        <w:t xml:space="preserve"> limit 30 000 EUR; Luxembursku</w:t>
      </w:r>
      <w:r>
        <w:rPr>
          <w:rStyle w:val="FootnoteReference"/>
          <w:rFonts w:eastAsia="Arial Unicode MS"/>
          <w:noProof/>
          <w:szCs w:val="24"/>
        </w:rPr>
        <w:footnoteReference w:id="10"/>
      </w:r>
      <w:r>
        <w:rPr>
          <w:noProof/>
          <w:szCs w:val="24"/>
        </w:rPr>
        <w:t xml:space="preserve"> limit 35 000 EUR; Lotyšsku</w:t>
      </w:r>
      <w:r>
        <w:rPr>
          <w:rStyle w:val="FootnoteReference"/>
          <w:noProof/>
          <w:szCs w:val="24"/>
        </w:rPr>
        <w:footnoteReference w:id="11"/>
      </w:r>
      <w:r>
        <w:rPr>
          <w:noProof/>
          <w:szCs w:val="24"/>
        </w:rPr>
        <w:t>, Poľsku</w:t>
      </w:r>
      <w:r>
        <w:rPr>
          <w:rStyle w:val="FootnoteReference"/>
          <w:rFonts w:eastAsia="Arial Unicode MS"/>
          <w:noProof/>
          <w:szCs w:val="24"/>
        </w:rPr>
        <w:footnoteReference w:id="12"/>
      </w:r>
      <w:r>
        <w:rPr>
          <w:noProof/>
          <w:szCs w:val="24"/>
        </w:rPr>
        <w:t xml:space="preserve"> a Estónsku</w:t>
      </w:r>
      <w:r>
        <w:rPr>
          <w:rStyle w:val="FootnoteReference"/>
          <w:rFonts w:eastAsia="Arial Unicode MS"/>
          <w:noProof/>
          <w:szCs w:val="24"/>
        </w:rPr>
        <w:footnoteReference w:id="13"/>
      </w:r>
      <w:r>
        <w:rPr>
          <w:noProof/>
          <w:szCs w:val="24"/>
        </w:rPr>
        <w:t xml:space="preserve"> sa povolil limit 40 000 EUR; Chorvátsku</w:t>
      </w:r>
      <w:r>
        <w:rPr>
          <w:rStyle w:val="FootnoteReference"/>
          <w:rFonts w:eastAsia="Arial Unicode MS"/>
          <w:noProof/>
          <w:szCs w:val="24"/>
        </w:rPr>
        <w:footnoteReference w:id="14"/>
      </w:r>
      <w:r>
        <w:rPr>
          <w:noProof/>
          <w:szCs w:val="24"/>
        </w:rPr>
        <w:t xml:space="preserve"> limit 45 000 EUR a Litve</w:t>
      </w:r>
      <w:r>
        <w:rPr>
          <w:rStyle w:val="FootnoteReference"/>
          <w:rFonts w:eastAsia="Arial Unicode MS"/>
          <w:noProof/>
          <w:szCs w:val="24"/>
        </w:rPr>
        <w:footnoteReference w:id="15"/>
      </w:r>
      <w:r>
        <w:rPr>
          <w:noProof/>
          <w:szCs w:val="24"/>
        </w:rPr>
        <w:t xml:space="preserve"> limit 55 000 EUR; Maďarsku</w:t>
      </w:r>
      <w:r>
        <w:rPr>
          <w:rStyle w:val="FootnoteReference"/>
          <w:rFonts w:eastAsia="Arial Unicode MS"/>
          <w:noProof/>
          <w:szCs w:val="24"/>
        </w:rPr>
        <w:footnoteReference w:id="16"/>
      </w:r>
      <w:r>
        <w:rPr>
          <w:noProof/>
          <w:szCs w:val="24"/>
        </w:rPr>
        <w:t xml:space="preserve"> limit 48 000 EUR; Slovinsku</w:t>
      </w:r>
      <w:r>
        <w:rPr>
          <w:rStyle w:val="FootnoteReference"/>
          <w:rFonts w:eastAsia="Arial Unicode MS"/>
          <w:noProof/>
          <w:szCs w:val="24"/>
        </w:rPr>
        <w:footnoteReference w:id="17"/>
      </w:r>
      <w:r>
        <w:rPr>
          <w:noProof/>
          <w:szCs w:val="24"/>
        </w:rPr>
        <w:t xml:space="preserve"> limit 50 000 EUR a Rumunsku</w:t>
      </w:r>
      <w:r>
        <w:rPr>
          <w:rStyle w:val="FootnoteReference"/>
          <w:rFonts w:eastAsia="Arial Unicode MS"/>
          <w:noProof/>
          <w:szCs w:val="24"/>
        </w:rPr>
        <w:footnoteReference w:id="18"/>
      </w:r>
      <w:r>
        <w:rPr>
          <w:noProof/>
          <w:szCs w:val="24"/>
        </w:rPr>
        <w:t xml:space="preserve"> limit 88 500 EUR.</w:t>
      </w:r>
    </w:p>
    <w:p>
      <w:pPr>
        <w:pBdr>
          <w:top w:val="nil"/>
          <w:left w:val="nil"/>
          <w:bottom w:val="nil"/>
          <w:right w:val="nil"/>
          <w:between w:val="nil"/>
          <w:bar w:val="nil"/>
        </w:pBdr>
        <w:spacing w:before="0" w:after="240"/>
        <w:rPr>
          <w:noProof/>
          <w:szCs w:val="24"/>
        </w:rPr>
      </w:pPr>
      <w:r>
        <w:rPr>
          <w:noProof/>
          <w:szCs w:val="24"/>
        </w:rPr>
        <w:t>Ako už bolo uvedené, výnimky zo smernice o DPH by mali byť vždy časovo obmedzené, aby sa dali posúdiť ich účinky. Zahrnutie dátumu uplynutia platnosti daného osobitného opatrenia, ktorým je 31. december 2024, ako požaduje Malta, je v súlade so smernicou (EÚ) 2020/285 o jednoduchších pravidlách DPH pre malé a stredné podniky, ktorá sa bude uplatňovať od 1. januára 2025.</w:t>
      </w:r>
    </w:p>
    <w:p>
      <w:pPr>
        <w:pBdr>
          <w:top w:val="nil"/>
          <w:left w:val="nil"/>
          <w:bottom w:val="nil"/>
          <w:right w:val="nil"/>
          <w:between w:val="nil"/>
          <w:bar w:val="nil"/>
        </w:pBdr>
        <w:spacing w:before="0" w:after="240"/>
        <w:rPr>
          <w:rFonts w:eastAsia="Arial Unicode MS"/>
          <w:noProof/>
          <w:szCs w:val="24"/>
        </w:rPr>
      </w:pPr>
      <w:r>
        <w:rPr>
          <w:noProof/>
          <w:szCs w:val="24"/>
        </w:rPr>
        <w:t>Navrhované opatrenie je preto v súlade s ustanoveniami smernice o DPH.</w:t>
      </w:r>
    </w:p>
    <w:p>
      <w:pPr>
        <w:pStyle w:val="ManualHeading2"/>
        <w:rPr>
          <w:rFonts w:eastAsia="Arial Unicode MS"/>
          <w:noProof/>
          <w:szCs w:val="24"/>
        </w:rPr>
      </w:pPr>
      <w:r>
        <w:rPr>
          <w:noProof/>
          <w:color w:val="000000"/>
          <w:szCs w:val="24"/>
          <w:u w:color="000000"/>
          <w:bdr w:val="nil"/>
        </w:rPr>
        <w:lastRenderedPageBreak/>
        <w:t>•</w:t>
      </w:r>
      <w:r>
        <w:rPr>
          <w:noProof/>
          <w:szCs w:val="24"/>
        </w:rPr>
        <w:tab/>
        <w:t>Súlad s ostatnými politikami Únie</w:t>
      </w:r>
    </w:p>
    <w:p>
      <w:pPr>
        <w:pBdr>
          <w:top w:val="nil"/>
          <w:left w:val="nil"/>
          <w:bottom w:val="nil"/>
          <w:right w:val="nil"/>
          <w:between w:val="nil"/>
          <w:bar w:val="nil"/>
        </w:pBdr>
        <w:spacing w:before="0" w:after="240"/>
        <w:rPr>
          <w:noProof/>
          <w:szCs w:val="24"/>
        </w:rPr>
      </w:pPr>
      <w:r>
        <w:rPr>
          <w:noProof/>
          <w:szCs w:val="24"/>
        </w:rPr>
        <w:t>Komisia vo svojich ročných pracovných programoch neustále zdôrazňuje potrebu jednoduchších pravidiel pre malé podniky. V tejto súvislosti sa v pracovnom programe Komisie</w:t>
      </w:r>
      <w:r>
        <w:rPr>
          <w:rStyle w:val="FootnoteReference"/>
          <w:rFonts w:eastAsia="Arial Unicode MS"/>
          <w:noProof/>
          <w:szCs w:val="24"/>
        </w:rPr>
        <w:footnoteReference w:id="19"/>
      </w:r>
      <w:r>
        <w:rPr>
          <w:noProof/>
          <w:szCs w:val="24"/>
        </w:rPr>
        <w:t xml:space="preserve"> na rok 2020 uvádza „osobitná stratégia pre MSP, ktorá malým a stredným podnikom uľahčí podnikanie, rozširovanie a expanziu“. Pokiaľ ide o fiškálne pravidlá, odchyľujúce sa opatrenie je v súlade s týmito cieľmi. Je v súlade najmä s pracovným programom Komisie na rok 2017</w:t>
      </w:r>
      <w:r>
        <w:rPr>
          <w:rStyle w:val="FootnoteReference"/>
          <w:rFonts w:eastAsia="Arial Unicode MS"/>
          <w:noProof/>
          <w:szCs w:val="24"/>
        </w:rPr>
        <w:footnoteReference w:id="20"/>
      </w:r>
      <w:r>
        <w:rPr>
          <w:noProof/>
          <w:szCs w:val="24"/>
        </w:rPr>
        <w:t>, v ktorom sa osobitne poukázalo na to, že administratívna záťaž spojená s dodržiavaním predpisov v oblasti DPH je pre malé podniky vysoká a že technické inovácie predstavujú nové výzvy pre účinný výber daní, a v ktorom sa zdôraznila potreba zjednodušiť DPH pre menšie spoločnosti.</w:t>
      </w:r>
    </w:p>
    <w:p>
      <w:pPr>
        <w:pBdr>
          <w:top w:val="nil"/>
          <w:left w:val="nil"/>
          <w:bottom w:val="nil"/>
          <w:right w:val="nil"/>
          <w:between w:val="nil"/>
          <w:bar w:val="nil"/>
        </w:pBdr>
        <w:spacing w:before="0" w:after="240"/>
        <w:rPr>
          <w:noProof/>
          <w:szCs w:val="24"/>
        </w:rPr>
      </w:pPr>
      <w:r>
        <w:rPr>
          <w:noProof/>
          <w:szCs w:val="24"/>
        </w:rPr>
        <w:t>Podobne je opatrenie v súlade so stratégiou jednotného trhu z roku 2015</w:t>
      </w:r>
      <w:r>
        <w:rPr>
          <w:rStyle w:val="FootnoteReference"/>
          <w:rFonts w:eastAsia="Arial Unicode MS"/>
          <w:noProof/>
          <w:szCs w:val="24"/>
        </w:rPr>
        <w:footnoteReference w:id="21"/>
      </w:r>
      <w:r>
        <w:rPr>
          <w:noProof/>
          <w:szCs w:val="24"/>
        </w:rPr>
        <w:t>, v ktorej Komisia vytýčila cieľ podporovať rast malých a stredných podnikov, okrem iného znížením administratívnej záťaže, ktorá im bráni v plnej miere využívať výhody jednotného trhu. Nadväzuje aj na posolstvo oznámenia Komisie z roku 2013 s názvom „Akčný plán pre podnikanie 2020: Opätovné stimulovanie podnikateľského ducha v Európe“</w:t>
      </w:r>
      <w:r>
        <w:rPr>
          <w:rStyle w:val="FootnoteReference"/>
          <w:rFonts w:eastAsia="Arial Unicode MS"/>
          <w:noProof/>
          <w:szCs w:val="24"/>
        </w:rPr>
        <w:footnoteReference w:id="22"/>
      </w:r>
      <w:r>
        <w:rPr>
          <w:noProof/>
          <w:szCs w:val="24"/>
        </w:rPr>
        <w:t>, v ktorom sa zdôraznila potreba zjednodušiť právne predpisy v oblasti daní pre malé podniky.</w:t>
      </w:r>
    </w:p>
    <w:p>
      <w:pPr>
        <w:pBdr>
          <w:top w:val="nil"/>
          <w:left w:val="nil"/>
          <w:bottom w:val="nil"/>
          <w:right w:val="nil"/>
          <w:between w:val="nil"/>
          <w:bar w:val="nil"/>
        </w:pBdr>
        <w:spacing w:before="0" w:after="240"/>
        <w:rPr>
          <w:rFonts w:eastAsia="Arial Unicode MS"/>
          <w:noProof/>
          <w:szCs w:val="24"/>
        </w:rPr>
      </w:pPr>
      <w:r>
        <w:rPr>
          <w:noProof/>
          <w:szCs w:val="24"/>
        </w:rPr>
        <w:t>V neposlednom rade je dané opatrenie v súlade s politikami EÚ zameranými na malé a stredné podniky, ktoré sú stanovené v oznámení Komisie o startupoch</w:t>
      </w:r>
      <w:r>
        <w:rPr>
          <w:rStyle w:val="FootnoteReference"/>
          <w:rFonts w:eastAsia="Arial Unicode MS"/>
          <w:noProof/>
          <w:szCs w:val="24"/>
        </w:rPr>
        <w:footnoteReference w:id="23"/>
      </w:r>
      <w:r>
        <w:rPr>
          <w:noProof/>
          <w:szCs w:val="24"/>
        </w:rPr>
        <w:t xml:space="preserve"> z roku 2016 a v oznámení z roku 2008 s názvom Najskôr myslieť v malom – iniciatíva „Small Business Act“ pre Európu</w:t>
      </w:r>
      <w:r>
        <w:rPr>
          <w:rStyle w:val="FootnoteReference"/>
          <w:rFonts w:eastAsia="Arial Unicode MS"/>
          <w:noProof/>
          <w:szCs w:val="24"/>
        </w:rPr>
        <w:footnoteReference w:id="24"/>
      </w:r>
      <w:r>
        <w:rPr>
          <w:noProof/>
          <w:szCs w:val="24"/>
        </w:rPr>
        <w:t>, v ktorom sa členské štáty vyzvali, aby v návrhoch právnych predpisov zohľadňovali osobitné charakteristické črty MSP a zjednodušili existujúce regulačné prostredie.</w:t>
      </w:r>
    </w:p>
    <w:p>
      <w:pPr>
        <w:pStyle w:val="ManualHeading1"/>
        <w:rPr>
          <w:noProof/>
          <w:szCs w:val="24"/>
        </w:rPr>
      </w:pPr>
      <w:r>
        <w:rPr>
          <w:noProof/>
          <w:szCs w:val="24"/>
        </w:rPr>
        <w:t>2.</w:t>
      </w:r>
      <w:r>
        <w:rPr>
          <w:noProof/>
          <w:szCs w:val="24"/>
        </w:rPr>
        <w:tab/>
        <w:t>PRÁVNY ZÁKLAD, SUBSIDIARITA A PROPORCIONALITA</w:t>
      </w:r>
    </w:p>
    <w:p>
      <w:pPr>
        <w:pStyle w:val="ManualHeading2"/>
        <w:rPr>
          <w:rFonts w:eastAsia="Arial Unicode MS"/>
          <w:noProof/>
          <w:szCs w:val="24"/>
          <w:u w:color="000000"/>
          <w:bdr w:val="nil"/>
        </w:rPr>
      </w:pPr>
      <w:r>
        <w:rPr>
          <w:noProof/>
          <w:szCs w:val="24"/>
          <w:u w:color="000000"/>
          <w:bdr w:val="nil"/>
        </w:rPr>
        <w:t>•</w:t>
      </w:r>
      <w:r>
        <w:rPr>
          <w:noProof/>
          <w:szCs w:val="24"/>
        </w:rPr>
        <w:tab/>
      </w:r>
      <w:r>
        <w:rPr>
          <w:noProof/>
          <w:szCs w:val="24"/>
          <w:u w:color="000000"/>
          <w:bdr w:val="nil"/>
        </w:rPr>
        <w:t>Právny základ</w:t>
      </w:r>
    </w:p>
    <w:p>
      <w:pPr>
        <w:pStyle w:val="Text1"/>
        <w:ind w:left="0"/>
        <w:rPr>
          <w:rFonts w:eastAsia="Arial Unicode MS"/>
          <w:noProof/>
          <w:szCs w:val="24"/>
        </w:rPr>
      </w:pPr>
      <w:r>
        <w:rPr>
          <w:noProof/>
          <w:szCs w:val="24"/>
        </w:rPr>
        <w:t>Článok 395 smernice o DPH.</w:t>
      </w:r>
    </w:p>
    <w:p>
      <w:pPr>
        <w:pStyle w:val="ManualHeading2"/>
        <w:rPr>
          <w:noProof/>
          <w:szCs w:val="24"/>
          <w:u w:color="000000"/>
          <w:bdr w:val="nil"/>
        </w:rPr>
      </w:pPr>
      <w:r>
        <w:rPr>
          <w:noProof/>
          <w:szCs w:val="24"/>
          <w:u w:color="000000"/>
          <w:bdr w:val="nil"/>
        </w:rPr>
        <w:t>•</w:t>
      </w:r>
      <w:r>
        <w:rPr>
          <w:noProof/>
          <w:szCs w:val="24"/>
        </w:rPr>
        <w:tab/>
      </w:r>
      <w:r>
        <w:rPr>
          <w:noProof/>
          <w:szCs w:val="24"/>
          <w:u w:color="000000"/>
          <w:bdr w:val="nil"/>
        </w:rPr>
        <w:t>Subsidiarita (v prípade inej ako výlučnej právomoci)</w:t>
      </w:r>
    </w:p>
    <w:p>
      <w:pPr>
        <w:pBdr>
          <w:top w:val="nil"/>
          <w:left w:val="nil"/>
          <w:bottom w:val="nil"/>
          <w:right w:val="nil"/>
          <w:between w:val="nil"/>
          <w:bar w:val="nil"/>
        </w:pBdr>
        <w:spacing w:before="0" w:after="240"/>
        <w:rPr>
          <w:rFonts w:eastAsia="Arial Unicode MS"/>
          <w:noProof/>
          <w:szCs w:val="24"/>
        </w:rPr>
      </w:pPr>
      <w:r>
        <w:rPr>
          <w:noProof/>
          <w:szCs w:val="24"/>
        </w:rPr>
        <w:t>Vzhľadom na ustanovenie smernice o DPH, na ktorom je návrh založený, návrh patrí do výlučnej právomoci Európskej únie. Zásada subsidiarity sa preto neuplatňuje.</w:t>
      </w:r>
    </w:p>
    <w:p>
      <w:pPr>
        <w:pStyle w:val="ManualHeading2"/>
        <w:rPr>
          <w:rFonts w:eastAsia="Arial Unicode MS"/>
          <w:noProof/>
          <w:szCs w:val="24"/>
          <w:u w:color="000000"/>
          <w:bdr w:val="nil"/>
        </w:rPr>
      </w:pPr>
      <w:r>
        <w:rPr>
          <w:noProof/>
          <w:szCs w:val="24"/>
          <w:u w:color="000000"/>
          <w:bdr w:val="nil"/>
        </w:rPr>
        <w:lastRenderedPageBreak/>
        <w:t>•</w:t>
      </w:r>
      <w:r>
        <w:rPr>
          <w:noProof/>
          <w:szCs w:val="24"/>
        </w:rPr>
        <w:tab/>
      </w:r>
      <w:r>
        <w:rPr>
          <w:noProof/>
          <w:szCs w:val="24"/>
          <w:u w:color="000000"/>
          <w:bdr w:val="nil"/>
        </w:rPr>
        <w:t>Proporcionalita</w:t>
      </w:r>
    </w:p>
    <w:p>
      <w:pPr>
        <w:pStyle w:val="Text1"/>
        <w:ind w:left="0"/>
        <w:rPr>
          <w:noProof/>
          <w:szCs w:val="24"/>
        </w:rPr>
      </w:pPr>
      <w:r>
        <w:rPr>
          <w:noProof/>
          <w:szCs w:val="24"/>
        </w:rPr>
        <w:t>Rozhodnutie sa týka povolenia udeleného členskému štátu na základe jeho vlastnej žiadosti a nezakladá sa ním žiadna povinnosť.</w:t>
      </w:r>
    </w:p>
    <w:p>
      <w:pPr>
        <w:pStyle w:val="Text1"/>
        <w:ind w:left="0"/>
        <w:rPr>
          <w:noProof/>
          <w:szCs w:val="24"/>
        </w:rPr>
      </w:pPr>
      <w:r>
        <w:rPr>
          <w:noProof/>
          <w:szCs w:val="24"/>
        </w:rPr>
        <w:t>Vzhľadom na obmedzený rozsah pôsobnosti výnimky je osobitné opatrenie úmerné sledovanému cieľu, t. j. zjednodušeniu výberu daní pre malé zdaniteľné osoby a pre daňovú správu.</w:t>
      </w:r>
    </w:p>
    <w:p>
      <w:pPr>
        <w:pStyle w:val="ManualHeading2"/>
        <w:rPr>
          <w:rFonts w:eastAsia="Arial Unicode MS"/>
          <w:noProof/>
          <w:szCs w:val="24"/>
          <w:u w:color="000000"/>
          <w:bdr w:val="nil"/>
        </w:rPr>
      </w:pPr>
      <w:r>
        <w:rPr>
          <w:noProof/>
          <w:szCs w:val="24"/>
          <w:u w:color="000000"/>
          <w:bdr w:val="nil"/>
        </w:rPr>
        <w:t>•</w:t>
      </w:r>
      <w:r>
        <w:rPr>
          <w:noProof/>
          <w:szCs w:val="24"/>
        </w:rPr>
        <w:tab/>
      </w:r>
      <w:r>
        <w:rPr>
          <w:noProof/>
          <w:szCs w:val="24"/>
          <w:u w:color="000000"/>
          <w:bdr w:val="nil"/>
        </w:rPr>
        <w:t>Výber nástroja</w:t>
      </w:r>
    </w:p>
    <w:p>
      <w:pPr>
        <w:pBdr>
          <w:top w:val="nil"/>
          <w:left w:val="nil"/>
          <w:bottom w:val="nil"/>
          <w:right w:val="nil"/>
          <w:between w:val="nil"/>
          <w:bar w:val="nil"/>
        </w:pBdr>
        <w:spacing w:before="0" w:after="240"/>
        <w:rPr>
          <w:noProof/>
          <w:szCs w:val="24"/>
        </w:rPr>
      </w:pPr>
      <w:r>
        <w:rPr>
          <w:noProof/>
          <w:szCs w:val="24"/>
        </w:rPr>
        <w:t>Navrhovaným nástrojom je vykonávacie rozhodnutie Rady.</w:t>
      </w:r>
    </w:p>
    <w:p>
      <w:pPr>
        <w:pBdr>
          <w:top w:val="nil"/>
          <w:left w:val="nil"/>
          <w:bottom w:val="nil"/>
          <w:right w:val="nil"/>
          <w:between w:val="nil"/>
          <w:bar w:val="nil"/>
        </w:pBdr>
        <w:spacing w:before="0" w:after="240"/>
        <w:rPr>
          <w:rFonts w:eastAsia="Arial Unicode MS"/>
          <w:noProof/>
          <w:szCs w:val="24"/>
        </w:rPr>
      </w:pPr>
      <w:r>
        <w:rPr>
          <w:noProof/>
          <w:szCs w:val="24"/>
        </w:rPr>
        <w:t>Podľa článku 395 smernice o DPH je výnimka zo spoločných pravidiel o DPH možná iba na základe oprávnenia Rady, ktorá koná jednomyseľne na návrh Komisie. Vykonávacie rozhodnutie Rady je najvhodnejším nástrojom, keďže môže byť určené jednotlivému členskému štátu.</w:t>
      </w:r>
    </w:p>
    <w:p>
      <w:pPr>
        <w:pStyle w:val="ManualHeading1"/>
        <w:rPr>
          <w:noProof/>
          <w:szCs w:val="24"/>
        </w:rPr>
      </w:pPr>
      <w:r>
        <w:rPr>
          <w:noProof/>
          <w:szCs w:val="24"/>
        </w:rPr>
        <w:t>3.</w:t>
      </w:r>
      <w:r>
        <w:rPr>
          <w:noProof/>
          <w:szCs w:val="24"/>
        </w:rPr>
        <w:tab/>
        <w:t xml:space="preserve">VÝSLEDKY HODNOTENÍ </w:t>
      </w:r>
      <w:r>
        <w:rPr>
          <w:i/>
          <w:noProof/>
          <w:szCs w:val="24"/>
        </w:rPr>
        <w:t>EX POST</w:t>
      </w:r>
      <w:r>
        <w:rPr>
          <w:noProof/>
          <w:szCs w:val="24"/>
        </w:rPr>
        <w:t>, KONZULTÁCIÍ SO ZAINTERESOVANÝMI STRANAMI A POSÚDENÍ VPLYVU</w:t>
      </w:r>
    </w:p>
    <w:p>
      <w:pPr>
        <w:pStyle w:val="ManualHeading2"/>
        <w:rPr>
          <w:rFonts w:eastAsia="Arial Unicode MS"/>
          <w:noProof/>
          <w:szCs w:val="24"/>
          <w:u w:color="000000"/>
          <w:bdr w:val="nil"/>
        </w:rPr>
      </w:pPr>
      <w:r>
        <w:rPr>
          <w:noProof/>
          <w:szCs w:val="24"/>
          <w:u w:color="000000"/>
          <w:bdr w:val="nil"/>
        </w:rPr>
        <w:t>•</w:t>
      </w:r>
      <w:r>
        <w:rPr>
          <w:noProof/>
          <w:szCs w:val="24"/>
        </w:rPr>
        <w:tab/>
      </w:r>
      <w:r>
        <w:rPr>
          <w:noProof/>
          <w:szCs w:val="24"/>
          <w:u w:color="000000"/>
          <w:bdr w:val="nil"/>
        </w:rPr>
        <w:t>Konzultácie so zainteresovanými stranami</w:t>
      </w:r>
    </w:p>
    <w:p>
      <w:pPr>
        <w:pBdr>
          <w:top w:val="nil"/>
          <w:left w:val="nil"/>
          <w:bottom w:val="nil"/>
          <w:right w:val="nil"/>
          <w:between w:val="nil"/>
          <w:bar w:val="nil"/>
        </w:pBdr>
        <w:spacing w:before="0" w:after="240"/>
        <w:rPr>
          <w:rFonts w:eastAsia="Arial Unicode MS"/>
          <w:noProof/>
          <w:szCs w:val="24"/>
        </w:rPr>
      </w:pPr>
      <w:r>
        <w:rPr>
          <w:noProof/>
          <w:szCs w:val="24"/>
        </w:rPr>
        <w:t>Nevykonali sa žiadne konzultácie so zainteresovanými stranami. Tento návrh vychádza zo žiadosti predloženej Maltou a týka sa iba tohto členského štátu.</w:t>
      </w:r>
    </w:p>
    <w:p>
      <w:pPr>
        <w:pStyle w:val="ManualHeading2"/>
        <w:rPr>
          <w:rFonts w:eastAsia="Arial Unicode MS"/>
          <w:noProof/>
          <w:szCs w:val="24"/>
          <w:u w:color="000000"/>
          <w:bdr w:val="nil"/>
        </w:rPr>
      </w:pPr>
      <w:r>
        <w:rPr>
          <w:noProof/>
          <w:szCs w:val="24"/>
          <w:u w:color="000000"/>
          <w:bdr w:val="nil"/>
        </w:rPr>
        <w:t>•</w:t>
      </w:r>
      <w:r>
        <w:rPr>
          <w:noProof/>
          <w:szCs w:val="24"/>
        </w:rPr>
        <w:tab/>
      </w:r>
      <w:r>
        <w:rPr>
          <w:noProof/>
          <w:szCs w:val="24"/>
          <w:u w:color="000000"/>
          <w:bdr w:val="nil"/>
        </w:rPr>
        <w:t>Získavanie a využívanie expertízy</w:t>
      </w:r>
    </w:p>
    <w:p>
      <w:pPr>
        <w:pBdr>
          <w:top w:val="nil"/>
          <w:left w:val="nil"/>
          <w:bottom w:val="nil"/>
          <w:right w:val="nil"/>
          <w:between w:val="nil"/>
          <w:bar w:val="nil"/>
        </w:pBdr>
        <w:spacing w:before="0" w:after="240"/>
        <w:rPr>
          <w:rFonts w:eastAsia="Arial Unicode MS"/>
          <w:noProof/>
          <w:szCs w:val="24"/>
        </w:rPr>
      </w:pPr>
      <w:r>
        <w:rPr>
          <w:noProof/>
          <w:szCs w:val="24"/>
        </w:rPr>
        <w:t>Externá expertíza nebola potrebná.</w:t>
      </w:r>
    </w:p>
    <w:p>
      <w:pPr>
        <w:pStyle w:val="ManualHeading2"/>
        <w:rPr>
          <w:rFonts w:eastAsia="Arial Unicode MS"/>
          <w:noProof/>
          <w:szCs w:val="24"/>
          <w:u w:color="000000"/>
          <w:bdr w:val="nil"/>
        </w:rPr>
      </w:pPr>
      <w:r>
        <w:rPr>
          <w:noProof/>
          <w:szCs w:val="24"/>
          <w:u w:color="000000"/>
          <w:bdr w:val="nil"/>
        </w:rPr>
        <w:t>•</w:t>
      </w:r>
      <w:r>
        <w:rPr>
          <w:noProof/>
          <w:szCs w:val="24"/>
        </w:rPr>
        <w:tab/>
      </w:r>
      <w:r>
        <w:rPr>
          <w:noProof/>
          <w:szCs w:val="24"/>
          <w:u w:color="000000"/>
          <w:bdr w:val="nil"/>
        </w:rPr>
        <w:t>Posúdenie vplyvu</w:t>
      </w:r>
    </w:p>
    <w:p>
      <w:pPr>
        <w:pBdr>
          <w:top w:val="nil"/>
          <w:left w:val="nil"/>
          <w:bottom w:val="nil"/>
          <w:right w:val="nil"/>
          <w:between w:val="nil"/>
          <w:bar w:val="nil"/>
        </w:pBdr>
        <w:spacing w:before="0" w:after="240"/>
        <w:rPr>
          <w:noProof/>
          <w:szCs w:val="24"/>
        </w:rPr>
      </w:pPr>
      <w:r>
        <w:rPr>
          <w:noProof/>
          <w:szCs w:val="24"/>
        </w:rPr>
        <w:t>Cieľom návrhu vykonávacieho rozhodnutia Rady je zvýšiť súčasný limit na oslobodenie od dane z 20 000 EUR na 30 000 EUR. Zvýšenie limitu je zjednodušujúcim opatrením, ktorým sa odstraňujú mnohé z povinností súvisiacich s DPH pre podniky s ročným obratom, ktorý nie je vyšší ako 30 000 EUR. Bude preto mať potenciálne priaznivý vplyv na zníženie administratívnej záťaže pre určitý počet zdaniteľných osôb, a následne aj pre finančnú správu.</w:t>
      </w:r>
    </w:p>
    <w:p>
      <w:pPr>
        <w:pBdr>
          <w:top w:val="nil"/>
          <w:left w:val="nil"/>
          <w:bottom w:val="nil"/>
          <w:right w:val="nil"/>
          <w:between w:val="nil"/>
          <w:bar w:val="nil"/>
        </w:pBdr>
        <w:spacing w:before="0" w:after="240"/>
        <w:rPr>
          <w:noProof/>
          <w:szCs w:val="24"/>
        </w:rPr>
      </w:pPr>
      <w:r>
        <w:rPr>
          <w:noProof/>
          <w:szCs w:val="24"/>
        </w:rPr>
        <w:t>Podľa údajov za rok 2019 je počet daňovníkov, ktorí budú prípadne dotknutí týmto zvýšením limitu, 1 764 v prípade služieb s vysokou pridanou hodnotou (nízke vstupné náklady) a 237 v prípade služieb s nízkou pridanou hodnotou (vysoké vstupné náklady).</w:t>
      </w:r>
    </w:p>
    <w:p>
      <w:pPr>
        <w:pBdr>
          <w:top w:val="nil"/>
          <w:left w:val="nil"/>
          <w:bottom w:val="nil"/>
          <w:right w:val="nil"/>
          <w:between w:val="nil"/>
          <w:bar w:val="nil"/>
        </w:pBdr>
        <w:spacing w:before="0" w:after="240"/>
        <w:rPr>
          <w:noProof/>
          <w:szCs w:val="24"/>
        </w:rPr>
      </w:pPr>
      <w:r>
        <w:rPr>
          <w:noProof/>
          <w:szCs w:val="24"/>
        </w:rPr>
        <w:t>Maltské orgány uviedli, že v súčasnosti využíva úpravu pre malé a stredné podniky a oslobodenie od dane 34 585 obchodníkov a zvýšením limitu by ich počet mohol stúpnuť na 36 586 daňovníkov.</w:t>
      </w:r>
    </w:p>
    <w:p>
      <w:pPr>
        <w:pBdr>
          <w:top w:val="nil"/>
          <w:left w:val="nil"/>
          <w:bottom w:val="nil"/>
          <w:right w:val="nil"/>
          <w:between w:val="nil"/>
          <w:bar w:val="nil"/>
        </w:pBdr>
        <w:spacing w:before="0" w:after="240"/>
        <w:rPr>
          <w:noProof/>
          <w:szCs w:val="24"/>
        </w:rPr>
      </w:pPr>
      <w:r>
        <w:rPr>
          <w:noProof/>
          <w:szCs w:val="24"/>
        </w:rPr>
        <w:t>Pri limite nastavenom na 30 000 EUR by percentuálny podiel možných používateľov úpravy pre MSP predstavoval 34 % zo všetkých daňovníkov na Malte.</w:t>
      </w:r>
    </w:p>
    <w:p>
      <w:pPr>
        <w:pBdr>
          <w:top w:val="nil"/>
          <w:left w:val="nil"/>
          <w:bottom w:val="nil"/>
          <w:right w:val="nil"/>
          <w:between w:val="nil"/>
          <w:bar w:val="nil"/>
        </w:pBdr>
        <w:spacing w:before="0" w:after="240"/>
        <w:rPr>
          <w:noProof/>
          <w:szCs w:val="24"/>
        </w:rPr>
      </w:pPr>
      <w:r>
        <w:rPr>
          <w:noProof/>
          <w:szCs w:val="24"/>
        </w:rPr>
        <w:t>Ako sa uvádza v oficiálne dostupných údajoch, na základe zjednodušeného priznania obratu v rámci úpravy pre MSP v roku 2019 dosahuje celková odhadovaná DPH vypočítaná pri základnej sadzbe a považovaná za nevybranú (keďže obrat bol pod limitom 20 000 EUR) približne 11,4 milióna EUR, čo je 1,2 % z celkovej sumy príjmov vybraných z DPH na Malte v roku 2019 (944,7 milióna EUR).</w:t>
      </w:r>
    </w:p>
    <w:p>
      <w:pPr>
        <w:pBdr>
          <w:top w:val="nil"/>
          <w:left w:val="nil"/>
          <w:bottom w:val="nil"/>
          <w:right w:val="nil"/>
          <w:between w:val="nil"/>
          <w:bar w:val="nil"/>
        </w:pBdr>
        <w:spacing w:before="0" w:after="240"/>
        <w:rPr>
          <w:noProof/>
          <w:szCs w:val="24"/>
        </w:rPr>
      </w:pPr>
      <w:r>
        <w:rPr>
          <w:noProof/>
          <w:szCs w:val="24"/>
        </w:rPr>
        <w:lastRenderedPageBreak/>
        <w:t>Keď sa limit zvýši na 30 000 EUR tak v prípade poskytovania služieb s nízkou pridanou hodnotou (vysoké vstupné náklady), ako aj v prípade poskytovania služieb s vysokou pridanou hodnotou (nízke vstupné náklady), nevybraná DPH by sa mohla zvýšiť približne o 3,3 milióna DPH, čo by predstavovalo odhadom 0,35 % nárast.</w:t>
      </w:r>
    </w:p>
    <w:p>
      <w:pPr>
        <w:pBdr>
          <w:top w:val="nil"/>
          <w:left w:val="nil"/>
          <w:bottom w:val="nil"/>
          <w:right w:val="nil"/>
          <w:between w:val="nil"/>
          <w:bar w:val="nil"/>
        </w:pBdr>
        <w:spacing w:before="0" w:after="240"/>
        <w:rPr>
          <w:noProof/>
          <w:szCs w:val="24"/>
        </w:rPr>
      </w:pPr>
      <w:r>
        <w:rPr>
          <w:noProof/>
          <w:szCs w:val="24"/>
        </w:rPr>
        <w:t>Osoby, ktorých zdaniteľný obrat nepresahuje daný limit, sa nebudú musieť zaregistrovať na účely identifikácie pre DPH, a v dôsledku tohto opatrenia bude teda ich administratívna záťaž nižšia, pretože nebudú musieť viesť záznamy o DPH ani podávať daňové priznania k DPH. Bude to znamenať aj nižšie pracovné zaťaženie pre daňové orgány. Bude to mať potenciálny priaznivý vplyv na zníženie administratívnej záťaže zdaniteľných osôb, ktoré sú v súčasnosti na Malte registrované na účely DPH, a následne aj pre daňovú správu.</w:t>
      </w:r>
    </w:p>
    <w:p>
      <w:pPr>
        <w:rPr>
          <w:noProof/>
          <w:szCs w:val="24"/>
        </w:rPr>
      </w:pPr>
      <w:r>
        <w:rPr>
          <w:noProof/>
          <w:szCs w:val="24"/>
        </w:rPr>
        <w:t>Z hľadiska príjmov z DPH nedochádza k významnému vplyvu na príjmy štátneho rozpočtu Malty.</w:t>
      </w:r>
    </w:p>
    <w:p>
      <w:pPr>
        <w:pStyle w:val="ManualHeading2"/>
        <w:rPr>
          <w:rFonts w:eastAsia="Arial Unicode MS"/>
          <w:noProof/>
          <w:szCs w:val="24"/>
          <w:u w:color="000000"/>
          <w:bdr w:val="nil"/>
        </w:rPr>
      </w:pPr>
      <w:r>
        <w:rPr>
          <w:noProof/>
          <w:szCs w:val="24"/>
          <w:u w:color="000000"/>
          <w:bdr w:val="nil"/>
        </w:rPr>
        <w:t>•</w:t>
      </w:r>
      <w:r>
        <w:rPr>
          <w:noProof/>
          <w:szCs w:val="24"/>
        </w:rPr>
        <w:tab/>
      </w:r>
      <w:r>
        <w:rPr>
          <w:noProof/>
          <w:szCs w:val="24"/>
          <w:u w:color="000000"/>
          <w:bdr w:val="nil"/>
        </w:rPr>
        <w:t>Základné práva</w:t>
      </w:r>
    </w:p>
    <w:p>
      <w:pPr>
        <w:pBdr>
          <w:top w:val="nil"/>
          <w:left w:val="nil"/>
          <w:bottom w:val="nil"/>
          <w:right w:val="nil"/>
          <w:between w:val="nil"/>
          <w:bar w:val="nil"/>
        </w:pBdr>
        <w:spacing w:before="0" w:after="240"/>
        <w:rPr>
          <w:rFonts w:eastAsia="Arial Unicode MS"/>
          <w:noProof/>
          <w:szCs w:val="24"/>
        </w:rPr>
      </w:pPr>
      <w:r>
        <w:rPr>
          <w:noProof/>
          <w:szCs w:val="24"/>
        </w:rPr>
        <w:t>Návrh nemá žiadne dôsledky z hľadiska ochrany základných práv.</w:t>
      </w:r>
    </w:p>
    <w:p>
      <w:pPr>
        <w:pStyle w:val="ManualHeading1"/>
        <w:rPr>
          <w:noProof/>
          <w:szCs w:val="24"/>
        </w:rPr>
      </w:pPr>
      <w:r>
        <w:rPr>
          <w:noProof/>
          <w:szCs w:val="24"/>
        </w:rPr>
        <w:t>4.</w:t>
      </w:r>
      <w:r>
        <w:rPr>
          <w:noProof/>
          <w:szCs w:val="24"/>
        </w:rPr>
        <w:tab/>
        <w:t>VPLYV NA ROZPOČET</w:t>
      </w:r>
    </w:p>
    <w:p>
      <w:pPr>
        <w:rPr>
          <w:noProof/>
          <w:szCs w:val="24"/>
        </w:rPr>
      </w:pPr>
      <w:r>
        <w:rPr>
          <w:noProof/>
          <w:szCs w:val="24"/>
        </w:rPr>
        <w:t>Návrh nemá vplyv na rozpočet EÚ, pretože Malta vypočíta kompenzáciu v súlade s článkom 6 nariadenia Rady (EHS, EURATOM) č. 1553/89.</w:t>
      </w:r>
    </w:p>
    <w:p>
      <w:pPr>
        <w:rPr>
          <w:noProof/>
          <w:szCs w:val="24"/>
        </w:rPr>
        <w:sectPr>
          <w:footerReference w:type="default" r:id="rId11"/>
          <w:footerReference w:type="first" r:id="rId12"/>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2021/0073 (NLE)</w:t>
      </w:r>
    </w:p>
    <w:p>
      <w:pPr>
        <w:pStyle w:val="Statut"/>
        <w:rPr>
          <w:noProof/>
        </w:rPr>
      </w:pPr>
      <w:r>
        <w:rPr>
          <w:noProof/>
        </w:rPr>
        <w:t>Návrh</w:t>
      </w:r>
    </w:p>
    <w:p>
      <w:pPr>
        <w:pStyle w:val="Typedudocument"/>
        <w:rPr>
          <w:noProof/>
        </w:rPr>
      </w:pPr>
      <w:r>
        <w:rPr>
          <w:noProof/>
        </w:rPr>
        <w:t>VYKONÁVACIE ROZHODNUTIE RADY,</w:t>
      </w:r>
    </w:p>
    <w:p>
      <w:pPr>
        <w:pStyle w:val="Titreobjet"/>
        <w:rPr>
          <w:noProof/>
        </w:rPr>
      </w:pPr>
      <w:r>
        <w:rPr>
          <w:noProof/>
        </w:rPr>
        <w:t>ktorým sa Malte povoľuje uplatňovať osobitné opatrenie odchyľujúce sa od článku 287 smernice 2006/112/ES o spoločnom systéme dane z pridanej hodnoty</w:t>
      </w:r>
    </w:p>
    <w:p>
      <w:pPr>
        <w:pStyle w:val="Institutionquiagit"/>
        <w:rPr>
          <w:noProof/>
          <w:szCs w:val="24"/>
        </w:rPr>
      </w:pPr>
      <w:r>
        <w:rPr>
          <w:noProof/>
          <w:szCs w:val="24"/>
        </w:rPr>
        <w:t>RADA EURÓPSKEJ ÚNIE,</w:t>
      </w:r>
    </w:p>
    <w:p>
      <w:pPr>
        <w:rPr>
          <w:noProof/>
          <w:szCs w:val="24"/>
        </w:rPr>
      </w:pPr>
      <w:r>
        <w:rPr>
          <w:noProof/>
          <w:szCs w:val="24"/>
        </w:rPr>
        <w:t>so zreteľom na Zmluvu o fungovaní Európskej únie,</w:t>
      </w:r>
    </w:p>
    <w:p>
      <w:pPr>
        <w:rPr>
          <w:noProof/>
          <w:szCs w:val="24"/>
        </w:rPr>
      </w:pPr>
      <w:r>
        <w:rPr>
          <w:noProof/>
          <w:szCs w:val="24"/>
        </w:rPr>
        <w:t>so zreteľom na smernicu Rady 2006/112/ES z 28. novembra 2006 o spoločnom systéme dane z pridanej hodnoty</w:t>
      </w:r>
      <w:r>
        <w:rPr>
          <w:rStyle w:val="FootnoteReference"/>
          <w:noProof/>
          <w:szCs w:val="24"/>
        </w:rPr>
        <w:footnoteReference w:id="25"/>
      </w:r>
      <w:r>
        <w:rPr>
          <w:noProof/>
          <w:szCs w:val="24"/>
        </w:rPr>
        <w:t>, a najmä na jej článok 395 ods. 1 prvý pododsek,</w:t>
      </w:r>
    </w:p>
    <w:p>
      <w:pPr>
        <w:rPr>
          <w:noProof/>
          <w:szCs w:val="24"/>
        </w:rPr>
      </w:pPr>
      <w:r>
        <w:rPr>
          <w:noProof/>
          <w:szCs w:val="24"/>
        </w:rPr>
        <w:t>so zreteľom na návrh Európskej komisie,</w:t>
      </w:r>
    </w:p>
    <w:p>
      <w:pPr>
        <w:rPr>
          <w:noProof/>
          <w:szCs w:val="24"/>
        </w:rPr>
      </w:pPr>
      <w:r>
        <w:rPr>
          <w:noProof/>
          <w:szCs w:val="24"/>
        </w:rPr>
        <w:t>keďže:</w:t>
      </w:r>
    </w:p>
    <w:p>
      <w:pPr>
        <w:pStyle w:val="ManualConsidrant"/>
        <w:rPr>
          <w:noProof/>
        </w:rPr>
      </w:pPr>
      <w:r>
        <w:t>(1)</w:t>
      </w:r>
      <w:r>
        <w:tab/>
      </w:r>
      <w:r>
        <w:rPr>
          <w:noProof/>
        </w:rPr>
        <w:t>Podľa článku 287 bodu 13 smernice 2006/112/ES môže Malta oslobodiť od dane z pridanej hodnoty (ďalej len „DPH“) tri kategórie zdaniteľných osôb: tie, ktorých ročný obrat nie je vyšší ako 37 000 EUR, ak ekonomická činnosť pozostáva predovšetkým z dodávania tovaru, tie, ktorých ročný obrat nie je vyšší ako 24 300 EUR, ak ich ekonomická činnosť pozostáva predovšetkým z poskytovania služieb s nízkou pridanou hodnotou (vysoké vstupné náklady), a tie zdaniteľné osoby, ktorých ročný obrat nie je vyšší ako 14 600 EUR v ostatných prípadoch, konkrétne pri poskytovaní služieb s vysokou pridanou hodnotou (nízke vstupné náklady).</w:t>
      </w:r>
    </w:p>
    <w:p>
      <w:pPr>
        <w:pStyle w:val="ManualConsidrant"/>
        <w:rPr>
          <w:noProof/>
        </w:rPr>
      </w:pPr>
      <w:r>
        <w:t>(2)</w:t>
      </w:r>
      <w:r>
        <w:tab/>
      </w:r>
      <w:r>
        <w:rPr>
          <w:noProof/>
        </w:rPr>
        <w:t>Vykonávacím rozhodnutím Rady (EÚ) 2018/279</w:t>
      </w:r>
      <w:r>
        <w:rPr>
          <w:rStyle w:val="FootnoteReference"/>
          <w:noProof/>
          <w:spacing w:val="-4"/>
          <w:szCs w:val="24"/>
        </w:rPr>
        <w:footnoteReference w:id="26"/>
      </w:r>
      <w:r>
        <w:rPr>
          <w:noProof/>
        </w:rPr>
        <w:t xml:space="preserve"> sa Malte povolilo uplatňovať osobitné opatrenie odchyľujúce sa od článku 287 smernice 2006/112/ES, na základe ktorého sú do 31. decembra 2024 oslobodené od DPH zdaniteľné osoby, ktorých ekonomická činnosť pozostáva predovšetkým z poskytovania služieb s vysokou pridanou hodnotou (nízke vstupné náklady) a ktorých ročný obrat nie je vyšší ako 20 000 EUR.</w:t>
      </w:r>
    </w:p>
    <w:p>
      <w:pPr>
        <w:pStyle w:val="ManualConsidrant"/>
        <w:rPr>
          <w:noProof/>
        </w:rPr>
      </w:pPr>
      <w:r>
        <w:t>(3)</w:t>
      </w:r>
      <w:r>
        <w:tab/>
      </w:r>
      <w:r>
        <w:rPr>
          <w:noProof/>
        </w:rPr>
        <w:t>Listom, ktorý Komisia zaevidovala 20. októbra 2020, Malta požiadala o povolenie uplatňovať opatrenie odchyľujúce sa od článku 287 smernice 2006/112/ES, ktorým by sa Malte povolilo do 31. decembra 2024 oslobodiť od DPH zdaniteľné osoby, ktorých ekonomická činnosť pozostáva predovšetkým z poskytovania služieb s nízkou pridanou hodnotou (vysoké vstupné náklady) alebo z poskytovania služieb s vysokou pridanou hodnotou (nízke vstupné náklady) a ktorých ročný obrat nie je vyšší ako 30 000 EUR (ďalej len „odchyľujúce sa opatrenie“). Komisia požiadala v súvislosti so žiadosťou o ďalšie informácie, ktoré jej boli poskytnuté listom zaevidovaným 9. novembra 2020.</w:t>
      </w:r>
    </w:p>
    <w:p>
      <w:pPr>
        <w:pStyle w:val="ManualConsidrant"/>
        <w:rPr>
          <w:noProof/>
        </w:rPr>
      </w:pPr>
      <w:r>
        <w:t>(4)</w:t>
      </w:r>
      <w:r>
        <w:tab/>
      </w:r>
      <w:r>
        <w:rPr>
          <w:noProof/>
        </w:rPr>
        <w:t xml:space="preserve">Listom zo 17. decembra 2020 Komisia v súlade s článkom 395 ods. 2 druhým pododsekom smernice 2006/112/ES postúpila žiadosť Malty ostatným členským </w:t>
      </w:r>
      <w:r>
        <w:rPr>
          <w:noProof/>
        </w:rPr>
        <w:lastRenderedPageBreak/>
        <w:t>štátom. Listom z 18. decembra 2020 Komisia oznámila Malte, že má všetky informácie potrebné na posúdenie danej žiadosti.</w:t>
      </w:r>
    </w:p>
    <w:p>
      <w:pPr>
        <w:pStyle w:val="ManualConsidrant"/>
        <w:rPr>
          <w:noProof/>
        </w:rPr>
      </w:pPr>
      <w:r>
        <w:t>(5)</w:t>
      </w:r>
      <w:r>
        <w:tab/>
      </w:r>
      <w:r>
        <w:rPr>
          <w:noProof/>
        </w:rPr>
        <w:t>Keďže podľa očakávaní zvýšenie limitu povedie k obmedzeniu povinností súvisiacich s DPH, a teda k zníženiu administratívnej záťaže malých podnikov, ako aj ich nákladov na dodržiavanie predpisov, a k jednoduchšiemu výberu DPH daňovými orgánmi, a vplyv na celkové príjmy Malty pochádzajúce z DPH vybranej na stupni konečnej spotreby je zanedbateľný, Malte by sa malo povoliť uplatňovať dané odchyľujúce sa opatrenie.</w:t>
      </w:r>
    </w:p>
    <w:p>
      <w:pPr>
        <w:pStyle w:val="ManualConsidrant"/>
        <w:rPr>
          <w:noProof/>
        </w:rPr>
      </w:pPr>
      <w:r>
        <w:t>(6)</w:t>
      </w:r>
      <w:r>
        <w:tab/>
      </w:r>
      <w:r>
        <w:rPr>
          <w:noProof/>
        </w:rPr>
        <w:t>Odchyľujúce sa opatrenie nemá žiadny vplyv na vlastné zdroje Únie pochádzajúce z DPH, pretože Malta vypočíta kompenzáciu v súlade s článkom 6 nariadenia Rady (EHS, Euratom) č. 1553/89</w:t>
      </w:r>
      <w:r>
        <w:rPr>
          <w:rStyle w:val="FootnoteReference"/>
          <w:noProof/>
          <w:szCs w:val="24"/>
        </w:rPr>
        <w:footnoteReference w:id="27"/>
      </w:r>
      <w:r>
        <w:rPr>
          <w:noProof/>
        </w:rPr>
        <w:t>.</w:t>
      </w:r>
    </w:p>
    <w:p>
      <w:pPr>
        <w:pStyle w:val="ManualConsidrant"/>
        <w:rPr>
          <w:noProof/>
        </w:rPr>
      </w:pPr>
      <w:r>
        <w:t>(7)</w:t>
      </w:r>
      <w:r>
        <w:tab/>
      </w:r>
      <w:r>
        <w:rPr>
          <w:noProof/>
        </w:rPr>
        <w:t>Povolenie na uplatňovanie odchyľujúceho sa opatrenia by malo byť časovo obmedzené. Toto časové obmedzenie by malo byť dostatočné na to, aby bolo možné vyhodnotiť účinnosť a primeranosť daného limitu. Článok 287 smernice 2006/112/ES sa navyše s účinnosťou od 1. januára 2025 vypúšťa smernicou Rady (EÚ) 2020/285</w:t>
      </w:r>
      <w:r>
        <w:rPr>
          <w:rStyle w:val="FootnoteReference"/>
          <w:noProof/>
          <w:spacing w:val="-4"/>
          <w:szCs w:val="24"/>
        </w:rPr>
        <w:footnoteReference w:id="28"/>
      </w:r>
      <w:r>
        <w:rPr>
          <w:noProof/>
        </w:rPr>
        <w:t>, ktorou sa stanovujú jednoduchšie pravidlá v oblasti DPH pre malé podniky. Je preto vhodné povoliť Malte, aby uplatňovala dané odchyľujúce sa opatrenie do 31. decembra 2024.</w:t>
      </w:r>
    </w:p>
    <w:p>
      <w:pPr>
        <w:pStyle w:val="ManualConsidrant"/>
        <w:rPr>
          <w:noProof/>
        </w:rPr>
      </w:pPr>
      <w:r>
        <w:t>(8)</w:t>
      </w:r>
      <w:r>
        <w:tab/>
      </w:r>
      <w:r>
        <w:rPr>
          <w:noProof/>
        </w:rPr>
        <w:t>Vykonávacie rozhodnutie (EÚ) 2018/279 by sa preto malo zrušiť,</w:t>
      </w:r>
    </w:p>
    <w:p>
      <w:pPr>
        <w:rPr>
          <w:noProof/>
          <w:szCs w:val="24"/>
        </w:rPr>
      </w:pPr>
    </w:p>
    <w:p>
      <w:pPr>
        <w:pStyle w:val="Formuledadoption"/>
        <w:rPr>
          <w:noProof/>
          <w:szCs w:val="24"/>
        </w:rPr>
      </w:pPr>
      <w:r>
        <w:rPr>
          <w:noProof/>
          <w:szCs w:val="24"/>
        </w:rPr>
        <w:t>PRIJALA TOTO ROZHODNUTIE:</w:t>
      </w:r>
    </w:p>
    <w:p>
      <w:pPr>
        <w:pStyle w:val="Titrearticle"/>
        <w:rPr>
          <w:noProof/>
          <w:szCs w:val="24"/>
        </w:rPr>
      </w:pPr>
      <w:r>
        <w:rPr>
          <w:noProof/>
          <w:szCs w:val="24"/>
        </w:rPr>
        <w:t>Článok 1</w:t>
      </w:r>
    </w:p>
    <w:p>
      <w:pPr>
        <w:rPr>
          <w:noProof/>
          <w:spacing w:val="-4"/>
          <w:szCs w:val="24"/>
        </w:rPr>
      </w:pPr>
      <w:r>
        <w:rPr>
          <w:noProof/>
          <w:spacing w:val="-4"/>
          <w:szCs w:val="24"/>
        </w:rPr>
        <w:t>Odchylne od článku 287 bodu 13 smernice 2006/112/ES sa Malte povoľuje oslobodiť od DPH zdaniteľné osoby, ktorých ekonomická činnosť pozostáva predovšetkým z poskytovania služieb s nízkou pridanou hodnotou (vysoké vstupné náklady) alebo z poskytovania služieb s vysokou pridanou hodnotou (nízke vstupné náklady) a ktorých ročný obrat nie je vyšší ako 30 000 EUR.</w:t>
      </w:r>
    </w:p>
    <w:p>
      <w:pPr>
        <w:jc w:val="center"/>
        <w:rPr>
          <w:noProof/>
          <w:szCs w:val="24"/>
        </w:rPr>
      </w:pPr>
      <w:r>
        <w:rPr>
          <w:i/>
          <w:noProof/>
          <w:szCs w:val="24"/>
        </w:rPr>
        <w:t>Článok 2</w:t>
      </w:r>
    </w:p>
    <w:p>
      <w:pPr>
        <w:rPr>
          <w:noProof/>
          <w:szCs w:val="24"/>
        </w:rPr>
      </w:pPr>
      <w:r>
        <w:rPr>
          <w:noProof/>
          <w:szCs w:val="24"/>
        </w:rPr>
        <w:t>Vykonávacie rozhodnutie (EÚ) 2018/279 sa zrušuje.</w:t>
      </w:r>
    </w:p>
    <w:p>
      <w:pPr>
        <w:pStyle w:val="Titrearticle"/>
        <w:rPr>
          <w:noProof/>
          <w:szCs w:val="24"/>
        </w:rPr>
      </w:pPr>
      <w:r>
        <w:rPr>
          <w:noProof/>
          <w:szCs w:val="24"/>
        </w:rPr>
        <w:t>Článok 3</w:t>
      </w:r>
    </w:p>
    <w:p>
      <w:pPr>
        <w:rPr>
          <w:noProof/>
          <w:szCs w:val="24"/>
        </w:rPr>
      </w:pPr>
      <w:r>
        <w:rPr>
          <w:noProof/>
          <w:szCs w:val="24"/>
        </w:rPr>
        <w:t>Toto rozhodnutie sa uplatňuje do 31. decembra 2024.</w:t>
      </w:r>
    </w:p>
    <w:p>
      <w:pPr>
        <w:rPr>
          <w:noProof/>
          <w:szCs w:val="24"/>
        </w:rPr>
      </w:pPr>
    </w:p>
    <w:p>
      <w:pPr>
        <w:pStyle w:val="Titrearticle"/>
        <w:rPr>
          <w:noProof/>
          <w:szCs w:val="24"/>
        </w:rPr>
      </w:pPr>
      <w:r>
        <w:rPr>
          <w:noProof/>
          <w:szCs w:val="24"/>
        </w:rPr>
        <w:lastRenderedPageBreak/>
        <w:t>Článok 4</w:t>
      </w:r>
    </w:p>
    <w:p>
      <w:pPr>
        <w:keepNext/>
        <w:keepLines/>
        <w:rPr>
          <w:noProof/>
          <w:szCs w:val="24"/>
        </w:rPr>
      </w:pPr>
      <w:r>
        <w:rPr>
          <w:noProof/>
          <w:szCs w:val="24"/>
        </w:rPr>
        <w:t>Toto rozhodnutie je určené Maltskej republike.</w:t>
      </w:r>
    </w:p>
    <w:p>
      <w:pPr>
        <w:pStyle w:val="Fait"/>
        <w:rPr>
          <w:noProof/>
        </w:rPr>
      </w:pPr>
      <w:r>
        <w:t>V Bruseli</w:t>
      </w:r>
    </w:p>
    <w:p>
      <w:pPr>
        <w:pStyle w:val="Institutionquisigne"/>
        <w:rPr>
          <w:noProof/>
          <w:szCs w:val="24"/>
        </w:rPr>
      </w:pPr>
      <w:r>
        <w:rPr>
          <w:noProof/>
          <w:szCs w:val="24"/>
        </w:rPr>
        <w:tab/>
        <w:t>Za Radu</w:t>
      </w:r>
    </w:p>
    <w:p>
      <w:pPr>
        <w:pStyle w:val="Personnequisigne"/>
        <w:rPr>
          <w:noProof/>
          <w:szCs w:val="24"/>
        </w:rPr>
      </w:pPr>
      <w:r>
        <w:rPr>
          <w:noProof/>
          <w:szCs w:val="24"/>
        </w:rPr>
        <w:tab/>
        <w:t>predseda</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Ú. v. EÚ L 347, 11.12.2006, s. 1.</w:t>
      </w:r>
    </w:p>
  </w:footnote>
  <w:footnote w:id="3">
    <w:p>
      <w:pPr>
        <w:pStyle w:val="FootnoteText"/>
      </w:pPr>
      <w:r>
        <w:rPr>
          <w:rStyle w:val="FootnoteReference"/>
        </w:rPr>
        <w:footnoteRef/>
      </w:r>
      <w:r>
        <w:tab/>
        <w:t>Oznámenie Komisie Európskemu parlamentu, Rade, Európskemu hospodárskemu a sociálnemu výboru a Výboru regiónov – „Najskôr myslieť v malom“ Iniciatíva „Small Business Act“ pre Európu, Brusel 25. 6. 2008, KOM(2008) 394 v konečnom znení z 25. júna 2008.</w:t>
      </w:r>
    </w:p>
  </w:footnote>
  <w:footnote w:id="4">
    <w:p>
      <w:pPr>
        <w:pStyle w:val="FootnoteText"/>
        <w:rPr>
          <w:spacing w:val="-6"/>
        </w:rPr>
      </w:pPr>
      <w:r>
        <w:rPr>
          <w:rStyle w:val="FootnoteReference"/>
        </w:rPr>
        <w:footnoteRef/>
      </w:r>
      <w:r>
        <w:tab/>
      </w:r>
      <w:r>
        <w:rPr>
          <w:spacing w:val="-6"/>
        </w:rPr>
        <w:t>Vykonávacie rozhodnutie Rady (EÚ) 2020/1662 z 3. novembra 2020, ktorým sa mení vykonávacie rozhodnutie (EÚ) 2018/279, ktorým sa Malte povoľuje uplatňovať osobitné opatrenie odchyľujúce sa od článku 287 smernice 2006/112/ES o spoločnom systéme dane z pridanej hodnoty (Ú. v. EÚ L 374, 10.11.2020, s. 6 – 7).</w:t>
      </w:r>
    </w:p>
  </w:footnote>
  <w:footnote w:id="5">
    <w:p>
      <w:pPr>
        <w:pStyle w:val="FootnoteText"/>
      </w:pPr>
      <w:r>
        <w:rPr>
          <w:rStyle w:val="FootnoteReference"/>
        </w:rPr>
        <w:footnoteRef/>
      </w:r>
      <w:r>
        <w:tab/>
        <w:t>Vykonávacie rozhodnutie Rady (EÚ) 2018/279 z 20. februára 2018, ktorým sa Malte povoľuje uplatňovať osobitné opatrenie odchyľujúce sa od článku 287 smernice 2006/112/ES o spoločnom systéme dane z pridanej hodnoty (Ú. v. EÚ L 54, 24.2.2018, s. 14 – 15).</w:t>
      </w:r>
    </w:p>
  </w:footnote>
  <w:footnote w:id="6">
    <w:p>
      <w:pPr>
        <w:pStyle w:val="FootnoteText"/>
      </w:pPr>
      <w:r>
        <w:rPr>
          <w:rStyle w:val="FootnoteReference"/>
        </w:rPr>
        <w:footnoteRef/>
      </w:r>
      <w:r>
        <w:tab/>
        <w:t>Smernica Rady (EÚ) 2020/285 z 18. februára 2020, ktorou sa mení smernica 2006/112/ES o spoločnom systéme dane z pridanej hodnoty, pokiaľ ide o osobitnú úpravu pre malé podniky, a nariadenie (EÚ) č. 904/2010, pokiaľ ide o administratívnu spoluprácu a výmenu informácií na účely monitorovania správneho uplatňovania osobitnej úpravy pre malé podniky (Ú. v. EÚ L 62, 2.3.2020, s. 13).</w:t>
      </w:r>
    </w:p>
  </w:footnote>
  <w:footnote w:id="7">
    <w:p>
      <w:pPr>
        <w:pStyle w:val="FootnoteText"/>
        <w:rPr>
          <w:spacing w:val="-4"/>
        </w:rPr>
      </w:pPr>
      <w:r>
        <w:rPr>
          <w:rStyle w:val="FootnoteReference"/>
        </w:rPr>
        <w:footnoteRef/>
      </w:r>
      <w:r>
        <w:tab/>
      </w:r>
      <w:r>
        <w:rPr>
          <w:spacing w:val="-4"/>
        </w:rPr>
        <w:t>Oznámenie Komisie Európskemu parlamentu, Rade a Hospodárskemu a sociálnemu výboru o akčnom pláne v oblasti DPH – k jednotnému priestoru EÚ v oblasti DPH – čas rozhodnúť sa [COM(2016) 148 final].</w:t>
      </w:r>
    </w:p>
  </w:footnote>
  <w:footnote w:id="8">
    <w:p>
      <w:pPr>
        <w:pStyle w:val="FootnoteText"/>
      </w:pPr>
      <w:r>
        <w:rPr>
          <w:rStyle w:val="FootnoteReference"/>
        </w:rPr>
        <w:footnoteRef/>
      </w:r>
      <w:r>
        <w:tab/>
        <w:t>Vykonávacie rozhodnutie Rady (EÚ) 2018/1904 zo 4. decembra 2018, ktorým sa Holandsku povoľuje zaviesť osobitné opatrenie odchyľujúce sa od článku 285 smernice 2006/112/ES o spoločnom systéme dane z pridanej hodnoty (Ú. v. EÚ L 310, 6.12.2018, s. 25).</w:t>
      </w:r>
    </w:p>
  </w:footnote>
  <w:footnote w:id="9">
    <w:p>
      <w:pPr>
        <w:pStyle w:val="FootnoteText"/>
      </w:pPr>
      <w:r>
        <w:rPr>
          <w:rStyle w:val="FootnoteReference"/>
        </w:rPr>
        <w:footnoteRef/>
      </w:r>
      <w:r>
        <w:tab/>
        <w:t>Vykonávacie rozhodnutie Rady (EÚ) 2016/1988 z 8. novembra 2016, ktorým sa mení vykonávacie rozhodnutie 2013/678/EÚ, ktorým sa Talianskej republike povoľuje naďalej uplatňovať osobitné opatrenie odchyľujúce sa od článku 285 smernice 2006/112/ES o spoločnom systéme dane z pridanej hodnoty (Ú. v. EÚ L 306, 15.11.2016, s. 11 – 12).</w:t>
      </w:r>
    </w:p>
  </w:footnote>
  <w:footnote w:id="10">
    <w:p>
      <w:pPr>
        <w:pStyle w:val="FootnoteText"/>
        <w:rPr>
          <w:spacing w:val="-8"/>
        </w:rPr>
      </w:pPr>
      <w:r>
        <w:rPr>
          <w:rStyle w:val="FootnoteReference"/>
        </w:rPr>
        <w:footnoteRef/>
      </w:r>
      <w:r>
        <w:tab/>
      </w:r>
      <w:r>
        <w:rPr>
          <w:spacing w:val="-8"/>
        </w:rPr>
        <w:t>Vykonávacie rozhodnutie Rady (EÚ) 2019/2210 z 19. decembra 2019, ktorým sa mení vykonávacie rozhodnutie 2013/677/EÚ, ktorým sa Luxembursku povoľuje zaviesť osobitné opatrenie odchyľujúce sa od článku 285 smernice 2006/112/ES o spoločnom systéme dane z pridanej hodnoty (Ú. v. EÚ L 332, 23.12.2019, s. 155).</w:t>
      </w:r>
    </w:p>
  </w:footnote>
  <w:footnote w:id="11">
    <w:p>
      <w:pPr>
        <w:pStyle w:val="FootnoteText"/>
      </w:pPr>
      <w:r>
        <w:rPr>
          <w:rStyle w:val="FootnoteReference"/>
        </w:rPr>
        <w:footnoteRef/>
      </w:r>
      <w:r>
        <w:tab/>
        <w:t>Vykonávacie rozhodnutie Rady (EÚ) 2017/2408 z 18. decembra 2017, ktorým sa Lotyšskej republike povoľuje uplatňovať osobitné opatrenie odchyľujúce sa od článku 287 smernice 2006/112/ES o spoločnom systéme dane z pridanej hodnoty (Ú. v. EÚ L 342, 21.12.2017, s. 8).</w:t>
      </w:r>
    </w:p>
  </w:footnote>
  <w:footnote w:id="12">
    <w:p>
      <w:pPr>
        <w:pStyle w:val="FootnoteText"/>
        <w:rPr>
          <w:spacing w:val="-4"/>
        </w:rPr>
      </w:pPr>
      <w:r>
        <w:rPr>
          <w:rStyle w:val="FootnoteReference"/>
        </w:rPr>
        <w:footnoteRef/>
      </w:r>
      <w:r>
        <w:tab/>
      </w:r>
      <w:r>
        <w:rPr>
          <w:spacing w:val="-4"/>
        </w:rPr>
        <w:t>Vykonávacie rozhodnutie Rady (EÚ) 2018/1919 zo 4. decembra 2018, ktorým sa mení rozhodnutie 2009/790/ES, ktorým sa Poľskej republike povoľuje uplatňovať opatrenie odchyľujúce sa od článku 287 smernice 2006/112/ES o spoločnom systéme dane z pridanej hodnoty (Ú. v. EÚ L 311, 7.12.2018, s. 32).</w:t>
      </w:r>
    </w:p>
  </w:footnote>
  <w:footnote w:id="13">
    <w:p>
      <w:pPr>
        <w:pStyle w:val="FootnoteText"/>
        <w:rPr>
          <w:spacing w:val="-4"/>
        </w:rPr>
      </w:pPr>
      <w:r>
        <w:rPr>
          <w:rStyle w:val="FootnoteReference"/>
        </w:rPr>
        <w:footnoteRef/>
      </w:r>
      <w:r>
        <w:rPr>
          <w:spacing w:val="-4"/>
        </w:rPr>
        <w:tab/>
        <w:t>Vykonávacie rozhodnutie Rady (EÚ) 2021/358 z 22. februára 2021, ktorým sa mení vykonávacie rozhodnutie (EÚ) 2017/563, ktorým sa Estónskej republike povoľuje uplatňovať osobitné opatrenie odchyľujúce sa od článku 287 smernice 2006/112/ES o spoločnom systéme dane z pridanej hodnoty (Ú. v. EÚ L 69, 26.2.2021, s. 4).</w:t>
      </w:r>
    </w:p>
  </w:footnote>
  <w:footnote w:id="14">
    <w:p>
      <w:pPr>
        <w:pStyle w:val="FootnoteText"/>
      </w:pPr>
      <w:r>
        <w:rPr>
          <w:rStyle w:val="FootnoteReference"/>
        </w:rPr>
        <w:footnoteRef/>
      </w:r>
      <w:r>
        <w:tab/>
        <w:t>Vykonávacie rozhodnutie Rady (EÚ) 2017/1768 z 25. septembra 2017, ktorým sa Chorvátskej republike povoľuje zaviesť osobitné opatrenie odchyľujúce sa od článku 287 smernice 2006/112/ES o spoločnom systéme dane z pridanej hodnoty (Ú. v. EÚ L 250, 28.9.2017, s. 71).</w:t>
      </w:r>
    </w:p>
  </w:footnote>
  <w:footnote w:id="15">
    <w:p>
      <w:pPr>
        <w:pStyle w:val="FootnoteText"/>
      </w:pPr>
      <w:r>
        <w:rPr>
          <w:rStyle w:val="FootnoteReference"/>
        </w:rPr>
        <w:footnoteRef/>
      </w:r>
      <w:r>
        <w:tab/>
        <w:t xml:space="preserve">Vykonávacie rozhodnutie Rady (EÚ) 2021/86 z 22. januára 2021, ktorým sa Litovskej republike povoľuje uplatňovať osobitné opatrenie odchyľujúce sa od článku 287 smernice 2006/112/ES o spoločnom systéme dane z pridanej hodnoty (Ú. v. EÚ L 30, 28.1.2021, s. 2 – 3). </w:t>
      </w:r>
    </w:p>
  </w:footnote>
  <w:footnote w:id="16">
    <w:p>
      <w:pPr>
        <w:pStyle w:val="FootnoteText"/>
      </w:pPr>
      <w:r>
        <w:rPr>
          <w:rStyle w:val="FootnoteReference"/>
        </w:rPr>
        <w:footnoteRef/>
      </w:r>
      <w:r>
        <w:tab/>
        <w:t>Vykonávacie rozhodnutie Rady (EÚ) 2018/1490 z 2. októbra 2018, ktorým sa Maďarsku povoľuje zaviesť osobitné opatrenie odchyľujúce sa od článku 287 smernice 2006/112/ES o spoločnom systéme dane z pridanej hodnoty (Ú. v. EÚ L 252, 8.10.2018, s. 38).</w:t>
      </w:r>
    </w:p>
  </w:footnote>
  <w:footnote w:id="17">
    <w:p>
      <w:pPr>
        <w:pStyle w:val="FootnoteText"/>
      </w:pPr>
      <w:r>
        <w:rPr>
          <w:rStyle w:val="FootnoteReference"/>
        </w:rPr>
        <w:footnoteRef/>
      </w:r>
      <w:r>
        <w:tab/>
        <w:t>Vykonávacie rozhodnutie Rady (EÚ) 2018/1700 zo 6. novembra 2018, ktorým sa mení vykonávacie rozhodnutie 2013/54/EÚ, ktorým sa Slovinskej republike povoľuje zaviesť osobitné opatrenie odchyľujúce sa od článku 287 smernice 2006/112/ES o spoločnom systéme dane z pridanej hodnoty (Ú. v. EÚ L 285, 13.11.2018, s. 78).</w:t>
      </w:r>
    </w:p>
  </w:footnote>
  <w:footnote w:id="18">
    <w:p>
      <w:pPr>
        <w:pStyle w:val="FootnoteText"/>
      </w:pPr>
      <w:r>
        <w:rPr>
          <w:rStyle w:val="FootnoteReference"/>
        </w:rPr>
        <w:footnoteRef/>
      </w:r>
      <w:r>
        <w:tab/>
        <w:t>Vykonávacie rozhodnutie Rady (EÚ) 2020/1260 zo 4. septembra 2020, ktorým sa mení vykonávacie rozhodnutie (EÚ) 2017/1855, ktorým sa Rumunsku povoľuje uplatňovať osobitné opatrenie odchyľujúce sa od článku 287 smernice 2006/112/ES o spoločnom systéme dane z pridanej hodnoty (Ú. v. EÚ L 296, 10.9.2020, s. 1 – 3).</w:t>
      </w:r>
      <w:r>
        <w:rPr>
          <w:highlight w:val="yellow"/>
        </w:rPr>
        <w:t xml:space="preserve"> </w:t>
      </w:r>
    </w:p>
  </w:footnote>
  <w:footnote w:id="19">
    <w:p>
      <w:pPr>
        <w:pStyle w:val="FootnoteText"/>
        <w:rPr>
          <w:spacing w:val="-4"/>
        </w:rPr>
      </w:pPr>
      <w:r>
        <w:rPr>
          <w:rStyle w:val="FootnoteReference"/>
        </w:rPr>
        <w:footnoteRef/>
      </w:r>
      <w:r>
        <w:tab/>
      </w:r>
      <w:r>
        <w:rPr>
          <w:spacing w:val="-4"/>
        </w:rPr>
        <w:t>Oznámenie Komisie Európskemu parlamentu, Rade, Európskemu hospodárskemu a sociálnemu výboru a Výboru regiónov: Pracovný program Komisie na rok 2020 – Ambicióznejšia Únia [COM(2020) 37 final].</w:t>
      </w:r>
    </w:p>
  </w:footnote>
  <w:footnote w:id="20">
    <w:p>
      <w:pPr>
        <w:pStyle w:val="FootnoteText"/>
      </w:pPr>
      <w:r>
        <w:rPr>
          <w:rStyle w:val="FootnoteReference"/>
        </w:rPr>
        <w:footnoteRef/>
      </w:r>
      <w:r>
        <w:tab/>
        <w:t>Oznámenie Komisie Európskemu parlamentu, Rade, Európskemu hospodárskemu a sociálnemu výboru a Výboru regiónov: Pracovný program Komisie na rok 2017 [COM(2016) 710 final].</w:t>
      </w:r>
    </w:p>
  </w:footnote>
  <w:footnote w:id="21">
    <w:p>
      <w:pPr>
        <w:pStyle w:val="FootnoteText"/>
        <w:rPr>
          <w:spacing w:val="-8"/>
        </w:rPr>
      </w:pPr>
      <w:r>
        <w:rPr>
          <w:rStyle w:val="FootnoteReference"/>
        </w:rPr>
        <w:footnoteRef/>
      </w:r>
      <w:r>
        <w:tab/>
      </w:r>
      <w:r>
        <w:rPr>
          <w:spacing w:val="-8"/>
        </w:rPr>
        <w:t>Oznámenie Komisie Európskemu parlamentu, Rade, Európskemu hospodárskemu a sociálnemu výboru a Výboru regiónov – Zlepšovanie jednotného trhu: viac príležitostí pre ľudí a podniky [COM(2015) 550 final].</w:t>
      </w:r>
    </w:p>
  </w:footnote>
  <w:footnote w:id="22">
    <w:p>
      <w:pPr>
        <w:pStyle w:val="FootnoteText"/>
      </w:pPr>
      <w:r>
        <w:rPr>
          <w:rStyle w:val="FootnoteReference"/>
        </w:rPr>
        <w:footnoteRef/>
      </w:r>
      <w:r>
        <w:tab/>
        <w:t>Oznámenie Komisie Európskemu parlamentu, Rade, Európskemu hospodárskemu a sociálnemu výboru a Výboru regiónov – Akčný plán pre podnikanie 2020: Opätovné stimulovanie podnikateľského ducha v Európe [COM(2012) 795 final].</w:t>
      </w:r>
    </w:p>
  </w:footnote>
  <w:footnote w:id="23">
    <w:p>
      <w:pPr>
        <w:pStyle w:val="FootnoteText"/>
      </w:pPr>
      <w:r>
        <w:rPr>
          <w:rStyle w:val="FootnoteReference"/>
        </w:rPr>
        <w:footnoteRef/>
      </w:r>
      <w:r>
        <w:tab/>
        <w:t>Oznámenie Komisie Európskemu parlamentu, Rade, Európskemu hospodárskemu a sociálnemu výboru a Výboru regiónov – Budúci lídri Európy: iniciatíva pre začínajúce a rozširujúce sa podniky [COM(2016) 733 final].</w:t>
      </w:r>
    </w:p>
  </w:footnote>
  <w:footnote w:id="24">
    <w:p>
      <w:pPr>
        <w:pStyle w:val="FootnoteText"/>
      </w:pPr>
      <w:r>
        <w:rPr>
          <w:rStyle w:val="FootnoteReference"/>
        </w:rPr>
        <w:footnoteRef/>
      </w:r>
      <w:r>
        <w:tab/>
        <w:t>Oznámenie Komisie Európskemu parlamentu, Rade, Európskemu hospodárskemu a sociálnemu výboru a Výboru regiónov „Najskôr myslieť v malom“ – Iniciatíva „Small Business Act“ pre Európu [KOM(2008) 394 v konečnom znení].</w:t>
      </w:r>
    </w:p>
  </w:footnote>
  <w:footnote w:id="25">
    <w:p>
      <w:pPr>
        <w:pStyle w:val="FootnoteText"/>
      </w:pPr>
      <w:r>
        <w:rPr>
          <w:rStyle w:val="FootnoteReference"/>
        </w:rPr>
        <w:footnoteRef/>
      </w:r>
      <w:r>
        <w:tab/>
        <w:t>Ú. v. EÚ L 347, 11.12.2006, s. 1.</w:t>
      </w:r>
    </w:p>
  </w:footnote>
  <w:footnote w:id="26">
    <w:p>
      <w:pPr>
        <w:pStyle w:val="FootnoteText"/>
      </w:pPr>
      <w:r>
        <w:rPr>
          <w:rStyle w:val="FootnoteReference"/>
        </w:rPr>
        <w:footnoteRef/>
      </w:r>
      <w:r>
        <w:tab/>
        <w:t>Vykonávacie rozhodnutie Rady (EÚ) 2018/279 z 20. februára 2018, ktorým sa Malte povoľuje uplatňovať osobitné opatrenie odchyľujúce sa od článku 287 smernice 2006/112/ES o spoločnom systéme dane z pridanej hodnoty (Ú. v. EÚ L 54, 24.2.2018, s. 14).</w:t>
      </w:r>
    </w:p>
  </w:footnote>
  <w:footnote w:id="27">
    <w:p>
      <w:pPr>
        <w:pStyle w:val="FootnoteText"/>
      </w:pPr>
      <w:r>
        <w:rPr>
          <w:rStyle w:val="FootnoteReference"/>
        </w:rPr>
        <w:footnoteRef/>
      </w:r>
      <w:r>
        <w:tab/>
        <w:t>Nariadenie Rady (EHS, Euratom) č. 1553/89 z 29. mája 1989 o konečných jednotných dohodách o vyberaní vlastných zdrojov pochádzajúcich z dane z pridanej hodnoty (Ú. v. ES L 155, 7.6.1989, s. 9).</w:t>
      </w:r>
    </w:p>
  </w:footnote>
  <w:footnote w:id="28">
    <w:p>
      <w:pPr>
        <w:pStyle w:val="FootnoteText"/>
      </w:pPr>
      <w:r>
        <w:rPr>
          <w:rStyle w:val="FootnoteReference"/>
        </w:rPr>
        <w:footnoteRef/>
      </w:r>
      <w:r>
        <w:tab/>
        <w:t>Smernica Rady (EÚ) 2020/285 z 18. februára 2020, ktorou sa mení smernica 2006/112/ES o spoločnom systéme dane z pridanej hodnoty, pokiaľ ide o osobitnú úpravu pre malé podniky, a nariadenie (EÚ) č. 904/2010, pokiaľ ide o administratívnu spoluprácu a výmenu informácií na účely monitorovania správneho uplatňovania osobitnej úpravy pre malé podniky (Ú. v. EÚ L 62, 2.3.2020, s.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BDC8A3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7E011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7F6A8D4"/>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A04C6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62C16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AA237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FBE43F4"/>
    <w:lvl w:ilvl="0">
      <w:start w:val="1"/>
      <w:numFmt w:val="decimal"/>
      <w:pStyle w:val="ListNumber"/>
      <w:lvlText w:val="%1."/>
      <w:lvlJc w:val="left"/>
      <w:pPr>
        <w:tabs>
          <w:tab w:val="num" w:pos="360"/>
        </w:tabs>
        <w:ind w:left="360" w:hanging="360"/>
      </w:pPr>
    </w:lvl>
  </w:abstractNum>
  <w:abstractNum w:abstractNumId="7">
    <w:nsid w:val="FFFFFF89"/>
    <w:multiLevelType w:val="singleLevel"/>
    <w:tmpl w:val="CC7AE2E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attachedTemplate r:id="rId1"/>
  <w:revisionView w:markup="0"/>
  <w:defaultTabStop w:val="720"/>
  <w:hyphenationZone w:val="283"/>
  <w:characterSpacingControl w:val="doNotCompress"/>
  <w:hdrShapeDefaults>
    <o:shapedefaults v:ext="edit" spidmax="6144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22 08:53:2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F982959-13A6-4632-9B19-2966532B2F87"/>
    <w:docVar w:name="LW_COVERPAGE_TYPE" w:val="1"/>
    <w:docVar w:name="LW_CROSSREFERENCE" w:val="&lt;UNUSED&gt;"/>
    <w:docVar w:name="LW_DocType" w:val="COM"/>
    <w:docVar w:name="LW_EMISSION" w:val="29. 3. 2021"/>
    <w:docVar w:name="LW_EMISSION_ISODATE" w:val="2021-03-29"/>
    <w:docVar w:name="LW_EMISSION_LOCATION" w:val="BRX"/>
    <w:docVar w:name="LW_EMISSION_PREFIX" w:val="V Bruseli"/>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NLE"/>
    <w:docVar w:name="LW_REF.II.NEW.CP_NUMBER" w:val="0073"/>
    <w:docVar w:name="LW_REF.II.NEW.CP_YEAR" w:val="2021"/>
    <w:docVar w:name="LW_REF.INST.NEW" w:val="COM"/>
    <w:docVar w:name="LW_REF.INST.NEW_ADOPTED" w:val="final"/>
    <w:docVar w:name="LW_REF.INST.NEW_TEXT" w:val="(2021) 1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ktorým sa Malte povo\u318?uje uplat\u328?ova\u357? osobitné opatrenie odchy\u318?ujúce sa od \u269?lánku 287 smernice 2006/112/ES o spolo\u269?nom systéme dane z pridanej hodnoty"/>
    <w:docVar w:name="LW_TYPE.DOC.CP" w:val="VYKONÁVACIE ROZHODNUTIE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k-S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k-S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94865">
      <w:bodyDiv w:val="1"/>
      <w:marLeft w:val="0"/>
      <w:marRight w:val="0"/>
      <w:marTop w:val="0"/>
      <w:marBottom w:val="0"/>
      <w:divBdr>
        <w:top w:val="none" w:sz="0" w:space="0" w:color="auto"/>
        <w:left w:val="none" w:sz="0" w:space="0" w:color="auto"/>
        <w:bottom w:val="none" w:sz="0" w:space="0" w:color="auto"/>
        <w:right w:val="none" w:sz="0" w:space="0" w:color="auto"/>
      </w:divBdr>
    </w:div>
    <w:div w:id="927731724">
      <w:bodyDiv w:val="1"/>
      <w:marLeft w:val="0"/>
      <w:marRight w:val="0"/>
      <w:marTop w:val="0"/>
      <w:marBottom w:val="0"/>
      <w:divBdr>
        <w:top w:val="none" w:sz="0" w:space="0" w:color="auto"/>
        <w:left w:val="none" w:sz="0" w:space="0" w:color="auto"/>
        <w:bottom w:val="none" w:sz="0" w:space="0" w:color="auto"/>
        <w:right w:val="none" w:sz="0" w:space="0" w:color="auto"/>
      </w:divBdr>
    </w:div>
    <w:div w:id="949816716">
      <w:bodyDiv w:val="1"/>
      <w:marLeft w:val="0"/>
      <w:marRight w:val="0"/>
      <w:marTop w:val="0"/>
      <w:marBottom w:val="0"/>
      <w:divBdr>
        <w:top w:val="none" w:sz="0" w:space="0" w:color="auto"/>
        <w:left w:val="none" w:sz="0" w:space="0" w:color="auto"/>
        <w:bottom w:val="none" w:sz="0" w:space="0" w:color="auto"/>
        <w:right w:val="none" w:sz="0" w:space="0" w:color="auto"/>
      </w:divBdr>
    </w:div>
    <w:div w:id="132705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5AB1308-9511-47F2-82F9-62B8FA22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10</Pages>
  <Words>2483</Words>
  <Characters>13956</Characters>
  <Application>Microsoft Office Word</Application>
  <DocSecurity>0</DocSecurity>
  <Lines>244</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2021-03-19T13:16:00Z</dcterms:created>
  <dcterms:modified xsi:type="dcterms:W3CDTF">2021-03-22T07:53:00Z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