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9C5" w:rsidRDefault="0047451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80AC35F-2993-42BF-946A-5C27AE4BDF9D" style="width:454.8pt;height:323.65pt">
            <v:imagedata r:id="rId11" o:title=""/>
          </v:shape>
        </w:pict>
      </w:r>
    </w:p>
    <w:bookmarkEnd w:id="0"/>
    <w:p w:rsidR="009529C5" w:rsidRDefault="009529C5">
      <w:pPr>
        <w:rPr>
          <w:noProof/>
        </w:rPr>
        <w:sectPr w:rsidR="009529C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9529C5" w:rsidRDefault="00474518">
      <w:pPr>
        <w:pStyle w:val="Typedudocument"/>
        <w:rPr>
          <w:noProof/>
        </w:rPr>
      </w:pPr>
      <w:r>
        <w:rPr>
          <w:noProof/>
        </w:rPr>
        <w:lastRenderedPageBreak/>
        <w:t>SPRÁVA KOMISIE EURÓPSKEMU PARLAMENTU, RADE, EURÓPSKEMU HOSPODÁRSKEMU A SOCIÁLNEMU VÝBORU A VÝBORU REGIÓNOV</w:t>
      </w:r>
    </w:p>
    <w:p w:rsidR="009529C5" w:rsidRDefault="00474518">
      <w:pPr>
        <w:pStyle w:val="Titreobjet"/>
        <w:rPr>
          <w:noProof/>
        </w:rPr>
      </w:pPr>
      <w:r>
        <w:rPr>
          <w:noProof/>
        </w:rPr>
        <w:t xml:space="preserve">o vykonávaní stratégie EÚ pre mládež </w:t>
      </w:r>
      <w:r>
        <w:rPr>
          <w:noProof/>
        </w:rPr>
        <w:t>(2019 – 2021)</w:t>
      </w:r>
    </w:p>
    <w:p w:rsidR="009529C5" w:rsidRDefault="009529C5">
      <w:pPr>
        <w:pStyle w:val="TOCHeading"/>
        <w:jc w:val="both"/>
        <w:rPr>
          <w:rFonts w:ascii="Times New Roman" w:eastAsiaTheme="minorHAnsi" w:hAnsi="Times New Roman" w:cs="Times New Roman"/>
          <w:noProof/>
          <w:color w:val="auto"/>
          <w:sz w:val="24"/>
          <w:szCs w:val="24"/>
          <w:lang w:eastAsia="en-GB"/>
        </w:rPr>
      </w:pPr>
    </w:p>
    <w:sdt>
      <w:sdtPr>
        <w:rPr>
          <w:rFonts w:ascii="Times New Roman" w:eastAsiaTheme="minorHAnsi" w:hAnsi="Times New Roman" w:cs="Times New Roman"/>
          <w:noProof/>
          <w:color w:val="auto"/>
          <w:sz w:val="24"/>
          <w:szCs w:val="24"/>
          <w:lang w:eastAsia="en-GB"/>
        </w:rPr>
        <w:id w:val="2035614410"/>
        <w:docPartObj>
          <w:docPartGallery w:val="Table of Contents"/>
          <w:docPartUnique/>
        </w:docPartObj>
      </w:sdtPr>
      <w:sdtEndPr>
        <w:rPr>
          <w:rFonts w:eastAsia="Times New Roman"/>
          <w:b/>
          <w:bCs/>
        </w:rPr>
      </w:sdtEndPr>
      <w:sdtContent>
        <w:p w:rsidR="009529C5" w:rsidRDefault="00474518">
          <w:pPr>
            <w:pStyle w:val="TOCHeading"/>
            <w:jc w:val="both"/>
            <w:rPr>
              <w:rFonts w:ascii="Times New Roman" w:hAnsi="Times New Roman" w:cs="Times New Roman"/>
              <w:noProof/>
              <w:color w:val="auto"/>
              <w:sz w:val="24"/>
              <w:szCs w:val="24"/>
            </w:rPr>
          </w:pPr>
          <w:r>
            <w:rPr>
              <w:rFonts w:ascii="Times New Roman" w:hAnsi="Times New Roman"/>
              <w:noProof/>
              <w:color w:val="auto"/>
              <w:sz w:val="24"/>
              <w:szCs w:val="24"/>
            </w:rPr>
            <w:t>Obsah</w:t>
          </w:r>
        </w:p>
        <w:p w:rsidR="009529C5" w:rsidRDefault="00474518">
          <w:pPr>
            <w:pStyle w:val="TOC1"/>
            <w:rPr>
              <w:rFonts w:eastAsiaTheme="minorEastAsia"/>
              <w:noProof/>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TOC \o "1-3" \h \z \u </w:instrText>
          </w:r>
          <w:r>
            <w:rPr>
              <w:rFonts w:ascii="Times New Roman" w:hAnsi="Times New Roman" w:cs="Times New Roman"/>
              <w:noProof/>
              <w:sz w:val="24"/>
              <w:szCs w:val="24"/>
            </w:rPr>
            <w:fldChar w:fldCharType="separate"/>
          </w:r>
          <w:hyperlink w:anchor="_Toc84944077" w:history="1">
            <w:r>
              <w:rPr>
                <w:rStyle w:val="Hyperlink"/>
                <w:rFonts w:ascii="Times New Roman" w:hAnsi="Times New Roman" w:cs="Times New Roman"/>
                <w:noProof/>
              </w:rPr>
              <w:t>1.</w:t>
            </w:r>
            <w:r>
              <w:rPr>
                <w:rFonts w:eastAsiaTheme="minorEastAsia"/>
                <w:noProof/>
              </w:rPr>
              <w:tab/>
            </w:r>
            <w:r>
              <w:rPr>
                <w:rStyle w:val="Hyperlink"/>
                <w:rFonts w:ascii="Times New Roman" w:hAnsi="Times New Roman"/>
                <w:noProof/>
              </w:rPr>
              <w:t>Úvod</w:t>
            </w:r>
            <w:r>
              <w:rPr>
                <w:noProof/>
                <w:webHidden/>
              </w:rPr>
              <w:tab/>
            </w:r>
            <w:r>
              <w:rPr>
                <w:noProof/>
                <w:webHidden/>
              </w:rPr>
              <w:fldChar w:fldCharType="begin"/>
            </w:r>
            <w:r>
              <w:rPr>
                <w:noProof/>
                <w:webHidden/>
              </w:rPr>
              <w:instrText xml:space="preserve"> PAGEREF _Toc84944077 \h </w:instrText>
            </w:r>
            <w:r>
              <w:rPr>
                <w:noProof/>
                <w:webHidden/>
              </w:rPr>
            </w:r>
            <w:r>
              <w:rPr>
                <w:noProof/>
                <w:webHidden/>
              </w:rPr>
              <w:fldChar w:fldCharType="separate"/>
            </w:r>
            <w:r>
              <w:rPr>
                <w:noProof/>
                <w:webHidden/>
              </w:rPr>
              <w:t>2</w:t>
            </w:r>
            <w:r>
              <w:rPr>
                <w:noProof/>
                <w:webHidden/>
              </w:rPr>
              <w:fldChar w:fldCharType="end"/>
            </w:r>
          </w:hyperlink>
        </w:p>
        <w:p w:rsidR="009529C5" w:rsidRDefault="00474518">
          <w:pPr>
            <w:pStyle w:val="TOC1"/>
            <w:rPr>
              <w:rFonts w:eastAsiaTheme="minorEastAsia"/>
              <w:noProof/>
            </w:rPr>
          </w:pPr>
          <w:hyperlink w:anchor="_Toc84944078" w:history="1">
            <w:r>
              <w:rPr>
                <w:rStyle w:val="Hyperlink"/>
                <w:rFonts w:ascii="Times New Roman" w:hAnsi="Times New Roman" w:cs="Times New Roman"/>
                <w:noProof/>
              </w:rPr>
              <w:t>2.</w:t>
            </w:r>
            <w:r>
              <w:rPr>
                <w:rFonts w:eastAsiaTheme="minorEastAsia"/>
                <w:noProof/>
              </w:rPr>
              <w:tab/>
            </w:r>
            <w:r>
              <w:rPr>
                <w:rStyle w:val="Hyperlink"/>
                <w:rFonts w:ascii="Times New Roman" w:hAnsi="Times New Roman"/>
                <w:noProof/>
              </w:rPr>
              <w:t>Aké je to byť mladý v dnešnej Európe?</w:t>
            </w:r>
            <w:r>
              <w:rPr>
                <w:noProof/>
                <w:webHidden/>
              </w:rPr>
              <w:tab/>
            </w:r>
            <w:r>
              <w:rPr>
                <w:noProof/>
                <w:webHidden/>
              </w:rPr>
              <w:fldChar w:fldCharType="begin"/>
            </w:r>
            <w:r>
              <w:rPr>
                <w:noProof/>
                <w:webHidden/>
              </w:rPr>
              <w:instrText xml:space="preserve"> PAGEREF _Toc84944078 \h </w:instrText>
            </w:r>
            <w:r>
              <w:rPr>
                <w:noProof/>
                <w:webHidden/>
              </w:rPr>
            </w:r>
            <w:r>
              <w:rPr>
                <w:noProof/>
                <w:webHidden/>
              </w:rPr>
              <w:fldChar w:fldCharType="separate"/>
            </w:r>
            <w:r>
              <w:rPr>
                <w:noProof/>
                <w:webHidden/>
              </w:rPr>
              <w:t>2</w:t>
            </w:r>
            <w:r>
              <w:rPr>
                <w:noProof/>
                <w:webHidden/>
              </w:rPr>
              <w:fldChar w:fldCharType="end"/>
            </w:r>
          </w:hyperlink>
        </w:p>
        <w:p w:rsidR="009529C5" w:rsidRDefault="00474518">
          <w:pPr>
            <w:pStyle w:val="TOC1"/>
            <w:rPr>
              <w:rFonts w:eastAsiaTheme="minorEastAsia"/>
              <w:noProof/>
            </w:rPr>
          </w:pPr>
          <w:hyperlink w:anchor="_Toc84944079" w:history="1">
            <w:r>
              <w:rPr>
                <w:rStyle w:val="Hyperlink"/>
                <w:rFonts w:ascii="Times New Roman" w:hAnsi="Times New Roman" w:cs="Times New Roman"/>
                <w:noProof/>
              </w:rPr>
              <w:t>3.</w:t>
            </w:r>
            <w:r>
              <w:rPr>
                <w:rFonts w:eastAsiaTheme="minorEastAsia"/>
                <w:noProof/>
              </w:rPr>
              <w:tab/>
            </w:r>
            <w:r>
              <w:rPr>
                <w:rStyle w:val="Hyperlink"/>
                <w:rFonts w:ascii="Times New Roman" w:hAnsi="Times New Roman"/>
                <w:noProof/>
              </w:rPr>
              <w:t>Postrehy zo sektora mládeže</w:t>
            </w:r>
            <w:r>
              <w:rPr>
                <w:noProof/>
                <w:webHidden/>
              </w:rPr>
              <w:tab/>
            </w:r>
            <w:r>
              <w:rPr>
                <w:noProof/>
                <w:webHidden/>
              </w:rPr>
              <w:fldChar w:fldCharType="begin"/>
            </w:r>
            <w:r>
              <w:rPr>
                <w:noProof/>
                <w:webHidden/>
              </w:rPr>
              <w:instrText xml:space="preserve"> PAGEREF _Toc84944079 \h </w:instrText>
            </w:r>
            <w:r>
              <w:rPr>
                <w:noProof/>
                <w:webHidden/>
              </w:rPr>
            </w:r>
            <w:r>
              <w:rPr>
                <w:noProof/>
                <w:webHidden/>
              </w:rPr>
              <w:fldChar w:fldCharType="separate"/>
            </w:r>
            <w:r>
              <w:rPr>
                <w:noProof/>
                <w:webHidden/>
              </w:rPr>
              <w:t>5</w:t>
            </w:r>
            <w:r>
              <w:rPr>
                <w:noProof/>
                <w:webHidden/>
              </w:rPr>
              <w:fldChar w:fldCharType="end"/>
            </w:r>
          </w:hyperlink>
        </w:p>
        <w:p w:rsidR="009529C5" w:rsidRDefault="00474518">
          <w:pPr>
            <w:pStyle w:val="TOC1"/>
            <w:rPr>
              <w:rFonts w:eastAsiaTheme="minorEastAsia"/>
              <w:noProof/>
            </w:rPr>
          </w:pPr>
          <w:hyperlink w:anchor="_Toc84944080" w:history="1">
            <w:r>
              <w:rPr>
                <w:rStyle w:val="Hyperlink"/>
                <w:rFonts w:ascii="Times New Roman" w:hAnsi="Times New Roman" w:cs="Times New Roman"/>
                <w:noProof/>
              </w:rPr>
              <w:t>4.</w:t>
            </w:r>
            <w:r>
              <w:rPr>
                <w:rFonts w:eastAsiaTheme="minorEastAsia"/>
                <w:noProof/>
              </w:rPr>
              <w:tab/>
            </w:r>
            <w:r>
              <w:rPr>
                <w:rStyle w:val="Hyperlink"/>
                <w:rFonts w:ascii="Times New Roman" w:hAnsi="Times New Roman"/>
                <w:noProof/>
              </w:rPr>
              <w:t>Pokrok pri plnení celkových cieľov</w:t>
            </w:r>
            <w:r>
              <w:rPr>
                <w:noProof/>
                <w:webHidden/>
              </w:rPr>
              <w:tab/>
            </w:r>
            <w:r>
              <w:rPr>
                <w:noProof/>
                <w:webHidden/>
              </w:rPr>
              <w:fldChar w:fldCharType="begin"/>
            </w:r>
            <w:r>
              <w:rPr>
                <w:noProof/>
                <w:webHidden/>
              </w:rPr>
              <w:instrText xml:space="preserve"> PAGEREF _Toc84944080 \h </w:instrText>
            </w:r>
            <w:r>
              <w:rPr>
                <w:noProof/>
                <w:webHidden/>
              </w:rPr>
            </w:r>
            <w:r>
              <w:rPr>
                <w:noProof/>
                <w:webHidden/>
              </w:rPr>
              <w:fldChar w:fldCharType="separate"/>
            </w:r>
            <w:r>
              <w:rPr>
                <w:noProof/>
                <w:webHidden/>
              </w:rPr>
              <w:t>6</w:t>
            </w:r>
            <w:r>
              <w:rPr>
                <w:noProof/>
                <w:webHidden/>
              </w:rPr>
              <w:fldChar w:fldCharType="end"/>
            </w:r>
          </w:hyperlink>
        </w:p>
        <w:p w:rsidR="009529C5" w:rsidRDefault="00474518">
          <w:pPr>
            <w:pStyle w:val="TOC2"/>
            <w:rPr>
              <w:rFonts w:eastAsiaTheme="minorEastAsia"/>
              <w:noProof/>
            </w:rPr>
          </w:pPr>
          <w:hyperlink w:anchor="_Toc84944081" w:history="1">
            <w:r>
              <w:rPr>
                <w:rStyle w:val="Hyperlink"/>
                <w:rFonts w:ascii="Times New Roman" w:hAnsi="Times New Roman"/>
                <w:noProof/>
              </w:rPr>
              <w:t>Zapájať</w:t>
            </w:r>
            <w:r>
              <w:rPr>
                <w:noProof/>
                <w:webHidden/>
              </w:rPr>
              <w:tab/>
            </w:r>
            <w:r>
              <w:rPr>
                <w:noProof/>
                <w:webHidden/>
              </w:rPr>
              <w:fldChar w:fldCharType="begin"/>
            </w:r>
            <w:r>
              <w:rPr>
                <w:noProof/>
                <w:webHidden/>
              </w:rPr>
              <w:instrText xml:space="preserve"> PAGEREF _Toc84944081 \h </w:instrText>
            </w:r>
            <w:r>
              <w:rPr>
                <w:noProof/>
                <w:webHidden/>
              </w:rPr>
            </w:r>
            <w:r>
              <w:rPr>
                <w:noProof/>
                <w:webHidden/>
              </w:rPr>
              <w:fldChar w:fldCharType="separate"/>
            </w:r>
            <w:r>
              <w:rPr>
                <w:noProof/>
                <w:webHidden/>
              </w:rPr>
              <w:t>8</w:t>
            </w:r>
            <w:r>
              <w:rPr>
                <w:noProof/>
                <w:webHidden/>
              </w:rPr>
              <w:fldChar w:fldCharType="end"/>
            </w:r>
          </w:hyperlink>
        </w:p>
        <w:p w:rsidR="009529C5" w:rsidRDefault="00474518">
          <w:pPr>
            <w:pStyle w:val="TOC2"/>
            <w:rPr>
              <w:rFonts w:eastAsiaTheme="minorEastAsia"/>
              <w:noProof/>
            </w:rPr>
          </w:pPr>
          <w:hyperlink w:anchor="_Toc84944082" w:history="1">
            <w:r>
              <w:rPr>
                <w:rStyle w:val="Hyperlink"/>
                <w:rFonts w:ascii="Times New Roman" w:hAnsi="Times New Roman"/>
                <w:noProof/>
              </w:rPr>
              <w:t>Spájať</w:t>
            </w:r>
            <w:r>
              <w:rPr>
                <w:noProof/>
                <w:webHidden/>
              </w:rPr>
              <w:tab/>
            </w:r>
            <w:r>
              <w:rPr>
                <w:noProof/>
                <w:webHidden/>
              </w:rPr>
              <w:fldChar w:fldCharType="begin"/>
            </w:r>
            <w:r>
              <w:rPr>
                <w:noProof/>
                <w:webHidden/>
              </w:rPr>
              <w:instrText xml:space="preserve"> PAGEREF _Toc84944082 \h </w:instrText>
            </w:r>
            <w:r>
              <w:rPr>
                <w:noProof/>
                <w:webHidden/>
              </w:rPr>
            </w:r>
            <w:r>
              <w:rPr>
                <w:noProof/>
                <w:webHidden/>
              </w:rPr>
              <w:fldChar w:fldCharType="separate"/>
            </w:r>
            <w:r>
              <w:rPr>
                <w:noProof/>
                <w:webHidden/>
              </w:rPr>
              <w:t>11</w:t>
            </w:r>
            <w:r>
              <w:rPr>
                <w:noProof/>
                <w:webHidden/>
              </w:rPr>
              <w:fldChar w:fldCharType="end"/>
            </w:r>
          </w:hyperlink>
        </w:p>
        <w:p w:rsidR="009529C5" w:rsidRDefault="00474518">
          <w:pPr>
            <w:pStyle w:val="TOC2"/>
            <w:rPr>
              <w:rFonts w:eastAsiaTheme="minorEastAsia"/>
              <w:noProof/>
            </w:rPr>
          </w:pPr>
          <w:hyperlink w:anchor="_Toc84944083" w:history="1">
            <w:r>
              <w:rPr>
                <w:rStyle w:val="Hyperlink"/>
                <w:rFonts w:ascii="Times New Roman" w:hAnsi="Times New Roman"/>
                <w:noProof/>
              </w:rPr>
              <w:t>Posilňovať postavenie</w:t>
            </w:r>
            <w:r>
              <w:rPr>
                <w:noProof/>
                <w:webHidden/>
              </w:rPr>
              <w:tab/>
            </w:r>
            <w:r>
              <w:rPr>
                <w:noProof/>
                <w:webHidden/>
              </w:rPr>
              <w:fldChar w:fldCharType="begin"/>
            </w:r>
            <w:r>
              <w:rPr>
                <w:noProof/>
                <w:webHidden/>
              </w:rPr>
              <w:instrText xml:space="preserve"> PAGEREF _Toc84944083 \h </w:instrText>
            </w:r>
            <w:r>
              <w:rPr>
                <w:noProof/>
                <w:webHidden/>
              </w:rPr>
            </w:r>
            <w:r>
              <w:rPr>
                <w:noProof/>
                <w:webHidden/>
              </w:rPr>
              <w:fldChar w:fldCharType="separate"/>
            </w:r>
            <w:r>
              <w:rPr>
                <w:noProof/>
                <w:webHidden/>
              </w:rPr>
              <w:t>12</w:t>
            </w:r>
            <w:r>
              <w:rPr>
                <w:noProof/>
                <w:webHidden/>
              </w:rPr>
              <w:fldChar w:fldCharType="end"/>
            </w:r>
          </w:hyperlink>
        </w:p>
        <w:p w:rsidR="009529C5" w:rsidRDefault="00474518">
          <w:pPr>
            <w:pStyle w:val="TOC1"/>
            <w:rPr>
              <w:rFonts w:eastAsiaTheme="minorEastAsia"/>
              <w:noProof/>
            </w:rPr>
          </w:pPr>
          <w:hyperlink w:anchor="_Toc84944084" w:history="1">
            <w:r>
              <w:rPr>
                <w:rStyle w:val="Hyperlink"/>
                <w:rFonts w:ascii="Times New Roman" w:hAnsi="Times New Roman" w:cs="Times New Roman"/>
                <w:noProof/>
              </w:rPr>
              <w:t>5.</w:t>
            </w:r>
            <w:r>
              <w:rPr>
                <w:rFonts w:eastAsiaTheme="minorEastAsia"/>
                <w:noProof/>
              </w:rPr>
              <w:tab/>
            </w:r>
            <w:r>
              <w:rPr>
                <w:rStyle w:val="Hyperlink"/>
                <w:rFonts w:ascii="Times New Roman" w:hAnsi="Times New Roman"/>
                <w:noProof/>
              </w:rPr>
              <w:t>Hlavné nástroje na podporu spolupráce a vzájomného učenia</w:t>
            </w:r>
            <w:r>
              <w:rPr>
                <w:noProof/>
                <w:webHidden/>
              </w:rPr>
              <w:tab/>
            </w:r>
            <w:r>
              <w:rPr>
                <w:noProof/>
                <w:webHidden/>
              </w:rPr>
              <w:fldChar w:fldCharType="begin"/>
            </w:r>
            <w:r>
              <w:rPr>
                <w:noProof/>
                <w:webHidden/>
              </w:rPr>
              <w:instrText xml:space="preserve"> PAGEREF _Toc84944084 \h </w:instrText>
            </w:r>
            <w:r>
              <w:rPr>
                <w:noProof/>
                <w:webHidden/>
              </w:rPr>
            </w:r>
            <w:r>
              <w:rPr>
                <w:noProof/>
                <w:webHidden/>
              </w:rPr>
              <w:fldChar w:fldCharType="separate"/>
            </w:r>
            <w:r>
              <w:rPr>
                <w:noProof/>
                <w:webHidden/>
              </w:rPr>
              <w:t>14</w:t>
            </w:r>
            <w:r>
              <w:rPr>
                <w:noProof/>
                <w:webHidden/>
              </w:rPr>
              <w:fldChar w:fldCharType="end"/>
            </w:r>
          </w:hyperlink>
        </w:p>
        <w:p w:rsidR="009529C5" w:rsidRDefault="00474518">
          <w:pPr>
            <w:pStyle w:val="TOC1"/>
            <w:rPr>
              <w:rFonts w:eastAsiaTheme="minorEastAsia"/>
              <w:noProof/>
            </w:rPr>
          </w:pPr>
          <w:hyperlink w:anchor="_Toc84944085" w:history="1">
            <w:r>
              <w:rPr>
                <w:rStyle w:val="Hyperlink"/>
                <w:rFonts w:ascii="Times New Roman" w:hAnsi="Times New Roman" w:cs="Times New Roman"/>
                <w:noProof/>
              </w:rPr>
              <w:t>6.</w:t>
            </w:r>
            <w:r>
              <w:rPr>
                <w:rFonts w:eastAsiaTheme="minorEastAsia"/>
                <w:noProof/>
              </w:rPr>
              <w:tab/>
            </w:r>
            <w:r>
              <w:rPr>
                <w:rStyle w:val="Hyperlink"/>
                <w:rFonts w:ascii="Times New Roman" w:hAnsi="Times New Roman"/>
                <w:noProof/>
              </w:rPr>
              <w:t>Závery a vyhliadky na budúcu spoluprácu EÚ v oblasti mládeže</w:t>
            </w:r>
            <w:r>
              <w:rPr>
                <w:noProof/>
                <w:webHidden/>
              </w:rPr>
              <w:tab/>
            </w:r>
            <w:r>
              <w:rPr>
                <w:noProof/>
                <w:webHidden/>
              </w:rPr>
              <w:fldChar w:fldCharType="begin"/>
            </w:r>
            <w:r>
              <w:rPr>
                <w:noProof/>
                <w:webHidden/>
              </w:rPr>
              <w:instrText xml:space="preserve"> PAGEREF _Toc84944085 \h </w:instrText>
            </w:r>
            <w:r>
              <w:rPr>
                <w:noProof/>
                <w:webHidden/>
              </w:rPr>
            </w:r>
            <w:r>
              <w:rPr>
                <w:noProof/>
                <w:webHidden/>
              </w:rPr>
              <w:fldChar w:fldCharType="separate"/>
            </w:r>
            <w:r>
              <w:rPr>
                <w:noProof/>
                <w:webHidden/>
              </w:rPr>
              <w:t>18</w:t>
            </w:r>
            <w:r>
              <w:rPr>
                <w:noProof/>
                <w:webHidden/>
              </w:rPr>
              <w:fldChar w:fldCharType="end"/>
            </w:r>
          </w:hyperlink>
        </w:p>
        <w:p w:rsidR="009529C5" w:rsidRDefault="00474518">
          <w:pPr>
            <w:jc w:val="both"/>
            <w:rPr>
              <w:noProof/>
            </w:rPr>
          </w:pPr>
          <w:r>
            <w:rPr>
              <w:b/>
              <w:bCs/>
              <w:noProof/>
            </w:rPr>
            <w:fldChar w:fldCharType="end"/>
          </w:r>
        </w:p>
      </w:sdtContent>
    </w:sdt>
    <w:p w:rsidR="009529C5" w:rsidRDefault="009529C5">
      <w:pPr>
        <w:pStyle w:val="Style1"/>
        <w:rPr>
          <w:noProof/>
        </w:rPr>
      </w:pPr>
    </w:p>
    <w:p w:rsidR="009529C5" w:rsidRDefault="00474518">
      <w:pPr>
        <w:pStyle w:val="Style1"/>
        <w:rPr>
          <w:rFonts w:eastAsiaTheme="majorEastAsia"/>
          <w:noProof/>
          <w:sz w:val="32"/>
        </w:rPr>
      </w:pPr>
      <w:r>
        <w:rPr>
          <w:noProof/>
        </w:rPr>
        <w:br w:type="page"/>
      </w:r>
      <w:bookmarkStart w:id="1" w:name="_GoBack"/>
      <w:bookmarkEnd w:id="1"/>
    </w:p>
    <w:p w:rsidR="009529C5" w:rsidRDefault="00474518">
      <w:pPr>
        <w:pStyle w:val="Heading1"/>
        <w:rPr>
          <w:rFonts w:ascii="Times New Roman" w:hAnsi="Times New Roman" w:cs="Times New Roman"/>
          <w:noProof/>
          <w:color w:val="000000" w:themeColor="text1"/>
        </w:rPr>
      </w:pPr>
      <w:bookmarkStart w:id="2" w:name="_Toc75989623"/>
      <w:bookmarkStart w:id="3" w:name="_Toc80954110"/>
      <w:bookmarkStart w:id="4" w:name="_Toc84944077"/>
      <w:r>
        <w:rPr>
          <w:rFonts w:ascii="Times New Roman" w:hAnsi="Times New Roman"/>
          <w:noProof/>
          <w:color w:val="000000" w:themeColor="text1"/>
        </w:rPr>
        <w:lastRenderedPageBreak/>
        <w:t>Úvod</w:t>
      </w:r>
      <w:bookmarkEnd w:id="2"/>
      <w:bookmarkEnd w:id="3"/>
      <w:bookmarkEnd w:id="4"/>
    </w:p>
    <w:p w:rsidR="009529C5" w:rsidRDefault="00474518">
      <w:pPr>
        <w:pStyle w:val="Style1"/>
        <w:rPr>
          <w:bCs/>
          <w:noProof/>
        </w:rPr>
      </w:pPr>
      <w:r>
        <w:rPr>
          <w:noProof/>
        </w:rPr>
        <w:t xml:space="preserve">Spolupráca EÚ v oblasti mládeže sa začala v roku 2002 </w:t>
      </w:r>
      <w:r>
        <w:rPr>
          <w:noProof/>
        </w:rPr>
        <w:t>a predstavuje politický rámec pre programy EÚ v oblasti mládeže vykonávané od roku 1988. Stratégia EÚ pre mládež na roky 2019 – 2027</w:t>
      </w:r>
      <w:r>
        <w:rPr>
          <w:rStyle w:val="FootnoteReference"/>
          <w:noProof/>
        </w:rPr>
        <w:footnoteReference w:id="2"/>
      </w:r>
      <w:r>
        <w:rPr>
          <w:noProof/>
        </w:rPr>
        <w:t xml:space="preserve"> je rámcom tretej generácie. Je založená na dvojakom prístupe: a) začleňovať iniciatívy relevantné pre mládež do všetkých o</w:t>
      </w:r>
      <w:r>
        <w:rPr>
          <w:noProof/>
        </w:rPr>
        <w:t>blastí politiky a b) riešiť hlavné oblasti v sektore mládeže: zapájať, spájať a posilňovať postavenie. V tejto správe EÚ o mládeži z roku 2021 sa hodnotí pokrok pri plnení cieľov a priorít stratégie EÚ pre mládež na roky 2019 – 2021. Zaoberá sa prvým trojr</w:t>
      </w:r>
      <w:r>
        <w:rPr>
          <w:noProof/>
        </w:rPr>
        <w:t>očným pracovným plánom EÚ pre mládež v rámci súčasnej stratégie EÚ pre mládež, ktorá sa vykonáva počas dvoch trojíc predsedníctiev Rady.</w:t>
      </w:r>
    </w:p>
    <w:p w:rsidR="009529C5" w:rsidRDefault="00474518">
      <w:pPr>
        <w:pStyle w:val="Heading1"/>
        <w:jc w:val="both"/>
        <w:rPr>
          <w:rFonts w:ascii="Times New Roman" w:hAnsi="Times New Roman" w:cs="Times New Roman"/>
          <w:noProof/>
          <w:color w:val="000000" w:themeColor="text1"/>
        </w:rPr>
      </w:pPr>
      <w:bookmarkStart w:id="5" w:name="_Toc75989624"/>
      <w:bookmarkStart w:id="6" w:name="_Toc80954111"/>
      <w:bookmarkStart w:id="7" w:name="_Toc84944078"/>
      <w:r>
        <w:rPr>
          <w:rFonts w:ascii="Times New Roman" w:hAnsi="Times New Roman"/>
          <w:noProof/>
          <w:color w:val="000000" w:themeColor="text1"/>
        </w:rPr>
        <w:t>Aké je to byť mladý v dnešnej Európe?</w:t>
      </w:r>
      <w:bookmarkEnd w:id="5"/>
      <w:bookmarkEnd w:id="6"/>
      <w:bookmarkEnd w:id="7"/>
    </w:p>
    <w:p w:rsidR="009529C5" w:rsidRDefault="00474518">
      <w:pPr>
        <w:pStyle w:val="Style1"/>
        <w:rPr>
          <w:noProof/>
        </w:rPr>
      </w:pPr>
      <w:r>
        <w:rPr>
          <w:noProof/>
        </w:rPr>
        <w:t>Ako naznačuje sprievodný pracovný dokument útvarov Komisie o situácii mládeže</w:t>
      </w:r>
      <w:r>
        <w:rPr>
          <w:rStyle w:val="FootnoteReference"/>
          <w:noProof/>
        </w:rPr>
        <w:footnoteReference w:id="3"/>
      </w:r>
      <w:r>
        <w:rPr>
          <w:noProof/>
        </w:rPr>
        <w:t>, p</w:t>
      </w:r>
      <w:r>
        <w:rPr>
          <w:noProof/>
        </w:rPr>
        <w:t>rístup mladých ľudí k príležitostiam týkajúcim sa vzdelávania, zamestnanosti, mobility a demokratickej účasti sa do konca roku 2019, a to až do vypuknutia pandémie ochorenia COVID-19, zlepšil. Pandémia mala za následok prerušenie vzdelávania, odbornej príp</w:t>
      </w:r>
      <w:r>
        <w:rPr>
          <w:noProof/>
        </w:rPr>
        <w:t>ravy a ďalších vzdelávacích činností, stratu zamestnania a kariérnych príležitostí, sociálnu izoláciu a problémy s duševným zdravím.</w:t>
      </w:r>
    </w:p>
    <w:p w:rsidR="009529C5" w:rsidRDefault="00474518">
      <w:pPr>
        <w:jc w:val="both"/>
        <w:rPr>
          <w:rFonts w:eastAsia="Calibri"/>
          <w:b/>
          <w:bCs/>
          <w:i/>
          <w:iCs/>
          <w:noProof/>
          <w:color w:val="000000" w:themeColor="text1"/>
        </w:rPr>
      </w:pPr>
      <w:r>
        <w:rPr>
          <w:b/>
          <w:bCs/>
          <w:i/>
          <w:iCs/>
          <w:noProof/>
          <w:color w:val="000000" w:themeColor="text1"/>
        </w:rPr>
        <w:t>Pred pandémiou ochorenia COVID-19: mladí ľudia v Európe boli čoraz mobilnejší a prepojenejší, ale existovali nedostatky v o</w:t>
      </w:r>
      <w:r>
        <w:rPr>
          <w:b/>
          <w:bCs/>
          <w:i/>
          <w:iCs/>
          <w:noProof/>
          <w:color w:val="000000" w:themeColor="text1"/>
        </w:rPr>
        <w:t>blasti vzdelávacej a sociálno-ekonomickej nerovnosti</w:t>
      </w:r>
    </w:p>
    <w:p w:rsidR="009529C5" w:rsidRDefault="00474518">
      <w:pPr>
        <w:pStyle w:val="Style1"/>
        <w:rPr>
          <w:noProof/>
        </w:rPr>
      </w:pPr>
      <w:r>
        <w:rPr>
          <w:noProof/>
        </w:rPr>
        <w:t>V roku 2019 žilo v EÚ28 približne 86 miliónov mladých ľudí</w:t>
      </w:r>
      <w:r>
        <w:rPr>
          <w:rStyle w:val="FootnoteReference"/>
          <w:noProof/>
          <w:lang w:eastAsia="fr-BE"/>
        </w:rPr>
        <w:footnoteReference w:id="4"/>
      </w:r>
      <w:r>
        <w:rPr>
          <w:noProof/>
        </w:rPr>
        <w:t xml:space="preserve"> (každý šiesty mal 15 až 29 rokov). Podiel mladých ľudí v celkovej populácii EÚ sa v rokoch 2010 až 2019 znížil o 1,8 percentuálneho bodu (najvy</w:t>
      </w:r>
      <w:r>
        <w:rPr>
          <w:noProof/>
        </w:rPr>
        <w:t>ššie poklesy boli pozorované v pobaltských a východoeurópskych regiónoch), čo potvrdzuje dlhodobý trend zmenšovania veľkosti populácie mladých ľudí. Súčasne sa však od 90. rokov minulého storočia zrýchlila migrácia mladých ľudí v rámci Európy a do nej.</w:t>
      </w:r>
    </w:p>
    <w:p w:rsidR="009529C5" w:rsidRDefault="00474518">
      <w:pPr>
        <w:pStyle w:val="Style1"/>
        <w:rPr>
          <w:noProof/>
        </w:rPr>
      </w:pPr>
      <w:r>
        <w:rPr>
          <w:noProof/>
        </w:rPr>
        <w:t>V r</w:t>
      </w:r>
      <w:r>
        <w:rPr>
          <w:noProof/>
        </w:rPr>
        <w:t>oku 2019 jeden z troch mladých ľudí v EÚ uvádzal, že býval v zahraničí najmenej dva týždne na účely štúdia, odbornej prípravy, práce, výmenného pobytu alebo dobrovoľníctva</w:t>
      </w:r>
      <w:r>
        <w:rPr>
          <w:rStyle w:val="FootnoteReference"/>
          <w:noProof/>
        </w:rPr>
        <w:footnoteReference w:id="5"/>
      </w:r>
      <w:r>
        <w:rPr>
          <w:noProof/>
        </w:rPr>
        <w:t>. Viac ako 40 % mladých ľudí, ktorí zvažovali odchod do zahraničia z dôvodu štúdia a</w:t>
      </w:r>
      <w:r>
        <w:rPr>
          <w:noProof/>
        </w:rPr>
        <w:t>lebo dobrovoľníctva, ale nikdy tak neurobili, uviedlo, že nemá potrebné finančné prostriedky, prípadne uviedlo rodinné, osobné alebo pracovné dôvody.</w:t>
      </w:r>
    </w:p>
    <w:p w:rsidR="009529C5" w:rsidRDefault="00474518">
      <w:pPr>
        <w:pStyle w:val="Style1"/>
        <w:rPr>
          <w:noProof/>
        </w:rPr>
      </w:pPr>
      <w:r>
        <w:rPr>
          <w:noProof/>
        </w:rPr>
        <w:t>V posledných rokoch boli európske hospodárstva až do vypuknutia pandémie ochorenia COVID-19 na ceste k zot</w:t>
      </w:r>
      <w:r>
        <w:rPr>
          <w:noProof/>
        </w:rPr>
        <w:t xml:space="preserve">aveniu sa z hospodárskej krízy. V roku 2019 však bolo viac ako 5 miliónov obyvateľov EÚ28 vo veku od 15 do 29 rokov stále nezamestnaných (6,3 % všetkých </w:t>
      </w:r>
      <w:r>
        <w:rPr>
          <w:noProof/>
        </w:rPr>
        <w:lastRenderedPageBreak/>
        <w:t>mladých ľudí vo veku 15 – 29 rokov alebo 11,1 % ekonomicky aktívnych mladých ľudí). Od roku 2015 do rok</w:t>
      </w:r>
      <w:r>
        <w:rPr>
          <w:noProof/>
        </w:rPr>
        <w:t xml:space="preserve">u 2019 sa miera nezamestnanosti mladých ľudí znížila vo všetkých členských štátoch EÚ, ale </w:t>
      </w:r>
      <w:r>
        <w:rPr>
          <w:noProof/>
          <w:color w:val="000000"/>
        </w:rPr>
        <w:t>vždy zostala viac než dvojnásobná oproti všeobecnej nezamestnanosti. V roku 2020 sa v súvislosti s pandémiou zvýšila miera nezamestnanosti mladých ľudí v EÚ27 z 11,9</w:t>
      </w:r>
      <w:r>
        <w:rPr>
          <w:noProof/>
          <w:color w:val="000000"/>
        </w:rPr>
        <w:t> % v roku 2019 na 13,3 %.</w:t>
      </w:r>
      <w:r>
        <w:rPr>
          <w:noProof/>
        </w:rPr>
        <w:t xml:space="preserve"> </w:t>
      </w:r>
      <w:r>
        <w:rPr>
          <w:noProof/>
          <w:color w:val="000000"/>
        </w:rPr>
        <w:t>Mladým ľuďom dlhšie trvá stabilne sa začleniť do trhu práce a zraniteľné skupiny zostávajú v pracovnom prostredí znevýhodnené.</w:t>
      </w:r>
    </w:p>
    <w:p w:rsidR="009529C5" w:rsidRDefault="00474518">
      <w:pPr>
        <w:pStyle w:val="Style1"/>
        <w:rPr>
          <w:noProof/>
        </w:rPr>
      </w:pPr>
      <w:r>
        <w:rPr>
          <w:noProof/>
        </w:rPr>
        <w:t>Mladí ľudia sa zapájajú do mnohých foriem občianskej a politickej účasti. Patria sem organizácie občian</w:t>
      </w:r>
      <w:r>
        <w:rPr>
          <w:noProof/>
        </w:rPr>
        <w:t>skej spoločnosti a sociálne hnutia alebo zapojenie do neinštitucionalizovaných foriem účasti, ako je napríklad globálne klimatické hnutie „Piatky za budúcnosť“ vedené mládežou. Aj hlasovanie vo voľbách považujú za dôležitú možnosť demokratickej účasti: via</w:t>
      </w:r>
      <w:r>
        <w:rPr>
          <w:noProof/>
        </w:rPr>
        <w:t>c ako dve tretiny mladých ľudí v EÚ hlasovali aspoň raz v komunálnych, národných alebo európskych voľbách. Rastúci trend sa potvrdil počas volieb do Európskeho parlamentu v roku 2019</w:t>
      </w:r>
      <w:r>
        <w:rPr>
          <w:rStyle w:val="FootnoteReference"/>
          <w:noProof/>
        </w:rPr>
        <w:footnoteReference w:id="6"/>
      </w:r>
      <w:r>
        <w:rPr>
          <w:noProof/>
        </w:rPr>
        <w:t xml:space="preserve">. Mladí ľudia takisto vnímajú EÚ pomerne alebo veľmi pozitívne a majú </w:t>
      </w:r>
      <w:r>
        <w:rPr>
          <w:noProof/>
        </w:rPr>
        <w:t>tendenciu jej viac dôverovať a cítiť sa spokojní s tým, ako funguje demokracia na vnútroštátnej a európskej úrovni, než starší dospelí.</w:t>
      </w:r>
    </w:p>
    <w:p w:rsidR="009529C5" w:rsidRDefault="00474518">
      <w:pPr>
        <w:pStyle w:val="Style1"/>
        <w:rPr>
          <w:noProof/>
        </w:rPr>
      </w:pPr>
      <w:r>
        <w:rPr>
          <w:noProof/>
        </w:rPr>
        <w:t>Používanie internetu je základnou súčasťou života mladých ľudí v EÚ28, pričom 90 % ho v roku 2019 používalo denne a 45 %</w:t>
      </w:r>
      <w:r>
        <w:rPr>
          <w:noProof/>
        </w:rPr>
        <w:t xml:space="preserve"> sa venovalo činnostiam elektronického učenia sa. Digitalizácia vytvorila veľa príležitostí na interakciu, učenie sa a účasť, ale prináša so sebou aj výzvy súvisiace s digitálnymi zručnosťami a digitálnou priepasťou, ako aj s potenciálnym vystavením škodli</w:t>
      </w:r>
      <w:r>
        <w:rPr>
          <w:noProof/>
        </w:rPr>
        <w:t xml:space="preserve">vému obsahu a kontaktu. Mladí Európania, najmä ľudia vo vidieckych a vzdialených regiónoch a s nižším stupňom formálneho vzdelania, sústavne uvádzajú obmedzené používanie internetu na komunikáciu s verejnými orgánmi, zapojenie sa do elektronického obchodu </w:t>
      </w:r>
      <w:r>
        <w:rPr>
          <w:noProof/>
        </w:rPr>
        <w:t>a kolaboratívneho hospodárstva. Medzi problémy patrí pripojiteľnosť, širokopásmový prístup a dostupnosť digitálnych zariadení. Keďže digitálne vybavenie a internetové pripojenie sa stali nevyhnutnými pre učenie sa, nerovnosti sa znásobujú aj z dôvodu súvis</w:t>
      </w:r>
      <w:r>
        <w:rPr>
          <w:noProof/>
        </w:rPr>
        <w:t>iacich nákladov na vzdelávanie.</w:t>
      </w:r>
    </w:p>
    <w:p w:rsidR="009529C5" w:rsidRDefault="00474518">
      <w:pPr>
        <w:spacing w:before="120" w:after="120"/>
        <w:jc w:val="both"/>
        <w:rPr>
          <w:b/>
          <w:i/>
          <w:noProof/>
          <w:color w:val="000000" w:themeColor="text1"/>
        </w:rPr>
      </w:pPr>
      <w:r>
        <w:rPr>
          <w:b/>
          <w:bCs/>
          <w:i/>
          <w:iCs/>
          <w:noProof/>
          <w:color w:val="000000" w:themeColor="text1"/>
        </w:rPr>
        <w:t>Pandémia ochorenia COVID-19</w:t>
      </w:r>
      <w:r>
        <w:rPr>
          <w:b/>
          <w:i/>
          <w:noProof/>
          <w:color w:val="000000" w:themeColor="text1"/>
        </w:rPr>
        <w:t xml:space="preserve"> viedla k: urýchleniu digitálnych trendov a silnému negatívnemu vplyvu na vzdelávanie, zamestnanosť a duševné zdravie</w:t>
      </w:r>
    </w:p>
    <w:p w:rsidR="009529C5" w:rsidRDefault="00474518">
      <w:pPr>
        <w:pStyle w:val="Style1"/>
        <w:rPr>
          <w:noProof/>
        </w:rPr>
      </w:pPr>
      <w:r>
        <w:rPr>
          <w:noProof/>
        </w:rPr>
        <w:t xml:space="preserve">Pandémia ochorenia COVID-19 ovplyvnila systémy vzdelávania a odbornej prípravy </w:t>
      </w:r>
      <w:r>
        <w:rPr>
          <w:noProof/>
        </w:rPr>
        <w:t>a vyvinula na ne bezprecedentný tlak na celom svete a v celej Európskej únii. Obmedzenia spôsobili veľké zmeny vo výučbe a v učení sa a v komunikácii a spolupráci v rámci vzdelávacích komunít. Tieto obmedzenia vplývali na študentov, ich rodiny, učiteľov, š</w:t>
      </w:r>
      <w:r>
        <w:rPr>
          <w:noProof/>
        </w:rPr>
        <w:t>koliteľov, výskumníkov a vedúcich predstaviteľov inštitúcií, ako aj na profesionálov z komunity, ktorí podporujú vzdelávanie a mládež.</w:t>
      </w:r>
    </w:p>
    <w:p w:rsidR="009529C5" w:rsidRDefault="00474518">
      <w:pPr>
        <w:pStyle w:val="Style1"/>
        <w:rPr>
          <w:noProof/>
        </w:rPr>
      </w:pPr>
      <w:r>
        <w:rPr>
          <w:noProof/>
        </w:rPr>
        <w:t>Učenie sa bolo často sťažené z dôvodu nedostatku blízkej interakcie s pedagógmi a so spolužiakmi, menej hĺbkového výkladu</w:t>
      </w:r>
      <w:r>
        <w:rPr>
          <w:noProof/>
        </w:rPr>
        <w:t xml:space="preserve"> a oneskorení. Bola ohrozená fyzická a emocionálna pohoda, pričom školy a univerzity neboli schopné ponúkať štruktúrované činnosti ani prístup k zariadeniam a podporným službám. Socializačný rozmer vzdelávania bol silne zasiahnutý a mnoho mladých ľudí zaži</w:t>
      </w:r>
      <w:r>
        <w:rPr>
          <w:noProof/>
        </w:rPr>
        <w:t xml:space="preserve">lo pocity izolácie, úzkosti a depresie. U mladých ľudí zo </w:t>
      </w:r>
      <w:r>
        <w:rPr>
          <w:noProof/>
        </w:rPr>
        <w:lastRenderedPageBreak/>
        <w:t>znevýhodneného prostredia navyše existovala väčšia pravdepodobnosť vystavenia stresujúcemu domácemu prostrediu.</w:t>
      </w:r>
    </w:p>
    <w:p w:rsidR="009529C5" w:rsidRDefault="00474518">
      <w:pPr>
        <w:pStyle w:val="Style1"/>
        <w:rPr>
          <w:noProof/>
        </w:rPr>
      </w:pPr>
      <w:r>
        <w:rPr>
          <w:noProof/>
        </w:rPr>
        <w:t>Pandémia zvýraznila už existujúce sociálno-ekonomické nerovnosti v možnostiach vzdeláv</w:t>
      </w:r>
      <w:r>
        <w:rPr>
          <w:noProof/>
        </w:rPr>
        <w:t>ania detí doma. Celé skupiny študentov boli vystavené riziku vylúčenia z online výučby a vzdelávania, a to vrátane študentov zo vzdialených a vidieckych oblastí, migrantov a utečencov, mladých ľudí so špeciálnymi výchovno-vzdelávacími potrebami a z iného z</w:t>
      </w:r>
      <w:r>
        <w:rPr>
          <w:noProof/>
        </w:rPr>
        <w:t>nevýhodneného prostredia. Mnohým rodinám a študentom chýbajú potrebné kompetencie, zdroje a vybavenie na zvládnutie dištančného vzdelávania. To predstavovalo hlavný problém pre tých študentov, ktorým by sa za bežných okolností poskytovala cielená podpora v</w:t>
      </w:r>
      <w:r>
        <w:rPr>
          <w:noProof/>
        </w:rPr>
        <w:t>zdelávania, dotované jedlá alebo prístup k rôznym mimoškolským aktivitám a mentorstvu.</w:t>
      </w:r>
    </w:p>
    <w:p w:rsidR="009529C5" w:rsidRDefault="00474518">
      <w:pPr>
        <w:pStyle w:val="Style1"/>
        <w:rPr>
          <w:noProof/>
        </w:rPr>
      </w:pPr>
      <w:r>
        <w:rPr>
          <w:noProof/>
        </w:rPr>
        <w:t>Stručne povedané, zatiaľ čo zatváranie vzdelávacích inštitúcií do určitej miery ovplyvnilo priebeh vzdelávania všetkých študentov, prechod na dištančné vzdelávanie mal n</w:t>
      </w:r>
      <w:r>
        <w:rPr>
          <w:noProof/>
        </w:rPr>
        <w:t>eprimerane negatívny vplyv na tých študentov, ktorí už boli znevýhodnení, čím sa zvýšila pravdepodobnosť, že študenti z rizikového prostredia so vzdelávaním skončia. Po neustálom znižovaní podielu mladých ľudí, ktorí nie sú zamestnaní, ani nie sú v procese</w:t>
      </w:r>
      <w:r>
        <w:rPr>
          <w:noProof/>
        </w:rPr>
        <w:t xml:space="preserve"> vzdelávania alebo odbornej prípravy (NEET) v predchádzajúcich rokoch sa v roku 2020 tieto čísla vrátili na úroveň z roku 2017 (13,7 %). Prvé vyhodnotenie dostupných dôkazov poukazuje aj na nárast miery sociálneho vylúčenia za posledný rok. Mladí ľudia a d</w:t>
      </w:r>
      <w:r>
        <w:rPr>
          <w:noProof/>
        </w:rPr>
        <w:t>eti sú najohrozenejšími skupinami, najmä keď už sú znevýhodnené. Strednodobé a dlhodobé dôsledky tohto narušenia nie sú zatiaľ jasné, ale môžu ovplyvniť budúcu mieru predčasného ukončenia školskej dochádzky a úroveň získavania zručností a vzdelávacích výst</w:t>
      </w:r>
      <w:r>
        <w:rPr>
          <w:noProof/>
        </w:rPr>
        <w:t>upov.</w:t>
      </w:r>
    </w:p>
    <w:p w:rsidR="009529C5" w:rsidRDefault="00474518">
      <w:pPr>
        <w:pStyle w:val="Style1"/>
        <w:rPr>
          <w:noProof/>
        </w:rPr>
      </w:pPr>
      <w:r>
        <w:rPr>
          <w:noProof/>
        </w:rPr>
        <w:t>Pandémia ochorenia COVID-19 má navyše nebývalý vplyv na duševné a emocionálne zdravie mladých ľudí, čo predstavovalo problém už pred ňou. Dramaticky transformuje ich medziľudské vzťahy a vyvoláva pocity vážneho znepokojenia a obáv. Deti, mladiství a </w:t>
      </w:r>
      <w:r>
        <w:rPr>
          <w:noProof/>
        </w:rPr>
        <w:t>mladí dospelí sú mimoriadne zasiahnutí narušením rodinných a sociálnych väzieb, pričom hospodárska kríza vyvolaná zákazmi vychádzania zasiahla predovšetkým mladých Európanov</w:t>
      </w:r>
      <w:r>
        <w:rPr>
          <w:rStyle w:val="FootnoteReference"/>
          <w:noProof/>
        </w:rPr>
        <w:footnoteReference w:id="7"/>
      </w:r>
      <w:r>
        <w:rPr>
          <w:noProof/>
        </w:rPr>
        <w:t>.</w:t>
      </w:r>
    </w:p>
    <w:p w:rsidR="009529C5" w:rsidRDefault="00474518">
      <w:pPr>
        <w:pStyle w:val="Style1"/>
        <w:rPr>
          <w:noProof/>
        </w:rPr>
      </w:pPr>
      <w:r>
        <w:rPr>
          <w:noProof/>
        </w:rPr>
        <w:t>Pandémia ochorenia COVID-19 zhoršila už existujúce nerovnosti medzi mladými Euró</w:t>
      </w:r>
      <w:r>
        <w:rPr>
          <w:noProof/>
        </w:rPr>
        <w:t>panmi na trhu práce v porovnaní so zvyškom pracujúcej populácie. Hoci sa miera nezamestnanosti v roku 2020 zvýšila vo všetkých vekových skupinách, nárast bol výraznejší u mladých ľudí. Porovnanie miery nezamestnanosti mladých ľudí v rokoch 2019 a 2020 ukaz</w:t>
      </w:r>
      <w:r>
        <w:rPr>
          <w:noProof/>
        </w:rPr>
        <w:t>uje, že klesajúci trend v rokoch 2013 – 2019 sa v roku 2020 otočil vo všetkých vekových skupinách mladých ľudí.</w:t>
      </w:r>
    </w:p>
    <w:p w:rsidR="009529C5" w:rsidRDefault="00474518">
      <w:pPr>
        <w:pStyle w:val="Style1"/>
        <w:rPr>
          <w:noProof/>
        </w:rPr>
      </w:pPr>
      <w:r>
        <w:rPr>
          <w:noProof/>
        </w:rPr>
        <w:t>Kríza postihla najviac odvetvia, v ktorých pracuje väčšina mladých Európanov (napr. maloobchod, ubytovacie a stravovacie služby). Zasiahnuté bud</w:t>
      </w:r>
      <w:r>
        <w:rPr>
          <w:noProof/>
        </w:rPr>
        <w:t xml:space="preserve">ú pravdepodobne najmä mladé ženy, pretože sú v týchto odvetviach zamestnané vo väčšej miere ako mladí muži. Osoby, ktoré majú stabilné zamestnanie, kde je možná telepráca, boli nezamestnanosťou ovplyvnené </w:t>
      </w:r>
      <w:r>
        <w:rPr>
          <w:noProof/>
        </w:rPr>
        <w:lastRenderedPageBreak/>
        <w:t>menej ako osoby, ktoré majú neisté pracovné zmluvy,</w:t>
      </w:r>
      <w:r>
        <w:rPr>
          <w:noProof/>
        </w:rPr>
        <w:t xml:space="preserve"> najmä v odvetviach, kde telepráca možná nie je.</w:t>
      </w:r>
    </w:p>
    <w:p w:rsidR="009529C5" w:rsidRDefault="00474518">
      <w:pPr>
        <w:pStyle w:val="Style1"/>
        <w:rPr>
          <w:noProof/>
        </w:rPr>
      </w:pPr>
      <w:r>
        <w:rPr>
          <w:noProof/>
        </w:rPr>
        <w:t xml:space="preserve">Keďže väčšina mladých ľudí používa na prístup k informáciám sociálne médiá (65 %, Eurobarometer, 2019), Komisia podporila mediálnu gramotnosť s cieľom pomôcť mladým ľuďom v boji proti dezinformáciám vrátane </w:t>
      </w:r>
      <w:r>
        <w:rPr>
          <w:noProof/>
        </w:rPr>
        <w:t>informácií o ochorení COVID-19. Mladí Európania pri konfrontácii so správami o pandémii v roku 2020 reagovali tak, že najviac dôverovali vedeckým zdrojom informácií, po ktorých nasledovali webové stránky jednotlivých vlád</w:t>
      </w:r>
      <w:r>
        <w:rPr>
          <w:rStyle w:val="FootnoteReference"/>
          <w:noProof/>
        </w:rPr>
        <w:footnoteReference w:id="8"/>
      </w:r>
      <w:r>
        <w:rPr>
          <w:noProof/>
        </w:rPr>
        <w:t>. Mladým ľuďom sa podarilo preukáz</w:t>
      </w:r>
      <w:r>
        <w:rPr>
          <w:noProof/>
        </w:rPr>
        <w:t>ať veľkú odolnosť a podieľali sa aj na zmiernení vplyvu pandémie. Veľa z nich sa zapojilo do dobrovoľníckych a medzigeneračných podporných činností.</w:t>
      </w:r>
    </w:p>
    <w:p w:rsidR="009529C5" w:rsidRDefault="00474518">
      <w:pPr>
        <w:pStyle w:val="Heading1"/>
        <w:rPr>
          <w:rFonts w:ascii="Times New Roman" w:hAnsi="Times New Roman"/>
          <w:noProof/>
          <w:color w:val="000000" w:themeColor="text1"/>
        </w:rPr>
      </w:pPr>
      <w:bookmarkStart w:id="8" w:name="_Toc75989625"/>
      <w:bookmarkStart w:id="9" w:name="_Toc80954112"/>
      <w:bookmarkStart w:id="10" w:name="_Toc84944079"/>
      <w:r>
        <w:rPr>
          <w:rFonts w:ascii="Times New Roman" w:hAnsi="Times New Roman"/>
          <w:noProof/>
          <w:color w:val="000000" w:themeColor="text1"/>
        </w:rPr>
        <w:t>Postrehy zo sektora mládeže</w:t>
      </w:r>
      <w:bookmarkEnd w:id="8"/>
      <w:bookmarkEnd w:id="9"/>
      <w:bookmarkEnd w:id="10"/>
    </w:p>
    <w:p w:rsidR="009529C5" w:rsidRDefault="00474518">
      <w:pPr>
        <w:pStyle w:val="Style1"/>
        <w:rPr>
          <w:noProof/>
        </w:rPr>
      </w:pPr>
      <w:r>
        <w:rPr>
          <w:noProof/>
        </w:rPr>
        <w:t xml:space="preserve">Mládežnícke organizácie a organizácie pôsobiace v oblasti práce s mládežou </w:t>
      </w:r>
      <w:r>
        <w:rPr>
          <w:noProof/>
        </w:rPr>
        <w:t>prispievajú k množstvu európskych politík, akými sú vzdelávanie, začlenenie, zdravie a zamestnanosť. Sú kľúčovými partnermi aj pri vykonávaní stratégie EÚ pre mládež. V štúdii o profile zastúpenia mládeže v EÚ</w:t>
      </w:r>
      <w:r>
        <w:rPr>
          <w:rStyle w:val="FootnoteReference"/>
          <w:noProof/>
        </w:rPr>
        <w:footnoteReference w:id="9"/>
      </w:r>
      <w:r>
        <w:rPr>
          <w:noProof/>
        </w:rPr>
        <w:t xml:space="preserve"> z roku 2019 sa uvádza, že sektor mládeže v EÚ</w:t>
      </w:r>
      <w:r>
        <w:rPr>
          <w:noProof/>
        </w:rPr>
        <w:t xml:space="preserve"> vo všeobecnosti rastie a že tradičné mládežnícke štruktúry, ako sú mimovládne organizácie (MVO) a siete, naďalej zohrávajú kľúčovú úlohu. Tieto štruktúry čoraz častejšie používajú na oslovovanie verejnosti online metódy, čo platilo dokonca aj pred pandémi</w:t>
      </w:r>
      <w:r>
        <w:rPr>
          <w:noProof/>
        </w:rPr>
        <w:t>ou ochorenia COVID-19. MVO často kombinujú online sociálne médiá s fyzickou angažovanosťou „v teréne“, ako je spolupráca so školami, práca s mládežou a nábor na zhromaždeniach.</w:t>
      </w:r>
    </w:p>
    <w:p w:rsidR="009529C5" w:rsidRDefault="00474518">
      <w:pPr>
        <w:pStyle w:val="Style1"/>
        <w:rPr>
          <w:noProof/>
        </w:rPr>
      </w:pPr>
      <w:r>
        <w:rPr>
          <w:noProof/>
        </w:rPr>
        <w:t>Komisia pozorne monitoruje situáciu v odvetví práce s mládežou v EÚ pomocou špe</w:t>
      </w:r>
      <w:r>
        <w:rPr>
          <w:noProof/>
        </w:rPr>
        <w:t>cializovaných nástrojov, ako je napríklad Centrum znalostí o ochorení COVID-19, ktoré bolo spustené v roku 2020 v spolupráci s Radou Európy. V analýze uskutočnenej centrom znalostí sa zdôrazňuje, že 70 % organizácií nedokázalo zachovať viac ako 20 % svojic</w:t>
      </w:r>
      <w:r>
        <w:rPr>
          <w:noProof/>
        </w:rPr>
        <w:t>h činností, takmer 60 % z nich muselo prehodnotiť, ako fungujú a ako prejsť na digitalizáciu, a viac ako 85 % bolo pre pandémiu nútených zrušiť jedno alebo viac podujatí. Vplyvy na zastúpenie mládeže vrátane vážnych obmedzení fyzickej angažovanosti treba e</w:t>
      </w:r>
      <w:r>
        <w:rPr>
          <w:noProof/>
        </w:rPr>
        <w:t>šte dôkladnejšie posúdiť.</w:t>
      </w:r>
    </w:p>
    <w:p w:rsidR="009529C5" w:rsidRDefault="00474518">
      <w:pPr>
        <w:pStyle w:val="Style1"/>
        <w:rPr>
          <w:noProof/>
        </w:rPr>
      </w:pPr>
      <w:r>
        <w:rPr>
          <w:noProof/>
        </w:rPr>
        <w:t>Štúdia o práci s mládežou v EÚ</w:t>
      </w:r>
      <w:r>
        <w:rPr>
          <w:rStyle w:val="FootnoteReference"/>
          <w:noProof/>
        </w:rPr>
        <w:footnoteReference w:id="10"/>
      </w:r>
      <w:r>
        <w:rPr>
          <w:noProof/>
        </w:rPr>
        <w:t xml:space="preserve"> z roku 2021 sa zamerala na potreby pracovníkov s mládežou na miestnej úrovni a na existujúce verejné politiky v kontexte pandémie. Uvádza sa v nej, že súčasná situácia zvýšila potrebu ďalších zdrojo</w:t>
      </w:r>
      <w:r>
        <w:rPr>
          <w:noProof/>
        </w:rPr>
        <w:t>v na kompenzáciu dodatočných nákladov alebo na kompenzáciu výpadkov rozpočtu a lepšieho prístupu k digitálnej infraštruktúre a materiálu. Zintenzívnením využívania potenciálu digitálnych nástrojov na prácu s mládežou by sa pomohlo posilniť znalosti mladých</w:t>
      </w:r>
      <w:r>
        <w:rPr>
          <w:noProof/>
        </w:rPr>
        <w:t xml:space="preserve"> ľudí o digitálnych technológiách a povedomie o možných súvisiacich rizikách.</w:t>
      </w:r>
    </w:p>
    <w:p w:rsidR="009529C5" w:rsidRDefault="00474518">
      <w:pPr>
        <w:pStyle w:val="Heading1"/>
        <w:rPr>
          <w:rFonts w:ascii="Times New Roman" w:hAnsi="Times New Roman"/>
          <w:noProof/>
          <w:color w:val="000000" w:themeColor="text1"/>
        </w:rPr>
      </w:pPr>
      <w:bookmarkStart w:id="11" w:name="_Toc75989626"/>
      <w:bookmarkStart w:id="12" w:name="_Toc80954113"/>
      <w:bookmarkStart w:id="13" w:name="_Toc84944080"/>
      <w:r>
        <w:rPr>
          <w:rFonts w:ascii="Times New Roman" w:hAnsi="Times New Roman"/>
          <w:noProof/>
          <w:color w:val="000000" w:themeColor="text1"/>
        </w:rPr>
        <w:lastRenderedPageBreak/>
        <w:t>Pokrok pri plnení celkových cieľov</w:t>
      </w:r>
      <w:bookmarkEnd w:id="11"/>
      <w:bookmarkEnd w:id="12"/>
      <w:bookmarkEnd w:id="13"/>
    </w:p>
    <w:p w:rsidR="009529C5" w:rsidRDefault="00474518">
      <w:pPr>
        <w:pStyle w:val="Style1"/>
        <w:rPr>
          <w:noProof/>
        </w:rPr>
      </w:pPr>
      <w:r>
        <w:rPr>
          <w:noProof/>
        </w:rPr>
        <w:t xml:space="preserve">Prístup Komisie k dosahovaniu cieľov stratégie EÚ pre mládež odzrkadľuje rastúce snahy mladých ľudí angažovať sa a prispievať k tomu, aby boli </w:t>
      </w:r>
      <w:r>
        <w:rPr>
          <w:noProof/>
        </w:rPr>
        <w:t>naše spoločnosti inkluzívnejšie, odolnejšie, zelenšie a digitálnejšie. Mladí ľudia sa usilujú spájať, vymieňať si názory a spolupracovať v celej Európe i mimo nej. Zabezpečenie mladých ľudí a sektora mládeže je jadrom vykonávania stratégie.</w:t>
      </w:r>
    </w:p>
    <w:p w:rsidR="009529C5" w:rsidRDefault="00474518">
      <w:pPr>
        <w:pStyle w:val="Style1"/>
        <w:rPr>
          <w:noProof/>
        </w:rPr>
      </w:pPr>
      <w:r>
        <w:rPr>
          <w:noProof/>
        </w:rPr>
        <w:t>Roky 2020 a 202</w:t>
      </w:r>
      <w:r>
        <w:rPr>
          <w:noProof/>
        </w:rPr>
        <w:t>1 boli z hľadiska medzinárodných výmenných pobytov mládeže a cezhraničných dobrovoľníckych činností atypické, keďže pandémia vážne ovplyvňuje vykonávanie projektov mobility mládeže. Riešenie vplyvu pandémie na deti a mládež sa preto už od jej vypuknutia na</w:t>
      </w:r>
      <w:r>
        <w:rPr>
          <w:noProof/>
        </w:rPr>
        <w:t>chádza v programe Komisie na popredných miestach. Komisia v minulom roku upravila nástroje, ako sú Erasmus+ a Európsky zbor solidarity, aby na tieto narušenia reagovala ponukou alternatívnych riešení ich činností, a to najmä digitálnych riešení.</w:t>
      </w:r>
    </w:p>
    <w:p w:rsidR="009529C5" w:rsidRDefault="00474518">
      <w:pPr>
        <w:pStyle w:val="Style1"/>
        <w:rPr>
          <w:noProof/>
        </w:rPr>
      </w:pPr>
      <w:r>
        <w:rPr>
          <w:noProof/>
        </w:rPr>
        <w:t>Pandémia v</w:t>
      </w:r>
      <w:r>
        <w:rPr>
          <w:noProof/>
        </w:rPr>
        <w:t> rokoch 2020 – 2021 výrazne ovplyvnila aj vykonávanie stratégie EÚ pre mládež. Niektoré akcie plánované v pracovnom pláne EÚ pre mládež na roky 2019 – 2021 bolo potrebné upraviť, presunúť na iný termín alebo dokonca zrušiť. Pandémia vážne narušila projekty</w:t>
      </w:r>
      <w:r>
        <w:rPr>
          <w:noProof/>
        </w:rPr>
        <w:t xml:space="preserve"> mobility mládeže.</w:t>
      </w:r>
    </w:p>
    <w:p w:rsidR="009529C5" w:rsidRDefault="00474518">
      <w:pPr>
        <w:pStyle w:val="Style1"/>
        <w:rPr>
          <w:b/>
          <w:bCs/>
          <w:noProof/>
        </w:rPr>
      </w:pPr>
      <w:r>
        <w:rPr>
          <w:b/>
          <w:bCs/>
          <w:noProof/>
        </w:rPr>
        <w:t>Zlepšenie rovnakého prístupu mladých ľudí k príležitostiam – vzdelávanie, odborná príprava, učenie sa, vyhliadky na zamestnanie</w:t>
      </w:r>
    </w:p>
    <w:p w:rsidR="009529C5" w:rsidRDefault="00474518">
      <w:pPr>
        <w:pStyle w:val="Style1"/>
        <w:rPr>
          <w:noProof/>
        </w:rPr>
      </w:pPr>
      <w:r>
        <w:rPr>
          <w:noProof/>
        </w:rPr>
        <w:t>EÚ za posledné tri roky vyvinula množstvo aktivít pre mládež a s mládežou, a to za pomoci finančných programo</w:t>
      </w:r>
      <w:r>
        <w:rPr>
          <w:noProof/>
        </w:rPr>
        <w:t xml:space="preserve">v na podporu politických priorít a so všeobecným cieľom zlepšiť rovnaký prístup k príležitostiam pre mladých ľudí. </w:t>
      </w:r>
      <w:r>
        <w:rPr>
          <w:b/>
          <w:bCs/>
          <w:noProof/>
        </w:rPr>
        <w:t>„Vytváranie príležitostí pre mládež“</w:t>
      </w:r>
      <w:r>
        <w:rPr>
          <w:noProof/>
        </w:rPr>
        <w:t xml:space="preserve"> bolo aj spoločnou témou trojice predsedníctiev Rady EÚ </w:t>
      </w:r>
      <w:r>
        <w:rPr>
          <w:b/>
          <w:bCs/>
          <w:noProof/>
        </w:rPr>
        <w:t>Rumunsko-Fínsko-Chorvátsko</w:t>
      </w:r>
      <w:r>
        <w:rPr>
          <w:noProof/>
        </w:rPr>
        <w:t xml:space="preserve"> od januára 2019 do jún</w:t>
      </w:r>
      <w:r>
        <w:rPr>
          <w:noProof/>
        </w:rPr>
        <w:t>a 2020.</w:t>
      </w:r>
    </w:p>
    <w:p w:rsidR="009529C5" w:rsidRDefault="00474518">
      <w:pPr>
        <w:pStyle w:val="Style1"/>
        <w:rPr>
          <w:rStyle w:val="IntenseEmphasis"/>
          <w:i w:val="0"/>
          <w:iCs w:val="0"/>
          <w:noProof/>
          <w:color w:val="000000" w:themeColor="text1"/>
        </w:rPr>
      </w:pPr>
      <w:r>
        <w:rPr>
          <w:b/>
          <w:bCs/>
          <w:noProof/>
        </w:rPr>
        <w:t>Erasmus+</w:t>
      </w:r>
      <w:r>
        <w:rPr>
          <w:noProof/>
        </w:rPr>
        <w:t xml:space="preserve"> a </w:t>
      </w:r>
      <w:r>
        <w:rPr>
          <w:b/>
          <w:bCs/>
          <w:noProof/>
        </w:rPr>
        <w:t>Európsky zbor solidarity</w:t>
      </w:r>
      <w:r>
        <w:rPr>
          <w:noProof/>
        </w:rPr>
        <w:t xml:space="preserve"> podporujú vzdelávaciu mobilitu, dobrovoľníctvo a demokratickú angažovanosť s neoceniteľnými príležitosťami pre mladých ľudí na rozšírenie ich obzorov, rozvoj nových zručností a posilnenie ich pocitu príslušnosti k EÚ. Vďaka zvýšenému rozpočtu v porovnaní </w:t>
      </w:r>
      <w:r>
        <w:rPr>
          <w:noProof/>
        </w:rPr>
        <w:t>s rokmi 2014 – 2020 a zahrnutiu nových špecializovaných akcií sú nové programy na roky 2021 – 2027 účinnými nástrojmi na riešenie mnohých výziev, ktorým naša mladšia generácia čelí.</w:t>
      </w:r>
      <w:r>
        <w:rPr>
          <w:rStyle w:val="IntenseEmphasis"/>
          <w:i w:val="0"/>
          <w:iCs w:val="0"/>
          <w:noProof/>
          <w:color w:val="000000" w:themeColor="text1"/>
        </w:rPr>
        <w:t xml:space="preserve"> Na základe získaných poznatkov z predchádzajúceho programu je Erasmus+ na </w:t>
      </w:r>
      <w:r>
        <w:rPr>
          <w:rStyle w:val="IntenseEmphasis"/>
          <w:i w:val="0"/>
          <w:iCs w:val="0"/>
          <w:noProof/>
          <w:color w:val="000000" w:themeColor="text1"/>
        </w:rPr>
        <w:t>roky 2021 – 2027 inkluzívnejší a prístupnejší a naďalej podporuje celoživotné a inovačné vzdelávanie a odbornú prípravu v Európe i mimo nej.</w:t>
      </w:r>
    </w:p>
    <w:p w:rsidR="009529C5" w:rsidRDefault="00474518">
      <w:pPr>
        <w:pStyle w:val="Style1"/>
        <w:rPr>
          <w:rFonts w:eastAsiaTheme="minorEastAsia"/>
          <w:noProof/>
        </w:rPr>
      </w:pPr>
      <w:r>
        <w:rPr>
          <w:noProof/>
        </w:rPr>
        <w:t>Vzhľadom na pandémiu ešte nikdy nebolo také dôležité obmedziť štrukturálne prekážky vo vzdelávaní a v rozvoji zručn</w:t>
      </w:r>
      <w:r>
        <w:rPr>
          <w:noProof/>
        </w:rPr>
        <w:t>ostí, ktoré majú vplyv na vyhliadky mladých ľudí na zamestnanie a ich účasť v spoločnosti. Cieľom oznámenia Komisie o </w:t>
      </w:r>
      <w:r>
        <w:rPr>
          <w:b/>
          <w:bCs/>
          <w:noProof/>
        </w:rPr>
        <w:t>vytvorení európskeho vzdelávacieho priestoru</w:t>
      </w:r>
      <w:r>
        <w:rPr>
          <w:noProof/>
        </w:rPr>
        <w:t xml:space="preserve"> do roku 2025</w:t>
      </w:r>
      <w:r>
        <w:rPr>
          <w:rStyle w:val="FootnoteReference"/>
          <w:noProof/>
        </w:rPr>
        <w:footnoteReference w:id="11"/>
      </w:r>
      <w:r>
        <w:rPr>
          <w:noProof/>
        </w:rPr>
        <w:t xml:space="preserve"> je ďalšie zvýšenie kvality a inkluzívnosti vnútroštátnych systémov vzdelávania </w:t>
      </w:r>
      <w:r>
        <w:rPr>
          <w:noProof/>
        </w:rPr>
        <w:t xml:space="preserve">a odbornej prípravy a odstránenie prekážok cezhraničného vzdelávania. Nové </w:t>
      </w:r>
      <w:r>
        <w:rPr>
          <w:b/>
          <w:noProof/>
        </w:rPr>
        <w:t>oznámenie o európskom výskumnom priestore</w:t>
      </w:r>
      <w:r>
        <w:rPr>
          <w:rStyle w:val="FootnoteReference"/>
          <w:rFonts w:eastAsia="Times"/>
          <w:b/>
          <w:noProof/>
        </w:rPr>
        <w:footnoteReference w:id="12"/>
      </w:r>
      <w:r>
        <w:rPr>
          <w:noProof/>
        </w:rPr>
        <w:t xml:space="preserve"> sa zameriava na zlepšovanie zručností a rekvalifikáciu výskumných pracovníkov s cieľom </w:t>
      </w:r>
      <w:r>
        <w:rPr>
          <w:noProof/>
        </w:rPr>
        <w:lastRenderedPageBreak/>
        <w:t>zaistiť zamestnateľnosť a účinnosť. Podporujú sa sy</w:t>
      </w:r>
      <w:r>
        <w:rPr>
          <w:noProof/>
        </w:rPr>
        <w:t>nergie medzi vysokoškolským vzdelávaním a výskumom, pričom sa vychádza z iniciatívy Európske univerzity podporovanej z programu Erasmus+ a doplnenej programami Horizont 2020 a Horizont Európa. Komisia spolu so zainteresovanými stranami a s členskými štátmi</w:t>
      </w:r>
      <w:r>
        <w:rPr>
          <w:noProof/>
        </w:rPr>
        <w:t xml:space="preserve"> spoluvytvára aj </w:t>
      </w:r>
      <w:r>
        <w:rPr>
          <w:b/>
          <w:noProof/>
        </w:rPr>
        <w:t>európsku stratégiu pre univerzity</w:t>
      </w:r>
      <w:r>
        <w:rPr>
          <w:rStyle w:val="FootnoteReference"/>
          <w:noProof/>
        </w:rPr>
        <w:footnoteReference w:id="13"/>
      </w:r>
      <w:r>
        <w:rPr>
          <w:noProof/>
        </w:rPr>
        <w:t xml:space="preserve">, ktorá sa okrem iného zameria na podporu mladých talentov. Komisia pripravuje </w:t>
      </w:r>
      <w:r>
        <w:rPr>
          <w:b/>
          <w:bCs/>
          <w:noProof/>
        </w:rPr>
        <w:t>odporúčanie Rady</w:t>
      </w:r>
      <w:r>
        <w:rPr>
          <w:noProof/>
        </w:rPr>
        <w:t xml:space="preserve"> o </w:t>
      </w:r>
      <w:r>
        <w:rPr>
          <w:b/>
          <w:bCs/>
          <w:noProof/>
        </w:rPr>
        <w:t>európskom prístupe k mikrocertifikátom</w:t>
      </w:r>
      <w:r>
        <w:rPr>
          <w:noProof/>
        </w:rPr>
        <w:t xml:space="preserve">, aby sa zvýšilo využívanie a uznávanie krátkych vzdelávacích kurzov </w:t>
      </w:r>
      <w:r>
        <w:rPr>
          <w:noProof/>
        </w:rPr>
        <w:t>ponúkaných poskytovateľmi formálneho a neformálneho vzdelávania.</w:t>
      </w:r>
    </w:p>
    <w:p w:rsidR="009529C5" w:rsidRDefault="00474518">
      <w:pPr>
        <w:pStyle w:val="Style1"/>
        <w:rPr>
          <w:noProof/>
        </w:rPr>
      </w:pPr>
      <w:r>
        <w:rPr>
          <w:noProof/>
        </w:rPr>
        <w:t xml:space="preserve">Prijatím nového </w:t>
      </w:r>
      <w:r>
        <w:rPr>
          <w:b/>
          <w:bCs/>
          <w:noProof/>
        </w:rPr>
        <w:t>akčného plánu digitálneho vzdelávania</w:t>
      </w:r>
      <w:r>
        <w:rPr>
          <w:rStyle w:val="FootnoteReference"/>
          <w:b/>
          <w:bCs/>
          <w:noProof/>
        </w:rPr>
        <w:footnoteReference w:id="14"/>
      </w:r>
      <w:r>
        <w:rPr>
          <w:noProof/>
        </w:rPr>
        <w:t xml:space="preserve"> sa podporuje zavádzanie digitálnych technológií potrebných pre vzdelávanie a odbornú prípravu a vybavenie všetkých občanov digitálnymi z</w:t>
      </w:r>
      <w:r>
        <w:rPr>
          <w:noProof/>
        </w:rPr>
        <w:t xml:space="preserve">ručnosťami. Komisia v auguste 2021 navrhla </w:t>
      </w:r>
      <w:r>
        <w:rPr>
          <w:b/>
          <w:noProof/>
        </w:rPr>
        <w:t>odporúčanie Rady týkajúce sa zmiešaného učenia</w:t>
      </w:r>
      <w:r>
        <w:rPr>
          <w:noProof/>
        </w:rPr>
        <w:t xml:space="preserve"> s cieľom poskytnúť lepšiu podporu školám a študentom, ktorých sa týka prechod na digitálnu technológiu v dôsledku pandémie, a to okrem iného prostredníctvom ďalších p</w:t>
      </w:r>
      <w:r>
        <w:rPr>
          <w:noProof/>
        </w:rPr>
        <w:t>ríležitostí na vzdelávanie a cielenej podpory pre študentov, ktorí majú problémy s učením</w:t>
      </w:r>
      <w:r>
        <w:rPr>
          <w:rStyle w:val="FootnoteReference"/>
          <w:noProof/>
        </w:rPr>
        <w:footnoteReference w:id="15"/>
      </w:r>
      <w:r>
        <w:rPr>
          <w:noProof/>
        </w:rPr>
        <w:t>.</w:t>
      </w:r>
    </w:p>
    <w:p w:rsidR="009529C5" w:rsidRDefault="009529C5">
      <w:pPr>
        <w:pStyle w:val="Style1"/>
        <w:rPr>
          <w:rFonts w:eastAsiaTheme="minorEastAsia"/>
          <w:noProof/>
        </w:rPr>
      </w:pPr>
    </w:p>
    <w:p w:rsidR="009529C5" w:rsidRDefault="009529C5">
      <w:pPr>
        <w:pStyle w:val="Style1"/>
        <w:rPr>
          <w:rFonts w:eastAsiaTheme="minorEastAsia"/>
          <w:noProof/>
        </w:rPr>
      </w:pPr>
    </w:p>
    <w:p w:rsidR="009529C5" w:rsidRDefault="00474518">
      <w:pPr>
        <w:pStyle w:val="Style1"/>
        <w:rPr>
          <w:rFonts w:eastAsiaTheme="minorEastAsia"/>
          <w:noProof/>
        </w:rPr>
      </w:pPr>
      <w:r>
        <w:rPr>
          <w:noProof/>
          <w:lang w:val="es-ES" w:eastAsia="es-ES"/>
        </w:rPr>
        <w:drawing>
          <wp:inline distT="0" distB="0" distL="0" distR="0">
            <wp:extent cx="5654067" cy="274303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70084" cy="2750801"/>
                    </a:xfrm>
                    <a:prstGeom prst="rect">
                      <a:avLst/>
                    </a:prstGeom>
                    <a:noFill/>
                  </pic:spPr>
                </pic:pic>
              </a:graphicData>
            </a:graphic>
          </wp:inline>
        </w:drawing>
      </w:r>
    </w:p>
    <w:p w:rsidR="009529C5" w:rsidRDefault="00474518">
      <w:pPr>
        <w:pStyle w:val="Style1"/>
        <w:rPr>
          <w:rFonts w:eastAsia="Times"/>
          <w:noProof/>
          <w:sz w:val="16"/>
          <w:szCs w:val="16"/>
        </w:rPr>
      </w:pPr>
      <w:r>
        <w:rPr>
          <w:noProof/>
          <w:sz w:val="16"/>
          <w:szCs w:val="16"/>
        </w:rPr>
        <w:t>Grafika: Vytvorenie európskeho vzdelávacieho priestoru.</w:t>
      </w:r>
    </w:p>
    <w:p w:rsidR="009529C5" w:rsidRDefault="00474518">
      <w:pPr>
        <w:pStyle w:val="Style1"/>
        <w:rPr>
          <w:noProof/>
        </w:rPr>
      </w:pPr>
      <w:r>
        <w:rPr>
          <w:noProof/>
        </w:rPr>
        <w:t>Veľkou prioritou je prispieť k zlepšeniu zamestnateľnosti mladých ľudí a podporiť cieľ v oblasti mládeže</w:t>
      </w:r>
      <w:r>
        <w:rPr>
          <w:noProof/>
        </w:rPr>
        <w:t xml:space="preserve"> </w:t>
      </w:r>
      <w:r>
        <w:rPr>
          <w:b/>
          <w:bCs/>
          <w:noProof/>
        </w:rPr>
        <w:t>„Kvalitné zamestnanie pre všetkých“</w:t>
      </w:r>
      <w:r>
        <w:rPr>
          <w:noProof/>
        </w:rPr>
        <w:t>. V </w:t>
      </w:r>
      <w:hyperlink r:id="rId19" w:history="1">
        <w:r>
          <w:rPr>
            <w:b/>
            <w:bCs/>
            <w:noProof/>
            <w:color w:val="0000FF" w:themeColor="hyperlink"/>
            <w:u w:val="single"/>
          </w:rPr>
          <w:t>záveroch Rady o mladých ľuďoch a budúcnosti práce</w:t>
        </w:r>
      </w:hyperlink>
      <w:r>
        <w:rPr>
          <w:noProof/>
          <w:vertAlign w:val="superscript"/>
        </w:rPr>
        <w:footnoteReference w:id="16"/>
      </w:r>
      <w:r>
        <w:rPr>
          <w:noProof/>
        </w:rPr>
        <w:t xml:space="preserve"> sa uviedli opatrenia na nápravu neistých pracovných podmienok, kt</w:t>
      </w:r>
      <w:r>
        <w:rPr>
          <w:noProof/>
        </w:rPr>
        <w:t xml:space="preserve">orým čelia mladí ľudia, ako sú pružne reagujúce systémy sociálneho zabezpečenia, vzdelávania a odbornej prípravy, podpora celoživotného vzdelávania, </w:t>
      </w:r>
      <w:r>
        <w:rPr>
          <w:noProof/>
        </w:rPr>
        <w:lastRenderedPageBreak/>
        <w:t>zabezpečenie hladkého prechodu zo školy do práce a z jednej práce do druhej, ako aj rovnaký prístup ku kval</w:t>
      </w:r>
      <w:r>
        <w:rPr>
          <w:noProof/>
        </w:rPr>
        <w:t>itným pracovným miestam pre všetkých mladých ľudí.</w:t>
      </w:r>
    </w:p>
    <w:p w:rsidR="009529C5" w:rsidRDefault="00474518">
      <w:pPr>
        <w:pStyle w:val="Style1"/>
        <w:rPr>
          <w:noProof/>
          <w:color w:val="000000"/>
        </w:rPr>
      </w:pPr>
      <w:r>
        <w:rPr>
          <w:b/>
          <w:bCs/>
          <w:noProof/>
        </w:rPr>
        <w:t>Európsky program v oblasti zručností</w:t>
      </w:r>
      <w:r>
        <w:rPr>
          <w:rStyle w:val="FootnoteReference"/>
          <w:rFonts w:eastAsiaTheme="minorEastAsia"/>
          <w:noProof/>
        </w:rPr>
        <w:footnoteReference w:id="17"/>
      </w:r>
      <w:r>
        <w:rPr>
          <w:noProof/>
        </w:rPr>
        <w:t xml:space="preserve"> podporuje zlepšovanie zručností a rekvalifikáciu v súlade s potrebami obnovy. </w:t>
      </w:r>
      <w:r>
        <w:rPr>
          <w:noProof/>
          <w:color w:val="000000"/>
        </w:rPr>
        <w:t>Komisia prijala v roku 2020 balík na</w:t>
      </w:r>
      <w:r>
        <w:rPr>
          <w:noProof/>
        </w:rPr>
        <w:t xml:space="preserve"> </w:t>
      </w:r>
      <w:r>
        <w:rPr>
          <w:b/>
          <w:bCs/>
          <w:noProof/>
        </w:rPr>
        <w:t>podporu zamestnanosti mladých ľudí</w:t>
      </w:r>
      <w:r>
        <w:rPr>
          <w:rStyle w:val="FootnoteReference"/>
          <w:noProof/>
          <w:color w:val="0000FF" w:themeColor="hyperlink"/>
          <w:u w:val="single"/>
        </w:rPr>
        <w:footnoteReference w:id="18"/>
      </w:r>
      <w:r>
        <w:rPr>
          <w:noProof/>
        </w:rPr>
        <w:t xml:space="preserve"> s cieľom lepšie sa zotaviť z nového hospodárskeho poklesu spôsobeného pandémiou, ktorý má na mladých ľudí veľký vplyv.</w:t>
      </w:r>
      <w:r>
        <w:rPr>
          <w:noProof/>
          <w:color w:val="000000"/>
        </w:rPr>
        <w:t xml:space="preserve"> </w:t>
      </w:r>
      <w:r>
        <w:rPr>
          <w:noProof/>
        </w:rPr>
        <w:t xml:space="preserve">Podpora zamestnanosti mladých ľudí: most k pracovným miestam pre ďalšiu generáciu </w:t>
      </w:r>
      <w:r>
        <w:rPr>
          <w:noProof/>
          <w:color w:val="000000"/>
        </w:rPr>
        <w:t>sa</w:t>
      </w:r>
      <w:r>
        <w:rPr>
          <w:noProof/>
        </w:rPr>
        <w:t xml:space="preserve"> </w:t>
      </w:r>
      <w:r>
        <w:rPr>
          <w:noProof/>
          <w:color w:val="000000"/>
        </w:rPr>
        <w:t>opiera o </w:t>
      </w:r>
      <w:r>
        <w:rPr>
          <w:rStyle w:val="Strong"/>
          <w:b w:val="0"/>
          <w:bCs w:val="0"/>
          <w:noProof/>
          <w:color w:val="000000"/>
        </w:rPr>
        <w:t>štyri oblasti</w:t>
      </w:r>
      <w:r>
        <w:rPr>
          <w:noProof/>
          <w:color w:val="000000"/>
        </w:rPr>
        <w:t xml:space="preserve">: </w:t>
      </w:r>
      <w:r>
        <w:rPr>
          <w:noProof/>
        </w:rPr>
        <w:t>posilnená záruka pre mladýc</w:t>
      </w:r>
      <w:r>
        <w:rPr>
          <w:noProof/>
        </w:rPr>
        <w:t>h ľudí</w:t>
      </w:r>
      <w:r>
        <w:rPr>
          <w:rStyle w:val="FootnoteReference"/>
          <w:noProof/>
        </w:rPr>
        <w:footnoteReference w:id="19"/>
      </w:r>
      <w:r>
        <w:rPr>
          <w:noProof/>
        </w:rPr>
        <w:t>, prístup k odbornému vzdelávaniu a príprave</w:t>
      </w:r>
      <w:r>
        <w:rPr>
          <w:noProof/>
          <w:color w:val="000000"/>
        </w:rPr>
        <w:t>, ktorý obstojí aj v budúcnosti, nový impulz pre</w:t>
      </w:r>
      <w:r>
        <w:rPr>
          <w:noProof/>
        </w:rPr>
        <w:t xml:space="preserve"> Európske združenie učňovskej prípravy a ďalšie opatrenia na podporu zamestnanosti mladých ľudí.</w:t>
      </w:r>
      <w:r>
        <w:rPr>
          <w:noProof/>
          <w:color w:val="000000"/>
        </w:rPr>
        <w:t xml:space="preserve"> Cieľom posilnenej záruky pre mladých ľudí je zabezpečiť, aby</w:t>
      </w:r>
      <w:r>
        <w:rPr>
          <w:noProof/>
          <w:color w:val="000000"/>
        </w:rPr>
        <w:t xml:space="preserve"> všetci mladí ľudia vo veku do 30 rokov dostali kvalitnú ponuku zamestnania, ďalšieho vzdelávania, učňovskej prípravy alebo stáže do štyroch mesiacov po strate zamestnania alebo ukončení vzdelania.</w:t>
      </w:r>
    </w:p>
    <w:p w:rsidR="009529C5" w:rsidRDefault="00474518">
      <w:pPr>
        <w:pStyle w:val="Style1"/>
        <w:rPr>
          <w:noProof/>
        </w:rPr>
      </w:pPr>
      <w:r>
        <w:rPr>
          <w:noProof/>
        </w:rPr>
        <w:t>Z hľadiska investícií do ľudí vrátane investícií na podpor</w:t>
      </w:r>
      <w:r>
        <w:rPr>
          <w:noProof/>
        </w:rPr>
        <w:t xml:space="preserve">u zamestnanosti mladých ľudí bude naďalej dôležitý aj nový </w:t>
      </w:r>
      <w:r>
        <w:rPr>
          <w:b/>
          <w:noProof/>
        </w:rPr>
        <w:t>Európsky sociálny fond plus</w:t>
      </w:r>
      <w:r>
        <w:rPr>
          <w:noProof/>
        </w:rPr>
        <w:t>. Fond bude navyše podporovať opatrenia v oblasti vzdelávania a sociálneho začlenenia mladých ľudí so zameraním na ľudí v zraniteľnej alebo znevýhodnenej situácii.</w:t>
      </w:r>
    </w:p>
    <w:p w:rsidR="009529C5" w:rsidRDefault="00474518">
      <w:pPr>
        <w:pStyle w:val="Style1"/>
        <w:rPr>
          <w:noProof/>
          <w:color w:val="000000"/>
        </w:rPr>
      </w:pPr>
      <w:r>
        <w:rPr>
          <w:noProof/>
          <w:color w:val="000000"/>
        </w:rPr>
        <w:t>Komisi</w:t>
      </w:r>
      <w:r>
        <w:rPr>
          <w:noProof/>
          <w:color w:val="000000"/>
        </w:rPr>
        <w:t xml:space="preserve">a do konca roka 2021 začne s hodnotením </w:t>
      </w:r>
      <w:r>
        <w:rPr>
          <w:b/>
          <w:noProof/>
          <w:color w:val="000000"/>
        </w:rPr>
        <w:t>odporúčania Rady o rámci kvality pre stáže</w:t>
      </w:r>
      <w:r>
        <w:rPr>
          <w:noProof/>
          <w:color w:val="000000"/>
        </w:rPr>
        <w:t xml:space="preserve"> z roku 2014, v ktorom sa naliehavo požaduje, aby krajiny EÚ zlepšili kvalitu stáží, najmä obsahu vzdelávania a pracovných podmienok, a to s cieľom uľahčiť prechod do zamestn</w:t>
      </w:r>
      <w:r>
        <w:rPr>
          <w:noProof/>
          <w:color w:val="000000"/>
        </w:rPr>
        <w:t>ania.</w:t>
      </w:r>
    </w:p>
    <w:p w:rsidR="009529C5" w:rsidRDefault="00474518">
      <w:pPr>
        <w:autoSpaceDE w:val="0"/>
        <w:autoSpaceDN w:val="0"/>
        <w:adjustRightInd w:val="0"/>
        <w:spacing w:before="120" w:after="120" w:line="264" w:lineRule="auto"/>
        <w:jc w:val="both"/>
        <w:rPr>
          <w:rFonts w:eastAsia="Calibri"/>
          <w:noProof/>
          <w:color w:val="000000" w:themeColor="text1"/>
        </w:rPr>
      </w:pPr>
      <w:r>
        <w:rPr>
          <w:noProof/>
          <w:color w:val="000000" w:themeColor="text1"/>
        </w:rPr>
        <w:t>Nasleduje prehľad hlavných opatrení EÚ počas prvej fázy stratégie EÚ pre mládež štruktúrovanej podľa troch pilierov.</w:t>
      </w:r>
    </w:p>
    <w:p w:rsidR="009529C5" w:rsidRDefault="00474518">
      <w:pPr>
        <w:pStyle w:val="Heading2"/>
        <w:rPr>
          <w:rFonts w:ascii="Times New Roman" w:hAnsi="Times New Roman"/>
          <w:noProof/>
        </w:rPr>
      </w:pPr>
      <w:bookmarkStart w:id="14" w:name="_Toc84944081"/>
      <w:bookmarkStart w:id="15" w:name="_Toc80954115"/>
      <w:r>
        <w:rPr>
          <w:rFonts w:ascii="Times New Roman" w:hAnsi="Times New Roman"/>
          <w:noProof/>
        </w:rPr>
        <w:t>Zapájať</w:t>
      </w:r>
      <w:bookmarkEnd w:id="14"/>
      <w:bookmarkEnd w:id="15"/>
    </w:p>
    <w:p w:rsidR="009529C5" w:rsidRDefault="00474518">
      <w:pPr>
        <w:pStyle w:val="Style1"/>
        <w:rPr>
          <w:b/>
          <w:bCs/>
          <w:noProof/>
        </w:rPr>
      </w:pPr>
      <w:r>
        <w:rPr>
          <w:b/>
          <w:bCs/>
          <w:noProof/>
        </w:rPr>
        <w:t>Posilňovanie demokratickej účasti mladých ľudí</w:t>
      </w:r>
    </w:p>
    <w:p w:rsidR="009529C5" w:rsidRDefault="00474518">
      <w:pPr>
        <w:autoSpaceDE w:val="0"/>
        <w:autoSpaceDN w:val="0"/>
        <w:adjustRightInd w:val="0"/>
        <w:spacing w:before="120" w:after="120" w:line="264" w:lineRule="auto"/>
        <w:jc w:val="both"/>
        <w:rPr>
          <w:noProof/>
        </w:rPr>
      </w:pPr>
      <w:r>
        <w:rPr>
          <w:noProof/>
        </w:rPr>
        <w:t>Posilňovanie demokratickej účasti mladých ľudí a poskytovanie vyhradených prie</w:t>
      </w:r>
      <w:r>
        <w:rPr>
          <w:noProof/>
        </w:rPr>
        <w:t xml:space="preserve">storov pre mládež vo všetkých oblastiach spoločnosti je takisto kľúčové pre zachovanie dynamickej občianskej spoločnosti v Európe. Trojica predsedníctiev Rady EÚ Nemecko – Portugalsko – Slovinsko (júl 2020 – december 2021) zvolila tému </w:t>
      </w:r>
      <w:r>
        <w:rPr>
          <w:b/>
          <w:bCs/>
          <w:noProof/>
          <w:color w:val="000000" w:themeColor="text1"/>
        </w:rPr>
        <w:t>„</w:t>
      </w:r>
      <w:r>
        <w:rPr>
          <w:b/>
          <w:bCs/>
          <w:noProof/>
          <w:color w:val="000000" w:themeColor="text1"/>
          <w:shd w:val="clear" w:color="auto" w:fill="FFFFFF"/>
        </w:rPr>
        <w:t>Európa za mladých –</w:t>
      </w:r>
      <w:r>
        <w:rPr>
          <w:b/>
          <w:bCs/>
          <w:noProof/>
          <w:color w:val="000000" w:themeColor="text1"/>
          <w:shd w:val="clear" w:color="auto" w:fill="FFFFFF"/>
        </w:rPr>
        <w:t> mladí za Európu:</w:t>
      </w:r>
      <w:r>
        <w:rPr>
          <w:noProof/>
          <w:color w:val="000000" w:themeColor="text1"/>
          <w:shd w:val="clear" w:color="auto" w:fill="FFFFFF"/>
        </w:rPr>
        <w:t xml:space="preserve"> </w:t>
      </w:r>
      <w:r>
        <w:rPr>
          <w:b/>
          <w:bCs/>
          <w:noProof/>
        </w:rPr>
        <w:t>Priestor a účasť pre všetkých“</w:t>
      </w:r>
      <w:r>
        <w:rPr>
          <w:noProof/>
        </w:rPr>
        <w:t xml:space="preserve"> ako spoločnú tému v súvislosti s európskym cieľom v oblasti mládeže č. 9 „Priestor a účasť pre všetkých“. Je to aj témou ôsmeho cyklu Európskeho dialógu s mládežou.</w:t>
      </w:r>
    </w:p>
    <w:p w:rsidR="009529C5" w:rsidRDefault="00474518">
      <w:pPr>
        <w:autoSpaceDE w:val="0"/>
        <w:autoSpaceDN w:val="0"/>
        <w:adjustRightInd w:val="0"/>
        <w:spacing w:before="120" w:after="120" w:line="264" w:lineRule="auto"/>
        <w:jc w:val="both"/>
        <w:rPr>
          <w:noProof/>
        </w:rPr>
      </w:pPr>
      <w:hyperlink r:id="rId20" w:history="1">
        <w:r>
          <w:rPr>
            <w:b/>
            <w:bCs/>
            <w:noProof/>
            <w:color w:val="0000FF" w:themeColor="hyperlink"/>
            <w:u w:val="single"/>
          </w:rPr>
          <w:t>Závery Rady o podpore demokratického povedomia a demokratickej angažovanosti mladých ľudí v Európe</w:t>
        </w:r>
      </w:hyperlink>
      <w:r>
        <w:rPr>
          <w:rFonts w:eastAsia="Times"/>
          <w:noProof/>
          <w:color w:val="000000" w:themeColor="text1"/>
          <w:vertAlign w:val="superscript"/>
        </w:rPr>
        <w:footnoteReference w:id="20"/>
      </w:r>
      <w:r>
        <w:rPr>
          <w:i/>
          <w:iCs/>
          <w:noProof/>
        </w:rPr>
        <w:t xml:space="preserve"> </w:t>
      </w:r>
      <w:r>
        <w:rPr>
          <w:noProof/>
        </w:rPr>
        <w:t>odrážajú myšlienky a názory, ktoré zazneli na Konferenci</w:t>
      </w:r>
      <w:r>
        <w:rPr>
          <w:noProof/>
        </w:rPr>
        <w:t>i EÚ s mládežou v októbri 2020. Na tomto podujatí mladí ľudia z celej Európy diskutovali o témach s politickými lídrami a formulovali konkrétne požiadavky týkajúce sa spôsobu, akým by sa mohol vykonávať európsky cieľ v oblasti mládeže č. 9 „Priestor a účas</w:t>
      </w:r>
      <w:r>
        <w:rPr>
          <w:noProof/>
        </w:rPr>
        <w:t>ť pre všetkých“.</w:t>
      </w:r>
    </w:p>
    <w:p w:rsidR="009529C5" w:rsidRDefault="00474518">
      <w:pPr>
        <w:pStyle w:val="Style1"/>
        <w:rPr>
          <w:noProof/>
        </w:rPr>
      </w:pPr>
      <w:r>
        <w:rPr>
          <w:noProof/>
        </w:rPr>
        <w:lastRenderedPageBreak/>
        <w:t>V </w:t>
      </w:r>
      <w:hyperlink r:id="rId21" w:history="1">
        <w:r>
          <w:rPr>
            <w:rStyle w:val="Hyperlink"/>
            <w:b/>
            <w:bCs/>
            <w:noProof/>
          </w:rPr>
          <w:t>záveroch Rady</w:t>
        </w:r>
        <w:r>
          <w:rPr>
            <w:rStyle w:val="Hyperlink"/>
            <w:noProof/>
          </w:rPr>
          <w:t xml:space="preserve"> o </w:t>
        </w:r>
        <w:r>
          <w:rPr>
            <w:rStyle w:val="Hyperlink"/>
            <w:b/>
            <w:bCs/>
            <w:noProof/>
          </w:rPr>
          <w:t>posilnení viacúrovňového riadenia</w:t>
        </w:r>
      </w:hyperlink>
      <w:r>
        <w:rPr>
          <w:b/>
          <w:bCs/>
          <w:noProof/>
        </w:rPr>
        <w:t xml:space="preserve"> </w:t>
      </w:r>
      <w:r>
        <w:rPr>
          <w:noProof/>
        </w:rPr>
        <w:t>sa podporuje účasť mladých ľudí na politických a iných rozhodovacích procesoch na miestnej, regionál</w:t>
      </w:r>
      <w:r>
        <w:rPr>
          <w:noProof/>
        </w:rPr>
        <w:t>nej, vnútroštátnej a európskej úrovni</w:t>
      </w:r>
      <w:r>
        <w:rPr>
          <w:rStyle w:val="FootnoteReference"/>
          <w:noProof/>
        </w:rPr>
        <w:footnoteReference w:id="21"/>
      </w:r>
      <w:r>
        <w:rPr>
          <w:noProof/>
        </w:rPr>
        <w:t>. Rada vo svojich záveroch vyzýva členské štáty, aby posilnili postavenie mladých ľudí prostredníctvom vzdelávania a odbornej prípravy, informácií zameraných na mládež, spätnej väzby, neformálneho vzdelávania a informá</w:t>
      </w:r>
      <w:r>
        <w:rPr>
          <w:noProof/>
        </w:rPr>
        <w:t xml:space="preserve">lneho učenia sa a práce s mládežou. Ďalej vyzýva Komisiu, aby zorganizovala činnosti partnerského učenia (činnosť zameraná na prístup k politikám mládeže založený na právach sa uskutočnila v júni 2021) a aby vybudovala znalosti a kapacity v oblasti účasti </w:t>
      </w:r>
      <w:r>
        <w:rPr>
          <w:noProof/>
        </w:rPr>
        <w:t>mládeže na rozhodovacích procesoch na viacerých úrovniach.</w:t>
      </w:r>
    </w:p>
    <w:p w:rsidR="009529C5" w:rsidRDefault="00474518">
      <w:pPr>
        <w:shd w:val="clear" w:color="auto" w:fill="FFFFFF" w:themeFill="background1"/>
        <w:spacing w:before="120" w:after="120" w:line="264" w:lineRule="auto"/>
        <w:jc w:val="both"/>
        <w:rPr>
          <w:noProof/>
          <w:color w:val="000000" w:themeColor="text1"/>
        </w:rPr>
      </w:pPr>
      <w:r>
        <w:rPr>
          <w:noProof/>
        </w:rPr>
        <w:t xml:space="preserve">Z iniciatívy rumunského predsedníctva Rady sa v uznesení Rady z roku 2019 stanovili nové usmernenia týkajúce sa riadenia </w:t>
      </w:r>
      <w:r>
        <w:rPr>
          <w:b/>
          <w:bCs/>
          <w:noProof/>
        </w:rPr>
        <w:t>Európskeho dialógu s mládežou</w:t>
      </w:r>
      <w:r>
        <w:rPr>
          <w:noProof/>
          <w:vertAlign w:val="superscript"/>
        </w:rPr>
        <w:footnoteReference w:id="22"/>
      </w:r>
      <w:r>
        <w:rPr>
          <w:i/>
          <w:iCs/>
          <w:noProof/>
        </w:rPr>
        <w:t xml:space="preserve">. </w:t>
      </w:r>
      <w:r>
        <w:rPr>
          <w:noProof/>
          <w:color w:val="000000" w:themeColor="text1"/>
        </w:rPr>
        <w:t xml:space="preserve">Pre pracovné skupiny bola vyvinutá metodika </w:t>
      </w:r>
      <w:r>
        <w:rPr>
          <w:noProof/>
          <w:color w:val="000000" w:themeColor="text1"/>
        </w:rPr>
        <w:t>navrhovania ich miestnych, vnútroštátnych a európskych dialógov. Zapojenie výskumných pracovníkov do cyklu (podpora prípravy súborov konzultačných nástrojov alebo analýza príspevkov mládeže) bolo veľkým prínosom pre zlepšenie kvality týchto procesov a mohl</w:t>
      </w:r>
      <w:r>
        <w:rPr>
          <w:noProof/>
          <w:color w:val="000000" w:themeColor="text1"/>
        </w:rPr>
        <w:t>o by byť kľúčové pre zlepšenie oslovovania verejnosti v období po pandémii ochorenia COVID-19.</w:t>
      </w:r>
    </w:p>
    <w:p w:rsidR="009529C5" w:rsidRDefault="00474518">
      <w:pPr>
        <w:pStyle w:val="Style1"/>
        <w:rPr>
          <w:noProof/>
        </w:rPr>
      </w:pPr>
      <w:r>
        <w:rPr>
          <w:noProof/>
        </w:rPr>
        <w:t>Na siedmom cykle dialógu s mládežou, ktorý bol zameraný na tému „Vytváranie príležitostí pre mládež“ a vychádzal z úspechov predchádzajúceho dialógu, najmä z pri</w:t>
      </w:r>
      <w:r>
        <w:rPr>
          <w:noProof/>
        </w:rPr>
        <w:t>jatia stratégie EÚ pre mládež a </w:t>
      </w:r>
      <w:hyperlink r:id="rId22" w:history="1">
        <w:r>
          <w:rPr>
            <w:rStyle w:val="Hyperlink"/>
            <w:noProof/>
          </w:rPr>
          <w:t>európskych cieľov v oblasti mládeže</w:t>
        </w:r>
      </w:hyperlink>
      <w:r>
        <w:rPr>
          <w:noProof/>
        </w:rPr>
        <w:t xml:space="preserve">, sa zúčastnilo viac ako 56 000 mladých ľudí z celej Európy. </w:t>
      </w:r>
      <w:hyperlink r:id="rId23" w:history="1">
        <w:r>
          <w:rPr>
            <w:rStyle w:val="Hyperlink"/>
            <w:b/>
            <w:bCs/>
            <w:noProof/>
            <w:shd w:val="clear" w:color="auto" w:fill="FFFFFF"/>
          </w:rPr>
          <w:t>Uznesenie Rady o výsledkoch 7. cyklu dialógu EÚ s mládežou</w:t>
        </w:r>
      </w:hyperlink>
      <w:r>
        <w:rPr>
          <w:rStyle w:val="FootnoteReference"/>
          <w:noProof/>
          <w:shd w:val="clear" w:color="auto" w:fill="FFFFFF"/>
        </w:rPr>
        <w:footnoteReference w:id="23"/>
      </w:r>
      <w:r>
        <w:rPr>
          <w:noProof/>
        </w:rPr>
        <w:t xml:space="preserve"> </w:t>
      </w:r>
      <w:r>
        <w:rPr>
          <w:noProof/>
          <w:shd w:val="clear" w:color="auto" w:fill="FFFFFF"/>
        </w:rPr>
        <w:t>prijaté v máji 2020 predstavuje hlavné odporúčania tohto cyklu.</w:t>
      </w:r>
    </w:p>
    <w:p w:rsidR="009529C5" w:rsidRDefault="00474518">
      <w:pPr>
        <w:shd w:val="clear" w:color="auto" w:fill="FFFFFF" w:themeFill="background1"/>
        <w:spacing w:before="120" w:after="120" w:line="264" w:lineRule="auto"/>
        <w:jc w:val="both"/>
        <w:rPr>
          <w:noProof/>
          <w:color w:val="333333"/>
        </w:rPr>
      </w:pPr>
      <w:r>
        <w:rPr>
          <w:b/>
          <w:noProof/>
        </w:rPr>
        <w:t>Vylepšená verzia Európskeho portálu pre mládež spravovaného Komisiou</w:t>
      </w:r>
      <w:r>
        <w:rPr>
          <w:noProof/>
        </w:rPr>
        <w:t xml:space="preserve">, ktorá bola spustená v roku 2020, obsahuje vyhradenú časť o procese Európskeho dialógu s mládežou. Portál slúži na zverejňovanie online konzultácií, ako napríklad </w:t>
      </w:r>
      <w:r>
        <w:rPr>
          <w:b/>
          <w:bCs/>
          <w:noProof/>
        </w:rPr>
        <w:t>prieskumu ôsmeho cyklu Európskeho dialógu s mládežou</w:t>
      </w:r>
      <w:r>
        <w:rPr>
          <w:noProof/>
        </w:rPr>
        <w:t>.</w:t>
      </w:r>
      <w:r>
        <w:rPr>
          <w:b/>
          <w:bCs/>
          <w:noProof/>
        </w:rPr>
        <w:t xml:space="preserve"> </w:t>
      </w:r>
      <w:r>
        <w:rPr>
          <w:noProof/>
        </w:rPr>
        <w:t>Cieľom tohto prieskumu, ktorý sa začal</w:t>
      </w:r>
      <w:r>
        <w:rPr>
          <w:noProof/>
        </w:rPr>
        <w:t xml:space="preserve"> na jar 2021, je porozumieť názorom mladých ľudí na tému „Priestor a účasť pre všetkých“</w:t>
      </w:r>
      <w:r>
        <w:rPr>
          <w:rStyle w:val="FootnoteReference"/>
          <w:noProof/>
          <w:color w:val="000000"/>
        </w:rPr>
        <w:footnoteReference w:id="24"/>
      </w:r>
      <w:r>
        <w:rPr>
          <w:noProof/>
        </w:rPr>
        <w:t>. Viac ako dve tretiny z 8 500 respondentov mali pocit, že nemajú žiadny alebo len malý vplyv na verejnú politiku a politické rozhodovanie, a vyjadrili potrebu väčšieh</w:t>
      </w:r>
      <w:r>
        <w:rPr>
          <w:noProof/>
        </w:rPr>
        <w:t xml:space="preserve">o priestoru na účasť a občianske vzdelávanie. V poslednom štvrťroku 2021 sa začne aj </w:t>
      </w:r>
      <w:r>
        <w:rPr>
          <w:b/>
          <w:noProof/>
        </w:rPr>
        <w:t>rýchly prieskum Eurobarometra</w:t>
      </w:r>
      <w:r>
        <w:rPr>
          <w:noProof/>
        </w:rPr>
        <w:t>, ktorý bude skúmať účasť mladých ľudí na sociálnom a občianskom živote a zhromažďovať ich predstavy o budúcnosti Európy.</w:t>
      </w:r>
    </w:p>
    <w:p w:rsidR="009529C5" w:rsidRDefault="00474518">
      <w:pPr>
        <w:pStyle w:val="Style1"/>
        <w:rPr>
          <w:noProof/>
        </w:rPr>
      </w:pPr>
      <w:r>
        <w:rPr>
          <w:noProof/>
        </w:rPr>
        <w:t>EÚ aktívne podporuje</w:t>
      </w:r>
      <w:r>
        <w:rPr>
          <w:noProof/>
        </w:rPr>
        <w:t xml:space="preserve"> </w:t>
      </w:r>
      <w:r>
        <w:rPr>
          <w:b/>
          <w:bCs/>
          <w:noProof/>
        </w:rPr>
        <w:t>globálnu účasť mládeže na tvorbe politík</w:t>
      </w:r>
      <w:r>
        <w:rPr>
          <w:noProof/>
        </w:rPr>
        <w:t>, pričom stavia na skúsenostiach z Európskeho dialógu s mládežou. Úrad pre regionálnu spoluprácu mládeže je napríklad spoločnou medzivládnou iniciatívou šiestich kandidátskych a potenciálnych kandidátskych krajín zá</w:t>
      </w:r>
      <w:r>
        <w:rPr>
          <w:noProof/>
        </w:rPr>
        <w:t xml:space="preserve">padného Balkánu a jej cieľom je podporovať ducha zmierenia a porozumenia medzi mladými ľuďmi v tomto regióne formou výmeny názorov a spolupráce mládeže medzi regiónmi. V roku 2021 Komisia takisto vyhlásila výzvu na zriadenie </w:t>
      </w:r>
      <w:r>
        <w:rPr>
          <w:b/>
          <w:bCs/>
          <w:noProof/>
        </w:rPr>
        <w:t>Mládežníckej diskusnej platform</w:t>
      </w:r>
      <w:r>
        <w:rPr>
          <w:b/>
          <w:bCs/>
          <w:noProof/>
        </w:rPr>
        <w:t>y</w:t>
      </w:r>
      <w:r>
        <w:rPr>
          <w:noProof/>
        </w:rPr>
        <w:t xml:space="preserve"> pre medzinárodné partnerstvá s cieľom vytvoriť priestor pre zmysluplné zapojenie mladých ľudí do politiky EÚ v oblasti medzinárodnej spolupráce. </w:t>
      </w:r>
      <w:r>
        <w:rPr>
          <w:noProof/>
        </w:rPr>
        <w:lastRenderedPageBreak/>
        <w:t>Vybraných 25 členov platformy prispeje k tomu, aby bola činnosť EÚ v partnerských krajinách EÚ participatívne</w:t>
      </w:r>
      <w:r>
        <w:rPr>
          <w:noProof/>
        </w:rPr>
        <w:t>jšia, relevantnejšia a účinnejšia pre mladých ľudí.</w:t>
      </w:r>
    </w:p>
    <w:p w:rsidR="009529C5" w:rsidRDefault="00474518">
      <w:pPr>
        <w:pStyle w:val="Style1"/>
        <w:rPr>
          <w:b/>
          <w:bCs/>
          <w:noProof/>
        </w:rPr>
      </w:pPr>
      <w:r>
        <w:rPr>
          <w:b/>
          <w:bCs/>
          <w:noProof/>
        </w:rPr>
        <w:t>Podpora spravodlivej zelenej transformácie</w:t>
      </w:r>
    </w:p>
    <w:p w:rsidR="009529C5" w:rsidRDefault="00474518">
      <w:pPr>
        <w:pStyle w:val="Style1"/>
        <w:rPr>
          <w:noProof/>
          <w:spacing w:val="-2"/>
        </w:rPr>
      </w:pPr>
      <w:r>
        <w:rPr>
          <w:noProof/>
        </w:rPr>
        <w:t xml:space="preserve">Stratégia EÚ pre mládež prispieva k dosiahnutiu cieľov </w:t>
      </w:r>
      <w:r>
        <w:rPr>
          <w:b/>
          <w:bCs/>
          <w:noProof/>
        </w:rPr>
        <w:t>Európskej zelenej dohody</w:t>
      </w:r>
      <w:r>
        <w:rPr>
          <w:noProof/>
        </w:rPr>
        <w:t xml:space="preserve"> podporovaním jej výzvy na inkluzívny a spravodlivý prechod vrátane oblastí, ktoré</w:t>
      </w:r>
      <w:r>
        <w:rPr>
          <w:noProof/>
        </w:rPr>
        <w:t xml:space="preserve"> mladí Európania označili za tie, ktoré sú pre nich najdôležitejšie: ochrana životného prostredia a boj proti zmene klímy. Od roku 2019 ukazuje občianska účasť a zapojenie mladých ľudí, a to najmä prostredníctvom globálneho klimatického hnutia, dôležitosť,</w:t>
      </w:r>
      <w:r>
        <w:rPr>
          <w:noProof/>
        </w:rPr>
        <w:t xml:space="preserve"> ktorú mladí ľudia prikladajú boju proti zmene klímy a dosiahnutiu klimatickej spravodlivosti.</w:t>
      </w:r>
    </w:p>
    <w:p w:rsidR="009529C5" w:rsidRDefault="00474518">
      <w:pPr>
        <w:pStyle w:val="Style1"/>
        <w:rPr>
          <w:noProof/>
        </w:rPr>
      </w:pPr>
      <w:r>
        <w:rPr>
          <w:b/>
          <w:noProof/>
        </w:rPr>
        <w:t>Zelený rozmer bol začlenený ako zastrešujúca priorita aj do nových programov Erasmus+ a Európsky zbor solidarity</w:t>
      </w:r>
      <w:r>
        <w:rPr>
          <w:noProof/>
        </w:rPr>
        <w:t>. V súlade s Európskou zelenou dohodou a v reakci</w:t>
      </w:r>
      <w:r>
        <w:rPr>
          <w:noProof/>
        </w:rPr>
        <w:t xml:space="preserve">i na rastúce obavy mladých občanov zo zhoršujúceho sa stavu klímy a životného prostredia Komisia vykonáva a pripravuje niekoľko iniciatív. </w:t>
      </w:r>
      <w:r>
        <w:rPr>
          <w:b/>
          <w:noProof/>
        </w:rPr>
        <w:t>Európsky klimatický pakt</w:t>
      </w:r>
      <w:r>
        <w:rPr>
          <w:noProof/>
        </w:rPr>
        <w:t xml:space="preserve"> bol zavedený v roku 2020 s cieľom spojiť ľudí zo všetkých sfér života vrátane mládeže, aby l</w:t>
      </w:r>
      <w:r>
        <w:rPr>
          <w:noProof/>
        </w:rPr>
        <w:t>epšie pochopili výzvy zelenej transformácie, a vyzvať všetkých Európanov, aby sa doň zapojili a využívali výhody, ktoré z neho plynú, aby vyvíjali veľké i malé riešenia a aby iniciovali a rozširovali pozitívne zmeny</w:t>
      </w:r>
      <w:r>
        <w:rPr>
          <w:rStyle w:val="FootnoteReference"/>
          <w:noProof/>
        </w:rPr>
        <w:footnoteReference w:id="25"/>
      </w:r>
      <w:r>
        <w:rPr>
          <w:noProof/>
        </w:rPr>
        <w:t>. V nadväznosti na prijatie stratégie EÚ</w:t>
      </w:r>
      <w:r>
        <w:rPr>
          <w:noProof/>
        </w:rPr>
        <w:t xml:space="preserve"> v oblasti biodiverzity do roku 2030 Komisia pripravuje </w:t>
      </w:r>
      <w:r>
        <w:rPr>
          <w:b/>
          <w:bCs/>
          <w:noProof/>
        </w:rPr>
        <w:t>odporúčanie Rady týkajúce sa podpory spolupráce pri vzdelávaní v oblasti environmentálnej udržateľnosti</w:t>
      </w:r>
      <w:r>
        <w:rPr>
          <w:noProof/>
        </w:rPr>
        <w:t>, ktoré je prvým krokom v pomoci krajinám EÚ, aby spolupracovali na tejto téme. V rámci príprav n</w:t>
      </w:r>
      <w:r>
        <w:rPr>
          <w:noProof/>
        </w:rPr>
        <w:t xml:space="preserve">a konferenciu OSN o biodiverzite sa bude realizovať špecializovaná kampaň v oblasti prírody a biodiverzity zameraná na zapojenie mládeže. </w:t>
      </w:r>
      <w:r>
        <w:rPr>
          <w:b/>
          <w:bCs/>
          <w:noProof/>
        </w:rPr>
        <w:t>Koalícia pre vzdelávanie v záujme klímy</w:t>
      </w:r>
      <w:r>
        <w:rPr>
          <w:noProof/>
        </w:rPr>
        <w:t>, iniciatíva zdola nahor pre klimaticky neutrálnu spoločnosť vedená žiakmi a št</w:t>
      </w:r>
      <w:r>
        <w:rPr>
          <w:noProof/>
        </w:rPr>
        <w:t>udentmi s ich školami, univerzitami a komunitou zahŕňa prísľuby konkrétnych opatrení.</w:t>
      </w:r>
    </w:p>
    <w:p w:rsidR="009529C5" w:rsidRDefault="009529C5">
      <w:pPr>
        <w:pStyle w:val="Style1"/>
        <w:rPr>
          <w:noProof/>
        </w:rPr>
      </w:pPr>
    </w:p>
    <w:p w:rsidR="009529C5" w:rsidRDefault="00474518">
      <w:pPr>
        <w:pStyle w:val="Style1"/>
        <w:rPr>
          <w:noProof/>
        </w:rPr>
      </w:pPr>
      <w:r>
        <w:rPr>
          <w:noProof/>
          <w:lang w:val="es-ES" w:eastAsia="es-ES"/>
        </w:rPr>
        <w:lastRenderedPageBreak/>
        <w:drawing>
          <wp:inline distT="0" distB="0" distL="0" distR="0">
            <wp:extent cx="5760720" cy="3240565"/>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quo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240565"/>
                    </a:xfrm>
                    <a:prstGeom prst="rect">
                      <a:avLst/>
                    </a:prstGeom>
                    <a:noFill/>
                    <a:ln>
                      <a:noFill/>
                    </a:ln>
                  </pic:spPr>
                </pic:pic>
              </a:graphicData>
            </a:graphic>
          </wp:inline>
        </w:drawing>
      </w:r>
    </w:p>
    <w:p w:rsidR="009529C5" w:rsidRDefault="009529C5">
      <w:pPr>
        <w:pStyle w:val="Style1"/>
        <w:rPr>
          <w:noProof/>
        </w:rPr>
      </w:pPr>
    </w:p>
    <w:p w:rsidR="009529C5" w:rsidRDefault="00474518">
      <w:pPr>
        <w:pStyle w:val="Heading2"/>
        <w:rPr>
          <w:rFonts w:ascii="Times New Roman" w:eastAsia="Calibri" w:hAnsi="Times New Roman" w:cs="Times New Roman"/>
          <w:noProof/>
        </w:rPr>
      </w:pPr>
      <w:bookmarkStart w:id="16" w:name="_Toc80954116"/>
      <w:bookmarkStart w:id="17" w:name="_Toc84944082"/>
      <w:bookmarkStart w:id="18" w:name="_Toc75989628"/>
      <w:r>
        <w:rPr>
          <w:rFonts w:ascii="Times New Roman" w:hAnsi="Times New Roman"/>
          <w:noProof/>
        </w:rPr>
        <w:t>Spájať</w:t>
      </w:r>
      <w:bookmarkEnd w:id="16"/>
      <w:bookmarkEnd w:id="17"/>
    </w:p>
    <w:p w:rsidR="009529C5" w:rsidRDefault="00474518">
      <w:pPr>
        <w:rPr>
          <w:b/>
          <w:noProof/>
        </w:rPr>
      </w:pPr>
      <w:r>
        <w:rPr>
          <w:b/>
          <w:noProof/>
        </w:rPr>
        <w:t>Činnosti v oblasti mobility výrazne ovplyvnené pandémiou</w:t>
      </w:r>
    </w:p>
    <w:p w:rsidR="009529C5" w:rsidRDefault="00474518">
      <w:pPr>
        <w:pStyle w:val="Style1"/>
        <w:rPr>
          <w:noProof/>
        </w:rPr>
      </w:pPr>
      <w:r>
        <w:rPr>
          <w:noProof/>
        </w:rPr>
        <w:t>Pandémia ochorenia COVID-19 mala silný vplyv na mnohé skúsenosti so vzdelávacou mobilitou v rámci prog</w:t>
      </w:r>
      <w:r>
        <w:rPr>
          <w:noProof/>
        </w:rPr>
        <w:t>ramu Erasmus+. Jedna štvrtina vtedajších študentov zúčastňujúcich sa na mobilite musela svoj pobyt v zahraničí zrušiť a vrátiť sa domov</w:t>
      </w:r>
      <w:r>
        <w:rPr>
          <w:rStyle w:val="FootnoteReference"/>
          <w:noProof/>
        </w:rPr>
        <w:footnoteReference w:id="26"/>
      </w:r>
      <w:r>
        <w:rPr>
          <w:noProof/>
        </w:rPr>
        <w:t>. Počet študentov, ktorí začali mobilitu v zahraničí</w:t>
      </w:r>
      <w:r>
        <w:rPr>
          <w:rStyle w:val="FootnoteReference"/>
          <w:noProof/>
        </w:rPr>
        <w:footnoteReference w:id="27"/>
      </w:r>
      <w:r>
        <w:rPr>
          <w:noProof/>
        </w:rPr>
        <w:t xml:space="preserve"> v roku 2020, bol polovičný oproti počtu študentov, ktorí ju začali</w:t>
      </w:r>
      <w:r>
        <w:rPr>
          <w:noProof/>
        </w:rPr>
        <w:t xml:space="preserve"> v roku 2019.</w:t>
      </w:r>
    </w:p>
    <w:p w:rsidR="009529C5" w:rsidRDefault="00474518">
      <w:pPr>
        <w:pStyle w:val="Style1"/>
        <w:rPr>
          <w:noProof/>
        </w:rPr>
      </w:pPr>
      <w:r>
        <w:rPr>
          <w:noProof/>
        </w:rPr>
        <w:t xml:space="preserve">V minulom roku </w:t>
      </w:r>
      <w:r>
        <w:rPr>
          <w:b/>
          <w:noProof/>
        </w:rPr>
        <w:t>Komisia podporila organizácie a jednotlivcov, ktorí sa zúčastňujú na programoch Erasmus+ a Európsky zbor solidarity</w:t>
      </w:r>
      <w:r>
        <w:rPr>
          <w:noProof/>
        </w:rPr>
        <w:t xml:space="preserve">, a riešila tak nepriaznivé dôsledky pandémie, ako sú vážne obmedzenia fyzickej mobility. Komisia zaviedla </w:t>
      </w:r>
      <w:r>
        <w:rPr>
          <w:noProof/>
        </w:rPr>
        <w:t>zmierňujúce opatrenia, ako napríklad možnosť nahradiť plánované fyzické aktivity virtuálnymi, možnosť zmiešaných činností alebo možnosť odložiť projekty, pričom kľúčovými cieľmi bola bezpečnosť a ochrana účastníkov.</w:t>
      </w:r>
    </w:p>
    <w:p w:rsidR="009529C5" w:rsidRDefault="00474518">
      <w:pPr>
        <w:pStyle w:val="Style1"/>
        <w:rPr>
          <w:noProof/>
        </w:rPr>
      </w:pPr>
      <w:r>
        <w:rPr>
          <w:noProof/>
        </w:rPr>
        <w:t>Komisia podnikla aj cielené opatrenia na</w:t>
      </w:r>
      <w:r>
        <w:rPr>
          <w:noProof/>
        </w:rPr>
        <w:t xml:space="preserve"> pomoc členským štátom v ich úsilí o mobilizáciu podpory dištančného vzdelávania, najmä digitálnych riešení. V </w:t>
      </w:r>
      <w:r>
        <w:rPr>
          <w:b/>
          <w:noProof/>
        </w:rPr>
        <w:t>auguste 2020 boli vyhlásené dve mimoriadne výzvy programu Erasmus+ na podporu „pripravenosti na digitálne vzdelávanie“ a „tvorivosti“</w:t>
      </w:r>
      <w:r>
        <w:rPr>
          <w:noProof/>
        </w:rPr>
        <w:t>, a to aj pr</w:t>
      </w:r>
      <w:r>
        <w:rPr>
          <w:noProof/>
        </w:rPr>
        <w:t>e sektor mládeže, pričom v rámci každej výzvy sa poskytlo 100 miliónov EUR na riešenie vzdelávacích výziev spojených s pandémiou ochorenia COVID-19 formou projektov spolupráce.</w:t>
      </w:r>
    </w:p>
    <w:p w:rsidR="009529C5" w:rsidRDefault="00474518">
      <w:pPr>
        <w:pStyle w:val="Style1"/>
        <w:rPr>
          <w:b/>
          <w:noProof/>
        </w:rPr>
      </w:pPr>
      <w:r>
        <w:rPr>
          <w:b/>
          <w:noProof/>
        </w:rPr>
        <w:t>Možnosti mobility v programoch na roky 2021 – 2027</w:t>
      </w:r>
    </w:p>
    <w:p w:rsidR="009529C5" w:rsidRDefault="00474518">
      <w:pPr>
        <w:jc w:val="both"/>
        <w:rPr>
          <w:noProof/>
        </w:rPr>
      </w:pPr>
      <w:r>
        <w:rPr>
          <w:noProof/>
        </w:rPr>
        <w:lastRenderedPageBreak/>
        <w:t xml:space="preserve">Programy Erasmus+, Európsky </w:t>
      </w:r>
      <w:r>
        <w:rPr>
          <w:noProof/>
        </w:rPr>
        <w:t>zbor solidarity a Horizont Európa na roky 2021 – 2027 ponúkajú mladým ľuďom a mladým výskumným pracovníkom veľa príležitostí na spájanie a výmenu skúseností, spoluprácu, kultúrnu a občiansku činnosť v európskom kontexte.</w:t>
      </w:r>
    </w:p>
    <w:p w:rsidR="009529C5" w:rsidRDefault="00474518">
      <w:pPr>
        <w:pStyle w:val="Style1"/>
        <w:rPr>
          <w:rStyle w:val="IntenseEmphasis"/>
          <w:i w:val="0"/>
          <w:iCs w:val="0"/>
          <w:noProof/>
          <w:color w:val="000000" w:themeColor="text1"/>
        </w:rPr>
      </w:pPr>
      <w:r>
        <w:rPr>
          <w:rStyle w:val="IntenseEmphasis"/>
          <w:i w:val="0"/>
          <w:iCs w:val="0"/>
          <w:noProof/>
          <w:color w:val="000000" w:themeColor="text1"/>
        </w:rPr>
        <w:t xml:space="preserve">Nový </w:t>
      </w:r>
      <w:r>
        <w:rPr>
          <w:rStyle w:val="IntenseEmphasis"/>
          <w:b/>
          <w:i w:val="0"/>
          <w:iCs w:val="0"/>
          <w:noProof/>
          <w:color w:val="000000" w:themeColor="text1"/>
        </w:rPr>
        <w:t>program Erasmus+</w:t>
      </w:r>
      <w:r>
        <w:rPr>
          <w:rStyle w:val="IntenseEmphasis"/>
          <w:i w:val="0"/>
          <w:iCs w:val="0"/>
          <w:noProof/>
          <w:color w:val="000000" w:themeColor="text1"/>
        </w:rPr>
        <w:t xml:space="preserve"> s takmer dvoj</w:t>
      </w:r>
      <w:r>
        <w:rPr>
          <w:rStyle w:val="IntenseEmphasis"/>
          <w:i w:val="0"/>
          <w:iCs w:val="0"/>
          <w:noProof/>
          <w:color w:val="000000" w:themeColor="text1"/>
        </w:rPr>
        <w:t xml:space="preserve">násobným rozpočtom ponúka posilnené a nové príležitosti pre nadnárodnú vzdelávaciu mobilitu a spoluprácu pre všetky sektory vzdelávania a odbornej prípravy, pričom prináša možnosti mobility aj pre žiakov základných škôl. </w:t>
      </w:r>
      <w:r>
        <w:rPr>
          <w:b/>
          <w:bCs/>
          <w:noProof/>
        </w:rPr>
        <w:t>DiscoverEU</w:t>
      </w:r>
      <w:r>
        <w:rPr>
          <w:noProof/>
        </w:rPr>
        <w:t>, nedávna úspešná pilotná</w:t>
      </w:r>
      <w:r>
        <w:rPr>
          <w:noProof/>
        </w:rPr>
        <w:t xml:space="preserve"> iniciatíva, ktorá osobám vo veku 18 rokov poskytuje príležitosť objaviť Európu cez skúsenosti so vzdelávaním v zahraničí, bola začlenená do programu Erasmus+. Táto iniciatíva nielenže ponúka osobám vo veku 18 rokov cestovný pas, ale zároveň podporuje prep</w:t>
      </w:r>
      <w:r>
        <w:rPr>
          <w:noProof/>
        </w:rPr>
        <w:t xml:space="preserve">ojenie a kultúrny dialóg medzi mladými ľuďmi v celej Európe. Erasmus+ v súčasnosti </w:t>
      </w:r>
      <w:r>
        <w:rPr>
          <w:rStyle w:val="IntenseEmphasis"/>
          <w:i w:val="0"/>
          <w:iCs w:val="0"/>
          <w:noProof/>
          <w:color w:val="000000" w:themeColor="text1"/>
        </w:rPr>
        <w:t>zahŕňa činnosti s účasťou mládeže, ktoré poskytujú mladým ľuďom viac príležitostí mimo formálneho vzdelávania a odbornej prípravy, aby sa mohli aktívne podieľať na občiansky</w:t>
      </w:r>
      <w:r>
        <w:rPr>
          <w:rStyle w:val="IntenseEmphasis"/>
          <w:i w:val="0"/>
          <w:iCs w:val="0"/>
          <w:noProof/>
          <w:color w:val="000000" w:themeColor="text1"/>
        </w:rPr>
        <w:t>ch a demokratických procesoch na miestnej, regionálnej, vnútroštátnej a európskej úrovni.</w:t>
      </w:r>
    </w:p>
    <w:p w:rsidR="009529C5" w:rsidRDefault="00474518">
      <w:pPr>
        <w:pStyle w:val="Style1"/>
        <w:rPr>
          <w:noProof/>
        </w:rPr>
      </w:pPr>
      <w:r>
        <w:rPr>
          <w:noProof/>
        </w:rPr>
        <w:t xml:space="preserve">Nový </w:t>
      </w:r>
      <w:r>
        <w:rPr>
          <w:b/>
          <w:noProof/>
        </w:rPr>
        <w:t>Európsky zbor solidarity</w:t>
      </w:r>
      <w:r>
        <w:rPr>
          <w:noProof/>
        </w:rPr>
        <w:t xml:space="preserve"> umožní mladým ľuďom od roku 2022 pomáhať riešiť spoločenské výzvy cez dobrovoľníctvo alebo vytvorením vlastných projektov solidarity vrá</w:t>
      </w:r>
      <w:r>
        <w:rPr>
          <w:noProof/>
        </w:rPr>
        <w:t>tane dobrovoľníctva v oblasti humanitárnej pomoci na celom svete.</w:t>
      </w:r>
    </w:p>
    <w:p w:rsidR="009529C5" w:rsidRDefault="00474518">
      <w:pPr>
        <w:pStyle w:val="Style1"/>
        <w:rPr>
          <w:rStyle w:val="IntenseEmphasis"/>
          <w:i w:val="0"/>
          <w:noProof/>
          <w:color w:val="auto"/>
        </w:rPr>
      </w:pPr>
      <w:r>
        <w:rPr>
          <w:rStyle w:val="IntenseEmphasis"/>
          <w:i w:val="0"/>
          <w:iCs w:val="0"/>
          <w:noProof/>
          <w:color w:val="auto"/>
        </w:rPr>
        <w:t xml:space="preserve">Komisia pripravuje </w:t>
      </w:r>
      <w:r>
        <w:rPr>
          <w:rStyle w:val="IntenseEmphasis"/>
          <w:b/>
          <w:i w:val="0"/>
          <w:iCs w:val="0"/>
          <w:noProof/>
          <w:color w:val="auto"/>
        </w:rPr>
        <w:t>preskúmanie</w:t>
      </w:r>
      <w:r>
        <w:rPr>
          <w:rStyle w:val="IntenseEmphasis"/>
          <w:i w:val="0"/>
          <w:iCs w:val="0"/>
          <w:noProof/>
          <w:color w:val="auto"/>
        </w:rPr>
        <w:t xml:space="preserve"> </w:t>
      </w:r>
      <w:r>
        <w:rPr>
          <w:rStyle w:val="IntenseEmphasis"/>
          <w:b/>
          <w:i w:val="0"/>
          <w:iCs w:val="0"/>
          <w:noProof/>
          <w:color w:val="auto"/>
        </w:rPr>
        <w:t>odporúčania Rady z roku 2008 o mobilite mladých dobrovoľníkov v celej EÚ</w:t>
      </w:r>
      <w:r>
        <w:rPr>
          <w:rStyle w:val="IntenseEmphasis"/>
          <w:i w:val="0"/>
          <w:noProof/>
          <w:color w:val="auto"/>
        </w:rPr>
        <w:t xml:space="preserve"> s cieľom ďalej podporovať príležitosti pre mobilitu a dobrovoľníctvo. Toto preskúmanie</w:t>
      </w:r>
      <w:r>
        <w:rPr>
          <w:rStyle w:val="IntenseEmphasis"/>
          <w:i w:val="0"/>
          <w:noProof/>
          <w:color w:val="auto"/>
        </w:rPr>
        <w:t xml:space="preserve"> je </w:t>
      </w:r>
      <w:r>
        <w:rPr>
          <w:rStyle w:val="IntenseEmphasis"/>
          <w:i w:val="0"/>
          <w:iCs w:val="0"/>
          <w:noProof/>
          <w:color w:val="auto"/>
        </w:rPr>
        <w:t>relevantné a aktuálne v kontexte pandémie a nových priorít, ktoré z nej vyplývajú (zdravie a bezpečnosť dobrovoľníkov, medzigeneračná solidarita), a skúmajú sa v ňom nové formy</w:t>
      </w:r>
      <w:r>
        <w:rPr>
          <w:rStyle w:val="IntenseEmphasis"/>
          <w:i w:val="0"/>
          <w:noProof/>
          <w:color w:val="auto"/>
        </w:rPr>
        <w:t xml:space="preserve"> dobrovoľníctva vrátane digitálneho alebo </w:t>
      </w:r>
      <w:r>
        <w:rPr>
          <w:rStyle w:val="IntenseEmphasis"/>
          <w:i w:val="0"/>
          <w:iCs w:val="0"/>
          <w:noProof/>
          <w:color w:val="auto"/>
        </w:rPr>
        <w:t>zmiešaného dobrovoľníctva. Odstrán</w:t>
      </w:r>
      <w:r>
        <w:rPr>
          <w:rStyle w:val="IntenseEmphasis"/>
          <w:i w:val="0"/>
          <w:iCs w:val="0"/>
          <w:noProof/>
          <w:color w:val="auto"/>
        </w:rPr>
        <w:t>enie prekážok cezhraničnej mobility vrátane prekážok právnej alebo administratívnej povahy</w:t>
      </w:r>
      <w:r>
        <w:rPr>
          <w:rStyle w:val="IntenseEmphasis"/>
          <w:i w:val="0"/>
          <w:noProof/>
          <w:color w:val="auto"/>
        </w:rPr>
        <w:t xml:space="preserve"> bolo v rámci oblasti „Spájať“ identifikované ako kľúčová oblasť spolupráce členských štátov. Revízia odporúčania Rady bola založená na výsledkoch expertnej skupiny, </w:t>
      </w:r>
      <w:r>
        <w:rPr>
          <w:rStyle w:val="IntenseEmphasis"/>
          <w:i w:val="0"/>
          <w:noProof/>
          <w:color w:val="auto"/>
        </w:rPr>
        <w:t>špecializovanej štúdii, hodnotení a verejných konzultáciách organizovaných v rokoch 2019 – 2021.</w:t>
      </w:r>
    </w:p>
    <w:bookmarkEnd w:id="18"/>
    <w:p w:rsidR="009529C5" w:rsidRDefault="009529C5">
      <w:pPr>
        <w:pStyle w:val="Style1"/>
        <w:rPr>
          <w:noProof/>
        </w:rPr>
      </w:pPr>
    </w:p>
    <w:p w:rsidR="009529C5" w:rsidRDefault="00474518">
      <w:pPr>
        <w:pStyle w:val="Heading2"/>
        <w:rPr>
          <w:rFonts w:ascii="Times New Roman" w:hAnsi="Times New Roman"/>
          <w:noProof/>
        </w:rPr>
      </w:pPr>
      <w:bookmarkStart w:id="19" w:name="_Toc75989629"/>
      <w:bookmarkStart w:id="20" w:name="_Toc80954117"/>
      <w:bookmarkStart w:id="21" w:name="_Toc84944083"/>
      <w:r>
        <w:rPr>
          <w:rFonts w:ascii="Times New Roman" w:hAnsi="Times New Roman"/>
          <w:noProof/>
        </w:rPr>
        <w:t>Posilňovať postavenie</w:t>
      </w:r>
      <w:bookmarkEnd w:id="19"/>
      <w:bookmarkEnd w:id="20"/>
      <w:bookmarkEnd w:id="21"/>
    </w:p>
    <w:p w:rsidR="009529C5" w:rsidRDefault="00474518">
      <w:pPr>
        <w:autoSpaceDE w:val="0"/>
        <w:autoSpaceDN w:val="0"/>
        <w:adjustRightInd w:val="0"/>
        <w:spacing w:before="120" w:after="120" w:line="264" w:lineRule="auto"/>
        <w:jc w:val="both"/>
        <w:rPr>
          <w:b/>
          <w:bCs/>
          <w:noProof/>
          <w:color w:val="000000" w:themeColor="text1"/>
        </w:rPr>
      </w:pPr>
      <w:r>
        <w:rPr>
          <w:b/>
          <w:bCs/>
          <w:noProof/>
          <w:color w:val="000000" w:themeColor="text1"/>
        </w:rPr>
        <w:t>Podpora sociálneho začlenenia a obnovy</w:t>
      </w:r>
    </w:p>
    <w:p w:rsidR="009529C5" w:rsidRDefault="00474518">
      <w:pPr>
        <w:autoSpaceDE w:val="0"/>
        <w:autoSpaceDN w:val="0"/>
        <w:adjustRightInd w:val="0"/>
        <w:spacing w:before="120" w:after="120" w:line="264" w:lineRule="auto"/>
        <w:jc w:val="both"/>
        <w:rPr>
          <w:noProof/>
          <w:color w:val="000000"/>
        </w:rPr>
      </w:pPr>
      <w:r>
        <w:rPr>
          <w:noProof/>
          <w:color w:val="000000" w:themeColor="text1"/>
        </w:rPr>
        <w:t xml:space="preserve">Niekoľko akcií EÚ sa zameriava na rozvoj </w:t>
      </w:r>
      <w:r>
        <w:rPr>
          <w:b/>
          <w:bCs/>
          <w:noProof/>
          <w:color w:val="000000" w:themeColor="text1"/>
        </w:rPr>
        <w:t>inkluzívneho prístupu</w:t>
      </w:r>
      <w:r>
        <w:rPr>
          <w:noProof/>
          <w:color w:val="000000" w:themeColor="text1"/>
        </w:rPr>
        <w:t xml:space="preserve"> s osobitnými opatreniami pre znevýhodnené deti a mládež, ako je </w:t>
      </w:r>
      <w:r>
        <w:rPr>
          <w:b/>
          <w:bCs/>
          <w:noProof/>
          <w:color w:val="000000" w:themeColor="text1"/>
        </w:rPr>
        <w:t>stratégia EÚ v oblasti práv dieťaťa</w:t>
      </w:r>
      <w:r>
        <w:rPr>
          <w:noProof/>
          <w:color w:val="000000" w:themeColor="text1"/>
        </w:rPr>
        <w:t xml:space="preserve">, iniciatíva </w:t>
      </w:r>
      <w:r>
        <w:rPr>
          <w:b/>
          <w:bCs/>
          <w:noProof/>
          <w:color w:val="000000" w:themeColor="text1"/>
        </w:rPr>
        <w:t>Európska záruka pre deti</w:t>
      </w:r>
      <w:r>
        <w:rPr>
          <w:noProof/>
          <w:color w:val="000000" w:themeColor="text1"/>
        </w:rPr>
        <w:t xml:space="preserve">, </w:t>
      </w:r>
      <w:r>
        <w:rPr>
          <w:b/>
          <w:bCs/>
          <w:noProof/>
          <w:color w:val="000000" w:themeColor="text1"/>
        </w:rPr>
        <w:t>Erasmus+,</w:t>
      </w:r>
      <w:r>
        <w:rPr>
          <w:bCs/>
          <w:noProof/>
          <w:color w:val="000000" w:themeColor="text1"/>
        </w:rPr>
        <w:t xml:space="preserve"> </w:t>
      </w:r>
      <w:r>
        <w:rPr>
          <w:b/>
          <w:bCs/>
          <w:noProof/>
          <w:color w:val="000000" w:themeColor="text1"/>
        </w:rPr>
        <w:t>Európsky zbor solidarity</w:t>
      </w:r>
      <w:r>
        <w:rPr>
          <w:bCs/>
          <w:noProof/>
          <w:color w:val="000000" w:themeColor="text1"/>
        </w:rPr>
        <w:t xml:space="preserve"> a </w:t>
      </w:r>
      <w:r>
        <w:rPr>
          <w:b/>
          <w:bCs/>
          <w:noProof/>
          <w:color w:val="000000" w:themeColor="text1"/>
        </w:rPr>
        <w:t>Európsky sociálny fond plus</w:t>
      </w:r>
      <w:r>
        <w:rPr>
          <w:noProof/>
          <w:color w:val="000000" w:themeColor="text1"/>
        </w:rPr>
        <w:t xml:space="preserve">, alebo s opatreniami súvisiacimi so </w:t>
      </w:r>
      <w:r>
        <w:rPr>
          <w:b/>
          <w:bCs/>
          <w:noProof/>
          <w:color w:val="000000" w:themeColor="text1"/>
        </w:rPr>
        <w:t>začlenením mladý</w:t>
      </w:r>
      <w:r>
        <w:rPr>
          <w:b/>
          <w:bCs/>
          <w:noProof/>
          <w:color w:val="000000" w:themeColor="text1"/>
        </w:rPr>
        <w:t>ch migrantov a utečencov</w:t>
      </w:r>
      <w:r>
        <w:rPr>
          <w:noProof/>
          <w:color w:val="000000" w:themeColor="text1"/>
        </w:rPr>
        <w:t>.</w:t>
      </w:r>
      <w:r>
        <w:rPr>
          <w:i/>
          <w:noProof/>
          <w:color w:val="000000"/>
        </w:rPr>
        <w:t xml:space="preserve"> </w:t>
      </w:r>
      <w:r>
        <w:rPr>
          <w:noProof/>
          <w:color w:val="000000"/>
        </w:rPr>
        <w:t xml:space="preserve">Komisia pripravuje </w:t>
      </w:r>
      <w:r>
        <w:rPr>
          <w:b/>
          <w:noProof/>
          <w:color w:val="000000"/>
        </w:rPr>
        <w:t>odporúčanie Rady o cestách k úspechu v škole</w:t>
      </w:r>
      <w:r>
        <w:rPr>
          <w:noProof/>
          <w:color w:val="000000"/>
        </w:rPr>
        <w:t>, zamerané na znevýhodnených žiakov.</w:t>
      </w:r>
    </w:p>
    <w:p w:rsidR="009529C5" w:rsidRDefault="00474518">
      <w:pPr>
        <w:pStyle w:val="Style1"/>
        <w:rPr>
          <w:b/>
          <w:bCs/>
          <w:noProof/>
          <w:color w:val="333333"/>
          <w:szCs w:val="21"/>
        </w:rPr>
      </w:pPr>
      <w:r>
        <w:rPr>
          <w:noProof/>
        </w:rPr>
        <w:t>V </w:t>
      </w:r>
      <w:r>
        <w:rPr>
          <w:b/>
          <w:noProof/>
        </w:rPr>
        <w:t>stratégii EÚ v oblasti práv dieťaťa</w:t>
      </w:r>
      <w:r>
        <w:rPr>
          <w:rStyle w:val="FootnoteReference"/>
          <w:noProof/>
        </w:rPr>
        <w:footnoteReference w:id="28"/>
      </w:r>
      <w:r>
        <w:rPr>
          <w:noProof/>
        </w:rPr>
        <w:t xml:space="preserve">, prijatej v marci 2021, sa uznáva vplyv, ktorý má pandémia ochorenia COVID-19 na deti, </w:t>
      </w:r>
      <w:r>
        <w:rPr>
          <w:noProof/>
        </w:rPr>
        <w:t xml:space="preserve">pričom zahŕňa cielené opatrenia na podporu presadzovania a ochrany práv detí. Účasť detí a mladých ľudí na politickom a demokratickom </w:t>
      </w:r>
      <w:r>
        <w:rPr>
          <w:noProof/>
        </w:rPr>
        <w:lastRenderedPageBreak/>
        <w:t>živote EÚ je takisto jednou zo šiestich tematických priorít tejto stratégie a vyplýva z názorov viac ako 10 000 detí vo ve</w:t>
      </w:r>
      <w:r>
        <w:rPr>
          <w:noProof/>
        </w:rPr>
        <w:t>ku 11 – 18 rokov</w:t>
      </w:r>
      <w:r>
        <w:rPr>
          <w:rStyle w:val="FootnoteReference"/>
          <w:noProof/>
        </w:rPr>
        <w:footnoteReference w:id="29"/>
      </w:r>
      <w:r>
        <w:rPr>
          <w:noProof/>
        </w:rPr>
        <w:t>.</w:t>
      </w:r>
    </w:p>
    <w:p w:rsidR="009529C5" w:rsidRDefault="00474518">
      <w:pPr>
        <w:pStyle w:val="Style1"/>
        <w:ind w:left="58"/>
        <w:rPr>
          <w:rStyle w:val="IntenseEmphasis"/>
          <w:i w:val="0"/>
          <w:iCs w:val="0"/>
          <w:noProof/>
          <w:color w:val="auto"/>
        </w:rPr>
      </w:pPr>
      <w:r>
        <w:rPr>
          <w:b/>
          <w:bCs/>
          <w:noProof/>
        </w:rPr>
        <w:t>V záveroch Rady o rozširovaní príležitostí pre mladých ľudí vo vidieckych a vzdialených oblastiach</w:t>
      </w:r>
      <w:r>
        <w:rPr>
          <w:rStyle w:val="FootnoteReference"/>
          <w:b/>
          <w:bCs/>
          <w:noProof/>
        </w:rPr>
        <w:footnoteReference w:id="30"/>
      </w:r>
      <w:r>
        <w:rPr>
          <w:noProof/>
        </w:rPr>
        <w:t>, ktorými sa podporuje cieľ v oblasti mládeže „Príležitosti pre mladých ľudí na vidieku“ a ktoré boli prijaté počas chorvátskeho predsední</w:t>
      </w:r>
      <w:r>
        <w:rPr>
          <w:noProof/>
        </w:rPr>
        <w:t xml:space="preserve">ctva Rady, </w:t>
      </w:r>
      <w:r>
        <w:rPr>
          <w:rStyle w:val="IntenseEmphasis"/>
          <w:i w:val="0"/>
          <w:iCs w:val="0"/>
          <w:noProof/>
          <w:color w:val="auto"/>
        </w:rPr>
        <w:t>sa vyzýva k výmene najlepších postupov pri využívaní príležitostí, ktoré poskytujú programy a politiky súvisiace s mládežou, s cieľom zlepšiť zamestnateľnosť, mobilitu a účasť mladých ľudí. Podporujú sa v nich prístupy zamerané na znižovanie ner</w:t>
      </w:r>
      <w:r>
        <w:rPr>
          <w:rStyle w:val="IntenseEmphasis"/>
          <w:i w:val="0"/>
          <w:iCs w:val="0"/>
          <w:noProof/>
          <w:color w:val="auto"/>
        </w:rPr>
        <w:t>ovností medzi mestskými a vzdialenými/vidieckymi oblasťami.</w:t>
      </w:r>
    </w:p>
    <w:p w:rsidR="009529C5" w:rsidRDefault="00474518">
      <w:pPr>
        <w:pStyle w:val="Style1"/>
        <w:ind w:left="58"/>
        <w:rPr>
          <w:rStyle w:val="IntenseEmphasis"/>
          <w:i w:val="0"/>
          <w:iCs w:val="0"/>
          <w:noProof/>
          <w:color w:val="auto"/>
        </w:rPr>
      </w:pPr>
      <w:r>
        <w:rPr>
          <w:noProof/>
        </w:rPr>
        <w:t xml:space="preserve">Dve </w:t>
      </w:r>
      <w:r>
        <w:rPr>
          <w:b/>
          <w:noProof/>
        </w:rPr>
        <w:t>investičné iniciatívy v reakcii na koronavírus</w:t>
      </w:r>
      <w:r>
        <w:rPr>
          <w:noProof/>
        </w:rPr>
        <w:t xml:space="preserve"> (CRII a CRII+) umožnili členským štátom mobilizovať a presmerovať dostupné zdroje z fondov politiky súdržnosti EÚ na riešenie pandémie ochorenia </w:t>
      </w:r>
      <w:r>
        <w:rPr>
          <w:noProof/>
        </w:rPr>
        <w:t xml:space="preserve">COVID-19 vrátane jej vplyvu na mladých ľudí. Táto podpora EÚ bola doplnená balíkom </w:t>
      </w:r>
      <w:r>
        <w:rPr>
          <w:b/>
          <w:noProof/>
        </w:rPr>
        <w:t>REACT-EU</w:t>
      </w:r>
      <w:r>
        <w:rPr>
          <w:noProof/>
        </w:rPr>
        <w:t xml:space="preserve"> (Pomoc pri obnove v rámci politiky súdržnosti a pri obnove území v Európe) vo výške 50,6 miliardy EUR, ktorý nadväzuje na reakciu na krízu a nápravné opatrenia a ro</w:t>
      </w:r>
      <w:r>
        <w:rPr>
          <w:noProof/>
        </w:rPr>
        <w:t>zširuje ich, pričom predstavuje premostenie k dlhodobej zelenej, digitálnej a odolnej obnove hospodárstva. Členské štáty využijú tieto dodatočné zdroje na pomoc mladým ľuďom, pokiaľ ide o prístup k zamestnaniu, kvalitné vzdelávanie a odbornú prípravu a soc</w:t>
      </w:r>
      <w:r>
        <w:rPr>
          <w:noProof/>
        </w:rPr>
        <w:t>iálne služby.</w:t>
      </w:r>
    </w:p>
    <w:p w:rsidR="009529C5" w:rsidRDefault="00474518">
      <w:pPr>
        <w:pStyle w:val="Style1"/>
        <w:rPr>
          <w:b/>
          <w:bCs/>
          <w:noProof/>
        </w:rPr>
      </w:pPr>
      <w:r>
        <w:rPr>
          <w:b/>
          <w:bCs/>
          <w:noProof/>
        </w:rPr>
        <w:t>Kvalitná práca s mládežou pre všetkých</w:t>
      </w:r>
    </w:p>
    <w:p w:rsidR="009529C5" w:rsidRDefault="00474518">
      <w:pPr>
        <w:pStyle w:val="Style1"/>
        <w:rPr>
          <w:noProof/>
          <w:color w:val="000000"/>
        </w:rPr>
      </w:pPr>
      <w:r>
        <w:rPr>
          <w:noProof/>
        </w:rPr>
        <w:t xml:space="preserve">Stratégia Európskej únie pre mládež dala jasný signál o potrebe investovať do práce s mládežou, uznávať ju a dodať jej príslušný rámec. Fínske predsedníctvo Rady sa zameralo na podporu a rozvoj práce s mládežou pomocou dvoch súborov záverov Rady. </w:t>
      </w:r>
      <w:hyperlink r:id="rId25" w:history="1">
        <w:r>
          <w:rPr>
            <w:rStyle w:val="Hyperlink"/>
            <w:b/>
            <w:bCs/>
            <w:noProof/>
          </w:rPr>
          <w:t>V záveroch o digitálnej práci s mládežou</w:t>
        </w:r>
      </w:hyperlink>
      <w:r>
        <w:rPr>
          <w:rStyle w:val="FootnoteReference"/>
          <w:rFonts w:eastAsia="Times New Roman"/>
          <w:noProof/>
          <w:color w:val="000000"/>
          <w:lang w:eastAsia="fr-BE"/>
        </w:rPr>
        <w:footnoteReference w:id="31"/>
      </w:r>
      <w:r>
        <w:rPr>
          <w:noProof/>
          <w:color w:val="000000"/>
        </w:rPr>
        <w:t xml:space="preserve"> sa členské štáty a Komisia vyzývajú, aby podporovali výmenu najlepších postupov, propagovali a využívali nástroje</w:t>
      </w:r>
      <w:r>
        <w:rPr>
          <w:noProof/>
          <w:color w:val="000000"/>
        </w:rPr>
        <w:t xml:space="preserve"> financovania EÚ, činnosti partnerského učenia a výskum a zlepšovali digitálne zručnosti prostredníctvom neformálneho vzdelávania a odbornej prípravy. V </w:t>
      </w:r>
      <w:hyperlink r:id="rId26" w:history="1">
        <w:r>
          <w:rPr>
            <w:rStyle w:val="Hyperlink"/>
            <w:b/>
            <w:bCs/>
            <w:noProof/>
          </w:rPr>
          <w:t>záveroch Rady o vzdelávaní a odbornej príprave pracovníkov s mládežou</w:t>
        </w:r>
      </w:hyperlink>
      <w:r>
        <w:rPr>
          <w:rStyle w:val="FootnoteReference"/>
          <w:rFonts w:eastAsia="Times New Roman"/>
          <w:noProof/>
          <w:color w:val="000000"/>
          <w:lang w:eastAsia="fr-BE"/>
        </w:rPr>
        <w:footnoteReference w:id="32"/>
      </w:r>
      <w:r>
        <w:rPr>
          <w:noProof/>
          <w:color w:val="000000"/>
        </w:rPr>
        <w:t xml:space="preserve"> sa členské štáty a Komisia vyzývajú, aby uskutočnili ďalší výskum s cieľom podporiť uznávanie neformálneho vzdelávania v práci s mládežou a p</w:t>
      </w:r>
      <w:r>
        <w:rPr>
          <w:noProof/>
          <w:color w:val="000000"/>
        </w:rPr>
        <w:t>reskúmať možnosti ďalšieho rozvoja vzdelávania a odbornej prípravy pracovníkov s mládežou.</w:t>
      </w:r>
    </w:p>
    <w:p w:rsidR="009529C5" w:rsidRDefault="00474518">
      <w:pPr>
        <w:pStyle w:val="Style1"/>
        <w:rPr>
          <w:noProof/>
          <w:color w:val="auto"/>
          <w:shd w:val="clear" w:color="auto" w:fill="FFFFFF"/>
        </w:rPr>
      </w:pPr>
      <w:r>
        <w:rPr>
          <w:b/>
          <w:bCs/>
          <w:noProof/>
        </w:rPr>
        <w:t>Európsky program práce s mládežou</w:t>
      </w:r>
      <w:r>
        <w:rPr>
          <w:noProof/>
        </w:rPr>
        <w:t xml:space="preserve"> bol pre nemecké predsedníctvo Rady najvyššou prioritou, čo viedlo k prijatiu uznesenia Rady, po ktorom nasledovala tretia európska </w:t>
      </w:r>
      <w:r>
        <w:rPr>
          <w:noProof/>
        </w:rPr>
        <w:t>konferencia o práci s mládežou v Bonne. V </w:t>
      </w:r>
      <w:r>
        <w:rPr>
          <w:b/>
          <w:bCs/>
          <w:noProof/>
        </w:rPr>
        <w:t>uznesení Rady</w:t>
      </w:r>
      <w:r>
        <w:rPr>
          <w:rStyle w:val="FootnoteReference"/>
          <w:rFonts w:eastAsiaTheme="majorEastAsia"/>
          <w:noProof/>
        </w:rPr>
        <w:footnoteReference w:id="33"/>
      </w:r>
      <w:r>
        <w:rPr>
          <w:noProof/>
        </w:rPr>
        <w:t xml:space="preserve"> sa od členských štátov a Komisie vyžaduje, aby prijali opatrenia na začlenenie práce s mládežou do existujúcich a budúcich politík v oblasti mládeže, uznali úlohu a potreby komunity pracovníkov s mlá</w:t>
      </w:r>
      <w:r>
        <w:rPr>
          <w:noProof/>
        </w:rPr>
        <w:t>dežou a vytvorili odbornú prípravu, nástroje, aplikácie a mechanizmy s podporou programov Erasmus+ a Európsky zbor solidarity. V </w:t>
      </w:r>
      <w:r>
        <w:rPr>
          <w:noProof/>
          <w:color w:val="auto"/>
          <w:shd w:val="clear" w:color="auto" w:fill="FFFFFF"/>
        </w:rPr>
        <w:t xml:space="preserve">záujme posilnenia a ďalšieho rozvoja </w:t>
      </w:r>
      <w:r>
        <w:rPr>
          <w:noProof/>
          <w:color w:val="auto"/>
          <w:shd w:val="clear" w:color="auto" w:fill="FFFFFF"/>
        </w:rPr>
        <w:lastRenderedPageBreak/>
        <w:t xml:space="preserve">práce s mládežou v celej Európe je cieľom </w:t>
      </w:r>
      <w:r>
        <w:rPr>
          <w:b/>
          <w:noProof/>
          <w:color w:val="auto"/>
          <w:shd w:val="clear" w:color="auto" w:fill="FFFFFF"/>
        </w:rPr>
        <w:t>bonnského procesu</w:t>
      </w:r>
      <w:r>
        <w:rPr>
          <w:noProof/>
          <w:color w:val="auto"/>
          <w:shd w:val="clear" w:color="auto" w:fill="FFFFFF"/>
        </w:rPr>
        <w:t xml:space="preserve"> zosúladiť záväzok rôznych zain</w:t>
      </w:r>
      <w:r>
        <w:rPr>
          <w:noProof/>
          <w:color w:val="auto"/>
          <w:shd w:val="clear" w:color="auto" w:fill="FFFFFF"/>
        </w:rPr>
        <w:t>teresovaných strán v komunite pracovníkov s mládežou v praxi.</w:t>
      </w:r>
    </w:p>
    <w:p w:rsidR="009529C5" w:rsidRDefault="00474518">
      <w:pPr>
        <w:pStyle w:val="Style1"/>
        <w:rPr>
          <w:noProof/>
        </w:rPr>
      </w:pPr>
      <w:r>
        <w:rPr>
          <w:noProof/>
        </w:rPr>
        <w:t xml:space="preserve">Programy Erasmus+ a Európsky zbor solidarity budú naďalej podporovať prácu s mládežou, a to najmä prostredníctvom </w:t>
      </w:r>
      <w:r>
        <w:rPr>
          <w:b/>
          <w:noProof/>
        </w:rPr>
        <w:t>činností v oblasti nadnárodnej spolupráce a vytvárania sietí medzi národnými age</w:t>
      </w:r>
      <w:r>
        <w:rPr>
          <w:b/>
          <w:noProof/>
        </w:rPr>
        <w:t>ntúrami</w:t>
      </w:r>
      <w:r>
        <w:rPr>
          <w:noProof/>
        </w:rPr>
        <w:t>, čím prispejú k strategickému vplyvu programu a podporia rozvoj kvality práce s mládežou na vnútroštátnej a európskej úrovni.</w:t>
      </w:r>
    </w:p>
    <w:p w:rsidR="009529C5" w:rsidRDefault="00474518">
      <w:pPr>
        <w:pStyle w:val="Style1"/>
        <w:rPr>
          <w:b/>
          <w:noProof/>
        </w:rPr>
      </w:pPr>
      <w:r>
        <w:rPr>
          <w:b/>
          <w:noProof/>
        </w:rPr>
        <w:t>Podpora zdravého a aktívneho životného štýlu</w:t>
      </w:r>
    </w:p>
    <w:p w:rsidR="009529C5" w:rsidRDefault="00474518">
      <w:pPr>
        <w:spacing w:before="120" w:after="120" w:line="264" w:lineRule="auto"/>
        <w:jc w:val="both"/>
        <w:rPr>
          <w:noProof/>
        </w:rPr>
      </w:pPr>
      <w:r>
        <w:rPr>
          <w:noProof/>
        </w:rPr>
        <w:t>Komisia podporila členské štáty a zainteresované strany pri zlepšovaní zdravo</w:t>
      </w:r>
      <w:r>
        <w:rPr>
          <w:noProof/>
        </w:rPr>
        <w:t>tnej gramotnosti a propagácii zdravého a aktívneho životného štýlu v mladom veku s cieľom pomôcť obmedziť neprenosné ochorenia (ako sú kardiovaskulárne ochorenia, rakovina, cukrovka a obezita) v neskoršej etape života. Medzi opatrenia EÚ, ktoré sa osobitne</w:t>
      </w:r>
      <w:r>
        <w:rPr>
          <w:noProof/>
        </w:rPr>
        <w:t xml:space="preserve"> zameriavajú na zdravie mladých ľudí a detí, patrí európsky plán na boj proti rakovine a </w:t>
      </w:r>
      <w:r>
        <w:rPr>
          <w:b/>
          <w:bCs/>
          <w:noProof/>
        </w:rPr>
        <w:t>jednotná akcia „Rovnosť v európskom zdravotníctve“</w:t>
      </w:r>
      <w:r>
        <w:rPr>
          <w:noProof/>
        </w:rPr>
        <w:t xml:space="preserve">, ktorá dopĺňa úsilie členských štátov o riešenie nerovností v oblasti zdravia a sociálnych determinantov. </w:t>
      </w:r>
      <w:r>
        <w:rPr>
          <w:b/>
          <w:bCs/>
          <w:noProof/>
        </w:rPr>
        <w:t>Kampaň v r</w:t>
      </w:r>
      <w:r>
        <w:rPr>
          <w:b/>
          <w:bCs/>
          <w:noProof/>
        </w:rPr>
        <w:t>ámci iniciatívy HealthyLifestyle4All</w:t>
      </w:r>
      <w:r>
        <w:rPr>
          <w:noProof/>
        </w:rPr>
        <w:t>, ktorá sa začala v roku 2021, prepája šport a aktívny životný štýl so zdravím, s potravinami a inými politikami. Jadrom tejto iniciatívy je špecializovaná platforma na prezentovanie záväzkov (prísľubov) rôznych zaintere</w:t>
      </w:r>
      <w:r>
        <w:rPr>
          <w:noProof/>
        </w:rPr>
        <w:t>sovaných strán.</w:t>
      </w:r>
    </w:p>
    <w:p w:rsidR="009529C5" w:rsidRDefault="00474518">
      <w:pPr>
        <w:spacing w:before="120" w:after="120" w:line="264" w:lineRule="auto"/>
        <w:jc w:val="both"/>
        <w:rPr>
          <w:noProof/>
        </w:rPr>
      </w:pPr>
      <w:r>
        <w:rPr>
          <w:noProof/>
        </w:rPr>
        <w:t xml:space="preserve">V rámci </w:t>
      </w:r>
      <w:r>
        <w:rPr>
          <w:b/>
          <w:noProof/>
        </w:rPr>
        <w:t>jednotnej akcie týkajúcej sa duševného zdravia (ImpleMENTAL)</w:t>
      </w:r>
      <w:r>
        <w:rPr>
          <w:noProof/>
        </w:rPr>
        <w:t xml:space="preserve"> sa bude vykonávať viacúrovňový národný program prevencie samovrážd a systémová reforma na posilnenie komunitných služieb s osobitným zameraním na služby pre deti a mladých</w:t>
      </w:r>
      <w:r>
        <w:rPr>
          <w:noProof/>
        </w:rPr>
        <w:t xml:space="preserve"> ľudí. Komisia zriadila na podporu úsilia zainteresovaných strán v rámci svojej platformy EÚ pre politiku zdravia</w:t>
      </w:r>
      <w:r>
        <w:rPr>
          <w:noProof/>
          <w:vertAlign w:val="superscript"/>
        </w:rPr>
        <w:footnoteReference w:id="34"/>
      </w:r>
      <w:r>
        <w:rPr>
          <w:noProof/>
        </w:rPr>
        <w:t xml:space="preserve"> skupinu na podporu duševného zdravia v kontexte pandémie COVID-19 a v máji 2021 usporiadala konferenciu na vysokej úrovni</w:t>
      </w:r>
      <w:r>
        <w:rPr>
          <w:rFonts w:eastAsia="Calibri"/>
          <w:noProof/>
          <w:vertAlign w:val="superscript"/>
        </w:rPr>
        <w:footnoteReference w:id="35"/>
      </w:r>
      <w:r>
        <w:rPr>
          <w:noProof/>
        </w:rPr>
        <w:t xml:space="preserve"> o vplyve pandémie na duševné zdravie.</w:t>
      </w:r>
    </w:p>
    <w:p w:rsidR="009529C5" w:rsidRDefault="00474518">
      <w:pPr>
        <w:pStyle w:val="Heading1"/>
        <w:jc w:val="both"/>
        <w:rPr>
          <w:rFonts w:ascii="Times New Roman" w:hAnsi="Times New Roman"/>
          <w:noProof/>
          <w:color w:val="auto"/>
        </w:rPr>
      </w:pPr>
      <w:bookmarkStart w:id="22" w:name="_Toc75989630"/>
      <w:bookmarkStart w:id="23" w:name="_Toc80954118"/>
      <w:bookmarkStart w:id="24" w:name="_Toc84944084"/>
      <w:r>
        <w:rPr>
          <w:rFonts w:ascii="Times New Roman" w:hAnsi="Times New Roman"/>
          <w:noProof/>
          <w:color w:val="auto"/>
        </w:rPr>
        <w:t>Hlavné nástroje na podporu spolupráce a vzájomného učenia</w:t>
      </w:r>
      <w:bookmarkEnd w:id="22"/>
      <w:bookmarkEnd w:id="23"/>
      <w:bookmarkEnd w:id="24"/>
    </w:p>
    <w:p w:rsidR="009529C5" w:rsidRDefault="00474518">
      <w:pPr>
        <w:pStyle w:val="Style1"/>
        <w:rPr>
          <w:noProof/>
        </w:rPr>
      </w:pPr>
      <w:r>
        <w:rPr>
          <w:noProof/>
        </w:rPr>
        <w:t>Stratégiou EÚ pre mládež sa umožnil rozvoj príslušných nástrojov, ktoré prispievajú k posilnenej spolupráci a výmene názorov medzi členskými štátmi.</w:t>
      </w:r>
    </w:p>
    <w:p w:rsidR="009529C5" w:rsidRDefault="00474518">
      <w:pPr>
        <w:pStyle w:val="Style1"/>
        <w:rPr>
          <w:b/>
          <w:bCs/>
          <w:noProof/>
        </w:rPr>
      </w:pPr>
      <w:r>
        <w:rPr>
          <w:b/>
          <w:bCs/>
          <w:noProof/>
        </w:rPr>
        <w:t>Podpora tv</w:t>
      </w:r>
      <w:r>
        <w:rPr>
          <w:b/>
          <w:bCs/>
          <w:noProof/>
        </w:rPr>
        <w:t>orby politiky založenej na faktoch</w:t>
      </w:r>
    </w:p>
    <w:p w:rsidR="009529C5" w:rsidRDefault="00474518">
      <w:pPr>
        <w:pStyle w:val="Style1"/>
        <w:rPr>
          <w:noProof/>
        </w:rPr>
      </w:pPr>
      <w:r>
        <w:rPr>
          <w:noProof/>
        </w:rPr>
        <w:t xml:space="preserve">Európske nástroje na dosiahnutie lepších znalostí sú kľúčové na podporu rozvoja politiky v oblasti mládeže. Vytvorením </w:t>
      </w:r>
      <w:hyperlink r:id="rId27" w:history="1">
        <w:r>
          <w:rPr>
            <w:rStyle w:val="Hyperlink"/>
            <w:noProof/>
          </w:rPr>
          <w:t>centra zna</w:t>
        </w:r>
        <w:r>
          <w:rPr>
            <w:rStyle w:val="Hyperlink"/>
            <w:noProof/>
          </w:rPr>
          <w:t>lostí</w:t>
        </w:r>
      </w:hyperlink>
      <w:r>
        <w:rPr>
          <w:noProof/>
        </w:rPr>
        <w:t xml:space="preserve"> sa v rámci </w:t>
      </w:r>
      <w:r>
        <w:rPr>
          <w:b/>
          <w:bCs/>
          <w:noProof/>
        </w:rPr>
        <w:t>partnerstva v oblasti mládeže</w:t>
      </w:r>
      <w:r>
        <w:rPr>
          <w:noProof/>
        </w:rPr>
        <w:t xml:space="preserve"> </w:t>
      </w:r>
      <w:r>
        <w:rPr>
          <w:b/>
          <w:bCs/>
          <w:noProof/>
        </w:rPr>
        <w:t>medzi Európskou úniou a Radou Európy</w:t>
      </w:r>
      <w:r>
        <w:rPr>
          <w:noProof/>
        </w:rPr>
        <w:t xml:space="preserve"> okrem výskumu o účasti, začlenení a práci s mládežou rozvíjala aj práca o vplyve ochorenia COVID-19 na mladých ľudí a sektor mládeže.</w:t>
      </w:r>
    </w:p>
    <w:p w:rsidR="009529C5" w:rsidRDefault="00474518">
      <w:pPr>
        <w:pStyle w:val="Style1"/>
        <w:rPr>
          <w:noProof/>
        </w:rPr>
      </w:pPr>
      <w:r>
        <w:rPr>
          <w:noProof/>
        </w:rPr>
        <w:t xml:space="preserve">Online platforma </w:t>
      </w:r>
      <w:hyperlink r:id="rId28" w:history="1">
        <w:r>
          <w:rPr>
            <w:rStyle w:val="Hyperlink"/>
            <w:b/>
            <w:bCs/>
            <w:noProof/>
          </w:rPr>
          <w:t>Wiki pre mládež</w:t>
        </w:r>
      </w:hyperlink>
      <w:r>
        <w:rPr>
          <w:noProof/>
        </w:rPr>
        <w:t xml:space="preserve"> poskytuje komplexný prehľad vnútroštátnych politík v oblasti mládeže v 32 európskych krajinách a obsahuje kapitolu o práci s mládežou, ako aj porovnávacie mapy.</w:t>
      </w:r>
    </w:p>
    <w:p w:rsidR="009529C5" w:rsidRDefault="00474518">
      <w:pPr>
        <w:pStyle w:val="Style1"/>
        <w:rPr>
          <w:noProof/>
        </w:rPr>
      </w:pPr>
      <w:r>
        <w:rPr>
          <w:noProof/>
        </w:rPr>
        <w:lastRenderedPageBreak/>
        <w:t>Špecializovaná expertná skupi</w:t>
      </w:r>
      <w:r>
        <w:rPr>
          <w:noProof/>
        </w:rPr>
        <w:t xml:space="preserve">na preskúmala </w:t>
      </w:r>
      <w:r>
        <w:rPr>
          <w:b/>
          <w:bCs/>
          <w:noProof/>
        </w:rPr>
        <w:t>prehľad ukazovateľov situácie mládeže</w:t>
      </w:r>
      <w:r>
        <w:rPr>
          <w:noProof/>
        </w:rPr>
        <w:t xml:space="preserve"> na obdobie 2019 – 2021</w:t>
      </w:r>
      <w:r>
        <w:rPr>
          <w:rStyle w:val="FootnoteReference"/>
          <w:noProof/>
        </w:rPr>
        <w:footnoteReference w:id="36"/>
      </w:r>
      <w:r>
        <w:rPr>
          <w:noProof/>
        </w:rPr>
        <w:t xml:space="preserve"> a zároveň predložila návrhy nových kvantitatívnych a kvalitatívnych ukazovateľov politiky. Prehľad by mal byť v súčasnosti funkčný, najmä s cieľom lepšie monitorovať výdavky EÚ na </w:t>
      </w:r>
      <w:r>
        <w:rPr>
          <w:noProof/>
        </w:rPr>
        <w:t>mládež.</w:t>
      </w:r>
    </w:p>
    <w:p w:rsidR="009529C5" w:rsidRDefault="00474518">
      <w:pPr>
        <w:pStyle w:val="Style1"/>
        <w:rPr>
          <w:b/>
          <w:bCs/>
          <w:noProof/>
        </w:rPr>
      </w:pPr>
      <w:r>
        <w:rPr>
          <w:b/>
          <w:bCs/>
          <w:noProof/>
        </w:rPr>
        <w:t>Činnosti vzájomného učenia</w:t>
      </w:r>
    </w:p>
    <w:p w:rsidR="009529C5" w:rsidRDefault="00474518">
      <w:pPr>
        <w:pStyle w:val="Style1"/>
        <w:rPr>
          <w:noProof/>
        </w:rPr>
      </w:pPr>
      <w:r>
        <w:rPr>
          <w:noProof/>
        </w:rPr>
        <w:t>Ako vyplýva z vysokého počtu účastníkov počas vykazovaného obdobia, členské štáty prejavili veľký záujem o </w:t>
      </w:r>
      <w:r>
        <w:rPr>
          <w:b/>
          <w:bCs/>
          <w:noProof/>
        </w:rPr>
        <w:t>činnosti vzájomného učenia</w:t>
      </w:r>
      <w:r>
        <w:rPr>
          <w:noProof/>
        </w:rPr>
        <w:t>. Tento zvýšený záujem poukázal na výhody pri výmene osvedčených postupov a dosiahnutí s</w:t>
      </w:r>
      <w:r>
        <w:rPr>
          <w:noProof/>
        </w:rPr>
        <w:t>poločného porozumenia. Expertné skupiny a činnosti partnerského učenia umožnili dosiahnutie konsenzu o riešeniach a ich praktickom vykonávaní. Posilnili spoluprácu medzi členskými štátmi a riešili témy spoločného záujmu.</w:t>
      </w:r>
    </w:p>
    <w:p w:rsidR="009529C5" w:rsidRDefault="00474518">
      <w:pPr>
        <w:pStyle w:val="Style1"/>
        <w:rPr>
          <w:noProof/>
        </w:rPr>
      </w:pPr>
      <w:r>
        <w:rPr>
          <w:noProof/>
        </w:rPr>
        <w:t>V rámci výmen názorov v </w:t>
      </w:r>
      <w:r>
        <w:rPr>
          <w:b/>
          <w:noProof/>
        </w:rPr>
        <w:t>expertnej s</w:t>
      </w:r>
      <w:r>
        <w:rPr>
          <w:b/>
          <w:noProof/>
        </w:rPr>
        <w:t>kupine pre mobilitu mladých dobrovoľníkov</w:t>
      </w:r>
      <w:r>
        <w:rPr>
          <w:noProof/>
        </w:rPr>
        <w:t xml:space="preserve"> sa pripravil návrh revízie odporúčania o mobilite dobrovoľníkov. </w:t>
      </w:r>
      <w:r>
        <w:rPr>
          <w:b/>
          <w:noProof/>
        </w:rPr>
        <w:t>Expertná skupina pre ukazovatele</w:t>
      </w:r>
      <w:r>
        <w:rPr>
          <w:noProof/>
        </w:rPr>
        <w:t xml:space="preserve"> prišla s návrhmi revízie prehľadu s cieľom lepšie pochopiť situáciu mladých ľudí. </w:t>
      </w:r>
      <w:r>
        <w:rPr>
          <w:b/>
          <w:noProof/>
        </w:rPr>
        <w:t>Expertná skupina pre prácu s mláde</w:t>
      </w:r>
      <w:r>
        <w:rPr>
          <w:b/>
          <w:noProof/>
        </w:rPr>
        <w:t>žou</w:t>
      </w:r>
      <w:r>
        <w:rPr>
          <w:noProof/>
        </w:rPr>
        <w:t xml:space="preserve"> začne svoje pôsobenie v poslednom štvrťroku 2021 ako súčasť vykonávania programu práce s mládežou.</w:t>
      </w:r>
    </w:p>
    <w:p w:rsidR="009529C5" w:rsidRDefault="00474518">
      <w:pPr>
        <w:pStyle w:val="Style1"/>
        <w:rPr>
          <w:noProof/>
        </w:rPr>
      </w:pPr>
      <w:r>
        <w:rPr>
          <w:noProof/>
        </w:rPr>
        <w:t xml:space="preserve">V polovici roku 2021 boli prvýkrát zorganizované činnosti partnerského učenia týkajúce sa politík v oblasti mládeže. </w:t>
      </w:r>
      <w:r>
        <w:rPr>
          <w:b/>
          <w:noProof/>
        </w:rPr>
        <w:t>Činnosť partnerského učenia týkajúca</w:t>
      </w:r>
      <w:r>
        <w:rPr>
          <w:b/>
          <w:noProof/>
        </w:rPr>
        <w:t xml:space="preserve"> sa neodborných kvalifikácií pre prácu s mládežou</w:t>
      </w:r>
      <w:r>
        <w:rPr>
          <w:noProof/>
        </w:rPr>
        <w:t xml:space="preserve"> sa na podnet Francúzska v júni 2021 zamerala na uznávanie kompetencií a kvalifikácií pracovníkov s mládežou s cieľom uľahčiť cezhraničné výmeny a mobilitu. Členské štáty sa zhodli na potrebe ďalšej podpory </w:t>
      </w:r>
      <w:r>
        <w:rPr>
          <w:noProof/>
        </w:rPr>
        <w:t>výmen v oblasti práce s mládežou, ako aj prístupov formálneho a neformálneho vzdelávania k poskytovaniu a uznávaniu neodborných kvalifikácií pracovníkom s mládežou.</w:t>
      </w:r>
    </w:p>
    <w:p w:rsidR="009529C5" w:rsidRDefault="00474518">
      <w:pPr>
        <w:pStyle w:val="Style1"/>
        <w:rPr>
          <w:noProof/>
        </w:rPr>
      </w:pPr>
      <w:r>
        <w:rPr>
          <w:noProof/>
        </w:rPr>
        <w:t xml:space="preserve">Na podnet portugalského predsedníctva v júni 2021 sa uskutočnila aj </w:t>
      </w:r>
      <w:r>
        <w:rPr>
          <w:b/>
          <w:noProof/>
        </w:rPr>
        <w:t>činnosť partnerského uč</w:t>
      </w:r>
      <w:r>
        <w:rPr>
          <w:b/>
          <w:noProof/>
        </w:rPr>
        <w:t>enia týkajúca sa prístupu založeného na právach v rámci politiky v oblasti mládeže</w:t>
      </w:r>
      <w:r>
        <w:rPr>
          <w:noProof/>
        </w:rPr>
        <w:t xml:space="preserve">. Diskusie poukázali na potrebu začleniť rozmer mládeže do rôznych politík, zintenzívniť používanie digitálnych technológií, podporovať prístup založený na právach a zapojiť </w:t>
      </w:r>
      <w:r>
        <w:rPr>
          <w:noProof/>
        </w:rPr>
        <w:t xml:space="preserve">mladých ľudí a ďalšie zainteresované strany. Na podnet Estónska sa má do konca roka 2021 uskutočniť </w:t>
      </w:r>
      <w:r>
        <w:rPr>
          <w:b/>
          <w:noProof/>
        </w:rPr>
        <w:t>činnosť partnerského učenia týkajúca sa mobility dobrovoľníkov s </w:t>
      </w:r>
      <w:r>
        <w:rPr>
          <w:noProof/>
        </w:rPr>
        <w:t>cieľom prediskutovať prácu na preskúmaní odporúčaní Rady o mobilite dobrovoľníkov a vytvore</w:t>
      </w:r>
      <w:r>
        <w:rPr>
          <w:noProof/>
        </w:rPr>
        <w:t>ní vnútroštátnych občianskych schém.</w:t>
      </w:r>
    </w:p>
    <w:p w:rsidR="009529C5" w:rsidRDefault="00474518">
      <w:pPr>
        <w:pStyle w:val="Style1"/>
        <w:rPr>
          <w:b/>
          <w:bCs/>
          <w:noProof/>
        </w:rPr>
      </w:pPr>
      <w:r>
        <w:rPr>
          <w:b/>
          <w:bCs/>
          <w:noProof/>
        </w:rPr>
        <w:t>Plánovače budúcich vnútroštátnych činností (FNAP)</w:t>
      </w:r>
    </w:p>
    <w:p w:rsidR="009529C5" w:rsidRDefault="00474518">
      <w:pPr>
        <w:pStyle w:val="Style1"/>
        <w:rPr>
          <w:b/>
          <w:noProof/>
          <w:color w:val="auto"/>
        </w:rPr>
      </w:pPr>
      <w:r>
        <w:rPr>
          <w:rStyle w:val="Style1Char"/>
          <w:b/>
          <w:bCs/>
          <w:noProof/>
        </w:rPr>
        <w:t>Plánovače budúcich vnútroštátnych činností (FNAP)</w:t>
      </w:r>
      <w:r>
        <w:rPr>
          <w:noProof/>
        </w:rPr>
        <w:t xml:space="preserve"> zavedené v roku 2019 </w:t>
      </w:r>
      <w:r>
        <w:rPr>
          <w:rStyle w:val="Style1Char"/>
          <w:noProof/>
        </w:rPr>
        <w:t xml:space="preserve">umožňujú členským štátom dobrovoľne si vymieňať informácie o svojich prioritách v súlade so </w:t>
      </w:r>
      <w:r>
        <w:rPr>
          <w:rStyle w:val="Style1Char"/>
          <w:noProof/>
        </w:rPr>
        <w:t>stratégiou EÚ pre mládež</w:t>
      </w:r>
      <w:r>
        <w:rPr>
          <w:noProof/>
        </w:rPr>
        <w:t xml:space="preserve">. </w:t>
      </w:r>
      <w:r>
        <w:rPr>
          <w:noProof/>
          <w:color w:val="auto"/>
        </w:rPr>
        <w:t>Komisia uskutočnila v rokoch 2019 a 2021 v rámci FNAP prieskum medzi členskými štátmi, aby zhromaždila informácie o ich prioritách týkajúcich sa politiky v oblasti mládeže, pokiaľ ide o vykonávanie európskych cieľov v oblasti mlád</w:t>
      </w:r>
      <w:r>
        <w:rPr>
          <w:noProof/>
          <w:color w:val="auto"/>
        </w:rPr>
        <w:t>eže a potreby spolupráce v súlade so stratégiou EÚ pre mládež. V </w:t>
      </w:r>
      <w:r>
        <w:rPr>
          <w:b/>
          <w:noProof/>
          <w:color w:val="auto"/>
        </w:rPr>
        <w:t xml:space="preserve">roku 2019 si vymenilo </w:t>
      </w:r>
      <w:r>
        <w:rPr>
          <w:b/>
          <w:noProof/>
          <w:color w:val="auto"/>
        </w:rPr>
        <w:lastRenderedPageBreak/>
        <w:t>informácie o svojich plánoch 21 členských štátov</w:t>
      </w:r>
      <w:r>
        <w:rPr>
          <w:rStyle w:val="FootnoteReference"/>
          <w:rFonts w:eastAsia="Times New Roman"/>
          <w:b/>
          <w:noProof/>
          <w:color w:val="auto"/>
        </w:rPr>
        <w:footnoteReference w:id="37"/>
      </w:r>
      <w:r>
        <w:rPr>
          <w:b/>
          <w:noProof/>
          <w:color w:val="auto"/>
        </w:rPr>
        <w:t xml:space="preserve"> a v roku 2021 poskytlo aktualizácie FNAP 18 členských štátov</w:t>
      </w:r>
      <w:r>
        <w:rPr>
          <w:rStyle w:val="FootnoteReference"/>
          <w:rFonts w:eastAsia="Times New Roman"/>
          <w:b/>
          <w:noProof/>
          <w:color w:val="auto"/>
        </w:rPr>
        <w:footnoteReference w:id="38"/>
      </w:r>
      <w:r>
        <w:rPr>
          <w:b/>
          <w:noProof/>
          <w:color w:val="auto"/>
        </w:rPr>
        <w:t>.</w:t>
      </w:r>
    </w:p>
    <w:p w:rsidR="009529C5" w:rsidRDefault="00474518">
      <w:pPr>
        <w:pStyle w:val="Style1"/>
        <w:rPr>
          <w:noProof/>
        </w:rPr>
      </w:pPr>
      <w:r>
        <w:rPr>
          <w:noProof/>
        </w:rPr>
        <w:t>Prispelo to k zvýšenej transparentnosti vnútroštátnych p</w:t>
      </w:r>
      <w:r>
        <w:rPr>
          <w:noProof/>
        </w:rPr>
        <w:t>riorít v oblasti mládeže a k identifikácii spoločných potrieb. Odporúča sa, aby sa tieto prieskumy vykonávali najmenej raz za každý cyklus trojice predsedníctiev s možnosťou, aby krajiny aktualizovali svoje FNAP podľa potreby.</w:t>
      </w:r>
    </w:p>
    <w:p w:rsidR="009529C5" w:rsidRDefault="00474518">
      <w:pPr>
        <w:pStyle w:val="Style1"/>
        <w:rPr>
          <w:noProof/>
        </w:rPr>
      </w:pPr>
      <w:r>
        <w:rPr>
          <w:noProof/>
        </w:rPr>
        <w:t>V roku 2019 boli tromi hlavný</w:t>
      </w:r>
      <w:r>
        <w:rPr>
          <w:noProof/>
        </w:rPr>
        <w:t>mi spoločnými výzvami pre politiku v oblasti mládeže, ktoré vo FNAP uviedli krajiny zapojené do prieskumu: 1. potreba zvýšiť účasť mládeže; 2. prístup ku kvalitnému vzdelávaniu a profesijnému rozvoju a 3. rozvoj digitálnych zručností a mediálnej gramotnost</w:t>
      </w:r>
      <w:r>
        <w:rPr>
          <w:noProof/>
        </w:rPr>
        <w:t>i.</w:t>
      </w:r>
    </w:p>
    <w:p w:rsidR="009529C5" w:rsidRDefault="00474518">
      <w:pPr>
        <w:pStyle w:val="Style1"/>
        <w:rPr>
          <w:noProof/>
        </w:rPr>
      </w:pPr>
      <w:r>
        <w:rPr>
          <w:noProof/>
        </w:rPr>
        <w:t xml:space="preserve">V roku 2021 sa reakcie vo veľkej miere zameriavajú na vplyv pandémie ochorenia COVID-19 na mladých ľudí. Dve tretiny označujú </w:t>
      </w:r>
      <w:r>
        <w:rPr>
          <w:b/>
          <w:bCs/>
          <w:noProof/>
        </w:rPr>
        <w:t>duševné zdravie</w:t>
      </w:r>
      <w:r>
        <w:rPr>
          <w:noProof/>
        </w:rPr>
        <w:t xml:space="preserve"> mládeže za hlavnú výzvu. Prekážky týkajúce sa </w:t>
      </w:r>
      <w:r>
        <w:rPr>
          <w:b/>
          <w:bCs/>
          <w:noProof/>
        </w:rPr>
        <w:t>profesijného rastu a nezamestnanosti mladých ľudí</w:t>
      </w:r>
      <w:r>
        <w:rPr>
          <w:noProof/>
        </w:rPr>
        <w:t xml:space="preserve"> zostávajú na po</w:t>
      </w:r>
      <w:r>
        <w:rPr>
          <w:noProof/>
        </w:rPr>
        <w:t xml:space="preserve">predných miestach. Členské štáty takisto vyjadrujú potrebu viac sa zamerať na </w:t>
      </w:r>
      <w:r>
        <w:rPr>
          <w:b/>
          <w:bCs/>
          <w:noProof/>
        </w:rPr>
        <w:t>zamestnateľnosť a získavanie zručností</w:t>
      </w:r>
      <w:r>
        <w:rPr>
          <w:noProof/>
        </w:rPr>
        <w:t>, najmä v prípade osôb, ktoré majú menej príležitostí alebo žijú v sociálne vylúčených oblastiach.</w:t>
      </w:r>
    </w:p>
    <w:p w:rsidR="009529C5" w:rsidRDefault="00474518">
      <w:pPr>
        <w:pStyle w:val="ListParagraph"/>
        <w:numPr>
          <w:ilvl w:val="0"/>
          <w:numId w:val="3"/>
        </w:numPr>
        <w:spacing w:before="120" w:after="120" w:line="240" w:lineRule="auto"/>
        <w:jc w:val="both"/>
        <w:rPr>
          <w:rFonts w:ascii="Times New Roman" w:hAnsi="Times New Roman" w:cs="Times New Roman"/>
          <w:b/>
          <w:bCs/>
          <w:noProof/>
          <w:sz w:val="24"/>
          <w:szCs w:val="24"/>
        </w:rPr>
      </w:pPr>
      <w:r>
        <w:rPr>
          <w:rFonts w:ascii="Times New Roman" w:hAnsi="Times New Roman"/>
          <w:b/>
          <w:bCs/>
          <w:noProof/>
          <w:sz w:val="24"/>
          <w:szCs w:val="24"/>
        </w:rPr>
        <w:t>Zapájať</w:t>
      </w:r>
    </w:p>
    <w:p w:rsidR="009529C5" w:rsidRDefault="00474518">
      <w:pPr>
        <w:pStyle w:val="Style1"/>
        <w:rPr>
          <w:noProof/>
        </w:rPr>
      </w:pPr>
      <w:r>
        <w:rPr>
          <w:noProof/>
        </w:rPr>
        <w:t xml:space="preserve">Podpora </w:t>
      </w:r>
      <w:r>
        <w:rPr>
          <w:b/>
          <w:bCs/>
          <w:noProof/>
        </w:rPr>
        <w:t xml:space="preserve">Európskeho dialógu </w:t>
      </w:r>
      <w:r>
        <w:rPr>
          <w:b/>
          <w:bCs/>
          <w:noProof/>
        </w:rPr>
        <w:t>s mládežou</w:t>
      </w:r>
      <w:r>
        <w:rPr>
          <w:noProof/>
        </w:rPr>
        <w:t xml:space="preserve"> s cieľom zahrnúť rozličné názory mladých ľudí do rozhodovacích procesov, po ktorej nasleduje potreba podporovať </w:t>
      </w:r>
      <w:r>
        <w:rPr>
          <w:b/>
          <w:bCs/>
          <w:noProof/>
        </w:rPr>
        <w:t>inkluzívnu demokratickú účasť</w:t>
      </w:r>
      <w:r>
        <w:rPr>
          <w:noProof/>
        </w:rPr>
        <w:t xml:space="preserve"> v spoločnosti a na demokratických procesoch a rozvoj </w:t>
      </w:r>
      <w:r>
        <w:rPr>
          <w:b/>
          <w:bCs/>
          <w:noProof/>
        </w:rPr>
        <w:t>príležitostí na „učenie sa aktívnej účasti“</w:t>
      </w:r>
      <w:r>
        <w:rPr>
          <w:noProof/>
        </w:rPr>
        <w:t>, sú pr</w:t>
      </w:r>
      <w:r>
        <w:rPr>
          <w:noProof/>
        </w:rPr>
        <w:t>ioritami európskej spolupráce týkajúcej sa FNAP na rok 2021 (ako v roku 2019).</w:t>
      </w:r>
    </w:p>
    <w:p w:rsidR="009529C5" w:rsidRDefault="00474518">
      <w:pPr>
        <w:pStyle w:val="Style1"/>
        <w:rPr>
          <w:noProof/>
        </w:rPr>
      </w:pPr>
      <w:r>
        <w:rPr>
          <w:noProof/>
        </w:rPr>
        <w:t xml:space="preserve">Členské štáty určili </w:t>
      </w:r>
      <w:r>
        <w:rPr>
          <w:b/>
          <w:bCs/>
          <w:noProof/>
        </w:rPr>
        <w:t>činnosti v oblasti nadnárodnej spolupráce</w:t>
      </w:r>
      <w:r>
        <w:rPr>
          <w:rStyle w:val="FootnoteReference"/>
          <w:b/>
          <w:bCs/>
          <w:noProof/>
        </w:rPr>
        <w:footnoteReference w:id="39"/>
      </w:r>
      <w:r>
        <w:rPr>
          <w:noProof/>
        </w:rPr>
        <w:t xml:space="preserve"> v rámci programu Erasmus+ ako svoj preferovaný nástroj spolupráce v tejto oblasti, po ktorých nasledujú </w:t>
      </w:r>
      <w:r>
        <w:rPr>
          <w:b/>
          <w:bCs/>
          <w:noProof/>
        </w:rPr>
        <w:t xml:space="preserve">expertné </w:t>
      </w:r>
      <w:r>
        <w:rPr>
          <w:b/>
          <w:bCs/>
          <w:noProof/>
        </w:rPr>
        <w:t>skupiny</w:t>
      </w:r>
      <w:r>
        <w:rPr>
          <w:noProof/>
        </w:rPr>
        <w:t xml:space="preserve"> a </w:t>
      </w:r>
      <w:r>
        <w:rPr>
          <w:b/>
          <w:bCs/>
          <w:noProof/>
        </w:rPr>
        <w:t>partnerské učenie</w:t>
      </w:r>
      <w:r>
        <w:rPr>
          <w:noProof/>
        </w:rPr>
        <w:t>. Spolupráca medzi trojicou predsedníctiev Rady EÚ, Komisiou a Európskym fórom mládeže na 8. cykle Európskeho dialógu s mládežou je vo FNAP predstavená ako príklad osvedčených postupov.</w:t>
      </w:r>
    </w:p>
    <w:p w:rsidR="009529C5" w:rsidRDefault="00474518">
      <w:pPr>
        <w:pStyle w:val="ListParagraph"/>
        <w:numPr>
          <w:ilvl w:val="0"/>
          <w:numId w:val="3"/>
        </w:numPr>
        <w:spacing w:before="120" w:after="120" w:line="240" w:lineRule="auto"/>
        <w:jc w:val="both"/>
        <w:rPr>
          <w:rFonts w:ascii="Times New Roman" w:hAnsi="Times New Roman" w:cs="Times New Roman"/>
          <w:b/>
          <w:bCs/>
          <w:noProof/>
          <w:sz w:val="24"/>
          <w:szCs w:val="24"/>
        </w:rPr>
      </w:pPr>
      <w:r>
        <w:rPr>
          <w:rFonts w:ascii="Times New Roman" w:hAnsi="Times New Roman"/>
          <w:b/>
          <w:bCs/>
          <w:noProof/>
          <w:sz w:val="24"/>
          <w:szCs w:val="24"/>
        </w:rPr>
        <w:t>Spájať</w:t>
      </w:r>
    </w:p>
    <w:p w:rsidR="009529C5" w:rsidRDefault="00474518">
      <w:pPr>
        <w:spacing w:before="120" w:after="120"/>
        <w:jc w:val="both"/>
        <w:rPr>
          <w:noProof/>
        </w:rPr>
      </w:pPr>
      <w:r>
        <w:rPr>
          <w:noProof/>
        </w:rPr>
        <w:t>V tejto oblasti určili členské štáty</w:t>
      </w:r>
      <w:r>
        <w:rPr>
          <w:noProof/>
        </w:rPr>
        <w:t xml:space="preserve"> vo svojich FNAP dve hlavné témy spolupráce do budúcnosti: 1. umožnenie prístupu všetkých mladých ľudí a pracovníkov s mládežou k </w:t>
      </w:r>
      <w:r>
        <w:rPr>
          <w:b/>
          <w:bCs/>
          <w:noProof/>
        </w:rPr>
        <w:t>cezhraničnej mobilite a dobrovoľníckym príležitostiam</w:t>
      </w:r>
      <w:r>
        <w:rPr>
          <w:noProof/>
        </w:rPr>
        <w:t xml:space="preserve"> s osobitným dôrazom na mládež s obmedzenými príležitosťami a 2. výmena n</w:t>
      </w:r>
      <w:r>
        <w:rPr>
          <w:noProof/>
        </w:rPr>
        <w:t xml:space="preserve">ajlepších postupov a ďalšia práca na účinných systémoch </w:t>
      </w:r>
      <w:r>
        <w:rPr>
          <w:b/>
          <w:bCs/>
          <w:noProof/>
        </w:rPr>
        <w:t>validácie a uznávania kompetencií</w:t>
      </w:r>
      <w:r>
        <w:rPr>
          <w:noProof/>
        </w:rPr>
        <w:t xml:space="preserve"> získaných prostredníctvom neformálneho vzdelávania a informálneho učenia sa.</w:t>
      </w:r>
    </w:p>
    <w:p w:rsidR="009529C5" w:rsidRDefault="00474518">
      <w:pPr>
        <w:pStyle w:val="Style1"/>
        <w:rPr>
          <w:rFonts w:eastAsia="Times New Roman"/>
          <w:noProof/>
        </w:rPr>
      </w:pPr>
      <w:r>
        <w:rPr>
          <w:noProof/>
        </w:rPr>
        <w:t xml:space="preserve">V roku 2021 uviedlo činnosti v oblasti nadnárodnej spolupráce v rámci programu Erasmus+ </w:t>
      </w:r>
      <w:r>
        <w:rPr>
          <w:noProof/>
        </w:rPr>
        <w:t>ako najvhodnejší nástroj spolupráce 60 % členských štátov zapojených do prieskumu.</w:t>
      </w:r>
    </w:p>
    <w:p w:rsidR="009529C5" w:rsidRDefault="00474518">
      <w:pPr>
        <w:pStyle w:val="ListParagraph"/>
        <w:numPr>
          <w:ilvl w:val="0"/>
          <w:numId w:val="3"/>
        </w:numPr>
        <w:spacing w:before="120" w:after="120" w:line="240" w:lineRule="auto"/>
        <w:jc w:val="both"/>
        <w:rPr>
          <w:rFonts w:ascii="Times New Roman" w:hAnsi="Times New Roman" w:cs="Times New Roman"/>
          <w:b/>
          <w:bCs/>
          <w:noProof/>
          <w:sz w:val="24"/>
          <w:szCs w:val="24"/>
        </w:rPr>
      </w:pPr>
      <w:r>
        <w:rPr>
          <w:rFonts w:ascii="Times New Roman" w:hAnsi="Times New Roman"/>
          <w:b/>
          <w:bCs/>
          <w:noProof/>
          <w:sz w:val="24"/>
          <w:szCs w:val="24"/>
        </w:rPr>
        <w:t>Posilňovať postavenie</w:t>
      </w:r>
    </w:p>
    <w:p w:rsidR="009529C5" w:rsidRDefault="00474518">
      <w:pPr>
        <w:pStyle w:val="Style1"/>
        <w:rPr>
          <w:noProof/>
        </w:rPr>
      </w:pPr>
      <w:r>
        <w:rPr>
          <w:noProof/>
        </w:rPr>
        <w:lastRenderedPageBreak/>
        <w:t xml:space="preserve">V dvoch tretinách odpovedí z prieskumu týkajúceho sa FNAP na rok 2021 sa ako najdôležitejšia téma spolupráce potvrdila </w:t>
      </w:r>
      <w:r>
        <w:rPr>
          <w:b/>
          <w:bCs/>
          <w:noProof/>
        </w:rPr>
        <w:t>kvalitná práca s mládežou</w:t>
      </w:r>
      <w:r>
        <w:rPr>
          <w:noProof/>
        </w:rPr>
        <w:t>, po kt</w:t>
      </w:r>
      <w:r>
        <w:rPr>
          <w:noProof/>
        </w:rPr>
        <w:t xml:space="preserve">orej nasledovala potreba vykonávania </w:t>
      </w:r>
      <w:r>
        <w:rPr>
          <w:b/>
          <w:bCs/>
          <w:noProof/>
        </w:rPr>
        <w:t>európskeho programu práce s mládežou</w:t>
      </w:r>
      <w:r>
        <w:rPr>
          <w:noProof/>
        </w:rPr>
        <w:t xml:space="preserve">. V tejto významnej oblasti sa uprednostňuje využívanie </w:t>
      </w:r>
      <w:r>
        <w:rPr>
          <w:b/>
          <w:bCs/>
          <w:noProof/>
        </w:rPr>
        <w:t>partnerského učenia zameraného na rozvoj politiky</w:t>
      </w:r>
      <w:r>
        <w:rPr>
          <w:noProof/>
        </w:rPr>
        <w:t>, ktoré si zvolila viac ako polovica respondentov.</w:t>
      </w:r>
    </w:p>
    <w:p w:rsidR="009529C5" w:rsidRDefault="00474518">
      <w:pPr>
        <w:keepNext/>
        <w:spacing w:before="240"/>
        <w:rPr>
          <w:b/>
          <w:noProof/>
          <w:color w:val="000000" w:themeColor="text1"/>
        </w:rPr>
      </w:pPr>
      <w:r>
        <w:rPr>
          <w:b/>
          <w:noProof/>
          <w:color w:val="000000" w:themeColor="text1"/>
        </w:rPr>
        <w:t xml:space="preserve">Dialóg so zainteresovanými </w:t>
      </w:r>
      <w:r>
        <w:rPr>
          <w:b/>
          <w:noProof/>
          <w:color w:val="000000" w:themeColor="text1"/>
        </w:rPr>
        <w:t>stranami</w:t>
      </w:r>
    </w:p>
    <w:p w:rsidR="009529C5" w:rsidRDefault="00474518">
      <w:pPr>
        <w:pStyle w:val="Style1"/>
        <w:rPr>
          <w:rFonts w:eastAsia="Times New Roman"/>
          <w:noProof/>
        </w:rPr>
      </w:pPr>
      <w:r>
        <w:rPr>
          <w:b/>
          <w:bCs/>
          <w:noProof/>
        </w:rPr>
        <w:t>Platforma stratégie EÚ pre mládež</w:t>
      </w:r>
      <w:r>
        <w:rPr>
          <w:noProof/>
        </w:rPr>
        <w:t xml:space="preserve"> bola uvedená do prevádzky v roku 2019 s cieľom uľahčiť participatívne riadenie a koordináciu vykonávania stratégie v skutočnom aj vo virtuálnom prostredí. Združuje zástupcov inštitúcií EÚ, členských štátov, národn</w:t>
      </w:r>
      <w:r>
        <w:rPr>
          <w:noProof/>
        </w:rPr>
        <w:t>ých agentúr programov Erasmus+ a Európsky zbor solidarity, mládežníckych organizácií, miestnych a regionálnych orgánov, ako aj ďalších zainteresovaných strán. Platforma tvorí základ pre pravidelný občiansky dialóg, poskytuje zainteresovaným stranám dôležit</w:t>
      </w:r>
      <w:r>
        <w:rPr>
          <w:noProof/>
        </w:rPr>
        <w:t>ejšiu úlohu pri koordinácii vykonávania stratégie a poskytuje príležitosti na výmenu informácií o činnostiach a výsledkoch. Komisia zmobilizovala túto platformu počas pandémie, aby medzi zainteresovanými stranami umožnila výmenu informácií a dôkazov o vply</w:t>
      </w:r>
      <w:r>
        <w:rPr>
          <w:noProof/>
        </w:rPr>
        <w:t>ve pandémie na sektor mládeže.</w:t>
      </w:r>
    </w:p>
    <w:p w:rsidR="009529C5" w:rsidRDefault="00474518">
      <w:pPr>
        <w:spacing w:before="120" w:after="120" w:line="264" w:lineRule="auto"/>
        <w:jc w:val="both"/>
        <w:rPr>
          <w:noProof/>
        </w:rPr>
      </w:pPr>
      <w:r>
        <w:rPr>
          <w:noProof/>
        </w:rPr>
        <w:t xml:space="preserve">Prvá </w:t>
      </w:r>
      <w:r>
        <w:rPr>
          <w:b/>
          <w:bCs/>
          <w:noProof/>
        </w:rPr>
        <w:t>koordinátorka EÚ pre mládež</w:t>
      </w:r>
      <w:r>
        <w:rPr>
          <w:noProof/>
        </w:rPr>
        <w:t xml:space="preserve"> bola vymenovaná v júni 2021. Jej úlohou je osloviť mladých ľudí a mládežnícke organizácie a načúvať ich obavám. Cieľom je aj pomôcť zintenzívniť vnútornú spoluprácu medzi rôznymi oblasťami pol</w:t>
      </w:r>
      <w:r>
        <w:rPr>
          <w:noProof/>
        </w:rPr>
        <w:t>itiky EÚ, ktoré majú vplyv na mládež, a usilovať sa o to, aby sa hľadisko mládeže zohľadnilo v príslušných politikách EÚ.</w:t>
      </w:r>
    </w:p>
    <w:p w:rsidR="009529C5" w:rsidRDefault="009529C5">
      <w:pPr>
        <w:jc w:val="both"/>
        <w:rPr>
          <w:noProof/>
        </w:rPr>
      </w:pPr>
    </w:p>
    <w:p w:rsidR="009529C5" w:rsidRDefault="00474518">
      <w:pPr>
        <w:rPr>
          <w:noProof/>
        </w:rPr>
      </w:pPr>
      <w:r>
        <w:rPr>
          <w:b/>
          <w:bCs/>
          <w:noProof/>
          <w:color w:val="000000" w:themeColor="text1"/>
        </w:rPr>
        <w:t>Monitorovanie financovania mládeže: programy a fondy EÚ</w:t>
      </w:r>
    </w:p>
    <w:p w:rsidR="009529C5" w:rsidRDefault="00474518">
      <w:pPr>
        <w:pStyle w:val="Style1"/>
        <w:rPr>
          <w:rStyle w:val="IntenseEmphasis"/>
          <w:b/>
          <w:i w:val="0"/>
          <w:iCs w:val="0"/>
          <w:noProof/>
          <w:color w:val="000000" w:themeColor="text1"/>
        </w:rPr>
      </w:pPr>
      <w:r>
        <w:rPr>
          <w:b/>
          <w:bCs/>
          <w:noProof/>
        </w:rPr>
        <w:t>Monitorovanie výdavkov EÚ na mládež</w:t>
      </w:r>
      <w:r>
        <w:rPr>
          <w:noProof/>
        </w:rPr>
        <w:t xml:space="preserve"> je súčasťou </w:t>
      </w:r>
      <w:r>
        <w:rPr>
          <w:rStyle w:val="IntenseEmphasis"/>
          <w:i w:val="0"/>
          <w:iCs w:val="0"/>
          <w:noProof/>
          <w:color w:val="000000" w:themeColor="text1"/>
        </w:rPr>
        <w:t>transparentnosti</w:t>
      </w:r>
      <w:r>
        <w:rPr>
          <w:noProof/>
        </w:rPr>
        <w:t xml:space="preserve"> prístupu v o</w:t>
      </w:r>
      <w:r>
        <w:rPr>
          <w:noProof/>
        </w:rPr>
        <w:t xml:space="preserve">blasti opatrení EÚ podporovaného v rámci príslušnej stratégie. </w:t>
      </w:r>
      <w:r>
        <w:rPr>
          <w:rStyle w:val="IntenseEmphasis"/>
          <w:i w:val="0"/>
          <w:iCs w:val="0"/>
          <w:noProof/>
          <w:color w:val="000000" w:themeColor="text1"/>
        </w:rPr>
        <w:t>Sprievodný pracovný dokument útvarov Komisie o vykonávaní stratégie EÚ pre mládež obsahuje správy o minulých činnostiach v medziach viacročného finančného rámca na roky 2019 – 2020, ale zároveň</w:t>
      </w:r>
      <w:r>
        <w:rPr>
          <w:rStyle w:val="IntenseEmphasis"/>
          <w:i w:val="0"/>
          <w:iCs w:val="0"/>
          <w:noProof/>
          <w:color w:val="000000" w:themeColor="text1"/>
        </w:rPr>
        <w:t xml:space="preserve"> sa v ňom uvádzajú príležitosti na financovanie mládeže v novom viacročnom finančnom rámci na roky 2021 – 2027</w:t>
      </w:r>
      <w:r>
        <w:rPr>
          <w:noProof/>
        </w:rPr>
        <w:t xml:space="preserve"> v kombinácii s dočasným nástrojom obnovy NextGenerationEU.</w:t>
      </w:r>
      <w:r>
        <w:rPr>
          <w:rStyle w:val="IntenseEmphasis"/>
          <w:i w:val="0"/>
          <w:iCs w:val="0"/>
          <w:noProof/>
          <w:color w:val="000000" w:themeColor="text1"/>
        </w:rPr>
        <w:t xml:space="preserve"> Možnosti financovania v tomto rámci zahŕňajú nový program </w:t>
      </w:r>
      <w:r>
        <w:rPr>
          <w:rStyle w:val="IntenseEmphasis"/>
          <w:b/>
          <w:i w:val="0"/>
          <w:iCs w:val="0"/>
          <w:noProof/>
          <w:color w:val="000000" w:themeColor="text1"/>
        </w:rPr>
        <w:t>Erasmus+</w:t>
      </w:r>
      <w:r>
        <w:rPr>
          <w:rStyle w:val="IntenseEmphasis"/>
          <w:i w:val="0"/>
          <w:iCs w:val="0"/>
          <w:noProof/>
          <w:color w:val="000000" w:themeColor="text1"/>
        </w:rPr>
        <w:t xml:space="preserve"> s dvojnásobným rozp</w:t>
      </w:r>
      <w:r>
        <w:rPr>
          <w:rStyle w:val="IntenseEmphasis"/>
          <w:i w:val="0"/>
          <w:iCs w:val="0"/>
          <w:noProof/>
          <w:color w:val="000000" w:themeColor="text1"/>
        </w:rPr>
        <w:t xml:space="preserve">očtom, ktorý ponúka ešte viac príležitostí na financovanie v oblasti mládeže, program </w:t>
      </w:r>
      <w:r>
        <w:rPr>
          <w:rStyle w:val="IntenseEmphasis"/>
          <w:b/>
          <w:i w:val="0"/>
          <w:iCs w:val="0"/>
          <w:noProof/>
          <w:color w:val="000000" w:themeColor="text1"/>
        </w:rPr>
        <w:t>Európsky zbor solidarity</w:t>
      </w:r>
      <w:r>
        <w:rPr>
          <w:noProof/>
          <w:color w:val="auto"/>
          <w:shd w:val="clear" w:color="auto" w:fill="FFFFFF"/>
        </w:rPr>
        <w:t>,</w:t>
      </w:r>
      <w:r>
        <w:rPr>
          <w:noProof/>
          <w:shd w:val="clear" w:color="auto" w:fill="FFFFFF"/>
        </w:rPr>
        <w:t xml:space="preserve"> </w:t>
      </w:r>
      <w:r>
        <w:rPr>
          <w:b/>
          <w:noProof/>
          <w:shd w:val="clear" w:color="auto" w:fill="FFFFFF"/>
        </w:rPr>
        <w:t>Iniciatívu na podporu zamestnanosti mladých ľudí</w:t>
      </w:r>
      <w:r>
        <w:rPr>
          <w:noProof/>
          <w:color w:val="auto"/>
          <w:shd w:val="clear" w:color="auto" w:fill="FFFFFF"/>
        </w:rPr>
        <w:t xml:space="preserve">, </w:t>
      </w:r>
      <w:r>
        <w:rPr>
          <w:b/>
          <w:noProof/>
          <w:color w:val="auto"/>
          <w:shd w:val="clear" w:color="auto" w:fill="FFFFFF"/>
        </w:rPr>
        <w:t>Európsky sociálny fond plus</w:t>
      </w:r>
      <w:r>
        <w:rPr>
          <w:noProof/>
          <w:color w:val="auto"/>
          <w:shd w:val="clear" w:color="auto" w:fill="FFFFFF"/>
        </w:rPr>
        <w:t xml:space="preserve"> a program </w:t>
      </w:r>
      <w:r>
        <w:rPr>
          <w:b/>
          <w:noProof/>
          <w:color w:val="auto"/>
          <w:shd w:val="clear" w:color="auto" w:fill="FFFFFF"/>
        </w:rPr>
        <w:t>Horizont Európa</w:t>
      </w:r>
      <w:r>
        <w:rPr>
          <w:rStyle w:val="IntenseEmphasis"/>
          <w:b/>
          <w:i w:val="0"/>
          <w:iCs w:val="0"/>
          <w:noProof/>
          <w:color w:val="000000" w:themeColor="text1"/>
        </w:rPr>
        <w:t>.</w:t>
      </w:r>
    </w:p>
    <w:p w:rsidR="009529C5" w:rsidRDefault="009529C5">
      <w:pPr>
        <w:pStyle w:val="Style1"/>
        <w:rPr>
          <w:noProof/>
        </w:rPr>
      </w:pPr>
    </w:p>
    <w:p w:rsidR="009529C5" w:rsidRDefault="00474518">
      <w:pPr>
        <w:rPr>
          <w:b/>
          <w:noProof/>
          <w:color w:val="000000" w:themeColor="text1"/>
        </w:rPr>
      </w:pPr>
      <w:r>
        <w:rPr>
          <w:b/>
          <w:bCs/>
          <w:noProof/>
          <w:color w:val="000000" w:themeColor="text1"/>
        </w:rPr>
        <w:t>Informovanie o stratégii EÚ pre mládež</w:t>
      </w:r>
    </w:p>
    <w:p w:rsidR="009529C5" w:rsidRDefault="009529C5">
      <w:pPr>
        <w:rPr>
          <w:b/>
          <w:bCs/>
          <w:noProof/>
          <w:color w:val="000000" w:themeColor="text1"/>
        </w:rPr>
      </w:pPr>
    </w:p>
    <w:p w:rsidR="009529C5" w:rsidRDefault="00474518">
      <w:pPr>
        <w:spacing w:after="120" w:line="264" w:lineRule="auto"/>
        <w:jc w:val="both"/>
        <w:rPr>
          <w:noProof/>
        </w:rPr>
      </w:pPr>
      <w:r>
        <w:rPr>
          <w:noProof/>
        </w:rPr>
        <w:t>V roku 2019 bol vypracovaný komunikačný materiál vo viacerých jazykoch s cieľom poskytnúť informácie o stratégii, a to najmä na internete a prostredníctvom sociálnych médií.</w:t>
      </w:r>
    </w:p>
    <w:p w:rsidR="009529C5" w:rsidRDefault="00474518">
      <w:pPr>
        <w:pStyle w:val="Style1"/>
        <w:rPr>
          <w:noProof/>
        </w:rPr>
      </w:pPr>
      <w:hyperlink r:id="rId29" w:history="1">
        <w:r>
          <w:rPr>
            <w:rStyle w:val="Hyperlink"/>
            <w:b/>
            <w:bCs/>
            <w:noProof/>
          </w:rPr>
          <w:t>Európsky portál pre mládež</w:t>
        </w:r>
      </w:hyperlink>
      <w:r>
        <w:rPr>
          <w:rStyle w:val="FootnoteReference"/>
          <w:noProof/>
          <w:color w:val="0000FF" w:themeColor="hyperlink"/>
          <w:u w:val="single"/>
        </w:rPr>
        <w:footnoteReference w:id="40"/>
      </w:r>
      <w:r>
        <w:rPr>
          <w:noProof/>
        </w:rPr>
        <w:t>,</w:t>
      </w:r>
      <w:r>
        <w:rPr>
          <w:noProof/>
        </w:rPr>
        <w:t xml:space="preserve"> ktorý je jednotným kontaktným viacjazyčným portálom pre mladých ľudí v Európe, v súčasnosti ponúka širokú škálu informácií o stratégii EÚ pre mládež. Tento portál s pomocou siete </w:t>
      </w:r>
      <w:r>
        <w:rPr>
          <w:b/>
          <w:bCs/>
          <w:noProof/>
        </w:rPr>
        <w:t>Eurodesk</w:t>
      </w:r>
      <w:r>
        <w:rPr>
          <w:noProof/>
        </w:rPr>
        <w:t xml:space="preserve"> a jej koordinačného orgánu </w:t>
      </w:r>
      <w:r>
        <w:rPr>
          <w:b/>
          <w:bCs/>
          <w:noProof/>
        </w:rPr>
        <w:t xml:space="preserve">Eurodesk </w:t>
      </w:r>
      <w:r>
        <w:rPr>
          <w:b/>
          <w:bCs/>
          <w:noProof/>
        </w:rPr>
        <w:lastRenderedPageBreak/>
        <w:t>Brussels Link</w:t>
      </w:r>
      <w:r>
        <w:rPr>
          <w:noProof/>
        </w:rPr>
        <w:t xml:space="preserve"> poskytuje okrem i</w:t>
      </w:r>
      <w:r>
        <w:rPr>
          <w:noProof/>
        </w:rPr>
        <w:t>ného informácie pre mládež o príležitostiach týkajúcich sa projektov mobility a výmeny a o činnostiach demokratickej účasti v oblastiach politiky, ako je zamestnanosť, ľudské práva alebo budovanie mieru.</w:t>
      </w:r>
    </w:p>
    <w:p w:rsidR="009529C5" w:rsidRDefault="00474518">
      <w:pPr>
        <w:pStyle w:val="Heading1"/>
        <w:rPr>
          <w:rFonts w:ascii="Times New Roman" w:hAnsi="Times New Roman" w:cs="Times New Roman"/>
          <w:noProof/>
        </w:rPr>
      </w:pPr>
      <w:bookmarkStart w:id="25" w:name="_Toc75989632"/>
      <w:bookmarkStart w:id="26" w:name="_Toc80954119"/>
      <w:bookmarkStart w:id="27" w:name="_Toc84944085"/>
      <w:r>
        <w:rPr>
          <w:rFonts w:ascii="Times New Roman" w:hAnsi="Times New Roman"/>
          <w:noProof/>
        </w:rPr>
        <w:t>Závery a vyhliadky na budúcu spoluprácu EÚ v oblasti</w:t>
      </w:r>
      <w:r>
        <w:rPr>
          <w:rFonts w:ascii="Times New Roman" w:hAnsi="Times New Roman"/>
          <w:noProof/>
        </w:rPr>
        <w:t xml:space="preserve"> mládeže</w:t>
      </w:r>
      <w:bookmarkEnd w:id="25"/>
      <w:bookmarkEnd w:id="26"/>
      <w:bookmarkEnd w:id="27"/>
    </w:p>
    <w:p w:rsidR="009529C5" w:rsidRDefault="00474518">
      <w:pPr>
        <w:pStyle w:val="Style1"/>
        <w:rPr>
          <w:noProof/>
        </w:rPr>
      </w:pPr>
      <w:r>
        <w:rPr>
          <w:noProof/>
        </w:rPr>
        <w:t xml:space="preserve">Pri spätnom pohľade na prvé tri roky vykonávania a napriek rušivému vplyvu pandémie ochorenia COVID-19 stratégia EÚ pre mládež na roky 2021 – 2027 ukázala, že poskytuje </w:t>
      </w:r>
      <w:r>
        <w:rPr>
          <w:b/>
          <w:noProof/>
        </w:rPr>
        <w:t>silný a účinný</w:t>
      </w:r>
      <w:r>
        <w:rPr>
          <w:noProof/>
        </w:rPr>
        <w:t xml:space="preserve"> </w:t>
      </w:r>
      <w:r>
        <w:rPr>
          <w:b/>
          <w:noProof/>
        </w:rPr>
        <w:t>plán</w:t>
      </w:r>
      <w:r>
        <w:rPr>
          <w:noProof/>
        </w:rPr>
        <w:t xml:space="preserve"> na posilnenie spolupráce medzi členskými štátmi EÚ a podpo</w:t>
      </w:r>
      <w:r>
        <w:rPr>
          <w:noProof/>
        </w:rPr>
        <w:t>ru politík v oblasti mládeže na úrovni EÚ, ako aj na vnútroštátnej úrovni. Pri vykonávaní stratégie sa sektor mládeže mohol spoliehať na nástroje vyvinuté v posledných rokoch, ako aj na kľúčové európske programy pre mládež.</w:t>
      </w:r>
    </w:p>
    <w:p w:rsidR="009529C5" w:rsidRDefault="00474518">
      <w:pPr>
        <w:pStyle w:val="Style1"/>
        <w:rPr>
          <w:noProof/>
        </w:rPr>
      </w:pPr>
      <w:r>
        <w:rPr>
          <w:noProof/>
        </w:rPr>
        <w:t xml:space="preserve">V rámci </w:t>
      </w:r>
      <w:r>
        <w:rPr>
          <w:b/>
          <w:bCs/>
          <w:noProof/>
        </w:rPr>
        <w:t>Európskeho dialógu s mlá</w:t>
      </w:r>
      <w:r>
        <w:rPr>
          <w:b/>
          <w:bCs/>
          <w:noProof/>
        </w:rPr>
        <w:t>dežou</w:t>
      </w:r>
      <w:r>
        <w:rPr>
          <w:noProof/>
        </w:rPr>
        <w:t xml:space="preserve"> </w:t>
      </w:r>
      <w:r>
        <w:rPr>
          <w:b/>
          <w:bCs/>
          <w:noProof/>
        </w:rPr>
        <w:t>sa podarilo spojiť mladých ľudí a tvorcov politík</w:t>
      </w:r>
      <w:r>
        <w:rPr>
          <w:noProof/>
        </w:rPr>
        <w:t>, aby diskutovali o nápadoch a prispeli k politike v oblasti mládeže a aby posilnili zapojenie mladých ľudí do demokratického procesu tým, že zabezpečia, aby boli ich názory vypočuté. Snahou bolo oslov</w:t>
      </w:r>
      <w:r>
        <w:rPr>
          <w:noProof/>
        </w:rPr>
        <w:t xml:space="preserve">iť viac mladých ľudí, najmä z rôznych prostredí a s rôznymi profilmi. </w:t>
      </w:r>
      <w:r>
        <w:rPr>
          <w:b/>
          <w:noProof/>
        </w:rPr>
        <w:t>Priblíženie sa mladým ľuďom z rôznych prostredí nad rámec tradičného zastúpenia je však možné ešte zlepšiť</w:t>
      </w:r>
      <w:r>
        <w:rPr>
          <w:noProof/>
        </w:rPr>
        <w:t>. Stratégia začlenenia a rozmanitosti v rámci nových programov Erasmus+ a Európs</w:t>
      </w:r>
      <w:r>
        <w:rPr>
          <w:noProof/>
        </w:rPr>
        <w:t>ky zbor solidarity poskytne pevný rámec na zintenzívnenie opatrení zameraných na dosiahnutie tohto cieľa a na podporu nových foriem účasti, ktorých cieľom je posilniť zapojenie mladých ľudí zo znevýhodneného prostredia. Európsky sociálny fond plus sa osobi</w:t>
      </w:r>
      <w:r>
        <w:rPr>
          <w:noProof/>
        </w:rPr>
        <w:t>tne zameriava na podporu mladých ľudí, ktorí nie sú zamestnaní, ani nie sú v procese vzdelávania alebo odbornej prípravy, a ďalších znevýhodnených alebo zraniteľných mladých ľudí.</w:t>
      </w:r>
    </w:p>
    <w:p w:rsidR="009529C5" w:rsidRDefault="00474518">
      <w:pPr>
        <w:pStyle w:val="Style1"/>
        <w:rPr>
          <w:noProof/>
        </w:rPr>
      </w:pPr>
      <w:r>
        <w:rPr>
          <w:noProof/>
        </w:rPr>
        <w:t xml:space="preserve">Zdá sa, že pokiaľ ide o rozvoj politík, programov a iniciatív pre mladých ľudí, EÚ je </w:t>
      </w:r>
      <w:r>
        <w:rPr>
          <w:b/>
          <w:bCs/>
          <w:noProof/>
        </w:rPr>
        <w:t>zdrojom inšpirácie</w:t>
      </w:r>
      <w:r>
        <w:rPr>
          <w:noProof/>
        </w:rPr>
        <w:t xml:space="preserve"> aj </w:t>
      </w:r>
      <w:r>
        <w:rPr>
          <w:b/>
          <w:bCs/>
          <w:noProof/>
        </w:rPr>
        <w:t>pre ostatné regióny sveta</w:t>
      </w:r>
      <w:r>
        <w:rPr>
          <w:noProof/>
        </w:rPr>
        <w:t>. Procesy zamerané na zapojenie mladých ľudí, ktoré boli inšpirované Európskym dialógom s mládežou, boli zavedené aj mimo E</w:t>
      </w:r>
      <w:r>
        <w:rPr>
          <w:noProof/>
        </w:rPr>
        <w:t>urópskej únie, napríklad v rámci krajín východného partnerstva.</w:t>
      </w:r>
    </w:p>
    <w:p w:rsidR="009529C5" w:rsidRDefault="00474518">
      <w:pPr>
        <w:pStyle w:val="Style1"/>
        <w:rPr>
          <w:noProof/>
        </w:rPr>
      </w:pPr>
      <w:r>
        <w:rPr>
          <w:noProof/>
        </w:rPr>
        <w:t xml:space="preserve">Príležitosti pre mladých ľudí a sektor mládeže, ktoré ponúkajú programy EÚ pre mládež, zostali obľúbené a atraktívne aj počas pandémie. </w:t>
      </w:r>
      <w:r>
        <w:rPr>
          <w:b/>
          <w:noProof/>
        </w:rPr>
        <w:t>Prístup spolutvorby</w:t>
      </w:r>
      <w:r>
        <w:rPr>
          <w:rStyle w:val="FootnoteReference"/>
          <w:rFonts w:eastAsia="Raleway"/>
          <w:b/>
          <w:noProof/>
        </w:rPr>
        <w:footnoteReference w:id="41"/>
      </w:r>
      <w:r>
        <w:rPr>
          <w:noProof/>
        </w:rPr>
        <w:t>, ktorý Komisia uplatnila na vybudov</w:t>
      </w:r>
      <w:r>
        <w:rPr>
          <w:noProof/>
        </w:rPr>
        <w:t xml:space="preserve">anie nových programov v oblasti mládeže, umožnil počas pandémie zavedenie opatrení flexibility tak, aby zodpovedali potrebám sektora mládeže. Komisia bola vďaka tomu schopná podniknúť rýchle kroky na podporu sektora pri prispôsobovaní sa novým výzvam, ako </w:t>
      </w:r>
      <w:r>
        <w:rPr>
          <w:noProof/>
        </w:rPr>
        <w:t>je napríklad znížená fyzická mobilita, a digitálnym a hybridným formátom.</w:t>
      </w:r>
    </w:p>
    <w:p w:rsidR="009529C5" w:rsidRDefault="00474518">
      <w:pPr>
        <w:pStyle w:val="Style1"/>
        <w:rPr>
          <w:noProof/>
        </w:rPr>
      </w:pPr>
      <w:r>
        <w:rPr>
          <w:noProof/>
        </w:rPr>
        <w:t xml:space="preserve">Pandémia však podčiarkla aj dôležitosť úvah o úlohe demokracie v spoločnosti a zdôraznila </w:t>
      </w:r>
      <w:r>
        <w:rPr>
          <w:b/>
          <w:noProof/>
        </w:rPr>
        <w:t>kľúčovú úlohu občianskeho vzdelávania, mediálnej gramotnosti, informovanosti o dezinformáciá</w:t>
      </w:r>
      <w:r>
        <w:rPr>
          <w:b/>
          <w:noProof/>
        </w:rPr>
        <w:t>ch a práce s mládežou</w:t>
      </w:r>
      <w:r>
        <w:rPr>
          <w:noProof/>
        </w:rPr>
        <w:t xml:space="preserve"> pri podpore aktívnej účasti a zapojenia mladých ľudí. Masívny prechod na online vzdelávanie a digitálnu prácu s mládežou zvýraznil potrebu </w:t>
      </w:r>
      <w:r>
        <w:rPr>
          <w:b/>
          <w:noProof/>
        </w:rPr>
        <w:t>rýchlejších reforiem, budovania kapacít, odbornej prípravy učiteľov a pracovníkov s mládežou, r</w:t>
      </w:r>
      <w:r>
        <w:rPr>
          <w:b/>
          <w:noProof/>
        </w:rPr>
        <w:t xml:space="preserve">ozvoja zručností, nových pedagogických prístupov a lepšej digitálnej </w:t>
      </w:r>
      <w:r>
        <w:rPr>
          <w:b/>
          <w:noProof/>
        </w:rPr>
        <w:lastRenderedPageBreak/>
        <w:t>pripravenosti</w:t>
      </w:r>
      <w:r>
        <w:rPr>
          <w:noProof/>
        </w:rPr>
        <w:t>, ale aj zásadný význam prezenčných činností pre niektoré kategórie mladých ľudí.</w:t>
      </w:r>
    </w:p>
    <w:p w:rsidR="009529C5" w:rsidRDefault="00474518">
      <w:pPr>
        <w:pStyle w:val="Style1"/>
        <w:rPr>
          <w:noProof/>
        </w:rPr>
      </w:pPr>
      <w:r>
        <w:rPr>
          <w:noProof/>
        </w:rPr>
        <w:t>Programy Erasmus+, Európsky zbor solidarity a Európsky sociálny fond plus na roky 2021 – 202</w:t>
      </w:r>
      <w:r>
        <w:rPr>
          <w:noProof/>
        </w:rPr>
        <w:t>7 sú schopné reagovať na nevyhnutnú digitálnu a zelenú transformáciu hospodárstva a spoločnosti. Programy budú inkluzívnejšie a budú podporovať pozitívne zmeny, aby boli vzdelávanie a odborná príprava, mládež a šport odolnejšie proti zmenám, v úzkom súlade</w:t>
      </w:r>
      <w:r>
        <w:rPr>
          <w:noProof/>
        </w:rPr>
        <w:t xml:space="preserve"> s prioritami na vytvorenie </w:t>
      </w:r>
      <w:r>
        <w:rPr>
          <w:b/>
          <w:noProof/>
        </w:rPr>
        <w:t>európskeho vzdelávacieho priestoru</w:t>
      </w:r>
      <w:r>
        <w:rPr>
          <w:noProof/>
        </w:rPr>
        <w:t xml:space="preserve"> a prioritami </w:t>
      </w:r>
      <w:r>
        <w:rPr>
          <w:b/>
          <w:noProof/>
        </w:rPr>
        <w:t>akčného plánu digitálneho vzdelávania</w:t>
      </w:r>
      <w:r>
        <w:rPr>
          <w:noProof/>
        </w:rPr>
        <w:t>.</w:t>
      </w:r>
    </w:p>
    <w:p w:rsidR="009529C5" w:rsidRDefault="00474518">
      <w:pPr>
        <w:pStyle w:val="Style1"/>
        <w:rPr>
          <w:noProof/>
        </w:rPr>
      </w:pPr>
      <w:r>
        <w:rPr>
          <w:noProof/>
        </w:rPr>
        <w:t xml:space="preserve">Pokiaľ ide o budúcnosť, Komisia je odhodlaná dôslednejšie presadzovať otázky týkajúce sa mládeže, čo dokazuje aj nedávne vymenovanie </w:t>
      </w:r>
      <w:r>
        <w:rPr>
          <w:b/>
          <w:noProof/>
        </w:rPr>
        <w:t>koordiná</w:t>
      </w:r>
      <w:r>
        <w:rPr>
          <w:b/>
          <w:noProof/>
        </w:rPr>
        <w:t>torky EÚ pre mládež</w:t>
      </w:r>
      <w:r>
        <w:rPr>
          <w:noProof/>
        </w:rPr>
        <w:t>. Koordinátorka sa bude snažiť, aby boli záujmy mladých ľudí pri tvorbe politiky EÚ lepšie vypočuté a aby sa dosiahli lepšie synergie a výmena znalostí medzi rôznymi oblasťami politiky týkajúcimi sa mládeže na európskej úrovni.</w:t>
      </w:r>
    </w:p>
    <w:p w:rsidR="009529C5" w:rsidRDefault="00474518">
      <w:pPr>
        <w:pStyle w:val="Style1"/>
        <w:rPr>
          <w:noProof/>
        </w:rPr>
      </w:pPr>
      <w:r>
        <w:rPr>
          <w:noProof/>
        </w:rPr>
        <w:t>Komisia t</w:t>
      </w:r>
      <w:r>
        <w:rPr>
          <w:noProof/>
        </w:rPr>
        <w:t xml:space="preserve">akisto zvyšuje svoje úsilie o zapojenie mládeže do kľúčových európskych iniciatív. Mladí ľudia zohrávajú aktívnu úlohu aj na </w:t>
      </w:r>
      <w:r>
        <w:rPr>
          <w:b/>
          <w:bCs/>
          <w:noProof/>
        </w:rPr>
        <w:t>Konferencii o budúcnosti Európy</w:t>
      </w:r>
      <w:r>
        <w:rPr>
          <w:noProof/>
        </w:rPr>
        <w:t>, ktorá sa zaoberá relevantnými problémami, ako sú zmena klímy, silnejšie hospodárstvo vrátane budúc</w:t>
      </w:r>
      <w:r>
        <w:rPr>
          <w:noProof/>
        </w:rPr>
        <w:t xml:space="preserve">nosti práce a zamestnania, vzdelávanie, odborná príprava a politiky v oblasti mládeže a rastúci význam digitálnych technológií. Mladí ľudia sa vyzývajú k aktívnej účasti na iniciatíve </w:t>
      </w:r>
      <w:r>
        <w:rPr>
          <w:b/>
          <w:bCs/>
          <w:noProof/>
        </w:rPr>
        <w:t>Nový európsky Bauhaus</w:t>
      </w:r>
      <w:r>
        <w:rPr>
          <w:noProof/>
        </w:rPr>
        <w:t>, hnutí zameranom na spoločné koncipovanie a rozvíj</w:t>
      </w:r>
      <w:r>
        <w:rPr>
          <w:noProof/>
        </w:rPr>
        <w:t>anie nových spôsobov života v harmónii s planétou.</w:t>
      </w:r>
    </w:p>
    <w:p w:rsidR="009529C5" w:rsidRDefault="00474518">
      <w:pPr>
        <w:pStyle w:val="Style1"/>
        <w:rPr>
          <w:noProof/>
        </w:rPr>
      </w:pPr>
      <w:r>
        <w:rPr>
          <w:b/>
          <w:noProof/>
        </w:rPr>
        <w:t>Napriek</w:t>
      </w:r>
      <w:r>
        <w:rPr>
          <w:noProof/>
        </w:rPr>
        <w:t xml:space="preserve"> </w:t>
      </w:r>
      <w:r>
        <w:rPr>
          <w:b/>
          <w:noProof/>
        </w:rPr>
        <w:t>rôznorodosti vnútroštátnych situácií stratégia pre mládež umožnila členským štátom určiť spoločné výzvy a priority</w:t>
      </w:r>
      <w:r>
        <w:rPr>
          <w:noProof/>
        </w:rPr>
        <w:t>, a to predovšetkým formou činností vzájomného učenia, najmä v kontexte pandémie.</w:t>
      </w:r>
    </w:p>
    <w:p w:rsidR="009529C5" w:rsidRDefault="00474518">
      <w:pPr>
        <w:pStyle w:val="Style1"/>
        <w:rPr>
          <w:noProof/>
        </w:rPr>
      </w:pPr>
      <w:r>
        <w:rPr>
          <w:noProof/>
        </w:rPr>
        <w:t>V</w:t>
      </w:r>
      <w:r>
        <w:rPr>
          <w:noProof/>
        </w:rPr>
        <w:t xml:space="preserve"> nasledujúcom období by sa nástroje stratégie mohli použiť na lepšie zapojenie, spájanie a posilnenie postavenia mladých ľudí vrátane </w:t>
      </w:r>
      <w:r>
        <w:rPr>
          <w:b/>
          <w:noProof/>
        </w:rPr>
        <w:t>ďalšieho posilnenia procesov zapájania mládeže a oslovenia väčšieho počtu mladých ľudí nad rámec bežného zastúpenia</w:t>
      </w:r>
      <w:r>
        <w:rPr>
          <w:noProof/>
        </w:rPr>
        <w:t>, ako a</w:t>
      </w:r>
      <w:r>
        <w:rPr>
          <w:noProof/>
        </w:rPr>
        <w:t xml:space="preserve">j na začatie </w:t>
      </w:r>
      <w:r>
        <w:rPr>
          <w:b/>
          <w:noProof/>
        </w:rPr>
        <w:t>vykonávania európskeho programu práce s mládežou a budúceho odporúčania Rady o mobilite mladých dobrovoľníkov</w:t>
      </w:r>
      <w:r>
        <w:rPr>
          <w:noProof/>
        </w:rPr>
        <w:t xml:space="preserve">. Nástroje a prostriedky stratégie by sa mohli použiť aj na riešenie osobitných budúcich výziev vrátane </w:t>
      </w:r>
      <w:r>
        <w:rPr>
          <w:b/>
          <w:noProof/>
        </w:rPr>
        <w:t>vplyvu pandémie ochorenia COVI</w:t>
      </w:r>
      <w:r>
        <w:rPr>
          <w:b/>
          <w:noProof/>
        </w:rPr>
        <w:t>D-19 na vzdelávanie, zamestnanosť a duševné zdravie mládeže</w:t>
      </w:r>
      <w:r>
        <w:rPr>
          <w:noProof/>
        </w:rPr>
        <w:t>, najmä pokiaľ ide o znevýhodnených mladých ľudí, a zvýšenej potreby digitálnej práce s mládežou.</w:t>
      </w:r>
    </w:p>
    <w:p w:rsidR="009529C5" w:rsidRDefault="00474518">
      <w:pPr>
        <w:pStyle w:val="Style1"/>
        <w:rPr>
          <w:noProof/>
        </w:rPr>
      </w:pPr>
      <w:r>
        <w:rPr>
          <w:noProof/>
        </w:rPr>
        <w:t xml:space="preserve">Súčasné priority budú začlenené do nového </w:t>
      </w:r>
      <w:r>
        <w:rPr>
          <w:b/>
          <w:noProof/>
        </w:rPr>
        <w:t>pracovného plánu na obdobie troch rokov 2022 – 2024</w:t>
      </w:r>
      <w:r>
        <w:rPr>
          <w:noProof/>
        </w:rPr>
        <w:t>, ktor</w:t>
      </w:r>
      <w:r>
        <w:rPr>
          <w:noProof/>
        </w:rPr>
        <w:t xml:space="preserve">ý sa bude zameriavať predovšetkým na </w:t>
      </w:r>
      <w:r>
        <w:rPr>
          <w:b/>
          <w:noProof/>
        </w:rPr>
        <w:t>odolnosť a zotavenie mladých ľudí a sektora mládeže</w:t>
      </w:r>
      <w:r>
        <w:rPr>
          <w:noProof/>
        </w:rPr>
        <w:t xml:space="preserve"> v období po pandémii ochorenia COVID-19. Programy a fondy EÚ, ako sú </w:t>
      </w:r>
      <w:r>
        <w:rPr>
          <w:b/>
          <w:noProof/>
        </w:rPr>
        <w:t>Erasmus+, Európsky zbor solidarity, Horizont Európa a Európsky sociálny fond plus, k tomu môžu výr</w:t>
      </w:r>
      <w:r>
        <w:rPr>
          <w:b/>
          <w:noProof/>
        </w:rPr>
        <w:t>azne prispieť,</w:t>
      </w:r>
      <w:r>
        <w:rPr>
          <w:noProof/>
        </w:rPr>
        <w:t xml:space="preserve"> pretože boli v súlade s najnovším vývojom posilnené a prispôsobené. Veľký vplyv môže mať aj dodatočné financovanie z nástroja </w:t>
      </w:r>
      <w:r>
        <w:rPr>
          <w:b/>
          <w:noProof/>
        </w:rPr>
        <w:t>NextGenerationEU</w:t>
      </w:r>
      <w:r>
        <w:rPr>
          <w:noProof/>
        </w:rPr>
        <w:t xml:space="preserve"> so silnou podporou mnohých oblastí politiky ovplyvňujúcich mladých ľudí (vzdelávanie, zručnosti, z</w:t>
      </w:r>
      <w:r>
        <w:rPr>
          <w:noProof/>
        </w:rPr>
        <w:t>amestnanosť, klíma atď.).</w:t>
      </w:r>
    </w:p>
    <w:p w:rsidR="009529C5" w:rsidRDefault="00474518">
      <w:pPr>
        <w:pStyle w:val="Style1"/>
        <w:rPr>
          <w:noProof/>
        </w:rPr>
      </w:pPr>
      <w:r>
        <w:rPr>
          <w:noProof/>
        </w:rPr>
        <w:t>Spolupráca a politiky EÚ v oblasti mládeže sa aj naďalej sústreďujú na zabezpečenie rovnakého prístupu všetkých mladých Európanov k príležitostiam a poskytovanie potrebnej podpory pre život, prácu, vzdelávanie a prosperitu týmto m</w:t>
      </w:r>
      <w:r>
        <w:rPr>
          <w:noProof/>
        </w:rPr>
        <w:t xml:space="preserve">ladým ľuďom. Stratégia EÚ pre mládež na roky 2021 – 2027 je na dosiahnutie týchto cieľov zásadná. Zavedením tohto </w:t>
      </w:r>
      <w:r>
        <w:rPr>
          <w:noProof/>
        </w:rPr>
        <w:lastRenderedPageBreak/>
        <w:t xml:space="preserve">silného politického rámca, ktorý umožní výmenu znalostí a vzájomné učenie medzi členskými štátmi, ako aj nasmerovaním financovania z programu </w:t>
      </w:r>
      <w:r>
        <w:rPr>
          <w:noProof/>
        </w:rPr>
        <w:t>Erasmus+ a ďalších programov EÚ do troch strategických pilierov „zapájať, spájať a posilňovať postavenie“, sa mnohým mladým ľuďom v Európe poskytne príležitosť naplno rozvinúť svoj potenciál, byť pripravení na zelenú a digitálnu transformáciu a vytvoriť pr</w:t>
      </w:r>
      <w:r>
        <w:rPr>
          <w:noProof/>
        </w:rPr>
        <w:t>e nich jasnejšiu a spravodlivú budúcnosť.</w:t>
      </w:r>
    </w:p>
    <w:p w:rsidR="009529C5" w:rsidRDefault="00474518">
      <w:pPr>
        <w:pStyle w:val="Style1"/>
        <w:rPr>
          <w:noProof/>
        </w:rPr>
      </w:pPr>
      <w:r>
        <w:rPr>
          <w:noProof/>
        </w:rPr>
        <w:t>Predsedníčka Ursula von der Leyenová 15. septembra 2021 vo svojom prejave o stave Únie</w:t>
      </w:r>
      <w:r>
        <w:rPr>
          <w:rStyle w:val="FootnoteReference"/>
          <w:noProof/>
        </w:rPr>
        <w:footnoteReference w:id="42"/>
      </w:r>
      <w:r>
        <w:rPr>
          <w:noProof/>
        </w:rPr>
        <w:t xml:space="preserve"> oznámila, že Európska komisia navrhne, aby sa rok 2022 stal Európskym rokom mládeže, konkrétne „rokom, ktorý bude zasvätený uz</w:t>
      </w:r>
      <w:r>
        <w:rPr>
          <w:noProof/>
        </w:rPr>
        <w:t>naniu mladých ľudí, ktorí obetovali tak veľa pre ostatných“. Cieľom tohto roka bude posilniť úsilie Únie, členských štátov a regionálnych a miestnych orgánov v záujme ocenenia a podpory mládeže a spolupráce s ňou v období po skončení pandémie, pretože „Eur</w:t>
      </w:r>
      <w:r>
        <w:rPr>
          <w:noProof/>
        </w:rPr>
        <w:t>ópa potrebuje všetkých svojich mladých ľudí“.</w:t>
      </w:r>
    </w:p>
    <w:p w:rsidR="009529C5" w:rsidRDefault="009529C5">
      <w:pPr>
        <w:pStyle w:val="Style1"/>
        <w:rPr>
          <w:noProof/>
        </w:rPr>
      </w:pPr>
    </w:p>
    <w:sectPr w:rsidR="009529C5">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8E72" w16cex:dateUtc="2021-07-01T16:56:00Z"/>
  <w16cex:commentExtensible w16cex:durableId="24888528" w16cex:dateUtc="2021-07-01T16:17:00Z"/>
  <w16cex:commentExtensible w16cex:durableId="248887E9" w16cex:dateUtc="2021-07-01T16:28:00Z"/>
  <w16cex:commentExtensible w16cex:durableId="248887D4" w16cex:dateUtc="2021-07-01T16:28:00Z"/>
  <w16cex:commentExtensible w16cex:durableId="2488880A" w16cex:dateUtc="2021-07-01T16:29:00Z"/>
  <w16cex:commentExtensible w16cex:durableId="2488883A" w16cex:dateUtc="2021-07-01T16:30:00Z"/>
  <w16cex:commentExtensible w16cex:durableId="24888908" w16cex:dateUtc="2021-07-01T16:33:00Z"/>
  <w16cex:commentExtensible w16cex:durableId="24888A66" w16cex:dateUtc="2021-07-01T16:39:00Z"/>
  <w16cex:commentExtensible w16cex:durableId="24888B39" w16cex:dateUtc="2021-07-01T16:43:00Z"/>
  <w16cex:commentExtensible w16cex:durableId="24888B52" w16cex:dateUtc="2021-07-01T16:43:00Z"/>
  <w16cex:commentExtensible w16cex:durableId="24888BCF" w16cex:dateUtc="2021-07-01T16:45:00Z"/>
  <w16cex:commentExtensible w16cex:durableId="24888C79" w16cex:dateUtc="2021-07-01T16:48:00Z"/>
  <w16cex:commentExtensible w16cex:durableId="24888C98" w16cex:dateUtc="2021-07-01T16:48:00Z"/>
  <w16cex:commentExtensible w16cex:durableId="24888CAC" w16cex:dateUtc="2021-07-01T16:49:00Z"/>
  <w16cex:commentExtensible w16cex:durableId="24888F5E" w16cex:dateUtc="2021-07-01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0E139A" w16cid:durableId="24888E72"/>
  <w16cid:commentId w16cid:paraId="3412D800" w16cid:durableId="24888528"/>
  <w16cid:commentId w16cid:paraId="4E3500C0" w16cid:durableId="248887E9"/>
  <w16cid:commentId w16cid:paraId="79D2BB82" w16cid:durableId="248887D4"/>
  <w16cid:commentId w16cid:paraId="2E944F29" w16cid:durableId="2488880A"/>
  <w16cid:commentId w16cid:paraId="4B9C115B" w16cid:durableId="2488883A"/>
  <w16cid:commentId w16cid:paraId="0E3B0308" w16cid:durableId="24888908"/>
  <w16cid:commentId w16cid:paraId="7A3DFF49" w16cid:durableId="24888A66"/>
  <w16cid:commentId w16cid:paraId="179F9E7C" w16cid:durableId="24888B39"/>
  <w16cid:commentId w16cid:paraId="67DF8C9F" w16cid:durableId="24888B52"/>
  <w16cid:commentId w16cid:paraId="318C2E28" w16cid:durableId="24888BCF"/>
  <w16cid:commentId w16cid:paraId="3BC365B4" w16cid:durableId="24888C79"/>
  <w16cid:commentId w16cid:paraId="13EC595C" w16cid:durableId="24888C98"/>
  <w16cid:commentId w16cid:paraId="79E1484A" w16cid:durableId="24888CAC"/>
  <w16cid:commentId w16cid:paraId="4A696F06" w16cid:durableId="24888F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C5" w:rsidRDefault="00474518">
      <w:r>
        <w:separator/>
      </w:r>
    </w:p>
  </w:endnote>
  <w:endnote w:type="continuationSeparator" w:id="0">
    <w:p w:rsidR="009529C5" w:rsidRDefault="00474518">
      <w:r>
        <w:continuationSeparator/>
      </w:r>
    </w:p>
  </w:endnote>
  <w:endnote w:type="continuationNotice" w:id="1">
    <w:p w:rsidR="009529C5" w:rsidRDefault="00952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474518">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82206550"/>
      <w:docPartObj>
        <w:docPartGallery w:val="Page Numbers (Bottom of Page)"/>
        <w:docPartUnique/>
      </w:docPartObj>
    </w:sdtPr>
    <w:sdtEndPr>
      <w:rPr>
        <w:noProof/>
      </w:rPr>
    </w:sdtEndPr>
    <w:sdtContent>
      <w:p w:rsidR="009529C5" w:rsidRDefault="00474518">
        <w:pPr>
          <w:pStyle w:val="Foote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noProof/>
            <w:sz w:val="18"/>
            <w:szCs w:val="18"/>
          </w:rPr>
          <w:t>1</w:t>
        </w:r>
        <w:r>
          <w:rPr>
            <w:rFonts w:ascii="Times New Roman" w:hAnsi="Times New Roman" w:cs="Times New Roman"/>
            <w:sz w:val="18"/>
            <w:szCs w:val="18"/>
          </w:rPr>
          <w:fldChar w:fldCharType="end"/>
        </w:r>
      </w:p>
    </w:sdtContent>
  </w:sdt>
  <w:p w:rsidR="009529C5" w:rsidRDefault="009529C5">
    <w:pP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C5" w:rsidRDefault="00474518">
      <w:r>
        <w:separator/>
      </w:r>
    </w:p>
  </w:footnote>
  <w:footnote w:type="continuationSeparator" w:id="0">
    <w:p w:rsidR="009529C5" w:rsidRDefault="00474518">
      <w:r>
        <w:continuationSeparator/>
      </w:r>
    </w:p>
  </w:footnote>
  <w:footnote w:type="continuationNotice" w:id="1">
    <w:p w:rsidR="009529C5" w:rsidRDefault="009529C5"/>
  </w:footnote>
  <w:footnote w:id="2">
    <w:p w:rsidR="009529C5" w:rsidRDefault="00474518">
      <w:pPr>
        <w:ind w:left="240" w:hanging="240"/>
        <w:jc w:val="both"/>
        <w:rPr>
          <w:rStyle w:val="FootnoteReference"/>
          <w:sz w:val="18"/>
          <w:szCs w:val="18"/>
          <w:vertAlign w:val="baseline"/>
        </w:rPr>
      </w:pPr>
      <w:r>
        <w:rPr>
          <w:rStyle w:val="FootnoteReference"/>
          <w:sz w:val="18"/>
          <w:szCs w:val="18"/>
        </w:rPr>
        <w:footnoteRef/>
      </w:r>
      <w:r>
        <w:rPr>
          <w:rStyle w:val="FootnoteReference"/>
          <w:sz w:val="18"/>
          <w:szCs w:val="18"/>
        </w:rPr>
        <w:t xml:space="preserve"> </w:t>
      </w:r>
      <w:r>
        <w:tab/>
      </w:r>
      <w:r>
        <w:rPr>
          <w:sz w:val="18"/>
          <w:szCs w:val="18"/>
        </w:rPr>
        <w:t xml:space="preserve">Ako bolo prijaté uznesením Rady Európskej únie a zástupcov vlád členských štátov, ktorí sa zišli na zasadnutí Rady, o rámci pre európsku spoluprácu v oblasti </w:t>
      </w:r>
      <w:r>
        <w:rPr>
          <w:sz w:val="18"/>
          <w:szCs w:val="18"/>
        </w:rPr>
        <w:t>mládeže: stratégia Európskej únie pre mládež na roky 2019 – 2027 (Ú. v. EÚ C 456, 18.12.2018, s. 1 – 22).</w:t>
      </w:r>
    </w:p>
  </w:footnote>
  <w:footnote w:id="3">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Definície pojmu „mladí ľudia“ sa líšia, ale na úrovni EÚ sa na štatistické účely často vyberá vekové rozpätie 15 – 29 rokov.</w:t>
      </w:r>
    </w:p>
  </w:footnote>
  <w:footnote w:id="4">
    <w:p w:rsidR="009529C5" w:rsidRDefault="00474518">
      <w:pPr>
        <w:pStyle w:val="FootnoteText"/>
        <w:ind w:left="240" w:hanging="240"/>
        <w:rPr>
          <w:rStyle w:val="FootnoteReference"/>
          <w:rFonts w:cs="Times New Roman"/>
          <w:sz w:val="18"/>
          <w:szCs w:val="18"/>
          <w:vertAlign w:val="baseline"/>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 xml:space="preserve">Pokiaľ nie je uvedené inak, údaje použité v tejto správe sú získané z online databázy Eurostatu: </w:t>
      </w:r>
      <w:hyperlink r:id="rId1" w:history="1">
        <w:r>
          <w:rPr>
            <w:rStyle w:val="FootnoteReference"/>
            <w:sz w:val="18"/>
            <w:szCs w:val="18"/>
            <w:vertAlign w:val="baseline"/>
          </w:rPr>
          <w:t>https://ec.europa.eu/eurostat/data/database</w:t>
        </w:r>
      </w:hyperlink>
      <w:r>
        <w:rPr>
          <w:sz w:val="18"/>
          <w:szCs w:val="18"/>
        </w:rPr>
        <w:t xml:space="preserve">. </w:t>
      </w:r>
      <w:r>
        <w:rPr>
          <w:rStyle w:val="FootnoteReference"/>
          <w:sz w:val="18"/>
          <w:szCs w:val="18"/>
          <w:vertAlign w:val="baseline"/>
        </w:rPr>
        <w:t xml:space="preserve">V tejto súvislosti sa mladí ľudia vymedzujú ako ľudia </w:t>
      </w:r>
      <w:r>
        <w:rPr>
          <w:rStyle w:val="FootnoteReference"/>
          <w:sz w:val="18"/>
          <w:szCs w:val="18"/>
          <w:vertAlign w:val="baseline"/>
        </w:rPr>
        <w:t xml:space="preserve">vo veku 15 až 29 rokov. </w:t>
      </w:r>
    </w:p>
  </w:footnote>
  <w:footnote w:id="5">
    <w:p w:rsidR="009529C5" w:rsidRDefault="00474518">
      <w:pPr>
        <w:pStyle w:val="FootnoteText"/>
        <w:ind w:left="240" w:hanging="240"/>
        <w:rPr>
          <w:rStyle w:val="FootnoteReference"/>
          <w:rFonts w:cs="Times New Roman"/>
          <w:sz w:val="18"/>
          <w:szCs w:val="18"/>
          <w:vertAlign w:val="baseline"/>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Rýchly prieskum Eurobarometra 478 z roku 2019 s názvom Ako vybudujeme silnejšiu a jednotnejšiu Európu? Názory mladých ľudí. Táto otázka nezahŕňala mobilitu z dôvodu cestovného ruchu alebo život s rodinou v zahraničí.</w:t>
      </w:r>
    </w:p>
  </w:footnote>
  <w:footnote w:id="6">
    <w:p w:rsidR="009529C5" w:rsidRDefault="00474518">
      <w:pPr>
        <w:pStyle w:val="FootnoteText"/>
        <w:ind w:left="240" w:hanging="240"/>
        <w:rPr>
          <w:rStyle w:val="FootnoteReference"/>
          <w:sz w:val="18"/>
          <w:szCs w:val="18"/>
          <w:vertAlign w:val="baseline"/>
        </w:rPr>
      </w:pPr>
      <w:r>
        <w:rPr>
          <w:rStyle w:val="FootnoteReference"/>
          <w:sz w:val="18"/>
          <w:szCs w:val="18"/>
        </w:rPr>
        <w:footnoteRef/>
      </w:r>
      <w:r>
        <w:rPr>
          <w:rStyle w:val="FootnoteReference"/>
          <w:sz w:val="18"/>
          <w:szCs w:val="18"/>
        </w:rPr>
        <w:t xml:space="preserve"> </w:t>
      </w:r>
      <w:r>
        <w:tab/>
      </w:r>
      <w:r>
        <w:rPr>
          <w:rStyle w:val="FootnoteReference"/>
          <w:sz w:val="18"/>
          <w:szCs w:val="18"/>
          <w:vertAlign w:val="baseline"/>
        </w:rPr>
        <w:t>Z najmla</w:t>
      </w:r>
      <w:r>
        <w:rPr>
          <w:rStyle w:val="FootnoteReference"/>
          <w:sz w:val="18"/>
          <w:szCs w:val="18"/>
          <w:vertAlign w:val="baseline"/>
        </w:rPr>
        <w:t>dšej vekovej kategórie (t. j. veková skupina 16/18 – 24 rokov) 42 % respondentov uviedlo, že hlasovalo vo voľbách, v porovnaní s iba 28 % v roku 2014. Výrazný nárast bol zaznamenaný aj vo vekovej skupine 25 – 39 rokov (z 35 % v roku 2014 na 47 % v roku 201</w:t>
      </w:r>
      <w:r>
        <w:rPr>
          <w:rStyle w:val="FootnoteReference"/>
          <w:sz w:val="18"/>
          <w:szCs w:val="18"/>
          <w:vertAlign w:val="baseline"/>
        </w:rPr>
        <w:t>9). Účasť starších voličov je však napriek tomu naďalej vyššia než účasť</w:t>
      </w:r>
      <w:r>
        <w:rPr>
          <w:sz w:val="18"/>
          <w:szCs w:val="18"/>
        </w:rPr>
        <w:t xml:space="preserve"> </w:t>
      </w:r>
      <w:r>
        <w:rPr>
          <w:rStyle w:val="FootnoteReference"/>
          <w:sz w:val="18"/>
          <w:szCs w:val="18"/>
          <w:vertAlign w:val="baseline"/>
        </w:rPr>
        <w:t>mladších voličov. Európsky parlament, povolebný prieskum za rok 2019, s. 22.</w:t>
      </w:r>
    </w:p>
  </w:footnote>
  <w:footnote w:id="7">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r>
        <w:rPr>
          <w:rStyle w:val="FootnoteReference"/>
          <w:rFonts w:cs="Times New Roman"/>
          <w:sz w:val="18"/>
          <w:szCs w:val="18"/>
          <w:vertAlign w:val="baseline"/>
        </w:rPr>
        <w:t xml:space="preserve">OECD, 2020. </w:t>
      </w:r>
      <w:r>
        <w:rPr>
          <w:rStyle w:val="FootnoteReference"/>
          <w:rFonts w:cs="Times New Roman"/>
          <w:i/>
          <w:sz w:val="18"/>
          <w:szCs w:val="18"/>
          <w:vertAlign w:val="baseline"/>
        </w:rPr>
        <w:t>Youth and Covid-19.</w:t>
      </w:r>
      <w:r>
        <w:rPr>
          <w:rStyle w:val="FootnoteReference"/>
          <w:rFonts w:cs="Times New Roman"/>
          <w:sz w:val="18"/>
          <w:szCs w:val="18"/>
          <w:vertAlign w:val="baseline"/>
        </w:rPr>
        <w:t xml:space="preserve"> </w:t>
      </w:r>
      <w:r>
        <w:rPr>
          <w:rStyle w:val="FootnoteReference"/>
          <w:rFonts w:cs="Times New Roman"/>
          <w:i/>
          <w:sz w:val="18"/>
          <w:szCs w:val="18"/>
          <w:vertAlign w:val="baseline"/>
        </w:rPr>
        <w:t>Response, Recovery and resilience</w:t>
      </w:r>
      <w:r>
        <w:rPr>
          <w:rStyle w:val="FootnoteReference"/>
          <w:rFonts w:cs="Times New Roman"/>
          <w:sz w:val="18"/>
          <w:szCs w:val="18"/>
          <w:vertAlign w:val="baseline"/>
        </w:rPr>
        <w:t xml:space="preserve"> (Mládež a Covid-19. Reakcia, obnova a odolnosť). OECD, 2020. Medzinárodná organizácia práce, 2020. </w:t>
      </w:r>
      <w:r>
        <w:rPr>
          <w:rStyle w:val="FootnoteReference"/>
          <w:rFonts w:cs="Times New Roman"/>
          <w:i/>
          <w:sz w:val="18"/>
          <w:szCs w:val="18"/>
          <w:vertAlign w:val="baseline"/>
        </w:rPr>
        <w:t>Covid and Youth</w:t>
      </w:r>
      <w:r>
        <w:rPr>
          <w:rStyle w:val="FootnoteReference"/>
          <w:rFonts w:cs="Times New Roman"/>
          <w:sz w:val="18"/>
          <w:szCs w:val="18"/>
          <w:vertAlign w:val="baseline"/>
        </w:rPr>
        <w:t xml:space="preserve">. </w:t>
      </w:r>
      <w:r>
        <w:rPr>
          <w:rStyle w:val="FootnoteReference"/>
          <w:rFonts w:cs="Times New Roman"/>
          <w:i/>
          <w:sz w:val="18"/>
          <w:szCs w:val="18"/>
          <w:vertAlign w:val="baseline"/>
        </w:rPr>
        <w:t>Impacts on Jobs, Education, Rights and mental Well-being</w:t>
      </w:r>
      <w:r>
        <w:rPr>
          <w:rStyle w:val="FootnoteReference"/>
          <w:rFonts w:cs="Times New Roman"/>
          <w:sz w:val="18"/>
          <w:szCs w:val="18"/>
          <w:vertAlign w:val="baseline"/>
        </w:rPr>
        <w:t xml:space="preserve"> (Covid a mládež. Vplyvy na zamestnanie, vzdelávanie, práva a duševnú pohodu). Medz</w:t>
      </w:r>
      <w:r>
        <w:rPr>
          <w:rStyle w:val="FootnoteReference"/>
          <w:rFonts w:cs="Times New Roman"/>
          <w:sz w:val="18"/>
          <w:szCs w:val="18"/>
          <w:vertAlign w:val="baseline"/>
        </w:rPr>
        <w:t xml:space="preserve">inárodná organizácia práce, 2020. Eurostat, 2020. Byť mladý v dnešnej Európe – zdravie. Vysvetlenie štatistík. K dispozícii na adrese: </w:t>
      </w:r>
      <w:hyperlink r:id="rId2" w:anchor="Life_expectancy_and_mortality_rates" w:history="1">
        <w:r>
          <w:rPr>
            <w:rStyle w:val="FootnoteReference"/>
            <w:rFonts w:cs="Times New Roman"/>
            <w:sz w:val="18"/>
            <w:szCs w:val="18"/>
            <w:vertAlign w:val="baseline"/>
          </w:rPr>
          <w:t>https://ec.europa.eu/eurostat/statistics-explained/index.php/Being_young_in_Europe_today_-_health#Life_expectancy_and_mortality_rates</w:t>
        </w:r>
      </w:hyperlink>
      <w:r>
        <w:rPr>
          <w:rStyle w:val="FootnoteReference"/>
          <w:rFonts w:cs="Times New Roman"/>
          <w:sz w:val="18"/>
          <w:szCs w:val="18"/>
          <w:vertAlign w:val="baseline"/>
        </w:rPr>
        <w:t>. Online stav k 19. 3. 2021.</w:t>
      </w:r>
    </w:p>
  </w:footnote>
  <w:footnote w:id="8">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Eurobarometer Európskeho parlamentu s názvom Neistota/EÚ/</w:t>
      </w:r>
      <w:r>
        <w:rPr>
          <w:rStyle w:val="FootnoteReference"/>
          <w:sz w:val="18"/>
          <w:szCs w:val="18"/>
          <w:vertAlign w:val="baseline"/>
        </w:rPr>
        <w:t>nádej. Verejná mienka v čase pandémie COVID-19, uskutočnený v októbri 2020.</w:t>
      </w:r>
    </w:p>
  </w:footnote>
  <w:footnote w:id="9">
    <w:p w:rsidR="009529C5" w:rsidRDefault="00474518">
      <w:pPr>
        <w:pStyle w:val="FootnoteText"/>
        <w:ind w:left="240" w:hanging="240"/>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sz w:val="18"/>
          <w:szCs w:val="18"/>
        </w:rPr>
        <w:t xml:space="preserve"> </w:t>
      </w:r>
      <w:r>
        <w:tab/>
      </w:r>
      <w:hyperlink r:id="rId3" w:history="1">
        <w:r>
          <w:rPr>
            <w:rStyle w:val="Hyperlink"/>
            <w:rFonts w:ascii="Times New Roman" w:hAnsi="Times New Roman" w:cs="Times New Roman"/>
            <w:sz w:val="18"/>
            <w:szCs w:val="18"/>
          </w:rPr>
          <w:t>https://op.europa.eu/en/publication-detail/-/publication/57e87ca0-9</w:t>
        </w:r>
        <w:r>
          <w:rPr>
            <w:rStyle w:val="Hyperlink"/>
            <w:rFonts w:ascii="Times New Roman" w:hAnsi="Times New Roman" w:cs="Times New Roman"/>
            <w:sz w:val="18"/>
            <w:szCs w:val="18"/>
          </w:rPr>
          <w:t>00d-11ea-812f-01aa75ed71a1</w:t>
        </w:r>
      </w:hyperlink>
      <w:r>
        <w:rPr>
          <w:rFonts w:ascii="Times New Roman" w:hAnsi="Times New Roman" w:cs="Times New Roman"/>
          <w:sz w:val="18"/>
          <w:szCs w:val="18"/>
        </w:rPr>
        <w:t>.</w:t>
      </w:r>
    </w:p>
  </w:footnote>
  <w:footnote w:id="10">
    <w:p w:rsidR="009529C5" w:rsidRDefault="00474518">
      <w:pPr>
        <w:pStyle w:val="FootnoteText"/>
        <w:ind w:left="240" w:hanging="240"/>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sz w:val="18"/>
          <w:szCs w:val="18"/>
        </w:rPr>
        <w:t xml:space="preserve"> </w:t>
      </w:r>
      <w:r>
        <w:tab/>
      </w:r>
      <w:hyperlink r:id="rId4" w:history="1">
        <w:r>
          <w:rPr>
            <w:rStyle w:val="Hyperlink"/>
            <w:rFonts w:ascii="Times New Roman" w:hAnsi="Times New Roman" w:cs="Times New Roman"/>
            <w:sz w:val="18"/>
            <w:szCs w:val="18"/>
          </w:rPr>
          <w:t>https://op.europa.eu/en/publication-detail/-/publication/5a8beedc-f0e1-11eb-a71c-01aa75ed71a1</w:t>
        </w:r>
      </w:hyperlink>
      <w:r>
        <w:rPr>
          <w:rFonts w:ascii="Times New Roman" w:hAnsi="Times New Roman" w:cs="Times New Roman"/>
          <w:sz w:val="18"/>
          <w:szCs w:val="18"/>
        </w:rPr>
        <w:t xml:space="preserve">. </w:t>
      </w:r>
    </w:p>
  </w:footnote>
  <w:footnote w:id="11">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ab/>
      </w:r>
      <w:hyperlink r:id="rId5" w:history="1">
        <w:r>
          <w:rPr>
            <w:rStyle w:val="FootnoteReference"/>
            <w:rFonts w:cs="Times New Roman"/>
            <w:sz w:val="18"/>
            <w:szCs w:val="18"/>
            <w:vertAlign w:val="baseline"/>
          </w:rPr>
          <w:t>https://ec.europa.eu/education/education-in-the-eu/european-education-area_sk</w:t>
        </w:r>
      </w:hyperlink>
      <w:r>
        <w:rPr>
          <w:rFonts w:ascii="Times New Roman" w:hAnsi="Times New Roman" w:cs="Times New Roman"/>
          <w:sz w:val="18"/>
          <w:szCs w:val="18"/>
        </w:rPr>
        <w:t xml:space="preserve">. </w:t>
      </w:r>
    </w:p>
  </w:footnote>
  <w:footnote w:id="12">
    <w:p w:rsidR="009529C5" w:rsidRDefault="00474518">
      <w:pPr>
        <w:pStyle w:val="FootnoteText"/>
        <w:ind w:left="240" w:hanging="240"/>
        <w:rPr>
          <w:rFonts w:ascii="Times New Roman" w:hAnsi="Times New Roman" w:cs="Times New Roman"/>
          <w:sz w:val="18"/>
          <w:szCs w:val="18"/>
        </w:rPr>
      </w:pPr>
      <w:r>
        <w:rPr>
          <w:rStyle w:val="FootnoteReference"/>
        </w:rPr>
        <w:footnoteRef/>
      </w:r>
      <w:r>
        <w:tab/>
      </w:r>
      <w:r>
        <w:rPr>
          <w:rFonts w:ascii="Times New Roman" w:hAnsi="Times New Roman" w:cs="Times New Roman"/>
          <w:sz w:val="18"/>
          <w:szCs w:val="18"/>
        </w:rPr>
        <w:t>https://ec.europa.eu/info/research-and-innovation/strategy/strategy-2020-2024/our-digital-future/</w:t>
      </w:r>
      <w:r>
        <w:rPr>
          <w:rFonts w:ascii="Times New Roman" w:hAnsi="Times New Roman" w:cs="Times New Roman"/>
          <w:sz w:val="18"/>
          <w:szCs w:val="18"/>
        </w:rPr>
        <w:t>era_en.</w:t>
      </w:r>
    </w:p>
  </w:footnote>
  <w:footnote w:id="13">
    <w:p w:rsidR="009529C5" w:rsidRDefault="00474518">
      <w:pPr>
        <w:pStyle w:val="FootnoteText"/>
        <w:ind w:left="240" w:hanging="240"/>
        <w:rPr>
          <w:sz w:val="20"/>
          <w:szCs w:val="20"/>
        </w:rPr>
      </w:pPr>
      <w:r>
        <w:rPr>
          <w:rStyle w:val="FootnoteReference"/>
        </w:rPr>
        <w:footnoteRef/>
      </w:r>
      <w:r>
        <w:tab/>
      </w:r>
      <w:r>
        <w:rPr>
          <w:rFonts w:ascii="Times New Roman" w:hAnsi="Times New Roman" w:cs="Times New Roman"/>
          <w:sz w:val="18"/>
          <w:szCs w:val="18"/>
        </w:rPr>
        <w:t>Predbežný názov.</w:t>
      </w:r>
    </w:p>
  </w:footnote>
  <w:footnote w:id="14">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hyperlink r:id="rId6" w:history="1">
        <w:r>
          <w:rPr>
            <w:rStyle w:val="FootnoteReference"/>
            <w:rFonts w:cs="Times New Roman"/>
            <w:sz w:val="18"/>
            <w:szCs w:val="18"/>
            <w:vertAlign w:val="baseline"/>
          </w:rPr>
          <w:t>https://ec.europa.eu/education/education-in-the-eu/digital-education-action-plan_sk</w:t>
        </w:r>
      </w:hyperlink>
      <w:r>
        <w:rPr>
          <w:rFonts w:ascii="Times New Roman" w:hAnsi="Times New Roman" w:cs="Times New Roman"/>
          <w:sz w:val="18"/>
          <w:szCs w:val="18"/>
        </w:rPr>
        <w:t>.</w:t>
      </w:r>
    </w:p>
  </w:footnote>
  <w:footnote w:id="15">
    <w:p w:rsidR="009529C5" w:rsidRDefault="00474518">
      <w:pPr>
        <w:pStyle w:val="FootnoteText"/>
        <w:ind w:left="240" w:hanging="240"/>
        <w:rPr>
          <w:rFonts w:cstheme="minorHAnsi"/>
          <w:sz w:val="18"/>
          <w:szCs w:val="18"/>
        </w:rPr>
      </w:pPr>
      <w:r>
        <w:rPr>
          <w:rStyle w:val="FootnoteReference"/>
          <w:rFonts w:asciiTheme="minorHAnsi" w:hAnsiTheme="minorHAnsi" w:cstheme="minorHAnsi"/>
          <w:sz w:val="18"/>
          <w:szCs w:val="18"/>
        </w:rPr>
        <w:footnoteRef/>
      </w:r>
      <w:r>
        <w:rPr>
          <w:sz w:val="18"/>
          <w:szCs w:val="18"/>
        </w:rPr>
        <w:t xml:space="preserve"> </w:t>
      </w:r>
      <w:r>
        <w:tab/>
      </w:r>
      <w:r>
        <w:rPr>
          <w:rFonts w:ascii="Times New Roman" w:hAnsi="Times New Roman" w:cs="Times New Roman"/>
          <w:sz w:val="18"/>
          <w:szCs w:val="18"/>
        </w:rPr>
        <w:t xml:space="preserve">Návrh odporúčania Rady týkajúceho sa zmiešaného učenia v záujme vysokokvalitného a inkluzívneho primárneho a sekundárneho vzdelávania, </w:t>
      </w:r>
      <w:hyperlink r:id="rId7" w:history="1">
        <w:r>
          <w:rPr>
            <w:rStyle w:val="Hyperlink"/>
            <w:rFonts w:ascii="Times New Roman" w:hAnsi="Times New Roman" w:cs="Times New Roman"/>
            <w:sz w:val="18"/>
            <w:szCs w:val="18"/>
          </w:rPr>
          <w:t>COM(2021) 455 fina</w:t>
        </w:r>
        <w:r>
          <w:rPr>
            <w:rStyle w:val="Hyperlink"/>
            <w:rFonts w:ascii="Times New Roman" w:hAnsi="Times New Roman" w:cs="Times New Roman"/>
            <w:sz w:val="18"/>
            <w:szCs w:val="18"/>
          </w:rPr>
          <w:t>l</w:t>
        </w:r>
      </w:hyperlink>
      <w:r>
        <w:rPr>
          <w:rFonts w:ascii="Times New Roman" w:hAnsi="Times New Roman" w:cs="Times New Roman"/>
          <w:sz w:val="18"/>
          <w:szCs w:val="18"/>
        </w:rPr>
        <w:t>.</w:t>
      </w:r>
      <w:r>
        <w:rPr>
          <w:sz w:val="18"/>
          <w:szCs w:val="18"/>
        </w:rPr>
        <w:t xml:space="preserve"> </w:t>
      </w:r>
    </w:p>
  </w:footnote>
  <w:footnote w:id="16">
    <w:p w:rsidR="009529C5" w:rsidRDefault="00474518">
      <w:pPr>
        <w:pStyle w:val="FootnoteText"/>
        <w:ind w:left="240" w:hanging="240"/>
        <w:rPr>
          <w:rStyle w:val="FootnoteReference"/>
        </w:rPr>
      </w:pPr>
      <w:r>
        <w:rPr>
          <w:rStyle w:val="FootnoteReference"/>
          <w:sz w:val="18"/>
          <w:szCs w:val="18"/>
        </w:rPr>
        <w:footnoteRef/>
      </w:r>
      <w:r>
        <w:rPr>
          <w:sz w:val="18"/>
          <w:szCs w:val="18"/>
        </w:rPr>
        <w:tab/>
      </w:r>
      <w:r>
        <w:rPr>
          <w:rStyle w:val="FootnoteReference"/>
          <w:sz w:val="18"/>
          <w:szCs w:val="18"/>
          <w:vertAlign w:val="baseline"/>
        </w:rPr>
        <w:t>Ú. v. EÚ 2019/C 189/05.</w:t>
      </w:r>
      <w:r>
        <w:rPr>
          <w:rStyle w:val="FootnoteReference"/>
        </w:rPr>
        <w:t xml:space="preserve"> </w:t>
      </w:r>
    </w:p>
  </w:footnote>
  <w:footnote w:id="17">
    <w:p w:rsidR="009529C5" w:rsidRDefault="00474518">
      <w:pPr>
        <w:pStyle w:val="FootnoteText"/>
        <w:ind w:left="240" w:hanging="240"/>
        <w:rPr>
          <w:rStyle w:val="FootnoteReference"/>
          <w:sz w:val="18"/>
          <w:szCs w:val="18"/>
        </w:rPr>
      </w:pPr>
      <w:r>
        <w:rPr>
          <w:rStyle w:val="FootnoteReference"/>
          <w:rFonts w:cs="Times New Roman"/>
          <w:sz w:val="18"/>
          <w:szCs w:val="18"/>
        </w:rPr>
        <w:footnoteRef/>
      </w:r>
      <w:r>
        <w:rPr>
          <w:rFonts w:ascii="Times New Roman" w:hAnsi="Times New Roman"/>
          <w:sz w:val="18"/>
          <w:szCs w:val="18"/>
        </w:rPr>
        <w:tab/>
      </w:r>
      <w:r>
        <w:rPr>
          <w:rStyle w:val="FootnoteReference"/>
          <w:sz w:val="18"/>
          <w:szCs w:val="18"/>
        </w:rPr>
        <w:t xml:space="preserve"> </w:t>
      </w:r>
      <w:r>
        <w:rPr>
          <w:rStyle w:val="FootnoteReference"/>
          <w:sz w:val="18"/>
          <w:szCs w:val="18"/>
          <w:vertAlign w:val="baseline"/>
        </w:rPr>
        <w:t>https://ec.europa.eu/social/main.jsp?catId=1223&amp;langId=sk.</w:t>
      </w:r>
    </w:p>
  </w:footnote>
  <w:footnote w:id="18">
    <w:p w:rsidR="009529C5" w:rsidRDefault="00474518">
      <w:pPr>
        <w:pStyle w:val="FootnoteText"/>
        <w:ind w:left="240" w:hanging="240"/>
        <w:rPr>
          <w:rStyle w:val="FootnoteReference"/>
          <w:rFonts w:cs="Times New Roman"/>
          <w:sz w:val="18"/>
          <w:szCs w:val="18"/>
          <w:vertAlign w:val="baseline"/>
        </w:rPr>
      </w:pPr>
      <w:r>
        <w:rPr>
          <w:rStyle w:val="FootnoteReference"/>
          <w:rFonts w:cs="Times New Roman"/>
          <w:sz w:val="18"/>
          <w:szCs w:val="18"/>
        </w:rPr>
        <w:footnoteRef/>
      </w:r>
      <w:r>
        <w:rPr>
          <w:rStyle w:val="FootnoteReference"/>
          <w:sz w:val="18"/>
          <w:szCs w:val="18"/>
        </w:rPr>
        <w:t xml:space="preserve"> </w:t>
      </w:r>
      <w:r>
        <w:tab/>
      </w:r>
      <w:hyperlink r:id="rId8" w:history="1">
        <w:r>
          <w:rPr>
            <w:rStyle w:val="FootnoteReference"/>
            <w:rFonts w:cs="Times New Roman"/>
            <w:sz w:val="18"/>
            <w:szCs w:val="18"/>
            <w:vertAlign w:val="baseline"/>
          </w:rPr>
          <w:t>https://ec.europa.eu/social/BlobServlet?docId=22829&amp;langId=sk</w:t>
        </w:r>
      </w:hyperlink>
      <w:r>
        <w:rPr>
          <w:rFonts w:ascii="Times New Roman" w:hAnsi="Times New Roman" w:cs="Times New Roman"/>
          <w:sz w:val="18"/>
          <w:szCs w:val="18"/>
        </w:rPr>
        <w:t>.</w:t>
      </w:r>
    </w:p>
  </w:footnote>
  <w:footnote w:id="19">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hyperlink r:id="rId9" w:history="1">
        <w:r>
          <w:rPr>
            <w:rStyle w:val="FootnoteReference"/>
            <w:rFonts w:cs="Times New Roman"/>
            <w:sz w:val="18"/>
            <w:szCs w:val="18"/>
            <w:vertAlign w:val="baseline"/>
          </w:rPr>
          <w:t>https://ec.europa.eu/social/main.jsp?catId=1079&amp;langId=sk</w:t>
        </w:r>
      </w:hyperlink>
      <w:r>
        <w:rPr>
          <w:rFonts w:ascii="Times New Roman" w:hAnsi="Times New Roman" w:cs="Times New Roman"/>
          <w:sz w:val="18"/>
          <w:szCs w:val="18"/>
        </w:rPr>
        <w:t xml:space="preserve">. </w:t>
      </w:r>
    </w:p>
  </w:footnote>
  <w:footnote w:id="20">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Ú. v. EÚ 2020/C 415/09.</w:t>
      </w:r>
      <w:r>
        <w:rPr>
          <w:rStyle w:val="FootnoteReference"/>
          <w:sz w:val="18"/>
          <w:szCs w:val="18"/>
        </w:rPr>
        <w:t xml:space="preserve"> </w:t>
      </w:r>
    </w:p>
  </w:footnote>
  <w:footnote w:id="21">
    <w:p w:rsidR="009529C5" w:rsidRDefault="00474518">
      <w:pPr>
        <w:pStyle w:val="FootnoteText"/>
        <w:ind w:left="240" w:hanging="240"/>
        <w:rPr>
          <w:rStyle w:val="FootnoteReference"/>
          <w:rFonts w:cs="Times New Roman"/>
          <w:sz w:val="18"/>
          <w:szCs w:val="18"/>
          <w:highlight w:val="yellow"/>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Ú. v. EÚ 2020/C, https://data.consilium.europa.eu/doc/document/ST-8766-2021-INIT/sk/pdf.</w:t>
      </w:r>
    </w:p>
  </w:footnote>
  <w:footnote w:id="22">
    <w:p w:rsidR="009529C5" w:rsidRDefault="00474518">
      <w:pPr>
        <w:pStyle w:val="FootnoteText"/>
        <w:ind w:left="240" w:hanging="240"/>
        <w:rPr>
          <w:rStyle w:val="FootnoteReference"/>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Ú</w:t>
      </w:r>
      <w:r>
        <w:rPr>
          <w:rStyle w:val="FootnoteReference"/>
          <w:sz w:val="18"/>
          <w:szCs w:val="18"/>
          <w:vertAlign w:val="baseline"/>
        </w:rPr>
        <w:t>. v. EÚ C 189, 24.12.2013, s. 1.</w:t>
      </w:r>
    </w:p>
  </w:footnote>
  <w:footnote w:id="23">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Ú. v. EÚ 2020/C 212 I/01.</w:t>
      </w:r>
      <w:r>
        <w:rPr>
          <w:rStyle w:val="FootnoteReference"/>
          <w:sz w:val="18"/>
          <w:szCs w:val="18"/>
        </w:rPr>
        <w:t xml:space="preserve"> </w:t>
      </w:r>
    </w:p>
  </w:footnote>
  <w:footnote w:id="24">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hyperlink r:id="rId10" w:history="1">
        <w:r>
          <w:rPr>
            <w:rStyle w:val="FootnoteReference"/>
            <w:rFonts w:cs="Times New Roman"/>
            <w:sz w:val="18"/>
            <w:szCs w:val="18"/>
            <w:vertAlign w:val="baseline"/>
          </w:rPr>
          <w:t>https://ec.europa.eu/eusurvey/runner/EU-YOUTH-DIALOGUE-8TH-CYCLE?surveylanguage=SK</w:t>
        </w:r>
      </w:hyperlink>
      <w:r>
        <w:rPr>
          <w:rFonts w:ascii="Times New Roman" w:hAnsi="Times New Roman" w:cs="Times New Roman"/>
          <w:sz w:val="18"/>
          <w:szCs w:val="18"/>
        </w:rPr>
        <w:t>.</w:t>
      </w:r>
      <w:r>
        <w:rPr>
          <w:rStyle w:val="FootnoteReference"/>
          <w:rFonts w:cs="Times New Roman"/>
          <w:sz w:val="18"/>
          <w:szCs w:val="18"/>
        </w:rPr>
        <w:t xml:space="preserve"> </w:t>
      </w:r>
    </w:p>
  </w:footnote>
  <w:footnote w:id="25">
    <w:p w:rsidR="009529C5" w:rsidRDefault="00474518">
      <w:pPr>
        <w:pStyle w:val="FootnoteText"/>
        <w:ind w:left="240" w:hanging="240"/>
        <w:rPr>
          <w:rFonts w:ascii="Times New Roman" w:hAnsi="Times New Roman" w:cs="Times New Roman"/>
          <w:sz w:val="18"/>
          <w:szCs w:val="18"/>
        </w:rPr>
      </w:pPr>
      <w:r>
        <w:rPr>
          <w:rStyle w:val="FootnoteReference"/>
        </w:rPr>
        <w:footnoteRef/>
      </w:r>
      <w:r>
        <w:tab/>
      </w:r>
      <w:r>
        <w:rPr>
          <w:rFonts w:ascii="Times New Roman" w:hAnsi="Times New Roman" w:cs="Times New Roman"/>
          <w:sz w:val="18"/>
          <w:szCs w:val="18"/>
        </w:rPr>
        <w:t>COM(</w:t>
      </w:r>
      <w:r>
        <w:rPr>
          <w:rFonts w:ascii="Times New Roman" w:hAnsi="Times New Roman" w:cs="Times New Roman"/>
          <w:sz w:val="18"/>
          <w:szCs w:val="18"/>
        </w:rPr>
        <w:t>2020) 788 final.</w:t>
      </w:r>
    </w:p>
  </w:footnote>
  <w:footnote w:id="26">
    <w:p w:rsidR="009529C5" w:rsidRDefault="00474518">
      <w:pPr>
        <w:pStyle w:val="FootnoteText"/>
        <w:ind w:left="240" w:hanging="240"/>
        <w:rPr>
          <w:rStyle w:val="FootnoteReference"/>
          <w:rFonts w:cs="Times New Roman"/>
          <w:sz w:val="18"/>
          <w:szCs w:val="18"/>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Prieskum realizovaný študentskou sieťou Erasmus, marec 2020.</w:t>
      </w:r>
    </w:p>
  </w:footnote>
  <w:footnote w:id="27">
    <w:p w:rsidR="009529C5" w:rsidRDefault="00474518">
      <w:pPr>
        <w:pStyle w:val="FootnoteText"/>
        <w:ind w:left="240" w:hanging="240"/>
        <w:jc w:val="both"/>
        <w:rPr>
          <w:rStyle w:val="FootnoteReference"/>
        </w:rPr>
      </w:pPr>
      <w:r>
        <w:rPr>
          <w:rStyle w:val="FootnoteReference"/>
          <w:rFonts w:cs="Times New Roman"/>
          <w:sz w:val="18"/>
          <w:szCs w:val="18"/>
        </w:rPr>
        <w:footnoteRef/>
      </w:r>
      <w:r>
        <w:rPr>
          <w:rStyle w:val="FootnoteReference"/>
          <w:sz w:val="18"/>
          <w:szCs w:val="18"/>
        </w:rPr>
        <w:t xml:space="preserve"> </w:t>
      </w:r>
      <w:r>
        <w:tab/>
      </w:r>
      <w:r>
        <w:rPr>
          <w:rStyle w:val="FootnoteReference"/>
          <w:sz w:val="18"/>
          <w:szCs w:val="18"/>
          <w:vertAlign w:val="baseline"/>
        </w:rPr>
        <w:t>Údaje programu Erasmus+ týkajúce sa skúseností so zahraničnou mobilitou vo vysokoškolskom vzdelávaní alebo odbornom vzdelávaní a príprave v trvaní najmenej jeden mesiac.</w:t>
      </w:r>
    </w:p>
  </w:footnote>
  <w:footnote w:id="28">
    <w:p w:rsidR="009529C5" w:rsidRDefault="00474518">
      <w:pPr>
        <w:pStyle w:val="FootnoteText"/>
        <w:ind w:left="240" w:hanging="240"/>
      </w:pPr>
      <w:r>
        <w:rPr>
          <w:rStyle w:val="FootnoteReference"/>
        </w:rPr>
        <w:footnoteRef/>
      </w:r>
      <w:r>
        <w:tab/>
      </w:r>
      <w:r>
        <w:rPr>
          <w:rFonts w:ascii="Times New Roman" w:hAnsi="Times New Roman" w:cs="Times New Roman"/>
          <w:sz w:val="18"/>
          <w:szCs w:val="18"/>
        </w:rPr>
        <w:t>COM(2021) 142 final.</w:t>
      </w:r>
    </w:p>
  </w:footnote>
  <w:footnote w:id="29">
    <w:p w:rsidR="009529C5" w:rsidRDefault="00474518">
      <w:pPr>
        <w:pStyle w:val="FootnoteText"/>
        <w:ind w:left="240" w:hanging="240"/>
        <w:jc w:val="both"/>
        <w:rPr>
          <w:rFonts w:ascii="Times New Roman" w:hAnsi="Times New Roman" w:cs="Times New Roman"/>
        </w:rPr>
      </w:pPr>
      <w:r>
        <w:rPr>
          <w:rStyle w:val="FootnoteReference"/>
        </w:rPr>
        <w:footnoteRef/>
      </w:r>
      <w:r>
        <w:tab/>
      </w:r>
      <w:hyperlink r:id="rId11" w:history="1">
        <w:r>
          <w:rPr>
            <w:rStyle w:val="Hyperlink"/>
            <w:rFonts w:ascii="Times New Roman" w:hAnsi="Times New Roman" w:cs="Times New Roman"/>
            <w:sz w:val="18"/>
            <w:szCs w:val="18"/>
          </w:rPr>
          <w:t>Stratégia EÚ v oblasti práv dieťaťa a Európska záruka pre deti |</w:t>
        </w:r>
      </w:hyperlink>
      <w:hyperlink r:id="rId12" w:history="1">
        <w:r>
          <w:rPr>
            <w:rStyle w:val="Hyperlink"/>
            <w:rFonts w:ascii="Times New Roman" w:hAnsi="Times New Roman" w:cs="Times New Roman"/>
            <w:sz w:val="18"/>
            <w:szCs w:val="18"/>
          </w:rPr>
          <w:t xml:space="preserve"> Európska komisia (europa.eu)</w:t>
        </w:r>
      </w:hyperlink>
      <w:r>
        <w:rPr>
          <w:rFonts w:ascii="Times New Roman" w:hAnsi="Times New Roman" w:cs="Times New Roman"/>
          <w:sz w:val="18"/>
          <w:szCs w:val="18"/>
        </w:rPr>
        <w:t xml:space="preserve">. </w:t>
      </w:r>
    </w:p>
  </w:footnote>
  <w:footnote w:id="30">
    <w:p w:rsidR="009529C5" w:rsidRDefault="00474518">
      <w:pPr>
        <w:pStyle w:val="FootnoteText"/>
        <w:ind w:left="240" w:hanging="240"/>
        <w:rPr>
          <w:rStyle w:val="FootnoteReference"/>
          <w:sz w:val="18"/>
          <w:szCs w:val="18"/>
        </w:rPr>
      </w:pPr>
      <w:r>
        <w:rPr>
          <w:rStyle w:val="FootnoteReference"/>
          <w:sz w:val="18"/>
          <w:szCs w:val="18"/>
        </w:rPr>
        <w:footnoteRef/>
      </w:r>
      <w:r>
        <w:rPr>
          <w:rStyle w:val="FootnoteReference"/>
          <w:sz w:val="18"/>
          <w:szCs w:val="18"/>
        </w:rPr>
        <w:tab/>
      </w:r>
      <w:r>
        <w:rPr>
          <w:rStyle w:val="FootnoteReference"/>
          <w:sz w:val="18"/>
          <w:szCs w:val="18"/>
          <w:vertAlign w:val="baseline"/>
        </w:rPr>
        <w:t>Ú. v. EÚ 2020/C 193/03.</w:t>
      </w:r>
    </w:p>
  </w:footnote>
  <w:footnote w:id="31">
    <w:p w:rsidR="009529C5" w:rsidRDefault="00474518">
      <w:pPr>
        <w:pStyle w:val="FootnoteText"/>
        <w:ind w:left="240" w:hanging="240"/>
        <w:rPr>
          <w:rStyle w:val="FootnoteReference"/>
          <w:sz w:val="18"/>
          <w:szCs w:val="18"/>
        </w:rPr>
      </w:pPr>
      <w:r>
        <w:rPr>
          <w:rStyle w:val="FootnoteReference"/>
          <w:sz w:val="18"/>
          <w:szCs w:val="18"/>
        </w:rPr>
        <w:footnoteRef/>
      </w:r>
      <w:r>
        <w:rPr>
          <w:rStyle w:val="FootnoteReference"/>
          <w:sz w:val="18"/>
          <w:szCs w:val="18"/>
        </w:rPr>
        <w:t xml:space="preserve"> </w:t>
      </w:r>
      <w:r>
        <w:tab/>
      </w:r>
      <w:r>
        <w:rPr>
          <w:rStyle w:val="FootnoteReference"/>
          <w:sz w:val="18"/>
          <w:szCs w:val="18"/>
          <w:vertAlign w:val="baseline"/>
        </w:rPr>
        <w:t>Ú. v. EÚ 2029/C 414/02.</w:t>
      </w:r>
      <w:r>
        <w:rPr>
          <w:rStyle w:val="FootnoteReference"/>
          <w:sz w:val="18"/>
          <w:szCs w:val="18"/>
        </w:rPr>
        <w:t xml:space="preserve"> </w:t>
      </w:r>
    </w:p>
  </w:footnote>
  <w:footnote w:id="32">
    <w:p w:rsidR="009529C5" w:rsidRDefault="00474518">
      <w:pPr>
        <w:pStyle w:val="FootnoteText"/>
        <w:ind w:left="240" w:hanging="240"/>
        <w:rPr>
          <w:rStyle w:val="FootnoteReference"/>
          <w:sz w:val="18"/>
          <w:szCs w:val="18"/>
        </w:rPr>
      </w:pPr>
      <w:r>
        <w:rPr>
          <w:rStyle w:val="FootnoteReference"/>
          <w:sz w:val="18"/>
          <w:szCs w:val="18"/>
        </w:rPr>
        <w:footnoteRef/>
      </w:r>
      <w:r>
        <w:rPr>
          <w:rStyle w:val="FootnoteReference"/>
          <w:sz w:val="18"/>
          <w:szCs w:val="18"/>
        </w:rPr>
        <w:t xml:space="preserve"> </w:t>
      </w:r>
      <w:r>
        <w:tab/>
      </w:r>
      <w:r>
        <w:rPr>
          <w:rStyle w:val="FootnoteReference"/>
          <w:sz w:val="18"/>
          <w:szCs w:val="18"/>
          <w:vertAlign w:val="baseline"/>
        </w:rPr>
        <w:t xml:space="preserve">Ú. v. EÚ 2019/C 412/12. </w:t>
      </w:r>
    </w:p>
  </w:footnote>
  <w:footnote w:id="33">
    <w:p w:rsidR="009529C5" w:rsidRDefault="00474518">
      <w:pPr>
        <w:pStyle w:val="FootnoteText"/>
        <w:ind w:left="240" w:hanging="240"/>
        <w:rPr>
          <w:rStyle w:val="FootnoteReference"/>
        </w:rPr>
      </w:pPr>
      <w:r>
        <w:rPr>
          <w:rStyle w:val="FootnoteReference"/>
          <w:sz w:val="18"/>
          <w:szCs w:val="18"/>
        </w:rPr>
        <w:footnoteRef/>
      </w:r>
      <w:r>
        <w:rPr>
          <w:rStyle w:val="FootnoteReference"/>
          <w:sz w:val="18"/>
          <w:szCs w:val="18"/>
        </w:rPr>
        <w:t xml:space="preserve"> </w:t>
      </w:r>
      <w:r>
        <w:tab/>
      </w:r>
      <w:r>
        <w:rPr>
          <w:rStyle w:val="FootnoteReference"/>
          <w:sz w:val="18"/>
          <w:szCs w:val="18"/>
          <w:vertAlign w:val="baseline"/>
        </w:rPr>
        <w:t>Ú. v. EÚ 2020/C 415/01.</w:t>
      </w:r>
    </w:p>
  </w:footnote>
  <w:footnote w:id="34">
    <w:p w:rsidR="009529C5" w:rsidRDefault="00474518">
      <w:pPr>
        <w:pStyle w:val="FootnoteText"/>
        <w:ind w:left="240" w:hanging="240"/>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sz w:val="18"/>
          <w:szCs w:val="18"/>
        </w:rPr>
        <w:t xml:space="preserve"> </w:t>
      </w:r>
      <w:r>
        <w:tab/>
      </w:r>
      <w:hyperlink r:id="rId13" w:history="1">
        <w:r>
          <w:rPr>
            <w:rStyle w:val="Hyperlink"/>
            <w:rFonts w:ascii="Times New Roman" w:hAnsi="Times New Roman" w:cs="Times New Roman"/>
            <w:sz w:val="18"/>
            <w:szCs w:val="18"/>
          </w:rPr>
          <w:t>Platforma EÚ pre politiku zdravia (europa.eu)</w:t>
        </w:r>
      </w:hyperlink>
      <w:r>
        <w:rPr>
          <w:rFonts w:ascii="Times New Roman" w:hAnsi="Times New Roman" w:cs="Times New Roman"/>
          <w:sz w:val="18"/>
          <w:szCs w:val="18"/>
        </w:rPr>
        <w:t>.</w:t>
      </w:r>
    </w:p>
  </w:footnote>
  <w:footnote w:id="35">
    <w:p w:rsidR="009529C5" w:rsidRDefault="00474518">
      <w:pPr>
        <w:pStyle w:val="FootnoteText"/>
        <w:ind w:left="240" w:hanging="240"/>
        <w:rPr>
          <w:rFonts w:ascii="Times New Roman" w:hAnsi="Times New Roman"/>
        </w:rPr>
      </w:pPr>
      <w:r>
        <w:rPr>
          <w:rStyle w:val="FootnoteReference"/>
          <w:rFonts w:cs="Times New Roman"/>
          <w:sz w:val="18"/>
          <w:szCs w:val="18"/>
        </w:rPr>
        <w:footnoteRef/>
      </w:r>
      <w:r>
        <w:rPr>
          <w:rFonts w:ascii="Times New Roman" w:hAnsi="Times New Roman"/>
          <w:sz w:val="18"/>
          <w:szCs w:val="18"/>
        </w:rPr>
        <w:t xml:space="preserve"> </w:t>
      </w:r>
      <w:r>
        <w:tab/>
      </w:r>
      <w:hyperlink r:id="rId14" w:history="1">
        <w:r>
          <w:rPr>
            <w:rStyle w:val="Hyperlink"/>
            <w:rFonts w:ascii="Times New Roman" w:hAnsi="Times New Roman" w:cs="Times New Roman"/>
            <w:sz w:val="18"/>
            <w:szCs w:val="18"/>
          </w:rPr>
          <w:t>Duševné zdravie a pandémia:</w:t>
        </w:r>
      </w:hyperlink>
      <w:hyperlink r:id="rId15" w:history="1">
        <w:r>
          <w:rPr>
            <w:rStyle w:val="Hyperlink"/>
            <w:rFonts w:ascii="Times New Roman" w:hAnsi="Times New Roman" w:cs="Times New Roman"/>
            <w:sz w:val="18"/>
            <w:szCs w:val="18"/>
          </w:rPr>
          <w:t xml:space="preserve"> žiť, starať sa, konať!</w:t>
        </w:r>
      </w:hyperlink>
      <w:hyperlink r:id="rId16" w:history="1">
        <w:r>
          <w:rPr>
            <w:rStyle w:val="Hyperlink"/>
            <w:rFonts w:ascii="Times New Roman" w:hAnsi="Times New Roman" w:cs="Times New Roman"/>
            <w:sz w:val="18"/>
            <w:szCs w:val="18"/>
          </w:rPr>
          <w:t xml:space="preserve"> |</w:t>
        </w:r>
      </w:hyperlink>
      <w:hyperlink r:id="rId17" w:history="1">
        <w:r>
          <w:rPr>
            <w:rStyle w:val="Hyperlink"/>
            <w:rFonts w:ascii="Times New Roman" w:hAnsi="Times New Roman" w:cs="Times New Roman"/>
            <w:sz w:val="18"/>
            <w:szCs w:val="18"/>
          </w:rPr>
          <w:t xml:space="preserve"> Verejné zdravie (europa.eu)</w:t>
        </w:r>
      </w:hyperlink>
      <w:r>
        <w:rPr>
          <w:rFonts w:ascii="Times New Roman" w:hAnsi="Times New Roman" w:cs="Times New Roman"/>
          <w:sz w:val="18"/>
          <w:szCs w:val="18"/>
        </w:rPr>
        <w:t>.</w:t>
      </w:r>
    </w:p>
  </w:footnote>
  <w:footnote w:id="36">
    <w:p w:rsidR="009529C5" w:rsidRDefault="00474518">
      <w:pPr>
        <w:pStyle w:val="FootnoteText"/>
        <w:ind w:left="240" w:hanging="240"/>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sz w:val="18"/>
          <w:szCs w:val="18"/>
        </w:rPr>
        <w:t xml:space="preserve"> </w:t>
      </w:r>
      <w:r>
        <w:tab/>
      </w:r>
      <w:hyperlink r:id="rId18" w:history="1">
        <w:r>
          <w:rPr>
            <w:rStyle w:val="Hyperlink"/>
            <w:rFonts w:ascii="Times New Roman" w:hAnsi="Times New Roman" w:cs="Times New Roman"/>
            <w:sz w:val="18"/>
            <w:szCs w:val="18"/>
          </w:rPr>
          <w:t>Návrh aktualizovaného prehľadu ukazovateľov EÚ v oblasti m</w:t>
        </w:r>
        <w:r>
          <w:rPr>
            <w:rStyle w:val="Hyperlink"/>
            <w:rFonts w:ascii="Times New Roman" w:hAnsi="Times New Roman" w:cs="Times New Roman"/>
            <w:sz w:val="18"/>
            <w:szCs w:val="18"/>
          </w:rPr>
          <w:t>ládeže – Úrad pre vydávanie publikácií EÚ (europa.eu)</w:t>
        </w:r>
      </w:hyperlink>
      <w:r>
        <w:rPr>
          <w:rFonts w:ascii="Times New Roman" w:hAnsi="Times New Roman" w:cs="Times New Roman"/>
          <w:sz w:val="18"/>
          <w:szCs w:val="18"/>
        </w:rPr>
        <w:t>.</w:t>
      </w:r>
    </w:p>
  </w:footnote>
  <w:footnote w:id="37">
    <w:p w:rsidR="009529C5" w:rsidRDefault="00474518">
      <w:pPr>
        <w:pStyle w:val="FootnoteText"/>
        <w:ind w:left="240" w:hanging="240"/>
        <w:rPr>
          <w:sz w:val="18"/>
          <w:szCs w:val="18"/>
        </w:rPr>
      </w:pPr>
      <w:r>
        <w:rPr>
          <w:rStyle w:val="FootnoteReference"/>
        </w:rPr>
        <w:footnoteRef/>
      </w:r>
      <w:r>
        <w:t xml:space="preserve"> </w:t>
      </w:r>
      <w:r>
        <w:tab/>
      </w:r>
      <w:hyperlink r:id="rId19" w:history="1">
        <w:r>
          <w:rPr>
            <w:rStyle w:val="FootnoteReference"/>
            <w:rFonts w:cs="Times New Roman"/>
            <w:sz w:val="18"/>
            <w:szCs w:val="18"/>
            <w:vertAlign w:val="baseline"/>
          </w:rPr>
          <w:t>https://ec.europa.eu/eusurvey/runner/FNAP</w:t>
        </w:r>
      </w:hyperlink>
      <w:r>
        <w:rPr>
          <w:rFonts w:ascii="Times New Roman" w:hAnsi="Times New Roman" w:cs="Times New Roman"/>
          <w:sz w:val="18"/>
          <w:szCs w:val="18"/>
        </w:rPr>
        <w:t>.</w:t>
      </w:r>
      <w:r>
        <w:rPr>
          <w:sz w:val="18"/>
          <w:szCs w:val="18"/>
        </w:rPr>
        <w:t xml:space="preserve"> </w:t>
      </w:r>
    </w:p>
  </w:footnote>
  <w:footnote w:id="38">
    <w:p w:rsidR="009529C5" w:rsidRDefault="00474518">
      <w:pPr>
        <w:pStyle w:val="FootnoteText"/>
        <w:ind w:left="240" w:hanging="240"/>
      </w:pPr>
      <w:r>
        <w:rPr>
          <w:rStyle w:val="FootnoteReference"/>
        </w:rPr>
        <w:footnoteRef/>
      </w:r>
      <w:r>
        <w:t xml:space="preserve"> </w:t>
      </w:r>
      <w:r>
        <w:tab/>
      </w:r>
      <w:r>
        <w:rPr>
          <w:rStyle w:val="FootnoteReference"/>
          <w:sz w:val="18"/>
          <w:szCs w:val="18"/>
          <w:vertAlign w:val="baseline"/>
        </w:rPr>
        <w:t>https://ec.europa.eu/eusurvey/runner/FNAPSurvey2021.</w:t>
      </w:r>
    </w:p>
  </w:footnote>
  <w:footnote w:id="39">
    <w:p w:rsidR="009529C5" w:rsidRDefault="00474518">
      <w:pPr>
        <w:pStyle w:val="FootnoteText"/>
        <w:ind w:left="240" w:hanging="240"/>
        <w:jc w:val="both"/>
        <w:rPr>
          <w:sz w:val="18"/>
          <w:szCs w:val="18"/>
        </w:rPr>
      </w:pPr>
      <w:r>
        <w:rPr>
          <w:rStyle w:val="FootnoteReference"/>
          <w:sz w:val="18"/>
          <w:szCs w:val="18"/>
        </w:rPr>
        <w:footnoteRef/>
      </w:r>
      <w:r>
        <w:rPr>
          <w:sz w:val="18"/>
          <w:szCs w:val="18"/>
        </w:rPr>
        <w:tab/>
      </w:r>
      <w:r>
        <w:rPr>
          <w:rFonts w:ascii="Times New Roman" w:hAnsi="Times New Roman"/>
          <w:sz w:val="18"/>
          <w:szCs w:val="18"/>
        </w:rPr>
        <w:t>Činnosti v oblasti nadnárodnej spolupr</w:t>
      </w:r>
      <w:r>
        <w:rPr>
          <w:rFonts w:ascii="Times New Roman" w:hAnsi="Times New Roman"/>
          <w:sz w:val="18"/>
          <w:szCs w:val="18"/>
        </w:rPr>
        <w:t>áce zahŕňajú škálu podujatí, ktoré umožňujú národným agentúram programu Erasmus+ spolupracovať a vymieňať si najlepšie postupy v celej Európe a ktorých cieľom je zlepšiť kvalitu a vplyv programu na systémovej úrovni.</w:t>
      </w:r>
    </w:p>
  </w:footnote>
  <w:footnote w:id="40">
    <w:p w:rsidR="009529C5" w:rsidRDefault="00474518">
      <w:pPr>
        <w:autoSpaceDE w:val="0"/>
        <w:autoSpaceDN w:val="0"/>
        <w:adjustRightInd w:val="0"/>
        <w:ind w:left="240" w:hanging="240"/>
        <w:rPr>
          <w:rStyle w:val="FootnoteReference"/>
          <w:sz w:val="18"/>
          <w:szCs w:val="18"/>
          <w:vertAlign w:val="baseline"/>
        </w:rPr>
      </w:pPr>
      <w:r>
        <w:rPr>
          <w:rStyle w:val="FootnoteReference"/>
          <w:sz w:val="18"/>
          <w:szCs w:val="18"/>
        </w:rPr>
        <w:footnoteRef/>
      </w:r>
      <w:r>
        <w:rPr>
          <w:rStyle w:val="FootnoteReference"/>
          <w:sz w:val="18"/>
          <w:szCs w:val="18"/>
        </w:rPr>
        <w:t xml:space="preserve"> </w:t>
      </w:r>
      <w:r>
        <w:tab/>
      </w:r>
      <w:r>
        <w:rPr>
          <w:rStyle w:val="FootnoteReference"/>
          <w:sz w:val="18"/>
          <w:szCs w:val="18"/>
          <w:vertAlign w:val="baseline"/>
        </w:rPr>
        <w:t>https://europa.eu/youth/home_sk.</w:t>
      </w:r>
    </w:p>
  </w:footnote>
  <w:footnote w:id="41">
    <w:p w:rsidR="009529C5" w:rsidRDefault="00474518">
      <w:pPr>
        <w:pStyle w:val="FootnoteText"/>
        <w:ind w:left="240" w:hanging="240"/>
        <w:rPr>
          <w:rStyle w:val="FootnoteReference"/>
          <w:vertAlign w:val="baseline"/>
        </w:rPr>
      </w:pPr>
      <w:r>
        <w:rPr>
          <w:rStyle w:val="FootnoteReference"/>
          <w:sz w:val="18"/>
          <w:szCs w:val="18"/>
        </w:rPr>
        <w:footnoteRef/>
      </w:r>
      <w:r>
        <w:rPr>
          <w:rStyle w:val="FootnoteReference"/>
          <w:sz w:val="18"/>
          <w:szCs w:val="18"/>
        </w:rPr>
        <w:t xml:space="preserve"> </w:t>
      </w:r>
      <w:r>
        <w:tab/>
      </w:r>
      <w:r>
        <w:rPr>
          <w:rStyle w:val="FootnoteReference"/>
          <w:sz w:val="18"/>
          <w:szCs w:val="18"/>
          <w:vertAlign w:val="baseline"/>
        </w:rPr>
        <w:t>V rámci spolutvorby sa do navrhovania programov zapojili zainteresované strany v oblasti mládeže.</w:t>
      </w:r>
    </w:p>
  </w:footnote>
  <w:footnote w:id="42">
    <w:p w:rsidR="009529C5" w:rsidRDefault="00474518">
      <w:pPr>
        <w:autoSpaceDE w:val="0"/>
        <w:autoSpaceDN w:val="0"/>
        <w:adjustRightInd w:val="0"/>
        <w:ind w:left="240" w:hanging="240"/>
      </w:pPr>
      <w:r>
        <w:rPr>
          <w:rStyle w:val="FootnoteReference"/>
        </w:rPr>
        <w:footnoteRef/>
      </w:r>
      <w:r>
        <w:tab/>
      </w:r>
      <w:r>
        <w:rPr>
          <w:sz w:val="18"/>
          <w:szCs w:val="18"/>
        </w:rPr>
        <w:t>https://ec.europa.eu/commission/presscorner/detail/en/SPEECH_21_4701.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9C5" w:rsidRDefault="00952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C12"/>
    <w:multiLevelType w:val="hybridMultilevel"/>
    <w:tmpl w:val="C976628A"/>
    <w:lvl w:ilvl="0" w:tplc="2EEEBBC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B12C7"/>
    <w:multiLevelType w:val="hybridMultilevel"/>
    <w:tmpl w:val="1B66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9203A"/>
    <w:multiLevelType w:val="hybridMultilevel"/>
    <w:tmpl w:val="0ED4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F16463"/>
    <w:multiLevelType w:val="hybridMultilevel"/>
    <w:tmpl w:val="00E813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C4A33"/>
    <w:multiLevelType w:val="hybridMultilevel"/>
    <w:tmpl w:val="AA086A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9A011E8"/>
    <w:multiLevelType w:val="hybridMultilevel"/>
    <w:tmpl w:val="549C484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2924A50"/>
    <w:multiLevelType w:val="hybridMultilevel"/>
    <w:tmpl w:val="D83651CA"/>
    <w:lvl w:ilvl="0" w:tplc="CD7E0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171A1"/>
    <w:multiLevelType w:val="hybridMultilevel"/>
    <w:tmpl w:val="1C765DA2"/>
    <w:lvl w:ilvl="0" w:tplc="474E0D2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80F15"/>
    <w:multiLevelType w:val="hybridMultilevel"/>
    <w:tmpl w:val="7688DFE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0" w15:restartNumberingAfterBreak="0">
    <w:nsid w:val="39B927BE"/>
    <w:multiLevelType w:val="hybridMultilevel"/>
    <w:tmpl w:val="31BA2D6C"/>
    <w:lvl w:ilvl="0" w:tplc="95241BA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1426E"/>
    <w:multiLevelType w:val="hybridMultilevel"/>
    <w:tmpl w:val="729E955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BD651F8"/>
    <w:multiLevelType w:val="hybridMultilevel"/>
    <w:tmpl w:val="D3506332"/>
    <w:lvl w:ilvl="0" w:tplc="08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5F665E"/>
    <w:multiLevelType w:val="hybridMultilevel"/>
    <w:tmpl w:val="7B5C08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9A46AF0"/>
    <w:multiLevelType w:val="hybridMultilevel"/>
    <w:tmpl w:val="B55651E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7AA69EF"/>
    <w:multiLevelType w:val="hybridMultilevel"/>
    <w:tmpl w:val="883A8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607352"/>
    <w:multiLevelType w:val="hybridMultilevel"/>
    <w:tmpl w:val="CD50F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747F7"/>
    <w:multiLevelType w:val="hybridMultilevel"/>
    <w:tmpl w:val="C3BA6B44"/>
    <w:lvl w:ilvl="0" w:tplc="788623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50901"/>
    <w:multiLevelType w:val="hybridMultilevel"/>
    <w:tmpl w:val="18E44E6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9" w15:restartNumberingAfterBreak="0">
    <w:nsid w:val="67E475B5"/>
    <w:multiLevelType w:val="hybridMultilevel"/>
    <w:tmpl w:val="CB6C7F9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764C158F"/>
    <w:multiLevelType w:val="hybridMultilevel"/>
    <w:tmpl w:val="E4401AE4"/>
    <w:lvl w:ilvl="0" w:tplc="6CDA6C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D0C28"/>
    <w:multiLevelType w:val="hybridMultilevel"/>
    <w:tmpl w:val="0ED8D652"/>
    <w:lvl w:ilvl="0" w:tplc="68A4D946">
      <w:start w:val="3"/>
      <w:numFmt w:val="bullet"/>
      <w:lvlText w:val="-"/>
      <w:lvlJc w:val="left"/>
      <w:pPr>
        <w:ind w:left="720" w:hanging="360"/>
      </w:pPr>
      <w:rPr>
        <w:rFonts w:ascii="Times New Roman" w:eastAsia="Raleway"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F1E78"/>
    <w:multiLevelType w:val="hybridMultilevel"/>
    <w:tmpl w:val="B39632F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A6F4DCA"/>
    <w:multiLevelType w:val="multilevel"/>
    <w:tmpl w:val="F42A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13"/>
  </w:num>
  <w:num w:numId="4">
    <w:abstractNumId w:val="6"/>
  </w:num>
  <w:num w:numId="5">
    <w:abstractNumId w:val="5"/>
  </w:num>
  <w:num w:numId="6">
    <w:abstractNumId w:val="12"/>
  </w:num>
  <w:num w:numId="7">
    <w:abstractNumId w:val="10"/>
  </w:num>
  <w:num w:numId="8">
    <w:abstractNumId w:val="21"/>
  </w:num>
  <w:num w:numId="9">
    <w:abstractNumId w:val="15"/>
  </w:num>
  <w:num w:numId="10">
    <w:abstractNumId w:val="4"/>
  </w:num>
  <w:num w:numId="11">
    <w:abstractNumId w:val="16"/>
  </w:num>
  <w:num w:numId="12">
    <w:abstractNumId w:val="14"/>
  </w:num>
  <w:num w:numId="13">
    <w:abstractNumId w:val="2"/>
  </w:num>
  <w:num w:numId="14">
    <w:abstractNumId w:val="3"/>
  </w:num>
  <w:num w:numId="15">
    <w:abstractNumId w:val="19"/>
  </w:num>
  <w:num w:numId="16">
    <w:abstractNumId w:val="0"/>
  </w:num>
  <w:num w:numId="17">
    <w:abstractNumId w:val="18"/>
  </w:num>
  <w:num w:numId="18">
    <w:abstractNumId w:val="9"/>
  </w:num>
  <w:num w:numId="19">
    <w:abstractNumId w:val="23"/>
  </w:num>
  <w:num w:numId="20">
    <w:abstractNumId w:val="8"/>
  </w:num>
  <w:num w:numId="21">
    <w:abstractNumId w:val="17"/>
  </w:num>
  <w:num w:numId="22">
    <w:abstractNumId w:val="7"/>
  </w:num>
  <w:num w:numId="23">
    <w:abstractNumId w:val="20"/>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80AC35F-2993-42BF-946A-5C27AE4BDF9D"/>
    <w:docVar w:name="LW_COVERPAGE_TYPE" w:val="1"/>
    <w:docVar w:name="LW_CROSSREFERENCE" w:val="{SWD(2021) 286 final} - {SWD(2021) 287 final}"/>
    <w:docVar w:name="LW_DocType" w:val="NORMAL"/>
    <w:docVar w:name="LW_EMISSION" w:val="14. 10. 2021"/>
    <w:docVar w:name="LW_EMISSION_ISODATE" w:val="2021-10-14"/>
    <w:docVar w:name="LW_EMISSION_LOCATION" w:val="BRX"/>
    <w:docVar w:name="LW_EMISSION_PREFIX" w:val="V Bruseli"/>
    <w:docVar w:name="LW_EMISSION_SUFFIX" w:val=" "/>
    <w:docVar w:name="LW_ID_DOCTYPE_NONLW" w:val="CP-008"/>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1) 6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vykonávaní stratégie EÚ pre mláde\u382? (2019 \u8211? 2021)"/>
    <w:docVar w:name="LW_TYPE.DOC.CP" w:val="SPRÁVA KOMISIE EURÓPSKEMU PARLAMENTU, RADE, EURÓPSKEMU HOSPODÁRSKEMU A SOCIÁLNEMU VÝBORU A VÝBORU REGIÓNOV"/>
    <w:docVar w:name="LwApiVersions" w:val="LW4CoDe 1.23.0.0; LW 8.0, Build 20210114"/>
  </w:docVars>
  <w:rsids>
    <w:rsidRoot w:val="009529C5"/>
    <w:rsid w:val="00474518"/>
    <w:rsid w:val="0095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5C0BE546-A5CA-4452-A456-C553BB7D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keepLines/>
      <w:numPr>
        <w:numId w:val="16"/>
      </w:numPr>
      <w:spacing w:before="240" w:after="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pPr>
      <w:keepNext/>
      <w:keepLines/>
      <w:spacing w:line="360" w:lineRule="auto"/>
      <w:jc w:val="both"/>
      <w:outlineLvl w:val="1"/>
    </w:pPr>
    <w:rPr>
      <w:rFonts w:ascii="Verdana" w:eastAsiaTheme="majorEastAsia" w:hAnsi="Verdana" w:cstheme="majorBidi"/>
      <w:b/>
      <w:color w:val="365F91" w:themeColor="accent1" w:themeShade="BF"/>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ettre d'introduction,Paragrafo elenco,Medium Grid 1 - Accent 21,F5 List Paragraph,List Paragraph1,Bullets,Dot pt,No Spacing1,List Paragraph Char Char Char,Indicator Text,Numbered Para 1,OBC Bullet"/>
    <w:basedOn w:val="Normal"/>
    <w:link w:val="ListParagraphChar"/>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Pr>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Emphasis">
    <w:name w:val="Emphasis"/>
    <w:uiPriority w:val="20"/>
    <w:qFormat/>
    <w:rPr>
      <w:i/>
      <w:iCs w:val="0"/>
    </w:rPr>
  </w:style>
  <w:style w:type="character" w:customStyle="1" w:styleId="FootnoteTextChar">
    <w:name w:val="Footnote Text Char"/>
    <w:aliases w:val="Fußnotentext Char Char Char,Footnote text Char1,Footnote text Char Char,Footnote1 Char,Footnote2 Char,Footnote3 Char,Footnote4 Char,Footnote5 Char,Footnote6 Char,Footnote7 Char,Footnote8 Char,Footnote9 Char,Footnote10 Char,fn Char"/>
    <w:basedOn w:val="DefaultParagraphFont"/>
    <w:link w:val="FootnoteText"/>
    <w:uiPriority w:val="99"/>
    <w:qFormat/>
    <w:locked/>
  </w:style>
  <w:style w:type="paragraph" w:styleId="FootnoteText">
    <w:name w:val="footnote text"/>
    <w:aliases w:val="Fußnotentext Char Char,Footnote text,Footnote text Char,Footnote1,Footnote2,Footnote3,Footnote4,Footnote5,Footnote6,Footnote7,Footnote8,Footnote9,Footnote10,Footnote11,Footnote21,Footnote31,Footnote41,Footnote51,Footnote61,Footnote71,fn,Ch"/>
    <w:basedOn w:val="Normal"/>
    <w:link w:val="FootnoteTextChar"/>
    <w:uiPriority w:val="99"/>
    <w:unhideWhenUsed/>
    <w:qFormat/>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Pr>
      <w:sz w:val="20"/>
      <w:szCs w:val="20"/>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b/>
      <w:szCs w:val="22"/>
    </w:rPr>
  </w:style>
  <w:style w:type="paragraph" w:customStyle="1" w:styleId="Default">
    <w:name w:val="Default"/>
    <w:link w:val="DefaultChar"/>
    <w:pPr>
      <w:autoSpaceDE w:val="0"/>
      <w:autoSpaceDN w:val="0"/>
      <w:adjustRightInd w:val="0"/>
      <w:spacing w:after="0" w:line="240" w:lineRule="auto"/>
    </w:pPr>
    <w:rPr>
      <w:rFonts w:ascii="EUAlbertina" w:eastAsia="Calibri" w:hAnsi="EUAlbertina" w:cs="EUAlbertina"/>
      <w:color w:val="000000"/>
      <w:sz w:val="24"/>
      <w:szCs w:val="24"/>
    </w:rPr>
  </w:style>
  <w:style w:type="character" w:styleId="FootnoteReference">
    <w:name w:val="footnote reference"/>
    <w:aliases w:val="Footnote Reference Superscript,BVI fnr,Footnote symbol,Footnote reference number,Footnote,Times 10 Point,Exposant 3 Point,Ref,de nota al pie,note TESI,SUPERS,EN Footnote text,EN Footnote Reference,Footnote Reference Number,No,E FNZ,Re"/>
    <w:link w:val="ftrefCharCharCharCharCharCharCharCharChar"/>
    <w:uiPriority w:val="99"/>
    <w:unhideWhenUsed/>
    <w:qFormat/>
    <w:rPr>
      <w:rFonts w:ascii="Times New Roman" w:hAnsi="Times New Roman"/>
      <w:vertAlign w:val="superscript"/>
    </w:rPr>
  </w:style>
  <w:style w:type="character" w:styleId="Strong">
    <w:name w:val="Strong"/>
    <w:basedOn w:val="DefaultParagraphFont"/>
    <w:uiPriority w:val="22"/>
    <w:qFormat/>
    <w:rPr>
      <w:b/>
      <w:bCs/>
    </w:rPr>
  </w:style>
  <w:style w:type="character" w:customStyle="1" w:styleId="ListParagraphChar">
    <w:name w:val="List Paragraph Char"/>
    <w:aliases w:val="1st level - Bullet List Paragraph Char,Lettre d'introduction Char,Paragrafo elenco Char,Medium Grid 1 - Accent 21 Char,F5 List Paragraph Char,List Paragraph1 Char,Bullets Char,Dot pt Char,No Spacing1 Char,Indicator Text Char"/>
    <w:basedOn w:val="DefaultParagraphFont"/>
    <w:link w:val="ListParagraph"/>
    <w:uiPriority w:val="34"/>
    <w:qFormat/>
    <w:locked/>
    <w:rPr>
      <w:lang w:val="sk-SK"/>
    </w:rPr>
  </w:style>
  <w:style w:type="paragraph" w:customStyle="1" w:styleId="Yo1Textpara">
    <w:name w:val="_Yo_1_Text_para"/>
    <w:pPr>
      <w:tabs>
        <w:tab w:val="left" w:pos="4253"/>
      </w:tabs>
      <w:spacing w:before="160" w:after="0" w:line="300" w:lineRule="auto"/>
      <w:jc w:val="both"/>
    </w:pPr>
    <w:rPr>
      <w:rFonts w:ascii="Times New Roman" w:eastAsia="Calibri" w:hAnsi="Times New Roman" w:cs="Times New Roman"/>
      <w:szCs w:val="20"/>
      <w:lang w:eastAsia="fr-BE"/>
    </w:rPr>
  </w:style>
  <w:style w:type="character" w:customStyle="1" w:styleId="Heading2Char">
    <w:name w:val="Heading 2 Char"/>
    <w:basedOn w:val="DefaultParagraphFont"/>
    <w:link w:val="Heading2"/>
    <w:uiPriority w:val="9"/>
    <w:rPr>
      <w:rFonts w:ascii="Verdana" w:eastAsiaTheme="majorEastAsia" w:hAnsi="Verdana" w:cstheme="majorBidi"/>
      <w:b/>
      <w:color w:val="365F91" w:themeColor="accent1" w:themeShade="BF"/>
      <w:sz w:val="24"/>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pPr>
      <w:spacing w:before="100" w:beforeAutospacing="1" w:after="100" w:afterAutospacing="1"/>
    </w:pPr>
    <w:rPr>
      <w:lang w:eastAsia="fr-BE"/>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pPr>
      <w:spacing w:after="60"/>
      <w:jc w:val="both"/>
    </w:pPr>
    <w:rPr>
      <w:rFonts w:eastAsiaTheme="minorHAnsi" w:cstheme="minorBidi"/>
      <w:sz w:val="22"/>
      <w:szCs w:val="22"/>
      <w:vertAlign w:val="superscript"/>
      <w:lang w:eastAsia="en-US"/>
    </w:rPr>
  </w:style>
  <w:style w:type="paragraph" w:customStyle="1" w:styleId="ecl-paragraph">
    <w:name w:val="ecl-paragraph"/>
    <w:basedOn w:val="Normal"/>
    <w:pPr>
      <w:spacing w:before="100" w:beforeAutospacing="1" w:after="100" w:afterAutospacing="1"/>
    </w:pPr>
  </w:style>
  <w:style w:type="paragraph" w:customStyle="1" w:styleId="Body">
    <w:name w:val="Body"/>
    <w:rPr>
      <w:rFonts w:ascii="Calibri" w:eastAsia="Arial Unicode MS" w:hAnsi="Calibri" w:cs="Arial Unicode MS"/>
      <w:color w:val="000000"/>
      <w:u w:color="000000"/>
    </w:rPr>
  </w:style>
  <w:style w:type="paragraph" w:styleId="TOCHeading">
    <w:name w:val="TOC Heading"/>
    <w:basedOn w:val="Heading1"/>
    <w:next w:val="Normal"/>
    <w:uiPriority w:val="39"/>
    <w:unhideWhenUsed/>
    <w:qFormat/>
    <w:pPr>
      <w:numPr>
        <w:numId w:val="0"/>
      </w:numPr>
      <w:spacing w:line="259" w:lineRule="auto"/>
      <w:outlineLvl w:val="9"/>
    </w:pPr>
  </w:style>
  <w:style w:type="paragraph" w:styleId="TOC1">
    <w:name w:val="toc 1"/>
    <w:basedOn w:val="Normal"/>
    <w:next w:val="Normal"/>
    <w:autoRedefine/>
    <w:uiPriority w:val="39"/>
    <w:unhideWhenUsed/>
    <w:pPr>
      <w:tabs>
        <w:tab w:val="left" w:pos="440"/>
        <w:tab w:val="right" w:leader="dot" w:pos="9062"/>
      </w:tabs>
      <w:spacing w:after="100" w:line="276" w:lineRule="auto"/>
    </w:pPr>
    <w:rPr>
      <w:rFonts w:asciiTheme="minorHAnsi" w:eastAsiaTheme="minorHAnsi" w:hAnsiTheme="minorHAnsi" w:cstheme="minorBidi"/>
      <w:sz w:val="22"/>
      <w:szCs w:val="22"/>
      <w:lang w:eastAsia="en-US"/>
    </w:rPr>
  </w:style>
  <w:style w:type="paragraph" w:styleId="TOC2">
    <w:name w:val="toc 2"/>
    <w:basedOn w:val="Normal"/>
    <w:next w:val="Normal"/>
    <w:autoRedefine/>
    <w:uiPriority w:val="39"/>
    <w:unhideWhenUsed/>
    <w:pPr>
      <w:tabs>
        <w:tab w:val="right" w:leader="dot" w:pos="9062"/>
      </w:tabs>
      <w:spacing w:after="100" w:line="276" w:lineRule="auto"/>
      <w:ind w:left="220"/>
    </w:pPr>
    <w:rPr>
      <w:rFonts w:asciiTheme="minorHAnsi" w:eastAsiaTheme="minorHAnsi" w:hAnsiTheme="minorHAnsi" w:cstheme="minorBidi"/>
      <w:sz w:val="22"/>
      <w:szCs w:val="22"/>
      <w:lang w:eastAsia="en-US"/>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paragraph" w:customStyle="1" w:styleId="a6textnotes">
    <w:name w:val="_a6_text_notes"/>
    <w:basedOn w:val="Normal"/>
    <w:qFormat/>
    <w:pPr>
      <w:tabs>
        <w:tab w:val="left" w:pos="1985"/>
      </w:tabs>
    </w:pPr>
    <w:rPr>
      <w:rFonts w:ascii="Arial" w:hAnsi="Arial" w:cs="Arial"/>
      <w:snapToGrid w:val="0"/>
      <w:sz w:val="16"/>
      <w:szCs w:val="16"/>
      <w:lang w:eastAsia="en-US"/>
    </w:rPr>
  </w:style>
  <w:style w:type="character" w:customStyle="1" w:styleId="EBodyChar">
    <w:name w:val="E+ Body Char"/>
    <w:basedOn w:val="DefaultParagraphFont"/>
    <w:link w:val="EBody"/>
    <w:uiPriority w:val="1"/>
    <w:locked/>
    <w:rPr>
      <w:rFonts w:ascii="EC Square Sans Pro" w:hAnsi="EC Square Sans Pro"/>
      <w:lang w:eastAsia="en-GB"/>
    </w:rPr>
  </w:style>
  <w:style w:type="paragraph" w:customStyle="1" w:styleId="EBody">
    <w:name w:val="E+ Body"/>
    <w:basedOn w:val="Normal"/>
    <w:link w:val="EBodyChar"/>
    <w:uiPriority w:val="1"/>
    <w:pPr>
      <w:autoSpaceDE w:val="0"/>
      <w:autoSpaceDN w:val="0"/>
      <w:spacing w:before="120" w:line="276" w:lineRule="auto"/>
      <w:jc w:val="both"/>
    </w:pPr>
    <w:rPr>
      <w:rFonts w:ascii="EC Square Sans Pro" w:eastAsiaTheme="minorHAnsi" w:hAnsi="EC Square Sans Pro" w:cstheme="minorBidi"/>
      <w:sz w:val="22"/>
      <w:szCs w:val="22"/>
    </w:rPr>
  </w:style>
  <w:style w:type="character" w:customStyle="1" w:styleId="textChar">
    <w:name w:val="text Char"/>
    <w:basedOn w:val="DefaultParagraphFont"/>
    <w:link w:val="text"/>
    <w:locked/>
    <w:rPr>
      <w:rFonts w:ascii="EC Square Sans Pro" w:hAnsi="EC Square Sans Pro"/>
    </w:rPr>
  </w:style>
  <w:style w:type="paragraph" w:customStyle="1" w:styleId="text">
    <w:name w:val="text"/>
    <w:basedOn w:val="Normal"/>
    <w:link w:val="textChar"/>
    <w:pPr>
      <w:autoSpaceDE w:val="0"/>
      <w:autoSpaceDN w:val="0"/>
      <w:spacing w:after="120" w:line="276" w:lineRule="auto"/>
      <w:jc w:val="both"/>
    </w:pPr>
    <w:rPr>
      <w:rFonts w:ascii="EC Square Sans Pro" w:eastAsiaTheme="minorHAnsi" w:hAnsi="EC Square Sans Pro" w:cstheme="minorBidi"/>
      <w:sz w:val="22"/>
      <w:szCs w:val="22"/>
      <w:lang w:eastAsia="en-US"/>
    </w:rPr>
  </w:style>
  <w:style w:type="paragraph" w:customStyle="1" w:styleId="Style1">
    <w:name w:val="Style1"/>
    <w:basedOn w:val="Default"/>
    <w:link w:val="Style1Char"/>
    <w:qFormat/>
    <w:pPr>
      <w:spacing w:before="120" w:after="120" w:line="264" w:lineRule="auto"/>
      <w:jc w:val="both"/>
    </w:pPr>
    <w:rPr>
      <w:rFonts w:ascii="Times New Roman" w:hAnsi="Times New Roman" w:cs="Times New Roman"/>
      <w:color w:val="000000" w:themeColor="text1"/>
    </w:rPr>
  </w:style>
  <w:style w:type="character" w:customStyle="1" w:styleId="DefaultChar">
    <w:name w:val="Default Char"/>
    <w:basedOn w:val="DefaultParagraphFont"/>
    <w:link w:val="Default"/>
    <w:rPr>
      <w:rFonts w:ascii="EUAlbertina" w:eastAsia="Calibri" w:hAnsi="EUAlbertina" w:cs="EUAlbertina"/>
      <w:color w:val="000000"/>
      <w:sz w:val="24"/>
      <w:szCs w:val="24"/>
    </w:rPr>
  </w:style>
  <w:style w:type="character" w:customStyle="1" w:styleId="Style1Char">
    <w:name w:val="Style1 Char"/>
    <w:basedOn w:val="DefaultChar"/>
    <w:link w:val="Style1"/>
    <w:rPr>
      <w:rFonts w:ascii="Times New Roman" w:eastAsia="Calibri" w:hAnsi="Times New Roman" w:cs="Times New Roman"/>
      <w:color w:val="000000" w:themeColor="text1"/>
      <w:sz w:val="24"/>
      <w:szCs w:val="24"/>
      <w:lang w:val="sk-SK"/>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list1">
    <w:name w:val="Briefing list 1"/>
    <w:basedOn w:val="Normal"/>
    <w:pPr>
      <w:keepLines/>
      <w:numPr>
        <w:numId w:val="13"/>
      </w:numPr>
      <w:spacing w:after="120" w:line="252" w:lineRule="auto"/>
      <w:jc w:val="both"/>
    </w:pPr>
    <w:rPr>
      <w:rFonts w:asciiTheme="minorHAnsi" w:eastAsiaTheme="minorEastAsia" w:hAnsiTheme="minorHAnsi" w:cs="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sz w:val="20"/>
      <w:szCs w:val="20"/>
      <w:vertAlign w:val="superscript"/>
      <w:lang w:eastAsia="zh-CN"/>
    </w:rPr>
  </w:style>
  <w:style w:type="paragraph" w:customStyle="1" w:styleId="Briefingtext">
    <w:name w:val="Briefing text"/>
    <w:basedOn w:val="Normal"/>
    <w:link w:val="BriefingtextChar"/>
    <w:pPr>
      <w:spacing w:after="240"/>
      <w:jc w:val="both"/>
    </w:pPr>
    <w:rPr>
      <w:rFonts w:ascii="Arial" w:hAnsi="Arial" w:cs="Arial"/>
      <w:sz w:val="22"/>
      <w:lang w:eastAsia="en-US"/>
    </w:rPr>
  </w:style>
  <w:style w:type="character" w:customStyle="1" w:styleId="BriefingtextChar">
    <w:name w:val="Briefing text Char"/>
    <w:link w:val="Briefingtext"/>
    <w:rPr>
      <w:rFonts w:ascii="Arial" w:eastAsia="Times New Roman" w:hAnsi="Arial" w:cs="Arial"/>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Typedudocument">
    <w:name w:val="Type du document"/>
    <w:basedOn w:val="Normal"/>
    <w:next w:val="Normal"/>
    <w:link w:val="TypedudocumentChar"/>
    <w:pPr>
      <w:spacing w:before="36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szCs w:val="24"/>
      <w:lang w:eastAsia="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9051">
      <w:bodyDiv w:val="1"/>
      <w:marLeft w:val="0"/>
      <w:marRight w:val="0"/>
      <w:marTop w:val="0"/>
      <w:marBottom w:val="0"/>
      <w:divBdr>
        <w:top w:val="none" w:sz="0" w:space="0" w:color="auto"/>
        <w:left w:val="none" w:sz="0" w:space="0" w:color="auto"/>
        <w:bottom w:val="none" w:sz="0" w:space="0" w:color="auto"/>
        <w:right w:val="none" w:sz="0" w:space="0" w:color="auto"/>
      </w:divBdr>
    </w:div>
    <w:div w:id="129131356">
      <w:bodyDiv w:val="1"/>
      <w:marLeft w:val="0"/>
      <w:marRight w:val="0"/>
      <w:marTop w:val="0"/>
      <w:marBottom w:val="0"/>
      <w:divBdr>
        <w:top w:val="none" w:sz="0" w:space="0" w:color="auto"/>
        <w:left w:val="none" w:sz="0" w:space="0" w:color="auto"/>
        <w:bottom w:val="none" w:sz="0" w:space="0" w:color="auto"/>
        <w:right w:val="none" w:sz="0" w:space="0" w:color="auto"/>
      </w:divBdr>
    </w:div>
    <w:div w:id="148642352">
      <w:bodyDiv w:val="1"/>
      <w:marLeft w:val="0"/>
      <w:marRight w:val="0"/>
      <w:marTop w:val="0"/>
      <w:marBottom w:val="0"/>
      <w:divBdr>
        <w:top w:val="none" w:sz="0" w:space="0" w:color="auto"/>
        <w:left w:val="none" w:sz="0" w:space="0" w:color="auto"/>
        <w:bottom w:val="none" w:sz="0" w:space="0" w:color="auto"/>
        <w:right w:val="none" w:sz="0" w:space="0" w:color="auto"/>
      </w:divBdr>
    </w:div>
    <w:div w:id="244731649">
      <w:bodyDiv w:val="1"/>
      <w:marLeft w:val="0"/>
      <w:marRight w:val="0"/>
      <w:marTop w:val="0"/>
      <w:marBottom w:val="0"/>
      <w:divBdr>
        <w:top w:val="none" w:sz="0" w:space="0" w:color="auto"/>
        <w:left w:val="none" w:sz="0" w:space="0" w:color="auto"/>
        <w:bottom w:val="none" w:sz="0" w:space="0" w:color="auto"/>
        <w:right w:val="none" w:sz="0" w:space="0" w:color="auto"/>
      </w:divBdr>
    </w:div>
    <w:div w:id="288558244">
      <w:bodyDiv w:val="1"/>
      <w:marLeft w:val="0"/>
      <w:marRight w:val="0"/>
      <w:marTop w:val="0"/>
      <w:marBottom w:val="0"/>
      <w:divBdr>
        <w:top w:val="none" w:sz="0" w:space="0" w:color="auto"/>
        <w:left w:val="none" w:sz="0" w:space="0" w:color="auto"/>
        <w:bottom w:val="none" w:sz="0" w:space="0" w:color="auto"/>
        <w:right w:val="none" w:sz="0" w:space="0" w:color="auto"/>
      </w:divBdr>
      <w:divsChild>
        <w:div w:id="525409766">
          <w:marLeft w:val="0"/>
          <w:marRight w:val="0"/>
          <w:marTop w:val="0"/>
          <w:marBottom w:val="0"/>
          <w:divBdr>
            <w:top w:val="none" w:sz="0" w:space="0" w:color="auto"/>
            <w:left w:val="none" w:sz="0" w:space="0" w:color="auto"/>
            <w:bottom w:val="none" w:sz="0" w:space="0" w:color="auto"/>
            <w:right w:val="none" w:sz="0" w:space="0" w:color="auto"/>
          </w:divBdr>
          <w:divsChild>
            <w:div w:id="1439333752">
              <w:marLeft w:val="0"/>
              <w:marRight w:val="0"/>
              <w:marTop w:val="0"/>
              <w:marBottom w:val="0"/>
              <w:divBdr>
                <w:top w:val="none" w:sz="0" w:space="0" w:color="auto"/>
                <w:left w:val="none" w:sz="0" w:space="0" w:color="auto"/>
                <w:bottom w:val="none" w:sz="0" w:space="0" w:color="auto"/>
                <w:right w:val="none" w:sz="0" w:space="0" w:color="auto"/>
              </w:divBdr>
              <w:divsChild>
                <w:div w:id="20834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9082">
          <w:marLeft w:val="0"/>
          <w:marRight w:val="0"/>
          <w:marTop w:val="0"/>
          <w:marBottom w:val="0"/>
          <w:divBdr>
            <w:top w:val="none" w:sz="0" w:space="0" w:color="auto"/>
            <w:left w:val="none" w:sz="0" w:space="0" w:color="auto"/>
            <w:bottom w:val="none" w:sz="0" w:space="0" w:color="auto"/>
            <w:right w:val="none" w:sz="0" w:space="0" w:color="auto"/>
          </w:divBdr>
          <w:divsChild>
            <w:div w:id="2068650109">
              <w:marLeft w:val="0"/>
              <w:marRight w:val="0"/>
              <w:marTop w:val="0"/>
              <w:marBottom w:val="0"/>
              <w:divBdr>
                <w:top w:val="none" w:sz="0" w:space="0" w:color="auto"/>
                <w:left w:val="none" w:sz="0" w:space="0" w:color="auto"/>
                <w:bottom w:val="none" w:sz="0" w:space="0" w:color="auto"/>
                <w:right w:val="none" w:sz="0" w:space="0" w:color="auto"/>
              </w:divBdr>
              <w:divsChild>
                <w:div w:id="1184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76443">
          <w:marLeft w:val="0"/>
          <w:marRight w:val="0"/>
          <w:marTop w:val="0"/>
          <w:marBottom w:val="0"/>
          <w:divBdr>
            <w:top w:val="none" w:sz="0" w:space="0" w:color="auto"/>
            <w:left w:val="none" w:sz="0" w:space="0" w:color="auto"/>
            <w:bottom w:val="none" w:sz="0" w:space="0" w:color="auto"/>
            <w:right w:val="none" w:sz="0" w:space="0" w:color="auto"/>
          </w:divBdr>
          <w:divsChild>
            <w:div w:id="1491477952">
              <w:marLeft w:val="0"/>
              <w:marRight w:val="0"/>
              <w:marTop w:val="0"/>
              <w:marBottom w:val="0"/>
              <w:divBdr>
                <w:top w:val="none" w:sz="0" w:space="0" w:color="auto"/>
                <w:left w:val="none" w:sz="0" w:space="0" w:color="auto"/>
                <w:bottom w:val="none" w:sz="0" w:space="0" w:color="auto"/>
                <w:right w:val="none" w:sz="0" w:space="0" w:color="auto"/>
              </w:divBdr>
              <w:divsChild>
                <w:div w:id="858548677">
                  <w:marLeft w:val="0"/>
                  <w:marRight w:val="0"/>
                  <w:marTop w:val="0"/>
                  <w:marBottom w:val="0"/>
                  <w:divBdr>
                    <w:top w:val="none" w:sz="0" w:space="0" w:color="auto"/>
                    <w:left w:val="none" w:sz="0" w:space="0" w:color="auto"/>
                    <w:bottom w:val="none" w:sz="0" w:space="0" w:color="auto"/>
                    <w:right w:val="none" w:sz="0" w:space="0" w:color="auto"/>
                  </w:divBdr>
                  <w:divsChild>
                    <w:div w:id="18335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3272">
          <w:marLeft w:val="0"/>
          <w:marRight w:val="0"/>
          <w:marTop w:val="0"/>
          <w:marBottom w:val="0"/>
          <w:divBdr>
            <w:top w:val="none" w:sz="0" w:space="0" w:color="auto"/>
            <w:left w:val="none" w:sz="0" w:space="0" w:color="auto"/>
            <w:bottom w:val="none" w:sz="0" w:space="0" w:color="auto"/>
            <w:right w:val="none" w:sz="0" w:space="0" w:color="auto"/>
          </w:divBdr>
          <w:divsChild>
            <w:div w:id="447437612">
              <w:marLeft w:val="0"/>
              <w:marRight w:val="0"/>
              <w:marTop w:val="0"/>
              <w:marBottom w:val="0"/>
              <w:divBdr>
                <w:top w:val="none" w:sz="0" w:space="0" w:color="auto"/>
                <w:left w:val="none" w:sz="0" w:space="0" w:color="auto"/>
                <w:bottom w:val="none" w:sz="0" w:space="0" w:color="auto"/>
                <w:right w:val="none" w:sz="0" w:space="0" w:color="auto"/>
              </w:divBdr>
              <w:divsChild>
                <w:div w:id="8533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45938">
          <w:marLeft w:val="0"/>
          <w:marRight w:val="0"/>
          <w:marTop w:val="0"/>
          <w:marBottom w:val="0"/>
          <w:divBdr>
            <w:top w:val="none" w:sz="0" w:space="0" w:color="auto"/>
            <w:left w:val="none" w:sz="0" w:space="0" w:color="auto"/>
            <w:bottom w:val="none" w:sz="0" w:space="0" w:color="auto"/>
            <w:right w:val="none" w:sz="0" w:space="0" w:color="auto"/>
          </w:divBdr>
          <w:divsChild>
            <w:div w:id="776169915">
              <w:marLeft w:val="0"/>
              <w:marRight w:val="0"/>
              <w:marTop w:val="0"/>
              <w:marBottom w:val="0"/>
              <w:divBdr>
                <w:top w:val="none" w:sz="0" w:space="0" w:color="auto"/>
                <w:left w:val="none" w:sz="0" w:space="0" w:color="auto"/>
                <w:bottom w:val="none" w:sz="0" w:space="0" w:color="auto"/>
                <w:right w:val="none" w:sz="0" w:space="0" w:color="auto"/>
              </w:divBdr>
              <w:divsChild>
                <w:div w:id="823010925">
                  <w:marLeft w:val="0"/>
                  <w:marRight w:val="0"/>
                  <w:marTop w:val="0"/>
                  <w:marBottom w:val="0"/>
                  <w:divBdr>
                    <w:top w:val="none" w:sz="0" w:space="0" w:color="auto"/>
                    <w:left w:val="none" w:sz="0" w:space="0" w:color="auto"/>
                    <w:bottom w:val="none" w:sz="0" w:space="0" w:color="auto"/>
                    <w:right w:val="none" w:sz="0" w:space="0" w:color="auto"/>
                  </w:divBdr>
                  <w:divsChild>
                    <w:div w:id="606304645">
                      <w:marLeft w:val="0"/>
                      <w:marRight w:val="750"/>
                      <w:marTop w:val="0"/>
                      <w:marBottom w:val="0"/>
                      <w:divBdr>
                        <w:top w:val="none" w:sz="0" w:space="0" w:color="auto"/>
                        <w:left w:val="none" w:sz="0" w:space="0" w:color="auto"/>
                        <w:bottom w:val="none" w:sz="0" w:space="0" w:color="auto"/>
                        <w:right w:val="none" w:sz="0" w:space="0" w:color="auto"/>
                      </w:divBdr>
                      <w:divsChild>
                        <w:div w:id="779108314">
                          <w:marLeft w:val="0"/>
                          <w:marRight w:val="0"/>
                          <w:marTop w:val="0"/>
                          <w:marBottom w:val="0"/>
                          <w:divBdr>
                            <w:top w:val="none" w:sz="0" w:space="0" w:color="auto"/>
                            <w:left w:val="none" w:sz="0" w:space="0" w:color="auto"/>
                            <w:bottom w:val="none" w:sz="0" w:space="0" w:color="auto"/>
                            <w:right w:val="none" w:sz="0" w:space="0" w:color="auto"/>
                          </w:divBdr>
                          <w:divsChild>
                            <w:div w:id="2134013798">
                              <w:marLeft w:val="0"/>
                              <w:marRight w:val="0"/>
                              <w:marTop w:val="0"/>
                              <w:marBottom w:val="0"/>
                              <w:divBdr>
                                <w:top w:val="none" w:sz="0" w:space="0" w:color="auto"/>
                                <w:left w:val="none" w:sz="0" w:space="0" w:color="auto"/>
                                <w:bottom w:val="none" w:sz="0" w:space="0" w:color="auto"/>
                                <w:right w:val="none" w:sz="0" w:space="0" w:color="auto"/>
                              </w:divBdr>
                              <w:divsChild>
                                <w:div w:id="1981374434">
                                  <w:marLeft w:val="0"/>
                                  <w:marRight w:val="0"/>
                                  <w:marTop w:val="0"/>
                                  <w:marBottom w:val="0"/>
                                  <w:divBdr>
                                    <w:top w:val="none" w:sz="0" w:space="0" w:color="auto"/>
                                    <w:left w:val="none" w:sz="0" w:space="0" w:color="auto"/>
                                    <w:bottom w:val="none" w:sz="0" w:space="0" w:color="auto"/>
                                    <w:right w:val="none" w:sz="0" w:space="0" w:color="auto"/>
                                  </w:divBdr>
                                  <w:divsChild>
                                    <w:div w:id="7840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63519">
                      <w:marLeft w:val="0"/>
                      <w:marRight w:val="750"/>
                      <w:marTop w:val="0"/>
                      <w:marBottom w:val="0"/>
                      <w:divBdr>
                        <w:top w:val="none" w:sz="0" w:space="0" w:color="auto"/>
                        <w:left w:val="none" w:sz="0" w:space="0" w:color="auto"/>
                        <w:bottom w:val="none" w:sz="0" w:space="0" w:color="auto"/>
                        <w:right w:val="none" w:sz="0" w:space="0" w:color="auto"/>
                      </w:divBdr>
                      <w:divsChild>
                        <w:div w:id="1915773431">
                          <w:marLeft w:val="0"/>
                          <w:marRight w:val="0"/>
                          <w:marTop w:val="240"/>
                          <w:marBottom w:val="0"/>
                          <w:divBdr>
                            <w:top w:val="none" w:sz="0" w:space="0" w:color="auto"/>
                            <w:left w:val="none" w:sz="0" w:space="0" w:color="auto"/>
                            <w:bottom w:val="none" w:sz="0" w:space="0" w:color="auto"/>
                            <w:right w:val="none" w:sz="0" w:space="0" w:color="auto"/>
                          </w:divBdr>
                          <w:divsChild>
                            <w:div w:id="1457943056">
                              <w:marLeft w:val="0"/>
                              <w:marRight w:val="0"/>
                              <w:marTop w:val="0"/>
                              <w:marBottom w:val="0"/>
                              <w:divBdr>
                                <w:top w:val="none" w:sz="0" w:space="0" w:color="auto"/>
                                <w:left w:val="none" w:sz="0" w:space="0" w:color="auto"/>
                                <w:bottom w:val="none" w:sz="0" w:space="0" w:color="auto"/>
                                <w:right w:val="none" w:sz="0" w:space="0" w:color="auto"/>
                              </w:divBdr>
                              <w:divsChild>
                                <w:div w:id="999843923">
                                  <w:marLeft w:val="0"/>
                                  <w:marRight w:val="0"/>
                                  <w:marTop w:val="0"/>
                                  <w:marBottom w:val="0"/>
                                  <w:divBdr>
                                    <w:top w:val="none" w:sz="0" w:space="0" w:color="auto"/>
                                    <w:left w:val="none" w:sz="0" w:space="0" w:color="auto"/>
                                    <w:bottom w:val="none" w:sz="0" w:space="0" w:color="auto"/>
                                    <w:right w:val="none" w:sz="0" w:space="0" w:color="auto"/>
                                  </w:divBdr>
                                  <w:divsChild>
                                    <w:div w:id="1726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2949">
      <w:bodyDiv w:val="1"/>
      <w:marLeft w:val="0"/>
      <w:marRight w:val="0"/>
      <w:marTop w:val="0"/>
      <w:marBottom w:val="0"/>
      <w:divBdr>
        <w:top w:val="none" w:sz="0" w:space="0" w:color="auto"/>
        <w:left w:val="none" w:sz="0" w:space="0" w:color="auto"/>
        <w:bottom w:val="none" w:sz="0" w:space="0" w:color="auto"/>
        <w:right w:val="none" w:sz="0" w:space="0" w:color="auto"/>
      </w:divBdr>
    </w:div>
    <w:div w:id="344943168">
      <w:bodyDiv w:val="1"/>
      <w:marLeft w:val="0"/>
      <w:marRight w:val="0"/>
      <w:marTop w:val="0"/>
      <w:marBottom w:val="0"/>
      <w:divBdr>
        <w:top w:val="none" w:sz="0" w:space="0" w:color="auto"/>
        <w:left w:val="none" w:sz="0" w:space="0" w:color="auto"/>
        <w:bottom w:val="none" w:sz="0" w:space="0" w:color="auto"/>
        <w:right w:val="none" w:sz="0" w:space="0" w:color="auto"/>
      </w:divBdr>
    </w:div>
    <w:div w:id="354236240">
      <w:bodyDiv w:val="1"/>
      <w:marLeft w:val="0"/>
      <w:marRight w:val="0"/>
      <w:marTop w:val="0"/>
      <w:marBottom w:val="0"/>
      <w:divBdr>
        <w:top w:val="none" w:sz="0" w:space="0" w:color="auto"/>
        <w:left w:val="none" w:sz="0" w:space="0" w:color="auto"/>
        <w:bottom w:val="none" w:sz="0" w:space="0" w:color="auto"/>
        <w:right w:val="none" w:sz="0" w:space="0" w:color="auto"/>
      </w:divBdr>
    </w:div>
    <w:div w:id="387076258">
      <w:bodyDiv w:val="1"/>
      <w:marLeft w:val="0"/>
      <w:marRight w:val="0"/>
      <w:marTop w:val="0"/>
      <w:marBottom w:val="0"/>
      <w:divBdr>
        <w:top w:val="none" w:sz="0" w:space="0" w:color="auto"/>
        <w:left w:val="none" w:sz="0" w:space="0" w:color="auto"/>
        <w:bottom w:val="none" w:sz="0" w:space="0" w:color="auto"/>
        <w:right w:val="none" w:sz="0" w:space="0" w:color="auto"/>
      </w:divBdr>
    </w:div>
    <w:div w:id="456264923">
      <w:bodyDiv w:val="1"/>
      <w:marLeft w:val="0"/>
      <w:marRight w:val="0"/>
      <w:marTop w:val="0"/>
      <w:marBottom w:val="0"/>
      <w:divBdr>
        <w:top w:val="none" w:sz="0" w:space="0" w:color="auto"/>
        <w:left w:val="none" w:sz="0" w:space="0" w:color="auto"/>
        <w:bottom w:val="none" w:sz="0" w:space="0" w:color="auto"/>
        <w:right w:val="none" w:sz="0" w:space="0" w:color="auto"/>
      </w:divBdr>
      <w:divsChild>
        <w:div w:id="1310018162">
          <w:marLeft w:val="300"/>
          <w:marRight w:val="0"/>
          <w:marTop w:val="0"/>
          <w:marBottom w:val="0"/>
          <w:divBdr>
            <w:top w:val="none" w:sz="0" w:space="0" w:color="auto"/>
            <w:left w:val="single" w:sz="36" w:space="8" w:color="777777"/>
            <w:bottom w:val="none" w:sz="0" w:space="0" w:color="auto"/>
            <w:right w:val="none" w:sz="0" w:space="0" w:color="auto"/>
          </w:divBdr>
        </w:div>
      </w:divsChild>
    </w:div>
    <w:div w:id="520902843">
      <w:bodyDiv w:val="1"/>
      <w:marLeft w:val="0"/>
      <w:marRight w:val="0"/>
      <w:marTop w:val="0"/>
      <w:marBottom w:val="0"/>
      <w:divBdr>
        <w:top w:val="none" w:sz="0" w:space="0" w:color="auto"/>
        <w:left w:val="none" w:sz="0" w:space="0" w:color="auto"/>
        <w:bottom w:val="none" w:sz="0" w:space="0" w:color="auto"/>
        <w:right w:val="none" w:sz="0" w:space="0" w:color="auto"/>
      </w:divBdr>
    </w:div>
    <w:div w:id="534080238">
      <w:bodyDiv w:val="1"/>
      <w:marLeft w:val="0"/>
      <w:marRight w:val="0"/>
      <w:marTop w:val="0"/>
      <w:marBottom w:val="0"/>
      <w:divBdr>
        <w:top w:val="none" w:sz="0" w:space="0" w:color="auto"/>
        <w:left w:val="none" w:sz="0" w:space="0" w:color="auto"/>
        <w:bottom w:val="none" w:sz="0" w:space="0" w:color="auto"/>
        <w:right w:val="none" w:sz="0" w:space="0" w:color="auto"/>
      </w:divBdr>
    </w:div>
    <w:div w:id="667057490">
      <w:bodyDiv w:val="1"/>
      <w:marLeft w:val="0"/>
      <w:marRight w:val="0"/>
      <w:marTop w:val="0"/>
      <w:marBottom w:val="0"/>
      <w:divBdr>
        <w:top w:val="none" w:sz="0" w:space="0" w:color="auto"/>
        <w:left w:val="none" w:sz="0" w:space="0" w:color="auto"/>
        <w:bottom w:val="none" w:sz="0" w:space="0" w:color="auto"/>
        <w:right w:val="none" w:sz="0" w:space="0" w:color="auto"/>
      </w:divBdr>
    </w:div>
    <w:div w:id="779842244">
      <w:bodyDiv w:val="1"/>
      <w:marLeft w:val="0"/>
      <w:marRight w:val="0"/>
      <w:marTop w:val="0"/>
      <w:marBottom w:val="0"/>
      <w:divBdr>
        <w:top w:val="none" w:sz="0" w:space="0" w:color="auto"/>
        <w:left w:val="none" w:sz="0" w:space="0" w:color="auto"/>
        <w:bottom w:val="none" w:sz="0" w:space="0" w:color="auto"/>
        <w:right w:val="none" w:sz="0" w:space="0" w:color="auto"/>
      </w:divBdr>
      <w:divsChild>
        <w:div w:id="1128745263">
          <w:marLeft w:val="0"/>
          <w:marRight w:val="0"/>
          <w:marTop w:val="0"/>
          <w:marBottom w:val="0"/>
          <w:divBdr>
            <w:top w:val="none" w:sz="0" w:space="0" w:color="auto"/>
            <w:left w:val="none" w:sz="0" w:space="0" w:color="auto"/>
            <w:bottom w:val="none" w:sz="0" w:space="0" w:color="auto"/>
            <w:right w:val="none" w:sz="0" w:space="0" w:color="auto"/>
          </w:divBdr>
        </w:div>
      </w:divsChild>
    </w:div>
    <w:div w:id="808284625">
      <w:bodyDiv w:val="1"/>
      <w:marLeft w:val="0"/>
      <w:marRight w:val="0"/>
      <w:marTop w:val="0"/>
      <w:marBottom w:val="0"/>
      <w:divBdr>
        <w:top w:val="none" w:sz="0" w:space="0" w:color="auto"/>
        <w:left w:val="none" w:sz="0" w:space="0" w:color="auto"/>
        <w:bottom w:val="none" w:sz="0" w:space="0" w:color="auto"/>
        <w:right w:val="none" w:sz="0" w:space="0" w:color="auto"/>
      </w:divBdr>
    </w:div>
    <w:div w:id="910894535">
      <w:bodyDiv w:val="1"/>
      <w:marLeft w:val="0"/>
      <w:marRight w:val="0"/>
      <w:marTop w:val="0"/>
      <w:marBottom w:val="0"/>
      <w:divBdr>
        <w:top w:val="none" w:sz="0" w:space="0" w:color="auto"/>
        <w:left w:val="none" w:sz="0" w:space="0" w:color="auto"/>
        <w:bottom w:val="none" w:sz="0" w:space="0" w:color="auto"/>
        <w:right w:val="none" w:sz="0" w:space="0" w:color="auto"/>
      </w:divBdr>
    </w:div>
    <w:div w:id="962229152">
      <w:bodyDiv w:val="1"/>
      <w:marLeft w:val="0"/>
      <w:marRight w:val="0"/>
      <w:marTop w:val="0"/>
      <w:marBottom w:val="0"/>
      <w:divBdr>
        <w:top w:val="none" w:sz="0" w:space="0" w:color="auto"/>
        <w:left w:val="none" w:sz="0" w:space="0" w:color="auto"/>
        <w:bottom w:val="none" w:sz="0" w:space="0" w:color="auto"/>
        <w:right w:val="none" w:sz="0" w:space="0" w:color="auto"/>
      </w:divBdr>
    </w:div>
    <w:div w:id="1021249536">
      <w:bodyDiv w:val="1"/>
      <w:marLeft w:val="0"/>
      <w:marRight w:val="0"/>
      <w:marTop w:val="0"/>
      <w:marBottom w:val="0"/>
      <w:divBdr>
        <w:top w:val="none" w:sz="0" w:space="0" w:color="auto"/>
        <w:left w:val="none" w:sz="0" w:space="0" w:color="auto"/>
        <w:bottom w:val="none" w:sz="0" w:space="0" w:color="auto"/>
        <w:right w:val="none" w:sz="0" w:space="0" w:color="auto"/>
      </w:divBdr>
    </w:div>
    <w:div w:id="1024818391">
      <w:bodyDiv w:val="1"/>
      <w:marLeft w:val="0"/>
      <w:marRight w:val="0"/>
      <w:marTop w:val="0"/>
      <w:marBottom w:val="0"/>
      <w:divBdr>
        <w:top w:val="none" w:sz="0" w:space="0" w:color="auto"/>
        <w:left w:val="none" w:sz="0" w:space="0" w:color="auto"/>
        <w:bottom w:val="none" w:sz="0" w:space="0" w:color="auto"/>
        <w:right w:val="none" w:sz="0" w:space="0" w:color="auto"/>
      </w:divBdr>
    </w:div>
    <w:div w:id="1199780180">
      <w:bodyDiv w:val="1"/>
      <w:marLeft w:val="0"/>
      <w:marRight w:val="0"/>
      <w:marTop w:val="0"/>
      <w:marBottom w:val="0"/>
      <w:divBdr>
        <w:top w:val="none" w:sz="0" w:space="0" w:color="auto"/>
        <w:left w:val="none" w:sz="0" w:space="0" w:color="auto"/>
        <w:bottom w:val="none" w:sz="0" w:space="0" w:color="auto"/>
        <w:right w:val="none" w:sz="0" w:space="0" w:color="auto"/>
      </w:divBdr>
    </w:div>
    <w:div w:id="1238058592">
      <w:bodyDiv w:val="1"/>
      <w:marLeft w:val="0"/>
      <w:marRight w:val="0"/>
      <w:marTop w:val="0"/>
      <w:marBottom w:val="0"/>
      <w:divBdr>
        <w:top w:val="none" w:sz="0" w:space="0" w:color="auto"/>
        <w:left w:val="none" w:sz="0" w:space="0" w:color="auto"/>
        <w:bottom w:val="none" w:sz="0" w:space="0" w:color="auto"/>
        <w:right w:val="none" w:sz="0" w:space="0" w:color="auto"/>
      </w:divBdr>
    </w:div>
    <w:div w:id="1500851154">
      <w:bodyDiv w:val="1"/>
      <w:marLeft w:val="0"/>
      <w:marRight w:val="0"/>
      <w:marTop w:val="0"/>
      <w:marBottom w:val="0"/>
      <w:divBdr>
        <w:top w:val="none" w:sz="0" w:space="0" w:color="auto"/>
        <w:left w:val="none" w:sz="0" w:space="0" w:color="auto"/>
        <w:bottom w:val="none" w:sz="0" w:space="0" w:color="auto"/>
        <w:right w:val="none" w:sz="0" w:space="0" w:color="auto"/>
      </w:divBdr>
    </w:div>
    <w:div w:id="1515144022">
      <w:bodyDiv w:val="1"/>
      <w:marLeft w:val="0"/>
      <w:marRight w:val="0"/>
      <w:marTop w:val="0"/>
      <w:marBottom w:val="0"/>
      <w:divBdr>
        <w:top w:val="none" w:sz="0" w:space="0" w:color="auto"/>
        <w:left w:val="none" w:sz="0" w:space="0" w:color="auto"/>
        <w:bottom w:val="none" w:sz="0" w:space="0" w:color="auto"/>
        <w:right w:val="none" w:sz="0" w:space="0" w:color="auto"/>
      </w:divBdr>
    </w:div>
    <w:div w:id="1519349328">
      <w:bodyDiv w:val="1"/>
      <w:marLeft w:val="0"/>
      <w:marRight w:val="0"/>
      <w:marTop w:val="0"/>
      <w:marBottom w:val="0"/>
      <w:divBdr>
        <w:top w:val="none" w:sz="0" w:space="0" w:color="auto"/>
        <w:left w:val="none" w:sz="0" w:space="0" w:color="auto"/>
        <w:bottom w:val="none" w:sz="0" w:space="0" w:color="auto"/>
        <w:right w:val="none" w:sz="0" w:space="0" w:color="auto"/>
      </w:divBdr>
    </w:div>
    <w:div w:id="1633437896">
      <w:bodyDiv w:val="1"/>
      <w:marLeft w:val="0"/>
      <w:marRight w:val="0"/>
      <w:marTop w:val="0"/>
      <w:marBottom w:val="0"/>
      <w:divBdr>
        <w:top w:val="none" w:sz="0" w:space="0" w:color="auto"/>
        <w:left w:val="none" w:sz="0" w:space="0" w:color="auto"/>
        <w:bottom w:val="none" w:sz="0" w:space="0" w:color="auto"/>
        <w:right w:val="none" w:sz="0" w:space="0" w:color="auto"/>
      </w:divBdr>
    </w:div>
    <w:div w:id="1634368855">
      <w:bodyDiv w:val="1"/>
      <w:marLeft w:val="0"/>
      <w:marRight w:val="0"/>
      <w:marTop w:val="0"/>
      <w:marBottom w:val="0"/>
      <w:divBdr>
        <w:top w:val="none" w:sz="0" w:space="0" w:color="auto"/>
        <w:left w:val="none" w:sz="0" w:space="0" w:color="auto"/>
        <w:bottom w:val="none" w:sz="0" w:space="0" w:color="auto"/>
        <w:right w:val="none" w:sz="0" w:space="0" w:color="auto"/>
      </w:divBdr>
    </w:div>
    <w:div w:id="1733389457">
      <w:bodyDiv w:val="1"/>
      <w:marLeft w:val="0"/>
      <w:marRight w:val="0"/>
      <w:marTop w:val="0"/>
      <w:marBottom w:val="0"/>
      <w:divBdr>
        <w:top w:val="none" w:sz="0" w:space="0" w:color="auto"/>
        <w:left w:val="none" w:sz="0" w:space="0" w:color="auto"/>
        <w:bottom w:val="none" w:sz="0" w:space="0" w:color="auto"/>
        <w:right w:val="none" w:sz="0" w:space="0" w:color="auto"/>
      </w:divBdr>
    </w:div>
    <w:div w:id="1793598079">
      <w:bodyDiv w:val="1"/>
      <w:marLeft w:val="0"/>
      <w:marRight w:val="0"/>
      <w:marTop w:val="0"/>
      <w:marBottom w:val="0"/>
      <w:divBdr>
        <w:top w:val="none" w:sz="0" w:space="0" w:color="auto"/>
        <w:left w:val="none" w:sz="0" w:space="0" w:color="auto"/>
        <w:bottom w:val="none" w:sz="0" w:space="0" w:color="auto"/>
        <w:right w:val="none" w:sz="0" w:space="0" w:color="auto"/>
      </w:divBdr>
    </w:div>
    <w:div w:id="1823542590">
      <w:bodyDiv w:val="1"/>
      <w:marLeft w:val="0"/>
      <w:marRight w:val="0"/>
      <w:marTop w:val="0"/>
      <w:marBottom w:val="0"/>
      <w:divBdr>
        <w:top w:val="none" w:sz="0" w:space="0" w:color="auto"/>
        <w:left w:val="none" w:sz="0" w:space="0" w:color="auto"/>
        <w:bottom w:val="none" w:sz="0" w:space="0" w:color="auto"/>
        <w:right w:val="none" w:sz="0" w:space="0" w:color="auto"/>
      </w:divBdr>
    </w:div>
    <w:div w:id="1869023361">
      <w:bodyDiv w:val="1"/>
      <w:marLeft w:val="0"/>
      <w:marRight w:val="0"/>
      <w:marTop w:val="0"/>
      <w:marBottom w:val="0"/>
      <w:divBdr>
        <w:top w:val="none" w:sz="0" w:space="0" w:color="auto"/>
        <w:left w:val="none" w:sz="0" w:space="0" w:color="auto"/>
        <w:bottom w:val="none" w:sz="0" w:space="0" w:color="auto"/>
        <w:right w:val="none" w:sz="0" w:space="0" w:color="auto"/>
      </w:divBdr>
    </w:div>
    <w:div w:id="1876195213">
      <w:bodyDiv w:val="1"/>
      <w:marLeft w:val="0"/>
      <w:marRight w:val="0"/>
      <w:marTop w:val="0"/>
      <w:marBottom w:val="0"/>
      <w:divBdr>
        <w:top w:val="none" w:sz="0" w:space="0" w:color="auto"/>
        <w:left w:val="none" w:sz="0" w:space="0" w:color="auto"/>
        <w:bottom w:val="none" w:sz="0" w:space="0" w:color="auto"/>
        <w:right w:val="none" w:sz="0" w:space="0" w:color="auto"/>
      </w:divBdr>
    </w:div>
    <w:div w:id="1936480499">
      <w:bodyDiv w:val="1"/>
      <w:marLeft w:val="0"/>
      <w:marRight w:val="0"/>
      <w:marTop w:val="0"/>
      <w:marBottom w:val="0"/>
      <w:divBdr>
        <w:top w:val="none" w:sz="0" w:space="0" w:color="auto"/>
        <w:left w:val="none" w:sz="0" w:space="0" w:color="auto"/>
        <w:bottom w:val="none" w:sz="0" w:space="0" w:color="auto"/>
        <w:right w:val="none" w:sz="0" w:space="0" w:color="auto"/>
      </w:divBdr>
    </w:div>
    <w:div w:id="1947999116">
      <w:bodyDiv w:val="1"/>
      <w:marLeft w:val="0"/>
      <w:marRight w:val="0"/>
      <w:marTop w:val="0"/>
      <w:marBottom w:val="0"/>
      <w:divBdr>
        <w:top w:val="none" w:sz="0" w:space="0" w:color="auto"/>
        <w:left w:val="none" w:sz="0" w:space="0" w:color="auto"/>
        <w:bottom w:val="none" w:sz="0" w:space="0" w:color="auto"/>
        <w:right w:val="none" w:sz="0" w:space="0" w:color="auto"/>
      </w:divBdr>
    </w:div>
    <w:div w:id="1954364322">
      <w:bodyDiv w:val="1"/>
      <w:marLeft w:val="0"/>
      <w:marRight w:val="0"/>
      <w:marTop w:val="0"/>
      <w:marBottom w:val="0"/>
      <w:divBdr>
        <w:top w:val="none" w:sz="0" w:space="0" w:color="auto"/>
        <w:left w:val="none" w:sz="0" w:space="0" w:color="auto"/>
        <w:bottom w:val="none" w:sz="0" w:space="0" w:color="auto"/>
        <w:right w:val="none" w:sz="0" w:space="0" w:color="auto"/>
      </w:divBdr>
    </w:div>
    <w:div w:id="2035109117">
      <w:bodyDiv w:val="1"/>
      <w:marLeft w:val="0"/>
      <w:marRight w:val="0"/>
      <w:marTop w:val="0"/>
      <w:marBottom w:val="0"/>
      <w:divBdr>
        <w:top w:val="none" w:sz="0" w:space="0" w:color="auto"/>
        <w:left w:val="none" w:sz="0" w:space="0" w:color="auto"/>
        <w:bottom w:val="none" w:sz="0" w:space="0" w:color="auto"/>
        <w:right w:val="none" w:sz="0" w:space="0" w:color="auto"/>
      </w:divBdr>
    </w:div>
    <w:div w:id="21449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op.europa.eu/sk/publication-detail/-/publication/67042e0e-1a59-11ea-8c1f-01aa75ed71a1/language-sk/format-PDF/source-search" TargetMode="External"/><Relationship Id="rId3" Type="http://schemas.openxmlformats.org/officeDocument/2006/relationships/customXml" Target="../customXml/item3.xml"/><Relationship Id="rId21" Type="http://schemas.openxmlformats.org/officeDocument/2006/relationships/hyperlink" Target="https://data.consilium.europa.eu/doc/document/ST-8766-2021-INIT/sk/pdf"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p.europa.eu/sk/publication-detail/-/publication/ad692045-1b46-11ea-8c1f-01aa75ed71a1"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SK/TXT/PDF/?uri=CELEX:52020XG1201(01)&amp;from=sk" TargetMode="External"/><Relationship Id="rId29" Type="http://schemas.openxmlformats.org/officeDocument/2006/relationships/hyperlink" Target="https://europa.eu/youth/strategy_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jpeg"/><Relationship Id="rId32" Type="http://schemas.openxmlformats.org/officeDocument/2006/relationships/footer" Target="footer4.xml"/><Relationship Id="rId37" Type="http://schemas.openxmlformats.org/officeDocument/2006/relationships/theme" Target="theme/theme1.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ur-lex.europa.eu/legal-content/sk/TXT/PDF/?uri=CELEX:42020Y0626(01)&amp;from=sk" TargetMode="External"/><Relationship Id="rId28" Type="http://schemas.openxmlformats.org/officeDocument/2006/relationships/hyperlink" Target="https://national-policies.eacea.ec.europa.eu/youthwik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SK/TXT/PDF/?uri=CELEX:52019XG0605(02)&amp;rid=3" TargetMode="External"/><Relationship Id="rId31" Type="http://schemas.openxmlformats.org/officeDocument/2006/relationships/header" Target="header5.xm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youth-goals.eu/" TargetMode="External"/><Relationship Id="rId27" Type="http://schemas.openxmlformats.org/officeDocument/2006/relationships/hyperlink" Target="https://www.coe.int/en/web/youth/-/youth-partnership-launches-knowledge-hub" TargetMode="External"/><Relationship Id="rId30" Type="http://schemas.openxmlformats.org/officeDocument/2006/relationships/header" Target="header4.xm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social/BlobServlet?docId=22829&amp;langId=sk" TargetMode="External"/><Relationship Id="rId13" Type="http://schemas.openxmlformats.org/officeDocument/2006/relationships/hyperlink" Target="https://webgate.ec.europa.eu/hpf/" TargetMode="External"/><Relationship Id="rId18" Type="http://schemas.openxmlformats.org/officeDocument/2006/relationships/hyperlink" Target="https://op.europa.eu/en/publication-detail/-/publication/c6f84903-bc39-11eb-8aca-01aa75ed71a1/language-en" TargetMode="External"/><Relationship Id="rId3" Type="http://schemas.openxmlformats.org/officeDocument/2006/relationships/hyperlink" Target="https://op.europa.eu/en/publication-detail/-/publication/57e87ca0-900d-11ea-812f-01aa75ed71a1" TargetMode="External"/><Relationship Id="rId7" Type="http://schemas.openxmlformats.org/officeDocument/2006/relationships/hyperlink" Target="https://eur-lex.europa.eu/legal-content/SK/TXT/?uri=COM:2021:455:FIN&amp;qid=1628155522520" TargetMode="External"/><Relationship Id="rId12" Type="http://schemas.openxmlformats.org/officeDocument/2006/relationships/hyperlink" Target="https://ec.europa.eu/info/policies/justice-and-fundamental-rights/rights-child/eu-strategy-rights-child-and-european-child-guarantee_en" TargetMode="External"/><Relationship Id="rId17" Type="http://schemas.openxmlformats.org/officeDocument/2006/relationships/hyperlink" Target="https://ec.europa.eu/health/non_communicable_diseases/events/ev_20210510_en" TargetMode="External"/><Relationship Id="rId2" Type="http://schemas.openxmlformats.org/officeDocument/2006/relationships/hyperlink" Target="https://ec.europa.eu/eurostat/statistics-explained/index.php/Being_young_in_Europe_today_-_health" TargetMode="External"/><Relationship Id="rId16" Type="http://schemas.openxmlformats.org/officeDocument/2006/relationships/hyperlink" Target="https://ec.europa.eu/health/non_communicable_diseases/events/ev_20210510_en" TargetMode="External"/><Relationship Id="rId1" Type="http://schemas.openxmlformats.org/officeDocument/2006/relationships/hyperlink" Target="https://ec.europa.eu/eurostat/data/database" TargetMode="External"/><Relationship Id="rId6" Type="http://schemas.openxmlformats.org/officeDocument/2006/relationships/hyperlink" Target="https://ec.europa.eu/education/education-in-the-eu/digital-education-action-plan_sk" TargetMode="External"/><Relationship Id="rId11" Type="http://schemas.openxmlformats.org/officeDocument/2006/relationships/hyperlink" Target="https://ec.europa.eu/info/policies/justice-and-fundamental-rights/rights-child/eu-strategy-rights-child-and-european-child-guarantee_en" TargetMode="External"/><Relationship Id="rId5" Type="http://schemas.openxmlformats.org/officeDocument/2006/relationships/hyperlink" Target="https://ec.europa.eu/education/education-in-the-eu/european-education-area_sk" TargetMode="External"/><Relationship Id="rId15" Type="http://schemas.openxmlformats.org/officeDocument/2006/relationships/hyperlink" Target="https://ec.europa.eu/health/non_communicable_diseases/events/ev_20210510_en" TargetMode="External"/><Relationship Id="rId10" Type="http://schemas.openxmlformats.org/officeDocument/2006/relationships/hyperlink" Target="https://ec.europa.eu/eusurvey/runner/EU-YOUTH-DIALOGUE-8TH-CYCLE?surveylanguage=SK" TargetMode="External"/><Relationship Id="rId19" Type="http://schemas.openxmlformats.org/officeDocument/2006/relationships/hyperlink" Target="https://ec.europa.eu/eusurvey/runner/FNAP" TargetMode="External"/><Relationship Id="rId4" Type="http://schemas.openxmlformats.org/officeDocument/2006/relationships/hyperlink" Target="https://op.europa.eu/en/publication-detail/-/publication/5a8beedc-f0e1-11eb-a71c-01aa75ed71a1" TargetMode="External"/><Relationship Id="rId9" Type="http://schemas.openxmlformats.org/officeDocument/2006/relationships/hyperlink" Target="https://ec.europa.eu/social/main.jsp?catId=1079&amp;langId=sk" TargetMode="External"/><Relationship Id="rId14" Type="http://schemas.openxmlformats.org/officeDocument/2006/relationships/hyperlink" Target="https://ec.europa.eu/health/non_communicable_diseases/events/ev_20210510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d1e5b296-962f-4e95-98c4-7837af6a0a81">Youth Report 2021</Topic>
    <about xmlns="6468000c-c4eb-40c3-a1ff-04fce72ad1c1">EU Youth Strategy Platform</abou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2F9CA38ABC5C44BD5E20EE043E15DC" ma:contentTypeVersion="6" ma:contentTypeDescription="Create a new document." ma:contentTypeScope="" ma:versionID="14a1efcb0580986fdce60041afdac8a0">
  <xsd:schema xmlns:xsd="http://www.w3.org/2001/XMLSchema" xmlns:xs="http://www.w3.org/2001/XMLSchema" xmlns:p="http://schemas.microsoft.com/office/2006/metadata/properties" xmlns:ns2="d1e5b296-962f-4e95-98c4-7837af6a0a81" xmlns:ns3="6468000c-c4eb-40c3-a1ff-04fce72ad1c1" targetNamespace="http://schemas.microsoft.com/office/2006/metadata/properties" ma:root="true" ma:fieldsID="5a58ed99e168fb76f0c9ecc8ea328d07" ns2:_="" ns3:_="">
    <xsd:import namespace="d1e5b296-962f-4e95-98c4-7837af6a0a81"/>
    <xsd:import namespace="6468000c-c4eb-40c3-a1ff-04fce72ad1c1"/>
    <xsd:element name="properties">
      <xsd:complexType>
        <xsd:sequence>
          <xsd:element name="documentManagement">
            <xsd:complexType>
              <xsd:all>
                <xsd:element ref="ns2:Topic"/>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b296-962f-4e95-98c4-7837af6a0a81" elementFormDefault="qualified">
    <xsd:import namespace="http://schemas.microsoft.com/office/2006/documentManagement/types"/>
    <xsd:import namespace="http://schemas.microsoft.com/office/infopath/2007/PartnerControls"/>
    <xsd:element name="Topic" ma:index="2" ma:displayName="Topic" ma:default="2019-2027" ma:format="RadioButtons" ma:internalName="Topic">
      <xsd:simpleType>
        <xsd:restriction base="dms:Choice">
          <xsd:enumeration value="2019-2027"/>
          <xsd:enumeration value="Review"/>
          <xsd:enumeration value="Youth Report 2021"/>
        </xsd:restriction>
      </xsd:simpleType>
    </xsd:element>
  </xsd:schema>
  <xsd:schema xmlns:xsd="http://www.w3.org/2001/XMLSchema" xmlns:xs="http://www.w3.org/2001/XMLSchema" xmlns:dms="http://schemas.microsoft.com/office/2006/documentManagement/types" xmlns:pc="http://schemas.microsoft.com/office/infopath/2007/PartnerControls" targetNamespace="6468000c-c4eb-40c3-a1ff-04fce72ad1c1" elementFormDefault="qualified">
    <xsd:import namespace="http://schemas.microsoft.com/office/2006/documentManagement/types"/>
    <xsd:import namespace="http://schemas.microsoft.com/office/infopath/2007/PartnerControls"/>
    <xsd:element name="about" ma:index="3" ma:displayName="About" ma:format="Dropdown" ma:internalName="about">
      <xsd:simpleType>
        <xsd:restriction base="dms:Choice">
          <xsd:enumeration value="Future National Activities planners"/>
          <xsd:enumeration value="Mutual Learning activities"/>
          <xsd:enumeration value="EU Youth Strategy Platform"/>
          <xsd:enumeration value="EU Youth Coordinator"/>
          <xsd:enumeration value="Tracking of EU spending on Youth"/>
          <xsd:enumeration value="EU Youth Dialogue"/>
          <xsd:enumeration value="Youth Work Agenda"/>
          <xsd:enumeration value="Cross-Border Solidarity"/>
          <xsd:enumeration value="Evaluation of the current Youth Strategy"/>
          <xsd:enumeration value="Preparing the future Youth Strategy"/>
          <xsd:enumeration value="Stakeholders consult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9D3D-D00C-4818-B19C-8EF03AE33473}">
  <ds:schemaRefs>
    <ds:schemaRef ds:uri="http://schemas.openxmlformats.org/package/2006/metadata/core-properties"/>
    <ds:schemaRef ds:uri="6468000c-c4eb-40c3-a1ff-04fce72ad1c1"/>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d1e5b296-962f-4e95-98c4-7837af6a0a81"/>
    <ds:schemaRef ds:uri="http://www.w3.org/XML/1998/namespace"/>
  </ds:schemaRefs>
</ds:datastoreItem>
</file>

<file path=customXml/itemProps2.xml><?xml version="1.0" encoding="utf-8"?>
<ds:datastoreItem xmlns:ds="http://schemas.openxmlformats.org/officeDocument/2006/customXml" ds:itemID="{6FF15C28-A80E-4150-B147-ECB3AEFA0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b296-962f-4e95-98c4-7837af6a0a81"/>
    <ds:schemaRef ds:uri="6468000c-c4eb-40c3-a1ff-04fce72ad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BD3B7-11EA-413E-AB19-5D4CF675ED72}">
  <ds:schemaRefs>
    <ds:schemaRef ds:uri="http://schemas.microsoft.com/sharepoint/v3/contenttype/forms"/>
  </ds:schemaRefs>
</ds:datastoreItem>
</file>

<file path=customXml/itemProps4.xml><?xml version="1.0" encoding="utf-8"?>
<ds:datastoreItem xmlns:ds="http://schemas.openxmlformats.org/officeDocument/2006/customXml" ds:itemID="{7404B617-09CE-4A2E-A938-93DD83A1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7269</Words>
  <Characters>44414</Characters>
  <Application>Microsoft Office Word</Application>
  <DocSecurity>0</DocSecurity>
  <Lines>693</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cp:lastPrinted>2021-08-26T16:47:00Z</cp:lastPrinted>
  <dcterms:created xsi:type="dcterms:W3CDTF">2021-10-04T10:00:00Z</dcterms:created>
  <dcterms:modified xsi:type="dcterms:W3CDTF">2021-10-13T13:17:00Z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IsMyDocuments">
    <vt:bool>true</vt:bool>
  </property>
  <property fmtid="{D5CDD505-2E9C-101B-9397-08002B2CF9AE}" pid="10" name="_LW_INVALIDATED__LW_INVALIDATED_ContentTypeId">
    <vt:lpwstr>0x010100C02F9CA38ABC5C44BD5E20EE043E15DC</vt:lpwstr>
  </property>
  <property fmtid="{D5CDD505-2E9C-101B-9397-08002B2CF9AE}" pid="11" name="_LW_INVALIDATED_ContentTypeId">
    <vt:lpwstr>0x010100C02F9CA38ABC5C44BD5E20EE043E15DC</vt:lpwstr>
  </property>
  <property name="OP_sanitized" fmtid="{D5CDD505-2E9C-101B-9397-08002B2CF9AE}" pid="12">
    <vt:lpwstr>True</vt:lpwstr>
  </property>
</Properties>
</file>