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868B5353-044C-40C8-AD89-6A84BE90907B" style="width:455.45pt;height:341.6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rPr>
          <w:noProof/>
        </w:rPr>
      </w:pPr>
    </w:p>
    <w:p>
      <w:pPr>
        <w:pStyle w:val="Statut"/>
        <w:rPr>
          <w:noProof/>
        </w:rPr>
      </w:pPr>
      <w:r>
        <w:rPr>
          <w:noProof/>
        </w:rPr>
        <w:t>Odporúčanie</w:t>
      </w:r>
    </w:p>
    <w:p>
      <w:pPr>
        <w:pStyle w:val="Typedudocument"/>
        <w:rPr>
          <w:noProof/>
        </w:rPr>
      </w:pPr>
      <w:r>
        <w:rPr>
          <w:noProof/>
        </w:rPr>
        <w:t>ODPORÚČANIE RADY,</w:t>
      </w:r>
    </w:p>
    <w:p>
      <w:pPr>
        <w:pStyle w:val="Titreobjet"/>
        <w:rPr>
          <w:noProof/>
        </w:rPr>
      </w:pPr>
      <w:r>
        <w:rPr>
          <w:noProof/>
        </w:rPr>
        <w:t>ktorým sa predkladá stanovisko Rady k programu stability Grécka na rok 2021</w:t>
      </w:r>
    </w:p>
    <w:p>
      <w:pPr>
        <w:pStyle w:val="Institutionquiagit"/>
        <w:rPr>
          <w:noProof/>
        </w:rPr>
      </w:pPr>
      <w:r>
        <w:rPr>
          <w:noProof/>
        </w:rPr>
        <w:t>RADA EURÓPSKEJ ÚNIE,</w:t>
      </w:r>
    </w:p>
    <w:p>
      <w:pPr>
        <w:rPr>
          <w:noProof/>
          <w:szCs w:val="24"/>
        </w:rPr>
      </w:pPr>
      <w:r>
        <w:rPr>
          <w:noProof/>
        </w:rPr>
        <w:t>so zreteľom na Zmluvu o fungovaní Európskej únie,</w:t>
      </w:r>
    </w:p>
    <w:p>
      <w:pPr>
        <w:rPr>
          <w:noProof/>
          <w:szCs w:val="24"/>
        </w:rPr>
      </w:pPr>
      <w:r>
        <w:rPr>
          <w:noProof/>
        </w:rPr>
        <w:t>so zreteľom na nariadenie Rady (ES) č. 1466/97 zo 7. júla 1997 o posilnení dohľadu nad stavmi rozpočtov a o dohľade nad hospodárskymi politikami a ich koordinácii</w:t>
      </w:r>
      <w:r>
        <w:rPr>
          <w:rStyle w:val="FootnoteReference"/>
          <w:noProof/>
        </w:rPr>
        <w:footnoteReference w:id="1"/>
      </w:r>
      <w:r>
        <w:rPr>
          <w:noProof/>
        </w:rPr>
        <w:t>, a najmä na jeho článok 5 ods. 2,</w:t>
      </w:r>
    </w:p>
    <w:p>
      <w:pPr>
        <w:rPr>
          <w:noProof/>
          <w:szCs w:val="24"/>
        </w:rPr>
      </w:pPr>
      <w:r>
        <w:rPr>
          <w:noProof/>
        </w:rPr>
        <w:t>so zreteľom na odporúčanie Európskej komisie,</w:t>
      </w:r>
    </w:p>
    <w:p>
      <w:pPr>
        <w:rPr>
          <w:noProof/>
          <w:szCs w:val="24"/>
        </w:rPr>
      </w:pPr>
      <w:r>
        <w:rPr>
          <w:noProof/>
        </w:rPr>
        <w:t>so zreteľom na uznesenia Európskeho parlamentu,</w:t>
      </w:r>
    </w:p>
    <w:p>
      <w:pPr>
        <w:rPr>
          <w:noProof/>
          <w:szCs w:val="24"/>
          <w:highlight w:val="yellow"/>
        </w:rPr>
      </w:pPr>
      <w:r>
        <w:rPr>
          <w:noProof/>
        </w:rPr>
        <w:t>po porade s Hospodárskym a finančným výborom,</w:t>
      </w:r>
    </w:p>
    <w:p>
      <w:pPr>
        <w:rPr>
          <w:noProof/>
          <w:szCs w:val="24"/>
        </w:rPr>
      </w:pPr>
      <w:r>
        <w:rPr>
          <w:noProof/>
        </w:rPr>
        <w:t>keďže:</w:t>
      </w:r>
    </w:p>
    <w:p>
      <w:pPr>
        <w:pStyle w:val="ManualConsidrant"/>
        <w:rPr>
          <w:noProof/>
        </w:rPr>
      </w:pPr>
      <w:r>
        <w:t>(1)</w:t>
      </w:r>
      <w:r>
        <w:tab/>
      </w:r>
      <w:r>
        <w:rPr>
          <w:noProof/>
        </w:rPr>
        <w:t>Komisia 20. marca 2020 prijala oznámenie o aktivácii všeobecnej únikovej doložky</w:t>
      </w:r>
      <w:r>
        <w:rPr>
          <w:rStyle w:val="FootnoteReference"/>
          <w:noProof/>
        </w:rPr>
        <w:footnoteReference w:id="2"/>
      </w:r>
      <w:r>
        <w:rPr>
          <w:noProof/>
        </w:rPr>
        <w:t xml:space="preserve"> Paktu stability a rastu</w:t>
      </w:r>
      <w:r>
        <w:rPr>
          <w:rStyle w:val="FootnoteReference"/>
          <w:noProof/>
        </w:rPr>
        <w:footnoteReference w:id="3"/>
      </w:r>
      <w:r>
        <w:rPr>
          <w:noProof/>
        </w:rPr>
        <w:t>. Komisia vo svojom oznámení vyjadrila názor, že vzhľadom na očakávaný prudký hospodársky pokles v dôsledku pandémie COVID-19 boli splnené podmienky na aktiváciu všeobecnej únikovej doložky. Ministri financií členských štátov 23. marca 2020 vyjadrili súhlas s posúdením Komisie. Všeobecná úniková doložka poskytla členským štátom rozpočtovú flexibilitu na riešenie krízy. Uľahčila koordináciu rozpočtových politík v časoch prudkého hospodárskeho poklesu. Jej aktivácia umožňuje dočasný odklon od postupu úprav smerom k dosiahnutiu strednodobých rozpočtových cieľov jednotlivých členských štátov za predpokladu, že to neohrozí fiškálnu udržateľnosť v strednodobom horizonte. Komisia 17. septembra 2020 vo svojej ročnej stratégii udržateľného rastu oznámila, že všeobecná úniková doložka zostane aktívna aj v roku 2021</w:t>
      </w:r>
      <w:r>
        <w:rPr>
          <w:rStyle w:val="FootnoteReference"/>
          <w:noProof/>
        </w:rPr>
        <w:footnoteReference w:id="4"/>
      </w:r>
      <w:r>
        <w:rPr>
          <w:noProof/>
        </w:rPr>
        <w:t>.</w:t>
      </w:r>
    </w:p>
    <w:p>
      <w:pPr>
        <w:pStyle w:val="ManualConsidrant"/>
        <w:rPr>
          <w:noProof/>
        </w:rPr>
      </w:pPr>
      <w:r>
        <w:t>(2)</w:t>
      </w:r>
      <w:r>
        <w:tab/>
      </w:r>
      <w:r>
        <w:rPr>
          <w:noProof/>
        </w:rPr>
        <w:t>Rada 20. júla 2020 odporučila Grécku</w:t>
      </w:r>
      <w:r>
        <w:rPr>
          <w:rStyle w:val="FootnoteReference"/>
          <w:noProof/>
        </w:rPr>
        <w:footnoteReference w:id="5"/>
      </w:r>
      <w:r>
        <w:rPr>
          <w:noProof/>
        </w:rPr>
        <w:t>, aby v súlade so všeobecnou únikovou doložkou prijalo všetky potrebné opatrenia na účinné riešenie pandémie, posilnenie hospodárstva a podporu následnej obnovy. Zároveň Grécku odporučila, aby – ak to hospodárske podmienky umožňujú – uskutočňovalo fiškálne politiky zamerané na dosiahnutie obozretných strednodobých fiškálnych pozícií a zabezpečenie udržateľnosti dlhovej služby pri súčasnom zvyšovaní miery investícií.</w:t>
      </w:r>
    </w:p>
    <w:p>
      <w:pPr>
        <w:pStyle w:val="ManualConsidrant"/>
        <w:rPr>
          <w:noProof/>
        </w:rPr>
      </w:pPr>
      <w:r>
        <w:t>(3)</w:t>
      </w:r>
      <w:r>
        <w:tab/>
      </w:r>
      <w:r>
        <w:rPr>
          <w:noProof/>
        </w:rPr>
        <w:t>V odporúčaní Rady týkajúcom sa hospodárskej politiky eurozóny sa poukazuje na to, že vo všetkých členských štátoch eurozóny by sa počas celého roku 2021 malo pokračovať v podporných fiškálnych politikách, pričom opatrenia v príslušných oblastiach politiky by mali byť prispôsobené konkrétnej situácii v krajine a mali by byť včasné, dočasné a cielené</w:t>
      </w:r>
      <w:r>
        <w:rPr>
          <w:rStyle w:val="FootnoteReference"/>
          <w:noProof/>
        </w:rPr>
        <w:footnoteReference w:id="6"/>
      </w:r>
      <w:r>
        <w:rPr>
          <w:noProof/>
        </w:rPr>
        <w:t xml:space="preserve">. Keď to epidemiologické a hospodárske podmienky umožnia, mali by sa postupne ukončovať núdzové opatrenia a zároveň by sa mal riešiť sociálny vplyv krízy, ako aj jej vplyv na trh práce. </w:t>
      </w:r>
      <w:r>
        <w:rPr>
          <w:noProof/>
          <w:shd w:val="clear" w:color="auto" w:fill="FFFFFF"/>
        </w:rPr>
        <w:t>Mali by sa realizovať fiškálne politiky zamerané na dosiahnutie obozretných strednodobých fiškálnych pozícií a zabezpečenie udržateľnosti dlhovej služby pri súčasnom zvyšovaní miery investícií.</w:t>
      </w:r>
      <w:r>
        <w:rPr>
          <w:noProof/>
        </w:rPr>
        <w:t xml:space="preserve"> </w:t>
      </w:r>
      <w:r>
        <w:rPr>
          <w:noProof/>
          <w:shd w:val="clear" w:color="auto" w:fill="FFFFFF"/>
        </w:rPr>
        <w:t>Členské štáty by mali uskutočňovať reformy, ktoré posilnia rozsah pokrytia, primeranosť a udržateľnosť systémov zdravotnej starostlivosti a sociálnej ochrany pre všetkých.</w:t>
      </w:r>
    </w:p>
    <w:p>
      <w:pPr>
        <w:pStyle w:val="ManualConsidrant"/>
        <w:rPr>
          <w:noProof/>
        </w:rPr>
      </w:pPr>
      <w:r>
        <w:t>(4)</w:t>
      </w:r>
      <w:r>
        <w:tab/>
      </w:r>
      <w:r>
        <w:rPr>
          <w:noProof/>
        </w:rPr>
        <w:t>Komisia 18. novembra 2020 prijala stanoviská k návrhom rozpočtových plánov členských štátov eurozóny na rok 2021, ktoré boli založené na kvalitatívnom posúdení fiškálnych opatrení. Komisia zastávala názor, že návrh rozpočtového plánu Grécka je celkovo v súlade s odporúčaniami v oblasti fiškálnej politiky, ktoré Rada prijala 20. júla 2020, a že väčšina opatrení zahrnutých do plánu podporuje hospodársku činnosť v kontexte značnej neistoty.</w:t>
      </w:r>
    </w:p>
    <w:p>
      <w:pPr>
        <w:pStyle w:val="ManualConsidrant"/>
        <w:rPr>
          <w:noProof/>
        </w:rPr>
      </w:pPr>
      <w:r>
        <w:t>(5)</w:t>
      </w:r>
      <w:r>
        <w:tab/>
      </w:r>
      <w:r>
        <w:rPr>
          <w:noProof/>
        </w:rPr>
        <w:t>Nástrojom NextGenerationEU vrátane Mechanizmu na podporu obnovy a odolnosti (RRF) sa zabezpečí udržateľná, inkluzívna a spravodlivá obnova. Nariadenie (EÚ) 2021/241, ktorým sa zriaďuje Mechanizmus na podporu obnovy a odolnosti</w:t>
      </w:r>
      <w:r>
        <w:rPr>
          <w:rStyle w:val="FootnoteReference"/>
          <w:noProof/>
        </w:rPr>
        <w:footnoteReference w:id="7"/>
      </w:r>
      <w:r>
        <w:rPr>
          <w:noProof/>
        </w:rPr>
        <w:t>, nadobudlo účinnosť 19. februára 2021. Tento mechanizmus bude poskytovať finančnú podporu na vykonávanie reforiem a investícií, pričom so sebou prinesie fiškálny impulz financovaný EÚ. Prispeje k hospodárskej obnove, vykonávaniu udržateľných reforiem a investícií podporujúcich rast, najmä na podporu zelenej a digitálnej transformácie, a posilní odolnosť hospodárstiev a ich potenciálny rast. Okrem toho prispeje aj k zlepšeniu stavu verejných financií v krátkodobom horizonte a k posilneniu udržateľných verejných financií, rastu a vytváraniu pracovných miest v strednodobom a dlhodobom horizonte.</w:t>
      </w:r>
    </w:p>
    <w:p>
      <w:pPr>
        <w:pStyle w:val="ManualConsidrant"/>
        <w:rPr>
          <w:noProof/>
        </w:rPr>
      </w:pPr>
      <w:r>
        <w:t>(6)</w:t>
      </w:r>
      <w:r>
        <w:tab/>
      </w:r>
      <w:r>
        <w:rPr>
          <w:noProof/>
        </w:rPr>
        <w:t>Komisia 3. marca 2021 prijala oznámenie, v ktorom poskytla ďalšie usmernenia v príslušnej oblasti politiky na uľahčenie koordinácie fiškálnych politík a prípravy programov stability a konvergenčných programov členských štátov</w:t>
      </w:r>
      <w:r>
        <w:rPr>
          <w:rStyle w:val="FootnoteReference"/>
          <w:noProof/>
        </w:rPr>
        <w:footnoteReference w:id="8"/>
      </w:r>
      <w:r>
        <w:rPr>
          <w:noProof/>
        </w:rPr>
        <w:t>. Celkové zámery fiškálnej politiky by vzhľadom na štátne rozpočty a Mechanizmus na podporu obnovy a odolnosti mali v rokoch 2021 a 2022 zostať podporné. Vzhľadom na očakávanú postupnú normalizáciu hospodárskej činnosti v druhej polovici roku 2021 by sa zároveň mali fiškálne politiky členských štátov v roku 2022 viac diferencovať. Fiškálne politiky členských štátov by mali zohľadňovať stav obnovy, fiškálnu udržateľnosť a potrebu znižovať hospodárske, sociálne a územné rozdiely. Keďže v EÚ treba podporovať udržateľnú obnovu, členské štáty, ktoré z hľadiska udržateľnosti čelia menšiemu riziku, by mali svoje rozpočty v roku 2022 orientovať na zachovanie podpornej fiškálnej politiky a zohľadniť v nich vplyv Mechanizmu na podporu obnovy a odolnosti. Členské štáty s vysokou úrovňou zadlženia by mali uskutočňovať obozretné fiškálne politiky a zároveň zachovať investície financované z vnútroštátnych zdrojov a využívať granty v rámci Mechanizmu na podporu obnovy a odolnosti na financovanie dodatočných kvalitných investičných projektov a štrukturálnych reforiem. V období po roku 2022 by fiškálne politiky mali naďalej zohľadňovať silu obnovy, stupeň hospodárskej neistoty a aspekty fiškálnej udržateľnosti. Preorientovanie fiškálnych politík na dosahovanie obozretných strednodobých fiškálnych pozícií, a to aj postupným ukončením podporných opatrení vo vhodnom čase, prispeje k zabezpečeniu fiškálnej udržateľnosti v strednodobom horizonte.</w:t>
      </w:r>
    </w:p>
    <w:p>
      <w:pPr>
        <w:pStyle w:val="ManualConsidrant"/>
        <w:rPr>
          <w:noProof/>
        </w:rPr>
      </w:pPr>
      <w:r>
        <w:t>(7)</w:t>
      </w:r>
      <w:r>
        <w:tab/>
      </w:r>
      <w:r>
        <w:rPr>
          <w:noProof/>
        </w:rPr>
        <w:t>V oznámení z 3. marca 2021 bol uvedený aj názor Komisie, že rozhodnutie o deaktivácii alebo pokračovaní v uplatňovaní všeobecnej únikovej doložky by sa malo prijať po celkovom posúdení stavu hospodárstva, pričom kľúčovým kvantitatívnym kritériom by mala byť úroveň hospodárskej činnosti v EÚ alebo eurozóne v porovnaní s predkrízovými úrovňami (z konca roku 2019). Na základe prognózy Komisie z jari 2021 Komisia 2. júna usúdila, že podmienky na pokračovanie v uplatňovaní všeobecnej únikovej doložky v roku 2022 a jej deaktiváciu v roku 2023 boli splnené. Situácia v jednotlivých krajinách sa bude zohľadňovať aj po deaktivácii všeobecnej únikovej doložky</w:t>
      </w:r>
      <w:r>
        <w:rPr>
          <w:rStyle w:val="FootnoteReference"/>
          <w:noProof/>
        </w:rPr>
        <w:footnoteReference w:id="9"/>
      </w:r>
      <w:r>
        <w:rPr>
          <w:noProof/>
        </w:rPr>
        <w:t>.</w:t>
      </w:r>
    </w:p>
    <w:p>
      <w:pPr>
        <w:pStyle w:val="ManualConsidrant"/>
        <w:rPr>
          <w:noProof/>
          <w:sz w:val="22"/>
        </w:rPr>
      </w:pPr>
      <w:r>
        <w:t>(8)</w:t>
      </w:r>
      <w:r>
        <w:tab/>
      </w:r>
      <w:r>
        <w:rPr>
          <w:noProof/>
        </w:rPr>
        <w:t>V nadväznosti na úspešné ukončenie programu finančnej pomoci v rámci Európskeho mechanizmu pre stabilitu v roku 2018 podlieha Grécko sprísnenému dohľadu v súlade s nariadením (EÚ) č. 472/2013. Aktiváciou sprísneného dohľadu pre Grécko</w:t>
      </w:r>
      <w:r>
        <w:rPr>
          <w:rStyle w:val="FootnoteReference"/>
          <w:noProof/>
        </w:rPr>
        <w:footnoteReference w:id="10"/>
      </w:r>
      <w:r>
        <w:rPr>
          <w:noProof/>
        </w:rPr>
        <w:t xml:space="preserve"> sa potvrdzuje skutočnosť, že v strednodobom horizonte musí Grécko pokračovať v prijímaní opatrení na odstránenie potenciálnych zdrojov makroekonomických nerovnováh a zároveň uskutočňovať štrukturálne reformy na podporu solídneho a udržateľného hospodárskeho rastu. Grécko prijalo na zasadnutí Euroskupiny 22. júna 2018 záväzok pokračovať vo všetkých hlavných reformách prijatých na základe programu až do ich úplného dokončenia. Takisto sa zaviazalo, že vykoná osobitné opatrenia týkajúce sa fiškálnych a fiškálno-štrukturálnych politík, sociálneho zabezpečenia, finančnej stability, trhu práce a trhu s výrobkami, privatizácie, fungovania justičného systému, verejnej správy a boja proti korupcii. Tieto štrukturálne reformy majú pre Grécko z pohľadu oživenia jeho hospodárstva čoraz väčší význam. Úspešné vykonávanie a dokončenie týchto reforiem by malo významne prispieť k podpore rastu Grécka v strednodobom i dlhodobom horizonte. Na Grécko sa vzťahuje povinnosť predkladať každý štvrťrok správy o pokroku dosiahnutom pri plnení svojich záväzkov v rámci sprísneného dohľadu. Priaznivá správa môže – na polročnom základe – byť základom pre uvoľnenie opatrení v oblasti dlhovej úľavy v hodnote 0,7 % HDP ročne. Euroskupina odsúhlasila uvoľnenie prvých štyroch platieb v súvislosti s politicky podmienenými dlhovými opatreniami v celkovej výške 3 252 miliónov EUR, a to na zasadnutiach v apríli 2019, decembri 2019, júni 2020 a novembri 2020. Desiata správa o sprísnenom dohľade, v ktorej sa posudzuje pokrok Grécka dosiahnutý pri plnení jeho záväzkov, bola uverejnená 2. júna 2021.</w:t>
      </w:r>
    </w:p>
    <w:p>
      <w:pPr>
        <w:pStyle w:val="ManualConsidrant"/>
        <w:rPr>
          <w:noProof/>
        </w:rPr>
      </w:pPr>
      <w:r>
        <w:t>(9)</w:t>
      </w:r>
      <w:r>
        <w:tab/>
      </w:r>
      <w:r>
        <w:rPr>
          <w:noProof/>
        </w:rPr>
        <w:t>Grécko predložilo 29. apríla 2021 svoj program stability na rok 2021 v súlade s článkom 4 nariadenia (ES) č. 1466/97.</w:t>
      </w:r>
    </w:p>
    <w:p>
      <w:pPr>
        <w:pStyle w:val="ManualConsidrant"/>
        <w:rPr>
          <w:noProof/>
        </w:rPr>
      </w:pPr>
      <w:r>
        <w:t>(10)</w:t>
      </w:r>
      <w:r>
        <w:tab/>
      </w:r>
      <w:r>
        <w:rPr>
          <w:noProof/>
        </w:rPr>
        <w:t>Na základe údajov overených Eurostatom bol v roku 2020 deficit verejných financií Grécka na úrovni 9,7 % HDP, zatiaľ čo verejný dlh sa zvýšil na 205,6 % HDP. Ročná zmena primárneho rozpočtového salda dosiahla 11,3 % HDP, a to vrátane diskrečných rozpočtových opatrení vo výške 5,9 % HDP na podporu hospodárstva a vrátane fungovania automatických stabilizátorov. Grécko takisto poskytlo spoločnostiam a domácnostiam podporu likvidity (ako napríklad záruky a odklady platenia daní, čo nemá priamy a okamžitý vplyv na rozpočet) až dovtedy, kým nedôjde k uplatneniu záruk, v odhadovanom objeme 2,2 % HDP.</w:t>
      </w:r>
    </w:p>
    <w:p>
      <w:pPr>
        <w:pStyle w:val="Text1"/>
        <w:ind w:left="709"/>
        <w:rPr>
          <w:noProof/>
        </w:rPr>
      </w:pPr>
      <w:r>
        <w:rPr>
          <w:noProof/>
        </w:rPr>
        <w:t>Komisia 2. júna 2021 vydala správu podľa článku 126 ods. 3 ZFEÚ. Táto správa sa zaoberá rozpočtovou situáciou Grécka, keďže jeho deficit verejných financií v roku 2020 presiahol referenčnú hodnotu 3 % HDP stanovenú v zmluve, pričom jeho verejný dlh presiahol referenčnú hodnotu 60 % HDP stanovenú v zmluve a neznižoval sa uspokojivým tempom. V správe sa konštatovalo, že nebolo dodržané kritérium deficitu ani dlhové kritérium.</w:t>
      </w:r>
    </w:p>
    <w:p>
      <w:pPr>
        <w:pStyle w:val="ManualConsidrant"/>
        <w:rPr>
          <w:noProof/>
          <w:szCs w:val="24"/>
        </w:rPr>
      </w:pPr>
      <w:r>
        <w:t>(11)</w:t>
      </w:r>
      <w:r>
        <w:tab/>
      </w:r>
      <w:r>
        <w:rPr>
          <w:noProof/>
        </w:rPr>
        <w:t>Makroekonomický scenár, z ktorého vychádzajú rozpočtové prognózy programu stability, je na rok 2021 opatrný a očakáva sa v ňom, že rast reálneho HDP bude približne o 0,5 percentuálneho bodu nižší, než sa uvádza v prognóze Komisie z jari 2021. Tento rozdiel je spôsobený odlišnými predpokladmi, pokiaľ ide o vývoj pandémie, čerpanie finančných prostriedkov v rámci Mechanizmu na podporu obnovy a odolnosti a tempo obnovy v sektore cestového ruchu. Makroekonomické projekcie v rámci programu stability na rok 2022 sú úzko zosúladené s prognózou Komisie z jari 2021.</w:t>
      </w:r>
    </w:p>
    <w:p>
      <w:pPr>
        <w:pStyle w:val="ManualConsidrant"/>
        <w:rPr>
          <w:noProof/>
        </w:rPr>
      </w:pPr>
      <w:r>
        <w:t>(12)</w:t>
      </w:r>
      <w:r>
        <w:tab/>
      </w:r>
      <w:r>
        <w:rPr>
          <w:noProof/>
        </w:rPr>
        <w:t>Vláda vo svojom programe stability na rok 2021 plánuje zvýšenie deficitu verejných financií z 9,7 % HDP v roku 2020 na 9,9 % HDP v roku 2021, pričom miera zadlženosti by sa mala v roku 2021 znížiť na 204,8 % HDP. Zníženie primárneho rozpočtového salda v roku 2021 v porovnaní s úrovňou pred krízou (2019) má podľa programu dosiahnuť 11,7 % HDP, pod čo sa podpísali diskrečné rozpočtové opatrenia vo výške 6,4 % HDP na podporu hospodárstva a fungovanie automatických stabilizátorov. Projekcie deficitu verejných financií sú v súlade s prognózou Komisie z jari 2021. Pokiaľ ide o mieru zadlženosti, projekcie prezentované v programe stability sú nižšie než tie, ktoré sú uvedené v prognóze Komisie z jari 2021 a v ktorých sa očakáva, že miera zadlženosti dosiahne 208,8 % HDP. Tento rozdiel je odzrkadlením odlišných predpokladov v oblasti výnosov z privatizácie, čistej akumulácie finančných aktív a úprav vyplývajúcich z rozdielov medzi hotovostným a akruálnym účtovníctvom.</w:t>
      </w:r>
    </w:p>
    <w:p>
      <w:pPr>
        <w:pStyle w:val="ManualConsidrant"/>
        <w:rPr>
          <w:noProof/>
        </w:rPr>
      </w:pPr>
      <w:r>
        <w:t>(13)</w:t>
      </w:r>
      <w:r>
        <w:tab/>
      </w:r>
      <w:r>
        <w:rPr>
          <w:noProof/>
        </w:rPr>
        <w:t>Grécko prijalo v reakcii na pandémiu COVID-19 a súvisiaci hospodársky pokles rozpočtové opatrenia na posilnenie kapacity svojho systému zdravotnej starostlivosti, zamedzenie šírenia pandémie a poskytnutie pomoci tým osobám a odvetviam, ktoré boli obzvlášť zasiahnuté. Táto rázna reakcia v príslušnej oblasti politiky zmiernila pokles HDP, čo zase pribrzdilo nárast deficitu verejných financií a verejného dlhu. Fiškálne opatrenia by mali maximalizovať podporu obnovy bez toho, aby obmedzovali budúce fiškálne trajektórie. Opatrenia by preto nemali trvalo zaťažiť verejné financie. Ak členské štáty zavedú trvalé opatrenia, mali by ich riadne financovať, aby bola v strednodobom horizonte zabezpečená rozpočtová neutralita. Opatrenia, ktoré Grécko prijalo v rokoch 2020 a 2021, sú v súlade s odporúčaním Rady z 20. júla 2020. Diskrečné rozpočtové opatrenia, ktoré vláda prijala v rokoch 2020 a 2021, ako aj tie, ktoré oznámila na rok 2022, sú dočasné alebo vyvážené kompenzačnými opatreniami.</w:t>
      </w:r>
    </w:p>
    <w:p>
      <w:pPr>
        <w:pStyle w:val="ManualConsidrant"/>
        <w:rPr>
          <w:noProof/>
        </w:rPr>
      </w:pPr>
      <w:r>
        <w:t>(14)</w:t>
      </w:r>
      <w:r>
        <w:tab/>
      </w:r>
      <w:r>
        <w:rPr>
          <w:noProof/>
        </w:rPr>
        <w:t>V programe stability na rok 2021 sa predpokladajú investície a reformy financované z grantov v rámci Mechanizmu na podporu obnovy a odolnosti vo výške 0,9 % HDP v roku 2021, 1,7 % HDP v roku 2022, 1,6 % HDP v roku 2023, 1,6 % HDP v roku 2024, 1,5 % HDP v roku 2025 a 1,5 % HDP v roku 2026. V programe sa predpokladajú aj úvery v rámci Mechanizmu na podporu obnovy a odolnosti vo výške 1,4 % HDP v roku 2021, 1,4 % HDP v roku 2022, 1,1 % HDP v roku 2024, 1,1 % HDP v roku 2025 a 0,5 % HDP v roku 2026. V rámci jarnej prognózy Komisie sú tieto granty zahrnuté do rozpočtových projekcií, zatiaľ čo pri úveroch sa na rok 2022 predpokladá nižšia suma na základe jednotného ročného vyplácania po roku 2021.</w:t>
      </w:r>
    </w:p>
    <w:p>
      <w:pPr>
        <w:pStyle w:val="ManualConsidrant"/>
        <w:rPr>
          <w:noProof/>
        </w:rPr>
      </w:pPr>
      <w:r>
        <w:t>(15)</w:t>
      </w:r>
      <w:r>
        <w:tab/>
      </w:r>
      <w:r>
        <w:rPr>
          <w:noProof/>
        </w:rPr>
        <w:t>Stanovené ukazovatele fiškálnej úpravy uvedené v nariadení (ES) č. 1466/97 treba zvážiť v kontexte súčasných okolností. Po prvé, s odhadmi produkčnej medzery sa spája značná neistota. Po druhé, je potrebné, aby fiškálna politika bola pripravená rýchlo sa prispôsobiť vývoju pandémie a aby sa po zmiernení zdravotných rizík presunula od núdzovej pomoci k cielenejším opatreniam. Po tretie, súčasný kontext sa vyznačuje významnou reakciou v príslušnej oblasti politiky s cieľom podporiť hospodársku činnosť. Vzhľadom na značné transfery z rozpočtu EÚ (napríklad z Mechanizmu na podporu obnovy a odolnosti) nezachytávajú stanovené ukazovatele celý impulz, ktorý hospodárstvu poskytujú fiškálne politiky. Štrukturálne saldo sa preto za súčasných okolností nejaví ako primeraný ukazovateľ. Referenčnú hodnotu pre výdavky zase treba prispôsobiť</w:t>
      </w:r>
      <w:r>
        <w:rPr>
          <w:rStyle w:val="FootnoteReference"/>
          <w:noProof/>
        </w:rPr>
        <w:footnoteReference w:id="11"/>
      </w:r>
      <w:r>
        <w:rPr>
          <w:noProof/>
        </w:rPr>
        <w:t xml:space="preserve"> a doplniť o dodatočné informácie, aby bolo možné v plnej miere posúdiť orientáciu fiškálnej politiky.</w:t>
      </w:r>
    </w:p>
    <w:p>
      <w:pPr>
        <w:pStyle w:val="Text1"/>
        <w:ind w:left="720"/>
        <w:rPr>
          <w:noProof/>
        </w:rPr>
      </w:pPr>
      <w:r>
        <w:rPr>
          <w:noProof/>
        </w:rPr>
        <w:t>Po prvé – a podobne ako pri posudzovaní návrhov rozpočtových plánov na rok 2021 – boli z celkových výdavkov vylúčené dočasné núdzové opatrenia. Tieto dočasné núdzové opatrenia súvisiace s krízou slúžia na podporu systémov zdravotnej starostlivosti a odškodnenie pracovníkov a podnikov za straty príjmov v dôsledku obmedzení pohybu a narušení dodávateľského reťazca; ich zrušenie zo strany verejných orgánov je podmienené návratom situácie v oblasti verejného zdravia a hospodárskej situácie do normálneho stavu.</w:t>
      </w:r>
    </w:p>
    <w:p>
      <w:pPr>
        <w:pStyle w:val="Text1"/>
        <w:ind w:left="709"/>
        <w:rPr>
          <w:noProof/>
        </w:rPr>
      </w:pPr>
      <w:r>
        <w:rPr>
          <w:noProof/>
        </w:rPr>
        <w:t>Po druhé, na posúdenie celkových zámerov fiškálnej politiky v súčasnej situácii by sa do príslušných celkových výdavkov mali zahrnúť značné transfery z rozpočtu EÚ (napríklad z Mechanizmu na podporu obnovy a odolnosti).</w:t>
      </w:r>
    </w:p>
    <w:p>
      <w:pPr>
        <w:pStyle w:val="Text1"/>
        <w:ind w:left="709"/>
        <w:rPr>
          <w:noProof/>
        </w:rPr>
      </w:pPr>
      <w:r>
        <w:rPr>
          <w:noProof/>
        </w:rPr>
        <w:t>Zámery fiškálnej politiky sa preto následne merajú na základe zmeny primárnych výdavkov (bez diskrečných príjmových opatrení a bez dočasných núdzových opatrení súvisiacich s krízou) vrátane výdavkov financovaných z grantov v rámci Mechanizmu na podporu obnovy a odolnosti a iných fondov EÚ.</w:t>
      </w:r>
    </w:p>
    <w:p>
      <w:pPr>
        <w:pStyle w:val="Text1"/>
        <w:ind w:left="709"/>
        <w:rPr>
          <w:noProof/>
        </w:rPr>
      </w:pPr>
      <w:r>
        <w:rPr>
          <w:noProof/>
        </w:rPr>
        <w:t>Nad rámec celkových zámerov fiškálnej politiky sa analýza zameriava aj na posúdenie toho, či je vnútroštátna fiškálna politika obozretná a či jej zloženie prispieva k udržateľnej obnove v súlade so zelenou a digitálnou transformáciou. Preto sa osobitná pozornosť venuje vývoju primárnych bežných výdavkov a investícií financovaných z vnútroštátnych zdrojov.</w:t>
      </w:r>
    </w:p>
    <w:p>
      <w:pPr>
        <w:pStyle w:val="ManualConsidrant"/>
        <w:rPr>
          <w:noProof/>
        </w:rPr>
      </w:pPr>
      <w:r>
        <w:t>(16)</w:t>
      </w:r>
      <w:r>
        <w:tab/>
      </w:r>
      <w:r>
        <w:rPr>
          <w:noProof/>
        </w:rPr>
        <w:t>V programe stability na rok 2021 sa predpokladá, že deficit verejných financií Grécka v roku 2022 klesne na 2,9 % HDP, a to najmä v dôsledku očakávanej hospodárskej obnovy a ukončenia dočasných podporných opatrení prijatých v rokoch 2020 a 2021. Predpokladá sa, že miera zadlženosti verejnej správy v roku 2022 klesne na úroveň 189,5 % HDP. Projekcie deficitu verejných financií sú v súlade s prognózou Komisie z jari 2021. Pokiaľ ide o mieru zadlženosti, projekcie prezentované v programe stability sú nižšie než tie, ktoré sú uvedené v prognóze Komisie z jari 2021. Tento rozdiel vyplýva z odlišných predpokladov v oblasti hotovostného salda, výnosov z privatizácie a čistej akumulácie finančných aktív.</w:t>
      </w:r>
    </w:p>
    <w:p>
      <w:pPr>
        <w:pStyle w:val="Text1"/>
        <w:ind w:left="720"/>
        <w:rPr>
          <w:noProof/>
        </w:rPr>
      </w:pPr>
      <w:r>
        <w:rPr>
          <w:noProof/>
        </w:rPr>
        <w:t>Na základe prognózy Komisie sa celkové zámery fiškálnej politiky, ako sú vymedzené vyššie, odhadujú na –2,4 % HDP</w:t>
      </w:r>
      <w:r>
        <w:rPr>
          <w:rStyle w:val="FootnoteReference"/>
          <w:noProof/>
          <w:szCs w:val="24"/>
        </w:rPr>
        <w:footnoteReference w:id="12"/>
      </w:r>
      <w:r>
        <w:rPr>
          <w:noProof/>
        </w:rPr>
        <w:t xml:space="preserve"> – a to vrátane vplyvu investícií financovaných zo štátneho rozpočtu aj z rozpočtu EÚ, najmä z Mechanizmu na podporu obnovy a odolnosti, na celkový dopyt v roku 2022. Kladný príspevok výdavkov financovaných z grantov v rámci Mechanizmu na podporu obnovy a odolnosti a iných fondov EÚ má poskytnúť zvýšenie o 0,3 percentuálneho bodu HDP. Predpokladá sa, že investície financované z vnútroštátnych zdrojov budú predstavovať expanzívny príspevok vo výške 0,9 percentuálneho bodu HDP</w:t>
      </w:r>
      <w:r>
        <w:rPr>
          <w:rStyle w:val="FootnoteReference"/>
          <w:noProof/>
          <w:lang w:eastAsia="en-GB"/>
        </w:rPr>
        <w:footnoteReference w:id="13"/>
      </w:r>
      <w:r>
        <w:rPr>
          <w:noProof/>
        </w:rPr>
        <w:t>. Predpokladá sa, že primárne bežné výdavky financované z vnútroštátnych zdrojov (bez diskrečných príjmových opatrení) budú predstavovať expanzívny príspevok vo výške 0,3 percentuálneho bodu HDP.</w:t>
      </w:r>
    </w:p>
    <w:p>
      <w:pPr>
        <w:pStyle w:val="ManualConsidrant"/>
        <w:rPr>
          <w:noProof/>
        </w:rPr>
      </w:pPr>
      <w:r>
        <w:t>(17)</w:t>
      </w:r>
      <w:r>
        <w:tab/>
      </w:r>
      <w:r>
        <w:rPr>
          <w:noProof/>
        </w:rPr>
        <w:t>Zdá sa, že mimoriadne dôležitá je kvalita rozpočtových opatrení členských štátov. Fiškálne štrukturálne reformy zamerané na zlepšenie zloženia štátnych rozpočtov môžu podporiť potenciálny rast, vytvoriť veľmi potrebný fiškálny priestor a pomôcť zabezpečiť fiškálnu udržateľnosť v dlhodobom horizonte, a to aj vzhľadom na zmenu klímy a zdravotné výzvy. Na strane príjmov zvýšila kríza spôsobená pandémiou COVID-19 význam reforiem zameraných na efektívnejšie a spravodlivejšie systémy verejných príjmov. Na strane výdavkov ešte viac podčiarkla zásadný význam toho, aby sa zvýšila úroveň a kvalita udržateľných investícií podporujúcich rast, ktoré prispievajú k plneniu cieľov zvýšenia rastového potenciálu, hospodárskej a sociálnej odolnosti a dvojakej, zelenej a digitálnej transformácie. Plány obnovy a odolnosti umožnia zlepšiť zloženie štátnych rozpočtov.</w:t>
      </w:r>
    </w:p>
    <w:p>
      <w:pPr>
        <w:pStyle w:val="ManualConsidrant"/>
        <w:rPr>
          <w:noProof/>
        </w:rPr>
      </w:pPr>
      <w:r>
        <w:t>(18)</w:t>
      </w:r>
      <w:r>
        <w:tab/>
      </w:r>
      <w:r>
        <w:rPr>
          <w:noProof/>
        </w:rPr>
        <w:t>Podľa strednodobých rozpočtových plánov programu sa predpokladá, že deficit verejných financií v roku 2023 dosiahne 0,4 % HDP a v roku 2024 sa zmení na prebytok vo výške 0,6 % HDP.</w:t>
      </w:r>
    </w:p>
    <w:p>
      <w:pPr>
        <w:pStyle w:val="Text1"/>
        <w:ind w:left="720"/>
        <w:rPr>
          <w:rFonts w:eastAsia="Times New Roman"/>
          <w:noProof/>
        </w:rPr>
      </w:pPr>
      <w:r>
        <w:rPr>
          <w:noProof/>
        </w:rPr>
        <w:t>Na základe programu sa celkové zámery fiškálnej politiky – vrátane vplyvu investícií financovaných zo štátneho rozpočtu aj z rozpočtu EÚ, najmä z Mechanizmu na podporu obnovy a odolnosti, na celkový dopyt – v rokoch 2023 a 2024 odhadujú v priemere na 0,6 % HDP</w:t>
      </w:r>
      <w:r>
        <w:rPr>
          <w:rStyle w:val="FootnoteReference"/>
          <w:noProof/>
          <w:szCs w:val="24"/>
        </w:rPr>
        <w:footnoteReference w:id="14"/>
      </w:r>
      <w:r>
        <w:rPr>
          <w:noProof/>
        </w:rPr>
        <w:t>. Kladný príspevok výdavkov financovaných z grantov v rámci Mechanizmu na podporu obnovy a odolnosti a iných fondov EÚ sa má znížiť o 0,1 percentuálneho bodu HDP. Investície financované z vnútroštátnych zdrojov</w:t>
      </w:r>
      <w:r>
        <w:rPr>
          <w:noProof/>
          <w:color w:val="FF0000"/>
        </w:rPr>
        <w:t xml:space="preserve"> </w:t>
      </w:r>
      <w:r>
        <w:rPr>
          <w:noProof/>
        </w:rPr>
        <w:t>majú predstavovať neutrálny príspevok</w:t>
      </w:r>
      <w:r>
        <w:rPr>
          <w:rStyle w:val="FootnoteReference"/>
          <w:rFonts w:eastAsia="Times New Roman"/>
          <w:noProof/>
          <w:szCs w:val="24"/>
          <w:lang w:eastAsia="en-GB"/>
        </w:rPr>
        <w:footnoteReference w:id="15"/>
      </w:r>
      <w:r>
        <w:rPr>
          <w:noProof/>
        </w:rPr>
        <w:t>. Predpokladá sa, že primárne bežné výdavky financované z vnútroštátnych zdrojov (bez diskrečných príjmových opatrení) budú predstavovať reštriktívny príspevok vo výške 0,6 percentuálneho bodu HDP.</w:t>
      </w:r>
    </w:p>
    <w:p>
      <w:pPr>
        <w:pStyle w:val="Text1"/>
        <w:ind w:left="720"/>
        <w:rPr>
          <w:noProof/>
        </w:rPr>
      </w:pPr>
      <w:r>
        <w:rPr>
          <w:noProof/>
        </w:rPr>
        <w:t>Desaťročný priemerný nominálny potenciálny rast sa v súčasnosti odhaduje na 1,25 %</w:t>
      </w:r>
      <w:r>
        <w:rPr>
          <w:rStyle w:val="FootnoteReference"/>
          <w:noProof/>
        </w:rPr>
        <w:footnoteReference w:id="16"/>
      </w:r>
      <w:r>
        <w:rPr>
          <w:noProof/>
        </w:rPr>
        <w:t>. Tento odhad však nepočíta s vplyvom reforiem, ktoré sú súčasťou plánu obnovy a odolnosti a môžu posilniť potenciálny rast Grécka.</w:t>
      </w:r>
    </w:p>
    <w:p>
      <w:pPr>
        <w:pStyle w:val="ManualConsidrant"/>
        <w:rPr>
          <w:rFonts w:eastAsia="Calibri"/>
          <w:noProof/>
        </w:rPr>
      </w:pPr>
      <w:r>
        <w:t>(19)</w:t>
      </w:r>
      <w:r>
        <w:tab/>
      </w:r>
      <w:r>
        <w:rPr>
          <w:noProof/>
        </w:rPr>
        <w:t>Predpokladá sa, že miera zadlženosti verejnej správy klesne zo 176,7 % HDP v roku 2023 na 166,1 % HDP v roku 2024. Vzhľadom na vysokú mieru zadlženosti, ktorá má časom len postupne klesať, možno konštatovať, že Grécko čelí v strednodobom horizonte vysokým rizikám v oblasti fiškálnej udržateľnosti, ako vyplynulo z najnovšej analýzy udržateľnosti dlhovej služby</w:t>
      </w:r>
      <w:r>
        <w:rPr>
          <w:rStyle w:val="FootnoteReference"/>
          <w:noProof/>
          <w:szCs w:val="24"/>
          <w:lang w:eastAsia="en-GB"/>
        </w:rPr>
        <w:footnoteReference w:id="17"/>
      </w:r>
      <w:r>
        <w:rPr>
          <w:noProof/>
        </w:rPr>
        <w:t>. V desiatej správe o sprísnenom dohľade sa uvádzajú ďalšie faktory, ktoré sú relevantné pre celkové posúdenie udržateľnosti dlhovej služby, konkrétne že zloženie verejného dlhu a jeho profil splatnosti sú pre zraniteľné miesta v oblasti dlhu zmierňujúcim faktorom, zatiaľ čo podmienené záväzky sú dodatočným rizikom.</w:t>
      </w:r>
    </w:p>
    <w:p>
      <w:pPr>
        <w:pStyle w:val="ManualConsidrant"/>
        <w:rPr>
          <w:noProof/>
        </w:rPr>
      </w:pPr>
      <w:r>
        <w:t>(20)</w:t>
      </w:r>
      <w:r>
        <w:tab/>
      </w:r>
      <w:r>
        <w:rPr>
          <w:noProof/>
        </w:rPr>
        <w:t>Vzhľadom na súčasný stále mimoriadne vysoký stupeň neistoty by usmernenie v oblasti fiškálnej politiky malo zostať prevažne kvalitatívne. Presnejšie kvantifikované usmernenie na ďalšie roky by sa malo poskytnúť v roku 2022, ak sa dovtedy stupeň neistoty uspokojivo zníži.</w:t>
      </w:r>
    </w:p>
    <w:p>
      <w:pPr>
        <w:pStyle w:val="Text1"/>
        <w:ind w:left="720"/>
        <w:rPr>
          <w:noProof/>
        </w:rPr>
      </w:pPr>
      <w:r>
        <w:rPr>
          <w:noProof/>
        </w:rPr>
        <w:t>Rada posúdila program stability na rok 2021 a následné opatrenia prijaté Gréckom v nadväznosti na odporúčanie Rady z 20. júla 2020,</w:t>
      </w:r>
    </w:p>
    <w:p>
      <w:pPr>
        <w:pStyle w:val="Formuledadoption"/>
        <w:rPr>
          <w:noProof/>
          <w:shd w:val="clear" w:color="auto" w:fill="FFFFFF"/>
        </w:rPr>
      </w:pPr>
      <w:r>
        <w:rPr>
          <w:noProof/>
          <w:shd w:val="clear" w:color="auto" w:fill="FFFFFF"/>
        </w:rPr>
        <w:t>TÝMTO ODPORÚČA GRÉCKU:</w:t>
      </w:r>
    </w:p>
    <w:p>
      <w:pPr>
        <w:pStyle w:val="ManualNumPar1"/>
        <w:rPr>
          <w:noProof/>
        </w:rPr>
      </w:pPr>
      <w:r>
        <w:t>1.</w:t>
      </w:r>
      <w:r>
        <w:tab/>
      </w:r>
      <w:r>
        <w:rPr>
          <w:noProof/>
        </w:rPr>
        <w:t>Využiť v roku 2022 Mechanizmus na podporu obnovy a odolnosti na financovanie dodatočných investícií na podporu obnovy a zároveň uskutočňovať obozretnú fiškálnu politiku. Zachovať investície financované z vnútroštátnych zdrojov.</w:t>
      </w:r>
    </w:p>
    <w:p>
      <w:pPr>
        <w:pStyle w:val="ManualNumPar1"/>
        <w:rPr>
          <w:noProof/>
        </w:rPr>
      </w:pPr>
      <w:r>
        <w:t>2.</w:t>
      </w:r>
      <w:r>
        <w:tab/>
      </w:r>
      <w:r>
        <w:rPr>
          <w:noProof/>
        </w:rPr>
        <w:t>Keď to hospodárske podmienky umožnia, uskutočňovať fiškálnu politiku zameranú na dosiahnutie obozretných strednodobých fiškálnych pozícií a zabezpečenie fiškálnej udržateľnosti v strednodobom horizonte. Zároveň zvýšiť investície s cieľom posilniť rastový potenciál.</w:t>
      </w:r>
    </w:p>
    <w:p>
      <w:pPr>
        <w:pStyle w:val="ManualNumPar1"/>
        <w:rPr>
          <w:noProof/>
        </w:rPr>
      </w:pPr>
      <w:r>
        <w:t>3.</w:t>
      </w:r>
      <w:r>
        <w:tab/>
      </w:r>
      <w:r>
        <w:rPr>
          <w:noProof/>
        </w:rPr>
        <w:t>V záujme zabezpečenia udržateľnej a inkluzívnej obnovy venovať osobitnú pozornosť zloženiu verejných financií na strane príjmov aj na strane výdavkov rozpočtu, ako aj kvalite rozpočtových opatrení. Uprednostňovať udržateľné investície podporujúce rast, najmä s cieľom podporiť zelenú a digitálnu transformáciu. Uprednostňovať fiškálne štrukturálne reformy, ktoré pomôžu zabezpečiť financovanie priorít verejnej politiky a prispejú k dlhodobej udržateľnosti verejných financií, a to aj posilnením rozsahu pokrytia, primeranosti a udržateľnosti systémov zdravotnej starostlivosti a sociálnej ochrany pre všetkých.</w:t>
      </w:r>
    </w:p>
    <w:p>
      <w:pPr>
        <w:pStyle w:val="Fait"/>
        <w:rPr>
          <w:noProof/>
        </w:rPr>
      </w:pPr>
      <w:r>
        <w:t>V Bruseli</w:t>
      </w:r>
    </w:p>
    <w:p>
      <w:pPr>
        <w:pStyle w:val="Institutionquisigne"/>
        <w:rPr>
          <w:noProof/>
        </w:rPr>
      </w:pPr>
      <w:r>
        <w:rPr>
          <w:noProof/>
        </w:rPr>
        <w:tab/>
        <w:t>Za Radu</w:t>
      </w:r>
    </w:p>
    <w:p>
      <w:pPr>
        <w:pStyle w:val="Personnequisigne"/>
        <w:keepNext/>
        <w:rPr>
          <w:noProof/>
        </w:rPr>
      </w:pPr>
      <w:r>
        <w:rPr>
          <w:noProof/>
        </w:rPr>
        <w:tab/>
        <w:t>predseda</w:t>
      </w:r>
    </w:p>
    <w:p>
      <w:pPr>
        <w:pStyle w:val="Personnequisigne"/>
        <w:rPr>
          <w:noProof/>
        </w:rPr>
      </w:pPr>
    </w:p>
    <w:sectPr>
      <w:footerReference w:type="default" r:id="rId11"/>
      <w:footerReference w:type="first" r:id="rId1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SK</w:t>
    </w:r>
    <w:r>
      <w:rPr>
        <w:rFonts w:ascii="Arial" w:hAnsi="Arial" w:cs="Arial"/>
        <w:b/>
        <w:sz w:val="48"/>
      </w:rPr>
      <w:tab/>
    </w:r>
    <w:r>
      <w:rPr>
        <w:rFonts w:ascii="Arial" w:hAnsi="Arial" w:cs="Arial"/>
        <w:b/>
        <w:sz w:val="48"/>
      </w:rPr>
      <w:tab/>
    </w:r>
    <w:r>
      <w:tab/>
    </w:r>
    <w:r>
      <w:rPr>
        <w:rFonts w:ascii="Arial" w:hAnsi="Arial" w:cs="Arial"/>
        <w:b/>
        <w:sz w:val="48"/>
      </w:rPr>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SK</w:t>
    </w:r>
    <w:r>
      <w:rPr>
        <w:rFonts w:ascii="Arial" w:hAnsi="Arial" w:cs="Arial"/>
        <w:b/>
        <w:sz w:val="48"/>
      </w:rPr>
      <w:tab/>
    </w:r>
    <w:r>
      <w:fldChar w:fldCharType="begin"/>
    </w:r>
    <w:r>
      <w:instrText xml:space="preserve"> PAGE  \* MERGEFORMAT </w:instrText>
    </w:r>
    <w:r>
      <w:fldChar w:fldCharType="separate"/>
    </w:r>
    <w:r>
      <w:rPr>
        <w:noProof/>
      </w:rPr>
      <w:t>7</w:t>
    </w:r>
    <w:r>
      <w:fldChar w:fldCharType="end"/>
    </w:r>
    <w:r>
      <w:tab/>
    </w:r>
    <w:r>
      <w:tab/>
    </w:r>
    <w:r>
      <w:rPr>
        <w:rFonts w:ascii="Arial" w:hAnsi="Arial" w:cs="Arial"/>
        <w:b/>
        <w:sz w:val="48"/>
      </w:rPr>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
      </w:pPr>
      <w:r>
        <w:rPr>
          <w:rStyle w:val="FootnoteReference"/>
        </w:rPr>
        <w:footnoteRef/>
      </w:r>
      <w:r>
        <w:tab/>
        <w:t>Ú. v. ES L 209, 2.8.1997, s. 1.</w:t>
      </w:r>
    </w:p>
  </w:footnote>
  <w:footnote w:id="2">
    <w:p>
      <w:pPr>
        <w:pStyle w:val="Footnote"/>
      </w:pPr>
      <w:r>
        <w:rPr>
          <w:rStyle w:val="FootnoteReference"/>
        </w:rPr>
        <w:footnoteRef/>
      </w:r>
      <w:r>
        <w:tab/>
        <w:t>Doložka uvedená v článku 5 ods. 1, článku 6 ods. 3, článku 9 ods. 1 a článku 10 ods. 3 nariadenia (ES) č. 1466/97 a v článku 3 ods. 5 a článku 5 ods. 2 nariadenia (ES) č. 1467/97 uľahčuje koordináciu rozpočtových politík v časoch prudkého hospodárskeho poklesu.</w:t>
      </w:r>
    </w:p>
  </w:footnote>
  <w:footnote w:id="3">
    <w:p>
      <w:pPr>
        <w:pStyle w:val="Footnote"/>
      </w:pPr>
      <w:r>
        <w:rPr>
          <w:rStyle w:val="FootnoteReference"/>
        </w:rPr>
        <w:footnoteRef/>
      </w:r>
      <w:r>
        <w:tab/>
        <w:t>Oznámenie Komisie Rade o aktivácii všeobecnej únikovej doložky Paktu stability a rastu, Brusel, 20. 3. 2020, COM(2020) 123 final.</w:t>
      </w:r>
    </w:p>
  </w:footnote>
  <w:footnote w:id="4">
    <w:p>
      <w:pPr>
        <w:pStyle w:val="Footnote"/>
        <w:rPr>
          <w:rStyle w:val="FootnoteReference"/>
        </w:rPr>
      </w:pPr>
      <w:r>
        <w:rPr>
          <w:rStyle w:val="FootnoteReference"/>
        </w:rPr>
        <w:footnoteRef/>
      </w:r>
      <w:r>
        <w:tab/>
        <w:t>Oznámenie Komisie – Ročná stratégia udržateľného rastu na rok 2021, Brusel, 17. 9. 2020, COM(2020) 575 final.</w:t>
      </w:r>
    </w:p>
  </w:footnote>
  <w:footnote w:id="5">
    <w:p>
      <w:pPr>
        <w:pStyle w:val="Footnote"/>
      </w:pPr>
      <w:r>
        <w:rPr>
          <w:rStyle w:val="FootnoteReference"/>
        </w:rPr>
        <w:footnoteRef/>
      </w:r>
      <w:r>
        <w:tab/>
        <w:t>Odporúčanie Rady z 20. júla 2020, ktoré sa týka národného programu reforiem Grécka na rok 2020 a ktorým sa predkladá stanovisko Rady k programu stability Grécka na rok 2020 (Ú. v. EÚ C 282, 26.8.2020, s. 46).</w:t>
      </w:r>
    </w:p>
  </w:footnote>
  <w:footnote w:id="6">
    <w:p>
      <w:pPr>
        <w:pStyle w:val="FootnoteText"/>
      </w:pPr>
      <w:r>
        <w:rPr>
          <w:rStyle w:val="FootnoteReference"/>
        </w:rPr>
        <w:footnoteRef/>
      </w:r>
      <w:r>
        <w:tab/>
        <w:t>Čaká sa na finálne prijatie Radou, ktoré nasleduje po schválení Európskou radou. Znenie, na ktorom sa 16. decembra 2020 dohodla Euroskupina, je k dispozícii tu: https://data.consilium.europa.eu/doc/document/ST-14356-2020-INIT/sk/pdf.</w:t>
      </w:r>
    </w:p>
  </w:footnote>
  <w:footnote w:id="7">
    <w:p>
      <w:pPr>
        <w:pStyle w:val="Footnote"/>
      </w:pPr>
      <w:r>
        <w:rPr>
          <w:rStyle w:val="FootnoteReference"/>
        </w:rPr>
        <w:footnoteRef/>
      </w:r>
      <w:r>
        <w:tab/>
      </w:r>
      <w:hyperlink r:id="rId1" w:history="1">
        <w:r>
          <w:rPr>
            <w:rStyle w:val="Hyperlink"/>
          </w:rPr>
          <w:t>Ú. v. EÚ</w:t>
        </w:r>
      </w:hyperlink>
      <w:r>
        <w:rPr>
          <w:rStyle w:val="Hyperlink"/>
        </w:rPr>
        <w:t xml:space="preserve"> L 57, 18.2.2021, s. 17.</w:t>
      </w:r>
    </w:p>
  </w:footnote>
  <w:footnote w:id="8">
    <w:p>
      <w:pPr>
        <w:pStyle w:val="Footnote"/>
      </w:pPr>
      <w:r>
        <w:rPr>
          <w:rStyle w:val="FootnoteReference"/>
        </w:rPr>
        <w:footnoteRef/>
      </w:r>
      <w:r>
        <w:tab/>
        <w:t>Oznámenie Komisie Rade – Rok od vypuknutia pandémie COVID-19: reakcia fiškálnej politiky, Brusel, 3. 3. 2021, COM(2021) 105 final.</w:t>
      </w:r>
    </w:p>
  </w:footnote>
  <w:footnote w:id="9">
    <w:p>
      <w:pPr>
        <w:pStyle w:val="Footnote"/>
      </w:pPr>
      <w:r>
        <w:rPr>
          <w:rStyle w:val="FootnoteReference"/>
        </w:rPr>
        <w:footnoteRef/>
      </w:r>
      <w:r>
        <w:tab/>
        <w:t>Oznámenie Komisie o koordinácii hospodárskych politík v roku 2021: prekonanie pandémie COVID-19, podpora obnovy a modernizácia nášho hospodárstva, Brusel, 2. 6. 2021, COM(2021) 500 final.</w:t>
      </w:r>
    </w:p>
  </w:footnote>
  <w:footnote w:id="10">
    <w:p>
      <w:pPr>
        <w:pStyle w:val="FootnoteText"/>
      </w:pPr>
      <w:r>
        <w:rPr>
          <w:rStyle w:val="FootnoteReference"/>
        </w:rPr>
        <w:footnoteRef/>
      </w:r>
      <w:r>
        <w:tab/>
        <w:t>Vykonávacie rozhodnutie Komisie (EÚ) 2018/1192 z 11. júla 2018 o aktivácii sprísneného dohľadu pre Grécko (Ú. v. EÚ L 211, 22.8.2018, s. 1) a vykonávacie rozhodnutie Komisie (EÚ) 2021/271 zo 17. februára 2021 o predĺžení sprísneného dohľadu nad Gréckom (Ú. v. EÚ L 61, 22.2.2021).</w:t>
      </w:r>
    </w:p>
  </w:footnote>
  <w:footnote w:id="11">
    <w:p>
      <w:pPr>
        <w:pStyle w:val="FootnoteText"/>
      </w:pPr>
      <w:r>
        <w:rPr>
          <w:rStyle w:val="FootnoteReference"/>
        </w:rPr>
        <w:footnoteRef/>
      </w:r>
      <w:r>
        <w:tab/>
        <w:t>Najmä vzhľadom na to, že investície, ktoré sa používajú pri referenčnej hodnote pre výdavky, sú rozložené na štvorročné obdobie, nie je možné riadne posúdiť fiškálnu podporu na obnovu, ktorú poskytujú investície financované z vnútroštátnych zdrojov.</w:t>
      </w:r>
    </w:p>
  </w:footnote>
  <w:footnote w:id="12">
    <w:p>
      <w:pPr>
        <w:pStyle w:val="FootnoteText"/>
      </w:pPr>
      <w:r>
        <w:rPr>
          <w:rStyle w:val="FootnoteReference"/>
        </w:rPr>
        <w:footnoteRef/>
      </w:r>
      <w:r>
        <w:tab/>
        <w:t>Záporné znamienko ukazovateľa znamená, že rast primárnych výdavkov prevyšuje strednodobý hospodársky rast, čo poukazuje na expanzívnu fiškálnu politiku.</w:t>
      </w:r>
    </w:p>
  </w:footnote>
  <w:footnote w:id="13">
    <w:p>
      <w:pPr>
        <w:pStyle w:val="FootnoteText"/>
      </w:pPr>
      <w:r>
        <w:rPr>
          <w:rStyle w:val="FootnoteReference"/>
        </w:rPr>
        <w:footnoteRef/>
      </w:r>
      <w:r>
        <w:tab/>
        <w:t>Predpokladá sa, že ostatné kapitálové výdavky financované z vnútroštátnych zdrojov budú predstavovať expanzívny príspevok vo výške 0,9 percentuálneho bodu HDP.</w:t>
      </w:r>
    </w:p>
  </w:footnote>
  <w:footnote w:id="14">
    <w:p>
      <w:pPr>
        <w:pStyle w:val="FootnoteText"/>
      </w:pPr>
      <w:r>
        <w:rPr>
          <w:rStyle w:val="FootnoteReference"/>
        </w:rPr>
        <w:footnoteRef/>
      </w:r>
      <w:r>
        <w:tab/>
        <w:t>Tento údaj sa odhaduje na úrovni 0,6 % HDP.</w:t>
      </w:r>
    </w:p>
  </w:footnote>
  <w:footnote w:id="15">
    <w:p>
      <w:pPr>
        <w:pStyle w:val="FootnoteText"/>
      </w:pPr>
      <w:r>
        <w:rPr>
          <w:rStyle w:val="FootnoteReference"/>
        </w:rPr>
        <w:footnoteRef/>
      </w:r>
      <w:r>
        <w:tab/>
        <w:t>Predpokladá sa, že ostatné kapitálové výdavky financované z vnútroštátnych zdrojov budú predstavovať expanzívny príspevok vo výške 0,1 percentuálneho bodu HDP.</w:t>
      </w:r>
    </w:p>
  </w:footnote>
  <w:footnote w:id="16">
    <w:p>
      <w:pPr>
        <w:pStyle w:val="FootnoteText"/>
      </w:pPr>
      <w:r>
        <w:rPr>
          <w:rStyle w:val="FootnoteReference"/>
        </w:rPr>
        <w:footnoteRef/>
      </w:r>
      <w:r>
        <w:tab/>
        <w:t xml:space="preserve">Na základe odhadov Komisie, ktoré vychádzajú zo spoločne dohodnutej metodiky. </w:t>
      </w:r>
    </w:p>
  </w:footnote>
  <w:footnote w:id="17">
    <w:p>
      <w:pPr>
        <w:pStyle w:val="FootnoteText"/>
      </w:pPr>
      <w:r>
        <w:rPr>
          <w:rStyle w:val="FootnoteReference"/>
        </w:rPr>
        <w:footnoteRef/>
      </w:r>
      <w:r>
        <w:tab/>
        <w:t>Pozri pracovný dokument útvarov Komisie – štatistickú prílohu, v ktorej sú uvedené východiskové údaje relevantné pre posúdenie programov stability a konvergenčných programov na rok 2021.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854404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06D681AC"/>
    <w:lvl w:ilvl="0">
      <w:start w:val="1"/>
      <w:numFmt w:val="decimal"/>
      <w:pStyle w:val="ListNumber3"/>
      <w:lvlText w:val="%1."/>
      <w:lvlJc w:val="left"/>
      <w:pPr>
        <w:tabs>
          <w:tab w:val="num" w:pos="926"/>
        </w:tabs>
        <w:ind w:left="926" w:hanging="360"/>
      </w:pPr>
    </w:lvl>
  </w:abstractNum>
  <w:abstractNum w:abstractNumId="2">
    <w:nsid w:val="FFFFFF7F"/>
    <w:multiLevelType w:val="singleLevel"/>
    <w:tmpl w:val="AFBC4194"/>
    <w:lvl w:ilvl="0">
      <w:start w:val="1"/>
      <w:numFmt w:val="decimal"/>
      <w:pStyle w:val="ListNumber2"/>
      <w:lvlText w:val="%1."/>
      <w:lvlJc w:val="left"/>
      <w:pPr>
        <w:tabs>
          <w:tab w:val="num" w:pos="643"/>
        </w:tabs>
        <w:ind w:left="643" w:hanging="360"/>
      </w:pPr>
    </w:lvl>
  </w:abstractNum>
  <w:abstractNum w:abstractNumId="3">
    <w:nsid w:val="FFFFFF81"/>
    <w:multiLevelType w:val="singleLevel"/>
    <w:tmpl w:val="064047B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8C0B678"/>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F96497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BAE72F4"/>
    <w:lvl w:ilvl="0">
      <w:start w:val="1"/>
      <w:numFmt w:val="decimal"/>
      <w:pStyle w:val="ListNumber"/>
      <w:lvlText w:val="%1."/>
      <w:lvlJc w:val="left"/>
      <w:pPr>
        <w:tabs>
          <w:tab w:val="num" w:pos="360"/>
        </w:tabs>
        <w:ind w:left="360" w:hanging="360"/>
      </w:pPr>
    </w:lvl>
  </w:abstractNum>
  <w:abstractNum w:abstractNumId="7">
    <w:nsid w:val="FFFFFF89"/>
    <w:multiLevelType w:val="singleLevel"/>
    <w:tmpl w:val="793C5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num>
  <w:num w:numId="10">
    <w:abstractNumId w:val="22"/>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ttachedTemplate r:id="rId1"/>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6-07 16:53:42"/>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0"/>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8"/>
    <w:docVar w:name="DQCStatus" w:val="Green"/>
    <w:docVar w:name="DQCVersion" w:val="3"/>
    <w:docVar w:name="DQCWithWarnings" w:val="0"/>
    <w:docVar w:name="LW_CORRIGENDUM" w:val="&lt;UNUSED&gt;"/>
    <w:docVar w:name="LW_COVERPAGE_EXISTS" w:val="True"/>
    <w:docVar w:name="LW_COVERPAGE_GUID" w:val="868B5353-044C-40C8-AD89-6A84BE90907B"/>
    <w:docVar w:name="LW_COVERPAGE_TYPE" w:val="1"/>
    <w:docVar w:name="LW_CROSSREFERENCE" w:val="{SWD(2021) 501 final}"/>
    <w:docVar w:name="LW_DocType" w:val="COM"/>
    <w:docVar w:name="LW_EMISSION" w:val="2. 6. 2021"/>
    <w:docVar w:name="LW_EMISSION_ISODATE" w:val="2021-06-02"/>
    <w:docVar w:name="LW_EMISSION_LOCATION" w:val="BRX"/>
    <w:docVar w:name="LW_EMISSION_PREFIX" w:val="V Bruseli"/>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SK"/>
    <w:docVar w:name="LW_LEVEL_OF_SENSITIVITY" w:val="Standard treatment"/>
    <w:docVar w:name="LW_NOM.INST" w:val="EURÓPSKA KOMISIA"/>
    <w:docVar w:name="LW_NOM.INST_JOINTDOC" w:val="&lt;EMPTY&gt;"/>
    <w:docVar w:name="LW_PART_NBR" w:val="1"/>
    <w:docVar w:name="LW_PART_NBR_TOTAL" w:val="1"/>
    <w:docVar w:name="LW_REF.II.NEW.CP" w:val="&lt;UNUSED&gt;"/>
    <w:docVar w:name="LW_REF.II.NEW.CP_NUMBER" w:val="&lt;UNUSED&gt;"/>
    <w:docVar w:name="LW_REF.II.NEW.CP_YEAR" w:val="2021"/>
    <w:docVar w:name="LW_REF.INST.NEW" w:val="COM"/>
    <w:docVar w:name="LW_REF.INST.NEW_ADOPTED" w:val="final"/>
    <w:docVar w:name="LW_REF.INST.NEW_TEXT" w:val="(2021) 5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Odporú\u269?anie"/>
    <w:docVar w:name="LW_SUPERTITRE" w:val="&lt;UNUSED&gt;"/>
    <w:docVar w:name="LW_TITRE.OBJ.CP" w:val="ktorým sa predkladá stanovisko Rady k programu stability Grécka na rok 2021"/>
    <w:docVar w:name="LW_TYPE.DOC.CP" w:val="ODPORÚ\u268?ANIE RADY,"/>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k-SK"/>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FootnoteText"/>
  </w:style>
  <w:style w:type="character" w:styleId="Hyperlink">
    <w:name w:val="Hyperlink"/>
    <w:basedOn w:val="DefaultParagraphFont"/>
    <w:uiPriority w:val="99"/>
    <w:unhideWhenUsed/>
    <w:rPr>
      <w:color w:val="0000FF" w:themeColor="hyperlink"/>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sk-S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k-S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k-SK"/>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sk-SK"/>
    </w:rPr>
  </w:style>
  <w:style w:type="character" w:styleId="EndnoteReference">
    <w:name w:val="endnote reference"/>
    <w:basedOn w:val="DefaultParagraphFont"/>
    <w:uiPriority w:val="99"/>
    <w:semiHidden/>
    <w:unhideWhenUsed/>
    <w:rPr>
      <w:vertAlign w:val="superscript"/>
    </w:rPr>
  </w:style>
  <w:style w:type="paragraph" w:styleId="ListParagraph">
    <w:name w:val="List Paragraph"/>
    <w:basedOn w:val="Normal"/>
    <w:uiPriority w:val="34"/>
    <w:qFormat/>
    <w:pPr>
      <w:spacing w:before="0" w:after="0"/>
      <w:ind w:left="720"/>
      <w:jc w:val="left"/>
    </w:pPr>
    <w:rPr>
      <w:rFonts w:ascii="Calibri" w:hAnsi="Calibri" w:cs="Calibri"/>
      <w:sz w:val="22"/>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k-S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k-S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k-SK"/>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FootnoteText"/>
  </w:style>
  <w:style w:type="character" w:styleId="Hyperlink">
    <w:name w:val="Hyperlink"/>
    <w:basedOn w:val="DefaultParagraphFont"/>
    <w:uiPriority w:val="99"/>
    <w:unhideWhenUsed/>
    <w:rPr>
      <w:color w:val="0000FF" w:themeColor="hyperlink"/>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sk-S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k-S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k-SK"/>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sk-SK"/>
    </w:rPr>
  </w:style>
  <w:style w:type="character" w:styleId="EndnoteReference">
    <w:name w:val="endnote reference"/>
    <w:basedOn w:val="DefaultParagraphFont"/>
    <w:uiPriority w:val="99"/>
    <w:semiHidden/>
    <w:unhideWhenUsed/>
    <w:rPr>
      <w:vertAlign w:val="superscript"/>
    </w:rPr>
  </w:style>
  <w:style w:type="paragraph" w:styleId="ListParagraph">
    <w:name w:val="List Paragraph"/>
    <w:basedOn w:val="Normal"/>
    <w:uiPriority w:val="34"/>
    <w:qFormat/>
    <w:pPr>
      <w:spacing w:before="0" w:after="0"/>
      <w:ind w:left="720"/>
      <w:jc w:val="left"/>
    </w:pPr>
    <w:rPr>
      <w:rFonts w:ascii="Calibri" w:hAnsi="Calibri" w:cs="Calibri"/>
      <w:sz w:val="22"/>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k-S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k-S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0979323">
      <w:bodyDiv w:val="1"/>
      <w:marLeft w:val="0"/>
      <w:marRight w:val="0"/>
      <w:marTop w:val="0"/>
      <w:marBottom w:val="0"/>
      <w:divBdr>
        <w:top w:val="none" w:sz="0" w:space="0" w:color="auto"/>
        <w:left w:val="none" w:sz="0" w:space="0" w:color="auto"/>
        <w:bottom w:val="none" w:sz="0" w:space="0" w:color="auto"/>
        <w:right w:val="none" w:sz="0" w:space="0" w:color="auto"/>
      </w:divBdr>
    </w:div>
    <w:div w:id="190598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SK/TXT/PDF/?uri=OJ:L:2021:057:FULL&amp;fr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BFA459A7-0666-4F84-AB76-A81B9ECA6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8</Pages>
  <Words>2975</Words>
  <Characters>17764</Characters>
  <Application>Microsoft Office Word</Application>
  <DocSecurity>0</DocSecurity>
  <Lines>286</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40</cp:revision>
  <dcterms:created xsi:type="dcterms:W3CDTF">2021-06-03T08:51:00Z</dcterms:created>
  <dcterms:modified xsi:type="dcterms:W3CDTF">2021-06-07T14:53:00Z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DQCStatus">
    <vt:lpwstr>Green (DQC version 03)</vt:lpwstr>
  </property>
  <property name="OP_sanitized" fmtid="{D5CDD505-2E9C-101B-9397-08002B2CF9AE}" pid="11">
    <vt:lpwstr>True</vt:lpwstr>
  </property>
</Properties>
</file>