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8DA5D18F-7986-4AF0-82EA-ED76EC82E996" style="width:450.75pt;height:406.5pt">
            <v:imagedata r:id="rId9" o:title=""/>
          </v:shape>
        </w:pict>
      </w:r>
    </w:p>
    <w:p>
      <w:pPr>
        <w:rPr>
          <w:noProof/>
        </w:rPr>
        <w:sectPr>
          <w:footerReference w:type="default" r:id="rId10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Exposdesmotifstitre"/>
        <w:rPr>
          <w:noProof/>
        </w:rPr>
      </w:pPr>
      <w:bookmarkStart w:id="0" w:name="_GoBack"/>
      <w:bookmarkEnd w:id="0"/>
      <w:r>
        <w:rPr>
          <w:noProof/>
        </w:rPr>
        <w:lastRenderedPageBreak/>
        <w:t>DÔVODOVÁ SPRÁVA</w:t>
      </w:r>
    </w:p>
    <w:p>
      <w:pPr>
        <w:pStyle w:val="ManualHeading1"/>
        <w:rPr>
          <w:rFonts w:eastAsia="Arial Unicode MS"/>
          <w:noProof/>
        </w:rPr>
      </w:pPr>
      <w:r>
        <w:t>1.</w:t>
      </w:r>
      <w:r>
        <w:tab/>
      </w:r>
      <w:r>
        <w:rPr>
          <w:noProof/>
        </w:rPr>
        <w:t>Predmet návrhu</w:t>
      </w:r>
    </w:p>
    <w:p>
      <w:pPr>
        <w:rPr>
          <w:rFonts w:eastAsia="Arial Unicode MS"/>
          <w:noProof/>
        </w:rPr>
      </w:pPr>
      <w:r>
        <w:rPr>
          <w:noProof/>
        </w:rPr>
        <w:t>Tento návrh sa týka zmeny rozhodnutia Rady (EÚ) 2020/721 z 19. mája 2020</w:t>
      </w:r>
      <w:r>
        <w:rPr>
          <w:rStyle w:val="FootnoteReference"/>
          <w:rFonts w:eastAsia="Arial Unicode MS"/>
          <w:noProof/>
        </w:rPr>
        <w:footnoteReference w:id="2"/>
      </w:r>
      <w:r>
        <w:rPr>
          <w:noProof/>
        </w:rPr>
        <w:t>, ktorým sa stanovuje pozícia, ktorá sa má zaujať v mene Únie na 102. zasadnutí Výboru Medzinárodnej námornej organizácie pre námornú bezpečnosť (MSC 102), ktoré sa uskutoční v Londýne 4. – 11. novembra 2020, a na 75. zasadnutí Výboru Medzinárodnej námornej organizácie pre ochranu morského prostredia (MEPC 75), ktoré sa uskutoční v Londýne 16. – 20. novembra 2020, v súvislosti s plánovaným prijatím obežníka MSC-MEPC.5 o vzorovej dohode týkajúcej sa oprávnenia uznaných organizácií, ktoré konajú v mene úradu.</w:t>
      </w:r>
    </w:p>
    <w:p>
      <w:pPr>
        <w:rPr>
          <w:noProof/>
        </w:rPr>
      </w:pPr>
      <w:r>
        <w:rPr>
          <w:noProof/>
        </w:rPr>
        <w:t>Kontext návrhu</w:t>
      </w:r>
    </w:p>
    <w:p>
      <w:pPr>
        <w:pStyle w:val="ManualHeading2"/>
        <w:rPr>
          <w:noProof/>
        </w:rPr>
      </w:pPr>
      <w:r>
        <w:t>1.1.</w:t>
      </w:r>
      <w:r>
        <w:tab/>
      </w:r>
      <w:r>
        <w:rPr>
          <w:noProof/>
        </w:rPr>
        <w:t xml:space="preserve">Dohovor o Medzinárodnej námornej organizácii 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Dohovorom o Medzinárodnej námornej organizácii (IMO) sa táto organizácia zriaďuje. Účelom IMO je poskytnúť fórum pre spoluprácu v oblasti regulácie a postupov týkajúcich sa rôznych technických záležitostí, ktoré majú vplyv na lodnú dopravu využívanú v medzinárodnom obchode. Ďalším cieľom IMO je podporovať všeobecné prijímanie najprísnejších možných noriem v oblasti námornej bezpečnosti, efektívnosti plavby a prevencie a kontroly znečisťovania morí plavidlami a zároveň podporovať rovnaké podmienky. IMO rieši aj súvisiace administratívne a právne záležitosti. </w:t>
      </w:r>
    </w:p>
    <w:p>
      <w:pPr>
        <w:rPr>
          <w:rFonts w:eastAsia="Arial Unicode MS"/>
          <w:noProof/>
        </w:rPr>
      </w:pPr>
      <w:r>
        <w:rPr>
          <w:noProof/>
        </w:rPr>
        <w:t>Dohovor nadobudol platnosť 17. marca 1958.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Zmluvnými stranami dohovoru sú všetky členské štáty. 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Všetky členské štáty sú zmluvnými stranami Medzinárodného dohovoru o bezpečnosti ľudského života na mori z roku 1974 (ďalej len „dohovor SOLAS“), ktorý nadobudol platnosť 25. mája 1980. Únia nie je zmluvnou stranou dohovoru SOLAS. 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Všetky členské štáty sú zmluvnými stranami Medzinárodného dohovoru o zabránení znečisťovaniu z lodí (ďalej len „dohovor MARPOL“) z roku 1973, ktorý nadobudol platnosť 2. októbra 1983, a prílohy VI, ktorá nadobudla platnosť 18. mája 2005. Únia nie je zmluvnou stranou dohovoru MARPOL. </w:t>
      </w:r>
    </w:p>
    <w:p>
      <w:pPr>
        <w:pStyle w:val="ManualHeading2"/>
        <w:rPr>
          <w:noProof/>
        </w:rPr>
      </w:pPr>
      <w:r>
        <w:t>1.2.</w:t>
      </w:r>
      <w:r>
        <w:tab/>
      </w:r>
      <w:r>
        <w:rPr>
          <w:noProof/>
        </w:rPr>
        <w:t xml:space="preserve">Medzinárodná námorná organizácia 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Medzinárodná námorná organizácia (IMO) je špecializovanou agentúrou Organizácie Spojených národov, ktorá je zodpovedná za bezpečnosť a bezpečnostnú ochranu lodnej dopravy a prevenciu znečisťovania morí plavidlami. Ide o orgán, ktorý stanovuje normy v oblasti bezpečnosti, bezpečnostnej ochrany a environmentálneho správania medzinárodnej lodnej dopravy s celosvetovou pôsobnosťou. Jej hlavnou úlohou je vytvoriť regulačný rámec pre odvetvie lodnej dopravy, ktorý bude spravodlivý a účinný a bude sa všeobecne prijímať a uplatňovať. </w:t>
      </w:r>
    </w:p>
    <w:p>
      <w:pPr>
        <w:rPr>
          <w:rFonts w:eastAsia="Arial Unicode MS"/>
          <w:noProof/>
        </w:rPr>
      </w:pPr>
      <w:r>
        <w:rPr>
          <w:noProof/>
        </w:rPr>
        <w:lastRenderedPageBreak/>
        <w:t>Členstvo v organizácii je otvorené pre všetky štáty a všetky členské štáty EÚ sú jej členmi. Európska komisia má v Medzinárodnej námornej organizácii štatút pozorovateľa od roku 1974. Stalo sa tak na základe dohody o súčinnosti a spolupráci medzi Medzivládnou námornou konzultačnou organizáciou (IMCO) a Komisiou Európskych spoločenstiev v otázkach spoločného záujmu zmluvných strán.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Výbor IMO pre námornú bezpečnosť tiež pozostáva zo všetkých členov IMO a zasadá aspoň raz ročne. Skúma všetky záležitosti, ktoré spadajú do rozsahu pôsobnosti organizácie a týkajú sa navigačných pomôcok, konštrukcie a vybavenia plavidiel, obsadenia posádkou z bezpečnostného hľadiska, pravidiel pre predchádzanie kolíziám, manipulácie s nebezpečným nákladom, postupov a požiadaviek v oblasti námornej bezpečnosti, hydrografických informácií, lodných denníkov a navigačných záznamov, vyšetrovania námorných nehôd, záchranných operácií a akýchkoľvek iných záležitostí, ktoré majú priamy vplyv na námornú bezpečnosť. 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Výbor IMO pre námornú bezpečnosť poskytuje zariadenia na výkon akýchkoľvek úloh, ktorými bol poverený v dohovore o IMO alebo ktorými ho poverilo Zhromaždenie alebo Rada IMO, alebo úloh, ktorými môže byť poverený v uvedenom rozsahu pôsobnosti prostredníctvom akéhokoľvek iného medzinárodného nástroja a ktoré IMO akceptuje. Rozhodnutia Výboru pre námornú bezpečnosť a jeho pomocných orgánov sa prijímajú väčšinou členov. </w:t>
      </w:r>
    </w:p>
    <w:p>
      <w:pPr>
        <w:rPr>
          <w:rFonts w:eastAsia="Arial Unicode MS"/>
          <w:noProof/>
        </w:rPr>
      </w:pPr>
      <w:r>
        <w:rPr>
          <w:noProof/>
        </w:rPr>
        <w:t>Výbor IMO pre ochranu morského prostredia pozostáva zo všetkých členov IMO a zasadá aspoň raz ročne. Zaoberá sa environmentálnymi otázkami spadajúcimi do rozsahu pôsobnosti organizácie v oblasti kontroly a prevencie znečisťovania mora z lodí, na ktoré sa vzťahuje dohovor MARPOL, vrátane ropy, chemikálií prevážaných vo veľkom, odpadových vôd, odpadu a emisií z lodí a tiež látok znečisťujúcich ovzdušie a emisií skleníkových plynov. K ďalším otázkam patria nakladanie so záťažovou vodou, antivegetatívne systémy, recyklácia lodí, príprava a reakcia na znečistenie a identifikácia osobitných oblastí, najmä citlivých morských oblastí.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Výbor IMO pre ochranu morského prostredia poskytuje zariadenia na výkon akýchkoľvek úloh, ktorými bol poverený v dohovore o IMO alebo ktorými ho poverilo Zhromaždenie alebo Rada IMO, alebo úloh, ktorými môže byť poverený v uvedenom rozsahu pôsobnosti prostredníctvom akéhokoľvek iného medzinárodného nástroja a ktoré IMO akceptuje. Rozhodnutia Výboru pre ochranu morského prostredia a jeho pomocných orgánov sa prijímajú väčšinou členov. </w:t>
      </w:r>
    </w:p>
    <w:p>
      <w:pPr>
        <w:pStyle w:val="ManualHeading2"/>
        <w:rPr>
          <w:noProof/>
        </w:rPr>
      </w:pPr>
      <w:r>
        <w:t>1.3.</w:t>
      </w:r>
      <w:r>
        <w:tab/>
      </w:r>
      <w:r>
        <w:rPr>
          <w:noProof/>
        </w:rPr>
        <w:t>Plánovaný akt Výboru IMO pre námornú bezpečnosť</w:t>
      </w:r>
    </w:p>
    <w:p>
      <w:pPr>
        <w:rPr>
          <w:noProof/>
        </w:rPr>
      </w:pPr>
      <w:r>
        <w:rPr>
          <w:noProof/>
        </w:rPr>
        <w:t xml:space="preserve">Výbor pre námornú bezpečnosť má 4. – 11. novembra 2020 na svojom 102. zasadnutí (MSC 102) schváliť obežník MSC-MEPC.5, v ktorom sa stanoví vzorová dohoda pre vlády, ktorá sa bude používať na oprávnenie uznaných organizácií, ktoré konajú v ich mene. Obežník má spoločne schváliť Výbor pre námornú bezpečnosť a Výbor pre ochranu morského prostredia. </w:t>
      </w:r>
    </w:p>
    <w:p>
      <w:pPr>
        <w:rPr>
          <w:noProof/>
        </w:rPr>
      </w:pPr>
      <w:r>
        <w:rPr>
          <w:noProof/>
        </w:rPr>
        <w:t xml:space="preserve">V roku 2016 Výbor pre námornú bezpečnosť schválil nový výstup pracovného programu s cieľom preskúmať a zmeniť vzorovú dohodu týkajúcu sa oprávnenia uznaných organizácií, ktoré konajú v mene úradu, aby sa zosúladila s požiadavkami kódexu pre uznané organizácie (kódex RO). O návrhu vzorovej dohody sa diskutovalo na niekoľkých zasadnutiach podvýboru IMO pre vykonávanie nástrojov IMO a teraz ho má výbor schváliť. </w:t>
      </w:r>
    </w:p>
    <w:p>
      <w:pPr>
        <w:pStyle w:val="ManualHeading2"/>
        <w:rPr>
          <w:noProof/>
        </w:rPr>
      </w:pPr>
      <w:r>
        <w:t>1.4.</w:t>
      </w:r>
      <w:r>
        <w:tab/>
      </w:r>
      <w:r>
        <w:rPr>
          <w:noProof/>
        </w:rPr>
        <w:t>Plánovaný akt Výboru IMO pre ochranu morského prostredia</w:t>
      </w:r>
    </w:p>
    <w:p>
      <w:pPr>
        <w:rPr>
          <w:rFonts w:eastAsia="Arial Unicode MS"/>
          <w:noProof/>
        </w:rPr>
      </w:pPr>
      <w:r>
        <w:rPr>
          <w:noProof/>
        </w:rPr>
        <w:t xml:space="preserve">Výbor pre ochranu morského prostredia má 16. – 20. novembra 2020 na svojom 75. zasadnutí (MEPC 75) schváliť obežník MSC-MEPC.5, v ktorom sa stanoví vzorová dohoda pre vlády, ktorá sa bude používať na oprávnenie uznaných organizácií, ktoré konajú v ich mene. </w:t>
      </w:r>
    </w:p>
    <w:p>
      <w:pPr>
        <w:pStyle w:val="ManualHeading1"/>
        <w:rPr>
          <w:noProof/>
        </w:rPr>
      </w:pPr>
      <w:r>
        <w:lastRenderedPageBreak/>
        <w:t>2.</w:t>
      </w:r>
      <w:r>
        <w:tab/>
      </w:r>
      <w:r>
        <w:rPr>
          <w:noProof/>
        </w:rPr>
        <w:t>Pozícia, ktorá sa má zaujať v mene Únie</w:t>
      </w:r>
    </w:p>
    <w:p>
      <w:pPr>
        <w:pStyle w:val="ManualHeading2"/>
        <w:rPr>
          <w:noProof/>
        </w:rPr>
      </w:pPr>
      <w:r>
        <w:t>2.1.</w:t>
      </w:r>
      <w:r>
        <w:tab/>
      </w:r>
      <w:r>
        <w:rPr>
          <w:noProof/>
        </w:rPr>
        <w:t>Schválenie obežníka MSC-MEPC.5</w:t>
      </w:r>
    </w:p>
    <w:p>
      <w:pPr>
        <w:pStyle w:val="Text1"/>
        <w:rPr>
          <w:noProof/>
        </w:rPr>
      </w:pPr>
      <w:r>
        <w:rPr>
          <w:noProof/>
        </w:rPr>
        <w:t>Na 97. zasadnutí Výboru pre námornú bezpečnosť (MSC 97), ktoré sa konalo 21. – 25. novembra 2016 v Londýne, bol schválený nový výstup na preskúmanie a zmenu vzorovej dohody týkajúcej sa oprávnenia uznaných organizácií, ktoré konajú v mene úradu (MSC.1/obež.710 – MEPC.1/obež.307), s cieľom zosúladiť ju s požiadavkami kódexu RO. Nový výstup bol zahrnutý do dvojročného programu podvýboru pre vykonávanie nástrojov IMO na roky 2016 – 2017 a do predbežného programu 4. zasadnutia podvýboru pre vykonávanie nástrojov IMO (III 4) s plánovaným rokom dokončenia 2018.</w:t>
      </w:r>
    </w:p>
    <w:p>
      <w:pPr>
        <w:pStyle w:val="Text1"/>
        <w:rPr>
          <w:noProof/>
        </w:rPr>
      </w:pPr>
      <w:r>
        <w:rPr>
          <w:noProof/>
        </w:rPr>
        <w:t xml:space="preserve">Na zasadnutí III 4, ktoré sa konalo 25. – 29. septembra 2017 v Londýne, bolo prijaté rozhodnutie zmeniť vzorovú dohodu na základe dokumentu združenia IACS (Medzinárodné združenie klasifikačných spoločností) a vytvoriť korešpondenčnú skupinu na vypracovanie znenia. Na zasadnutí III 5, ktoré sa konalo 24. – 28. septembra 2018 v Londýne, sa sfinalizoval návrh vzorovej dohody, ktorý bol postúpený na 74. zasadnutie Výboru pre ochranu morského prostredia (MEPC 74) a 101. zasadnutie Výboru pre námornú bezpečnosť (MSC 101) na schválenie. </w:t>
      </w:r>
    </w:p>
    <w:p>
      <w:pPr>
        <w:pStyle w:val="Text1"/>
        <w:rPr>
          <w:bCs/>
          <w:noProof/>
          <w:color w:val="000000"/>
        </w:rPr>
      </w:pPr>
      <w:r>
        <w:rPr>
          <w:noProof/>
        </w:rPr>
        <w:t xml:space="preserve">Na zasadnutí MEPC 74 sa odložilo preskúmanie návrhu obežníka na zasadnutie MEPC 75 z dôvodu časových obmedzení. Na zasadnutí MSC 101 sa diskutovalo o návrhu znenia, ale vzhľadom na výrazné námietky zo strany združenia IACS, že ním navrhnuté podstatné zmeny neboli prijaté, na zasadnutí MSC 101 sa návrh postúpil spolu s navrhovanými zmenami IACS späť na zváženie na 6. zasadnutí podvýboru pre vykonávanie nástrojov IMO (III 6). Na zasadnutí III 6, ktoré sa konalo 1. – 5. júla 2019 v Londýne, sa preskúmal návrh vzorovej dohody a návrhy IACS. Hoci redakčné návrhy boli akceptované, zamietli sa podstatné návrhy. Na zasadnutí III 6 sa potom postúpil návrh obežníka na schválenie na zasadnutiach MEPC 75 a MSC 102. </w:t>
      </w:r>
    </w:p>
    <w:p>
      <w:pPr>
        <w:rPr>
          <w:bCs/>
          <w:noProof/>
          <w:color w:val="000000"/>
        </w:rPr>
      </w:pPr>
      <w:r>
        <w:rPr>
          <w:bCs/>
          <w:noProof/>
          <w:color w:val="000000"/>
        </w:rPr>
        <w:t xml:space="preserve">Únia by mala podporiť zmeny vzorovej dohody IMO, na ktorých sa dohodlo na zasadnutí III 6. </w:t>
      </w:r>
      <w:r>
        <w:rPr>
          <w:noProof/>
        </w:rPr>
        <w:t>Nový obežník nahradí MSC/obež.710 a MEPC/obež.307, aktualizuje vzorovú dohodu a zosúladí ju s kódexom RO [rezolúcie MSC.349(92) a MEPC.237(65)].</w:t>
      </w:r>
      <w:r>
        <w:rPr>
          <w:bCs/>
          <w:noProof/>
          <w:color w:val="000000"/>
        </w:rPr>
        <w:t xml:space="preserve"> Zvýši sa tým presnosť, transparentnosť a zodpovednosť tak vlajkového štátu, ako aj uznaných organizácií na celosvetovej úrovni. </w:t>
      </w:r>
    </w:p>
    <w:p>
      <w:pPr>
        <w:pStyle w:val="ManualHeading2"/>
        <w:rPr>
          <w:noProof/>
        </w:rPr>
      </w:pPr>
      <w:r>
        <w:t>2.2.</w:t>
      </w:r>
      <w:r>
        <w:tab/>
      </w:r>
      <w:r>
        <w:rPr>
          <w:noProof/>
        </w:rPr>
        <w:t>Relevantné právne predpisy EÚ a kompetencie EÚ</w:t>
      </w:r>
    </w:p>
    <w:p>
      <w:pPr>
        <w:rPr>
          <w:noProof/>
        </w:rPr>
      </w:pPr>
      <w:r>
        <w:rPr>
          <w:noProof/>
        </w:rPr>
        <w:t>Vzorová dohoda, ktorá je v súčasnosti stanovená v obežníku MSC/obež.710 a MEPC/obež.307, je transponovaná do práva EÚ smernicou Európskeho parlamentu a Rady 2009/15/ES z 23. apríla 2009 o spoločných pravidlách a normách pre organizácie vykonávajúce inšpekcie a prehliadky lodí a pre príslušné činnosti námorných úradov. V článku 5 smernice 2009/15/ES sa stanovuje:</w:t>
      </w:r>
    </w:p>
    <w:p>
      <w:pPr>
        <w:rPr>
          <w:noProof/>
        </w:rPr>
      </w:pPr>
      <w:r>
        <w:rPr>
          <w:noProof/>
        </w:rPr>
        <w:t>„1.</w:t>
      </w:r>
      <w:r>
        <w:rPr>
          <w:noProof/>
        </w:rPr>
        <w:tab/>
        <w:t>Členské štáty, ktoré prijali rozhodnutie podľa článku 3 ods. 2, vytvoria pracovné vzťahy medzi svojimi príslušnými úradmi a organizáciami, ktoré konajú v ich mene.</w:t>
      </w:r>
    </w:p>
    <w:p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Pracovný vzťah sa spravuje oficiálnou písomnou a nediskriminačnou dohodou (…), ktorá obsahuje aspoň: a) ustanovenia uvedené v dodatku II rezolúcie IMO A.739(18) o usmerneniach pre oprávnenie organizácií pôsobiacich v mene úradu, pričom vychádzajú z prílohy, dodatkov a dodatku k IMO MSC/obežník 710 a MEPC/obežník 307 o vzorovej dohode týkajúcej sa oprávnenia uznaných organizácií, ktoré konajú v mene úradu; [...]“.</w:t>
      </w:r>
    </w:p>
    <w:p>
      <w:pPr>
        <w:keepNext/>
        <w:rPr>
          <w:b/>
          <w:noProof/>
        </w:rPr>
      </w:pPr>
      <w:r>
        <w:rPr>
          <w:b/>
          <w:noProof/>
        </w:rPr>
        <w:lastRenderedPageBreak/>
        <w:t>Kompetencie EÚ</w:t>
      </w:r>
    </w:p>
    <w:p>
      <w:pPr>
        <w:keepNext/>
        <w:rPr>
          <w:bCs/>
          <w:iCs/>
          <w:noProof/>
        </w:rPr>
      </w:pPr>
      <w:r>
        <w:rPr>
          <w:noProof/>
        </w:rPr>
        <w:t xml:space="preserve">Nahradenie MSC/obež.710 a </w:t>
      </w:r>
      <w:r>
        <w:rPr>
          <w:bCs/>
          <w:noProof/>
          <w:color w:val="000000"/>
        </w:rPr>
        <w:t xml:space="preserve">MEPC/obež.307 návrhom obežníka </w:t>
      </w:r>
      <w:r>
        <w:rPr>
          <w:noProof/>
        </w:rPr>
        <w:t>MSC-MEPC.5 by malo vplyv na právo EÚ na základe uplatňovania smernice Európskeho parlamentu a Rady 2009/15/ES z 23. apríla 2009 o spoločných pravidlách a normách pre organizácie vykonávajúce inšpekcie a prehliadky lodí a pre príslušné činnosti námorných úradov.</w:t>
      </w:r>
    </w:p>
    <w:p>
      <w:pPr>
        <w:rPr>
          <w:bCs/>
          <w:iCs/>
          <w:noProof/>
        </w:rPr>
      </w:pPr>
      <w:r>
        <w:rPr>
          <w:noProof/>
        </w:rPr>
        <w:t xml:space="preserve">Únia má preto výlučnú právomoc na základe poslednej časti článku 3 ods. 2 ZFEÚ, a je preto potrebné stanoviť pozíciu Únie k aktom, ktorými sa uvedené zmeny prijímajú. </w:t>
      </w:r>
    </w:p>
    <w:p>
      <w:pPr>
        <w:pStyle w:val="ManualHeading1"/>
        <w:rPr>
          <w:noProof/>
        </w:rPr>
      </w:pPr>
      <w:r>
        <w:t>3.</w:t>
      </w:r>
      <w:r>
        <w:tab/>
      </w:r>
      <w:r>
        <w:rPr>
          <w:noProof/>
        </w:rPr>
        <w:t>Právny základ</w:t>
      </w:r>
    </w:p>
    <w:p>
      <w:pPr>
        <w:pStyle w:val="ManualHeading2"/>
        <w:rPr>
          <w:noProof/>
        </w:rPr>
      </w:pPr>
      <w:r>
        <w:t>3.1.</w:t>
      </w:r>
      <w:r>
        <w:tab/>
      </w:r>
      <w:r>
        <w:rPr>
          <w:noProof/>
        </w:rPr>
        <w:t>Procesnoprávny základ</w:t>
      </w:r>
    </w:p>
    <w:p>
      <w:pPr>
        <w:pStyle w:val="ManualHeading3"/>
        <w:rPr>
          <w:noProof/>
        </w:rPr>
      </w:pPr>
      <w:r>
        <w:t>3.1.1.</w:t>
      </w:r>
      <w:r>
        <w:tab/>
      </w:r>
      <w:r>
        <w:rPr>
          <w:noProof/>
        </w:rPr>
        <w:t>Zásady</w:t>
      </w:r>
    </w:p>
    <w:p>
      <w:pPr>
        <w:rPr>
          <w:noProof/>
        </w:rPr>
      </w:pPr>
      <w:r>
        <w:rPr>
          <w:noProof/>
        </w:rPr>
        <w:t xml:space="preserve">V článku 218 ods. 9 Zmluvy o fungovaní Európskej únie (ZFEÚ) sa stanovujú rozhodnutia, ktorými sa určujú </w:t>
      </w:r>
      <w:r>
        <w:rPr>
          <w:i/>
          <w:noProof/>
        </w:rPr>
        <w:t>„pozície, ktoré sa majú prijať v mene Únie v rámci orgánu zriadeného dohodou, keď je tento orgán vyzvaný prijať akty s právnymi účinkami s výnimkou aktov dopĺňajúcich alebo meniacich inštitucionálny rámec danej dohody“.</w:t>
      </w:r>
    </w:p>
    <w:p>
      <w:pPr>
        <w:rPr>
          <w:noProof/>
        </w:rPr>
      </w:pPr>
      <w:r>
        <w:rPr>
          <w:noProof/>
        </w:rPr>
        <w:t>Článok 218 ods. 9 ZFEÚ sa uplatňuje bez ohľadu na to, či je Únia členom predmetného orgánu alebo zmluvnou stranou dohody</w:t>
      </w:r>
      <w:r>
        <w:rPr>
          <w:rStyle w:val="FootnoteReference"/>
          <w:noProof/>
        </w:rPr>
        <w:footnoteReference w:id="3"/>
      </w:r>
      <w:r>
        <w:rPr>
          <w:noProof/>
        </w:rPr>
        <w:t>.</w:t>
      </w:r>
    </w:p>
    <w:p>
      <w:pPr>
        <w:rPr>
          <w:noProof/>
        </w:rPr>
      </w:pPr>
      <w:r>
        <w:rPr>
          <w:noProof/>
        </w:rPr>
        <w:t>Pojem „</w:t>
      </w:r>
      <w:r>
        <w:rPr>
          <w:i/>
          <w:noProof/>
        </w:rPr>
        <w:t>akty s právnymi účinkami</w:t>
      </w:r>
      <w:r>
        <w:rPr>
          <w:noProof/>
        </w:rPr>
        <w:t>“ zahŕňa akty, ktoré majú právne účinky na základe pravidiel medzinárodného práva, ktorým sa riadi predmetný orgán. Zahŕňa aj nástroje, ktoré nemajú záväzný účinok podľa medzinárodného práva, ale „</w:t>
      </w:r>
      <w:r>
        <w:rPr>
          <w:i/>
          <w:noProof/>
        </w:rPr>
        <w:t>môžu rozhodujúcim spôsobom ovplyvniť obsah právnej úpravy prijatej normotvorcom Únie</w:t>
      </w:r>
      <w:r>
        <w:rPr>
          <w:noProof/>
        </w:rPr>
        <w:t>“</w:t>
      </w:r>
      <w:r>
        <w:rPr>
          <w:rStyle w:val="FootnoteReference"/>
          <w:noProof/>
        </w:rPr>
        <w:footnoteReference w:id="4"/>
      </w:r>
      <w:r>
        <w:rPr>
          <w:noProof/>
        </w:rPr>
        <w:t>.</w:t>
      </w:r>
    </w:p>
    <w:p>
      <w:pPr>
        <w:pStyle w:val="ManualHeading3"/>
        <w:rPr>
          <w:noProof/>
        </w:rPr>
      </w:pPr>
      <w:r>
        <w:t>3.1.2.</w:t>
      </w:r>
      <w:r>
        <w:tab/>
      </w:r>
      <w:r>
        <w:rPr>
          <w:noProof/>
        </w:rPr>
        <w:t>Uplatnenie na tento prípad</w:t>
      </w:r>
    </w:p>
    <w:p>
      <w:pPr>
        <w:rPr>
          <w:noProof/>
        </w:rPr>
      </w:pPr>
      <w:r>
        <w:rPr>
          <w:noProof/>
        </w:rPr>
        <w:t xml:space="preserve">Výbor IMO pre ochranu morského prostredia a Výbor IMO pre námornú bezpečnosť sú orgány zriadené dohodou, a to Dohovorom o Medzinárodnej námornej organizácii. </w:t>
      </w:r>
    </w:p>
    <w:p>
      <w:pPr>
        <w:rPr>
          <w:noProof/>
          <w:color w:val="000000"/>
        </w:rPr>
      </w:pPr>
      <w:r>
        <w:rPr>
          <w:noProof/>
        </w:rPr>
        <w:t xml:space="preserve">Akt, ktorý má Výbor IMO pre ochranu morského prostredia a Výbor IMO pre námornú bezpečnosť prijať, je akt s právnymi účinkami. </w:t>
      </w:r>
      <w:r>
        <w:rPr>
          <w:noProof/>
          <w:color w:val="000000"/>
        </w:rPr>
        <w:t>Pripravovaný akt môže zásadne ovplyvniť obsah týchto právnych predpisov EÚ:</w:t>
      </w:r>
    </w:p>
    <w:p>
      <w:pPr>
        <w:pStyle w:val="Tiret0"/>
        <w:numPr>
          <w:ilvl w:val="0"/>
          <w:numId w:val="11"/>
        </w:numPr>
        <w:rPr>
          <w:noProof/>
        </w:rPr>
      </w:pPr>
      <w:r>
        <w:rPr>
          <w:noProof/>
        </w:rPr>
        <w:t xml:space="preserve">smernica Európskeho parlamentu a Rady 2009/15/ES z 23. apríla 2009 o spoločných pravidlách a normách pre organizácie vykonávajúce inšpekcie a prehliadky lodí a pre príslušné činnosti námorných úradov. </w:t>
      </w:r>
    </w:p>
    <w:p>
      <w:pPr>
        <w:rPr>
          <w:noProof/>
        </w:rPr>
      </w:pPr>
      <w:r>
        <w:rPr>
          <w:noProof/>
        </w:rPr>
        <w:t xml:space="preserve">Dôvodom je skutočnosť, že v smernici Európskeho parlamentu a Rady 2009/15/ES z 23. apríla 2009 o spoločných pravidlách a normách pre organizácie vykonávajúce inšpekcie a prehliadky lodí a pre príslušné činnosti námorných úradov sa od úradov členských štátov vyžaduje, aby upravili svoje pracovné vzťahy s uznanými organizáciami prostredníctvom formalizovanej písomnej a nediskriminačnej dohody, ktorá musí vychádzať zo vzorovej dohody uvedenej v MSC/obež. 710 a MEPC/obež. 307. </w:t>
      </w:r>
    </w:p>
    <w:p>
      <w:pPr>
        <w:rPr>
          <w:noProof/>
        </w:rPr>
      </w:pPr>
      <w:r>
        <w:rPr>
          <w:noProof/>
        </w:rPr>
        <w:t>Nový obežník, ktorý nahradí MSC/obež.710 a MEPC/obež.307, by teda mal vplyv na právo EÚ na základe uplatňovania smernice Európskeho parlamentu a Rady 2009/15/ES z 23. apríla 2009 o spoločných pravidlách a normách pre organizácie vykonávajúce inšpekcie a prehliadky lodí a pre príslušné činnosti námorných úradov.</w:t>
      </w:r>
    </w:p>
    <w:p>
      <w:pPr>
        <w:rPr>
          <w:noProof/>
        </w:rPr>
      </w:pPr>
      <w:r>
        <w:rPr>
          <w:noProof/>
        </w:rPr>
        <w:lastRenderedPageBreak/>
        <w:t>Pripravovaným aktom sa inštitucionálny rámec dohody nedopĺňa ani nemení.</w:t>
      </w:r>
    </w:p>
    <w:p>
      <w:pPr>
        <w:rPr>
          <w:noProof/>
        </w:rPr>
      </w:pPr>
      <w:r>
        <w:rPr>
          <w:noProof/>
        </w:rPr>
        <w:t>Procesnoprávnym základom navrhovaného rozhodnutia je preto článok 218 ods. 9 ZFEÚ.</w:t>
      </w:r>
    </w:p>
    <w:p>
      <w:pPr>
        <w:pStyle w:val="ManualHeading2"/>
        <w:rPr>
          <w:noProof/>
        </w:rPr>
      </w:pPr>
      <w:r>
        <w:t>3.2.</w:t>
      </w:r>
      <w:r>
        <w:tab/>
      </w:r>
      <w:r>
        <w:rPr>
          <w:noProof/>
        </w:rPr>
        <w:t>Hmotnoprávny základ</w:t>
      </w:r>
    </w:p>
    <w:p>
      <w:pPr>
        <w:pStyle w:val="ManualHeading3"/>
        <w:rPr>
          <w:noProof/>
        </w:rPr>
      </w:pPr>
      <w:r>
        <w:t>3.2.1.</w:t>
      </w:r>
      <w:r>
        <w:tab/>
      </w:r>
      <w:r>
        <w:rPr>
          <w:noProof/>
        </w:rPr>
        <w:t>Zásady</w:t>
      </w:r>
    </w:p>
    <w:p>
      <w:pPr>
        <w:rPr>
          <w:noProof/>
        </w:rPr>
      </w:pPr>
      <w:r>
        <w:rPr>
          <w:noProof/>
        </w:rPr>
        <w:t>Hmotnoprávny základ rozhodnutia podľa článku 218 ods. 9 ZFEÚ závisí predovšetkým od cieľa a obsahu pripravovaného aktu, v súvislosti s ktorým sa zaujíma pozícia v mene Únie. Ak plánovaný akt sleduje dva ciele alebo obsahuje dve zložky a ak jeden z týchto cieľov alebo jednu z týchto zložiek možno určiť ako hlavný cieľ alebo hlavnú zložku, zatiaľ čo druhý cieľ alebo druhá zložka sú len vedľajšie, rozhodnutie podľa článku 218 ods. 9 ZFEÚ musí byť založené na jedinom hmotnoprávnom základe, a to na tom, ktorý si vyžaduje hlavný alebo prevažujúci cieľ alebo hlavná alebo prevažujúca zložka.</w:t>
      </w:r>
    </w:p>
    <w:p>
      <w:pPr>
        <w:pStyle w:val="ManualHeading3"/>
        <w:rPr>
          <w:noProof/>
        </w:rPr>
      </w:pPr>
      <w:r>
        <w:t>3.2.2.</w:t>
      </w:r>
      <w:r>
        <w:tab/>
      </w:r>
      <w:r>
        <w:rPr>
          <w:noProof/>
        </w:rPr>
        <w:t>Uplatnenie na tento prípad</w:t>
      </w:r>
    </w:p>
    <w:p>
      <w:pPr>
        <w:rPr>
          <w:i/>
          <w:noProof/>
          <w:color w:val="000000"/>
        </w:rPr>
      </w:pPr>
      <w:r>
        <w:rPr>
          <w:noProof/>
        </w:rPr>
        <w:t>Hlavný cieľ a obsah plánovaného aktu sa týkajú námornej dopravy.</w:t>
      </w:r>
      <w:r>
        <w:rPr>
          <w:noProof/>
          <w:color w:val="000000"/>
        </w:rPr>
        <w:t xml:space="preserve"> </w:t>
      </w:r>
      <w:r>
        <w:rPr>
          <w:noProof/>
        </w:rPr>
        <w:t>Hmotnoprávnym základom navrhovaného rozhodnutia je preto článok 100 ods. 2 ZFEÚ.</w:t>
      </w:r>
    </w:p>
    <w:p>
      <w:pPr>
        <w:pStyle w:val="ManualHeading2"/>
        <w:rPr>
          <w:noProof/>
        </w:rPr>
      </w:pPr>
      <w:r>
        <w:t>3.3.</w:t>
      </w:r>
      <w:r>
        <w:tab/>
      </w:r>
      <w:r>
        <w:rPr>
          <w:noProof/>
        </w:rPr>
        <w:t>Záver</w:t>
      </w:r>
    </w:p>
    <w:p>
      <w:pPr>
        <w:rPr>
          <w:noProof/>
        </w:rPr>
      </w:pPr>
      <w:r>
        <w:rPr>
          <w:noProof/>
        </w:rPr>
        <w:t>Právnym základom navrhovaného rozhodnutia by mal byť článok 100 ods. 2 ZFEÚ v spojení s článkom 218 ods. 9 ZFEÚ.</w:t>
      </w:r>
    </w:p>
    <w:p>
      <w:pPr>
        <w:spacing w:before="0" w:after="200" w:line="276" w:lineRule="auto"/>
        <w:jc w:val="left"/>
        <w:rPr>
          <w:noProof/>
        </w:rPr>
      </w:pPr>
      <w:r>
        <w:rPr>
          <w:noProof/>
        </w:rPr>
        <w:br w:type="page"/>
      </w:r>
    </w:p>
    <w:p>
      <w:pPr>
        <w:rPr>
          <w:noProof/>
        </w:rPr>
        <w:sectPr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>
      <w:pPr>
        <w:pStyle w:val="Rfrenceinterinstitutionnelle"/>
        <w:rPr>
          <w:noProof/>
        </w:rPr>
      </w:pPr>
      <w:r>
        <w:rPr>
          <w:noProof/>
        </w:rPr>
        <w:lastRenderedPageBreak/>
        <w:t>2020/0271 (NLE)</w:t>
      </w:r>
    </w:p>
    <w:p>
      <w:pPr>
        <w:pStyle w:val="Statut"/>
        <w:rPr>
          <w:noProof/>
        </w:rPr>
      </w:pPr>
      <w:r>
        <w:rPr>
          <w:noProof/>
        </w:rPr>
        <w:t>Návrh</w:t>
      </w:r>
    </w:p>
    <w:p>
      <w:pPr>
        <w:pStyle w:val="Typedudocument"/>
        <w:rPr>
          <w:noProof/>
        </w:rPr>
      </w:pPr>
      <w:r>
        <w:rPr>
          <w:noProof/>
        </w:rPr>
        <w:t>ROZHODNUTIE RADY</w:t>
      </w:r>
    </w:p>
    <w:p>
      <w:pPr>
        <w:pStyle w:val="Titreobjet"/>
        <w:rPr>
          <w:noProof/>
        </w:rPr>
      </w:pPr>
      <w:r>
        <w:rPr>
          <w:noProof/>
        </w:rPr>
        <w:t>ktorým sa mení rozhodnutie Rady (EÚ) 2020/721 z 19. mája 2020 s cieľom zahrnúť pozíciu, ktorá sa má zaujať v mene Európskej únie v Medzinárodnej námornej organizácii na 75. zasadnutí Výboru pre ochranu morského prostredia a na 102. zasadnutí Výboru pre námornú bezpečnosť, pokiaľ ide o schválenie obežníka MSC-MEPC.5 o vzorovej dohode týkajúcej sa oprávnenia uznaných organizácií, ktoré konajú v mene úradu</w:t>
      </w:r>
    </w:p>
    <w:p>
      <w:pPr>
        <w:pStyle w:val="Institutionquiagit"/>
        <w:rPr>
          <w:noProof/>
        </w:rPr>
      </w:pPr>
      <w:r>
        <w:rPr>
          <w:noProof/>
        </w:rPr>
        <w:t>RADA EURÓPSKEJ ÚNIE,</w:t>
      </w:r>
    </w:p>
    <w:p>
      <w:pPr>
        <w:rPr>
          <w:noProof/>
        </w:rPr>
      </w:pPr>
      <w:r>
        <w:rPr>
          <w:noProof/>
        </w:rPr>
        <w:t>so zreteľom na Zmluvu o fungovaní Európskej únie, a najmä na jej článok 100 ods. 2 v spojení s článkom 218 ods. 9,</w:t>
      </w:r>
    </w:p>
    <w:p>
      <w:pPr>
        <w:rPr>
          <w:noProof/>
        </w:rPr>
      </w:pPr>
      <w:r>
        <w:rPr>
          <w:noProof/>
        </w:rPr>
        <w:t xml:space="preserve">so zreteľom na návrh Európskej komisie, </w:t>
      </w:r>
    </w:p>
    <w:p>
      <w:pPr>
        <w:rPr>
          <w:noProof/>
        </w:rPr>
      </w:pPr>
      <w:r>
        <w:rPr>
          <w:noProof/>
        </w:rPr>
        <w:t>keďže:</w:t>
      </w:r>
    </w:p>
    <w:p>
      <w:pPr>
        <w:pStyle w:val="ManualConsidrant"/>
        <w:rPr>
          <w:noProof/>
        </w:rPr>
      </w:pPr>
      <w:r>
        <w:t>(1)</w:t>
      </w:r>
      <w:r>
        <w:tab/>
      </w:r>
      <w:r>
        <w:rPr>
          <w:noProof/>
        </w:rPr>
        <w:t xml:space="preserve">Cieľom činnosti Únie v odvetví námornej dopravy by mala byť ochrana morského prostredia, ľudského zdravia a zlepšovanie námornej bezpečnosti. </w:t>
      </w:r>
    </w:p>
    <w:p>
      <w:pPr>
        <w:pStyle w:val="ManualConsidrant"/>
        <w:rPr>
          <w:noProof/>
        </w:rPr>
      </w:pPr>
      <w:r>
        <w:t>(2)</w:t>
      </w:r>
      <w:r>
        <w:tab/>
      </w:r>
      <w:r>
        <w:rPr>
          <w:noProof/>
        </w:rPr>
        <w:t xml:space="preserve">Dohovor o Medzinárodnej námornej organizácii (ďalej len „IMO“) nadobudol platnosť 17. marca 1958. </w:t>
      </w:r>
    </w:p>
    <w:p>
      <w:pPr>
        <w:pStyle w:val="ManualConsidrant"/>
        <w:rPr>
          <w:noProof/>
        </w:rPr>
      </w:pPr>
      <w:r>
        <w:t>(3)</w:t>
      </w:r>
      <w:r>
        <w:tab/>
      </w:r>
      <w:r>
        <w:rPr>
          <w:noProof/>
        </w:rPr>
        <w:t>IMO je špecializovaná agentúra Organizácie Spojených národov zodpovedná za bezpečnosť a ochranu lodnej dopravy, ako aj za prevenciu znečisťovania mora a ovzdušia plavidlami. Členmi IMO sú všetky členské štáty Únie.</w:t>
      </w:r>
    </w:p>
    <w:p>
      <w:pPr>
        <w:pStyle w:val="ManualConsidrant"/>
        <w:rPr>
          <w:noProof/>
        </w:rPr>
      </w:pPr>
      <w:r>
        <w:t>(4)</w:t>
      </w:r>
      <w:r>
        <w:tab/>
      </w:r>
      <w:r>
        <w:rPr>
          <w:noProof/>
        </w:rPr>
        <w:t>Podľa článku 28 písm. b) dohovoru o IMO poskytuje Výbor pre námornú bezpečnosť zariadenia na výkon akýchkoľvek úloh, ktorými bol poverený v dohovore o IMO alebo ktorými ho poverilo Zhromaždenie alebo Rada IMO, alebo úloh, ktorými môže byť poverený v uvedenom rozsahu pôsobnosti prostredníctvom akéhokoľvek iného medzinárodného nástroja a ktoré IMO akceptuje.</w:t>
      </w:r>
    </w:p>
    <w:p>
      <w:pPr>
        <w:pStyle w:val="ManualConsidrant"/>
        <w:rPr>
          <w:noProof/>
        </w:rPr>
      </w:pPr>
      <w:r>
        <w:t>(5)</w:t>
      </w:r>
      <w:r>
        <w:tab/>
      </w:r>
      <w:r>
        <w:rPr>
          <w:noProof/>
        </w:rPr>
        <w:t xml:space="preserve">Podľa článku 38 písm. a) dohovoru o IMO vykonáva Výbor pre ochranu morského prostredia také funkcie, ktorými IMO je alebo môže byť poverená na základe alebo podľa medzinárodných dohovorov o prevencii a kontrole znečisťovania morí z lodí, najmä pokiaľ ide o prijatie a zmenu pravidiel alebo iných ustanovení. </w:t>
      </w:r>
    </w:p>
    <w:p>
      <w:pPr>
        <w:pStyle w:val="ManualConsidrant"/>
        <w:rPr>
          <w:noProof/>
        </w:rPr>
      </w:pPr>
      <w:r>
        <w:t>(6)</w:t>
      </w:r>
      <w:r>
        <w:tab/>
      </w:r>
      <w:r>
        <w:rPr>
          <w:noProof/>
        </w:rPr>
        <w:t xml:space="preserve">Medzinárodný dohovor o bezpečnosti ľudského života na mori (ďalej len „dohovor SOLAS“) nadobudol platnosť 25. mája 1980. </w:t>
      </w:r>
    </w:p>
    <w:p>
      <w:pPr>
        <w:pStyle w:val="ManualConsidrant"/>
        <w:rPr>
          <w:noProof/>
        </w:rPr>
      </w:pPr>
      <w:r>
        <w:t>(7)</w:t>
      </w:r>
      <w:r>
        <w:tab/>
      </w:r>
      <w:r>
        <w:rPr>
          <w:noProof/>
        </w:rPr>
        <w:t xml:space="preserve">Podľa článku VIII písmena b) bodu iii) dohovoru SOLAS môže Výbor IMO pre námornú bezpečnosť prijímať zmeny dohovoru SOLAS. </w:t>
      </w:r>
    </w:p>
    <w:p>
      <w:pPr>
        <w:pStyle w:val="ManualConsidrant"/>
        <w:rPr>
          <w:noProof/>
        </w:rPr>
      </w:pPr>
      <w:r>
        <w:t>(8)</w:t>
      </w:r>
      <w:r>
        <w:tab/>
      </w:r>
      <w:r>
        <w:rPr>
          <w:noProof/>
        </w:rPr>
        <w:t xml:space="preserve">Medzinárodný dohovor o zabránení znečisťovaniu z lodí (ďalej len „dohovor MARPOL“) nadobudol platnosť 2. októbra 1983. </w:t>
      </w:r>
    </w:p>
    <w:p>
      <w:pPr>
        <w:pStyle w:val="ManualConsidrant"/>
        <w:rPr>
          <w:noProof/>
        </w:rPr>
      </w:pPr>
      <w:r>
        <w:t>(9)</w:t>
      </w:r>
      <w:r>
        <w:tab/>
      </w:r>
      <w:r>
        <w:rPr>
          <w:noProof/>
        </w:rPr>
        <w:t>Podľa článku 16 ods. 2 písm. c) dohovoru MARPOL môže zmeny k nemu prijať príslušný orgán, v tomto prípade Výbor pre ochranu morského prostredia.</w:t>
      </w:r>
    </w:p>
    <w:p>
      <w:pPr>
        <w:pStyle w:val="ManualConsidrant"/>
        <w:rPr>
          <w:noProof/>
        </w:rPr>
      </w:pPr>
      <w:r>
        <w:lastRenderedPageBreak/>
        <w:t>(10)</w:t>
      </w:r>
      <w:r>
        <w:tab/>
      </w:r>
      <w:r>
        <w:rPr>
          <w:noProof/>
        </w:rPr>
        <w:t xml:space="preserve">Výbor pre námornú bezpečnosť má na svojom 102. zasadnutí, ktoré sa bude konať 4. – 11. novembra 2020 (ďalej len „MSC 102“), schváliť spolu s Výborom pre ochranu morského prostredia obežník MSC-MEPC.5 o vzorovej dohode týkajúcej sa oprávnenia uznaných organizácií, ktoré konajú v mene úradu. </w:t>
      </w:r>
    </w:p>
    <w:p>
      <w:pPr>
        <w:pStyle w:val="ManualConsidrant"/>
        <w:rPr>
          <w:noProof/>
        </w:rPr>
      </w:pPr>
      <w:r>
        <w:t>(11)</w:t>
      </w:r>
      <w:r>
        <w:tab/>
      </w:r>
      <w:r>
        <w:rPr>
          <w:noProof/>
        </w:rPr>
        <w:t xml:space="preserve">Výbor pre ochranu morského prostredia má na svojom 75. zasadnutí, ktoré sa bude konať 16. – 20. novembra 2020 (ďalej len „MEPC 75“), schváliť spolu s MSC 102 obežník MSC-MEPC.5 o vzorovej dohode týkajúcej sa oprávnenia uznaných organizácií, ktoré konajú v mene úradu. </w:t>
      </w:r>
    </w:p>
    <w:p>
      <w:pPr>
        <w:pStyle w:val="ManualConsidrant"/>
        <w:rPr>
          <w:bCs/>
          <w:iCs/>
          <w:noProof/>
        </w:rPr>
      </w:pPr>
      <w:r>
        <w:t>(12)</w:t>
      </w:r>
      <w:r>
        <w:tab/>
      </w:r>
      <w:r>
        <w:rPr>
          <w:noProof/>
        </w:rPr>
        <w:t>Je vhodné stanoviť pozíciu, ktorá sa má v mene Únie zaujať na zasadnutí MSC 102, keďže schválenie obežníka MSC-MEPC.5 môže rozhodujúcim spôsobom ovplyvniť obsah právnych predpisov Únie, konkrétne smernicu Európskeho parlamentu a Rady 2009/15/ES</w:t>
      </w:r>
      <w:r>
        <w:rPr>
          <w:rStyle w:val="FootnoteReference"/>
          <w:bCs/>
          <w:iCs/>
          <w:noProof/>
        </w:rPr>
        <w:footnoteReference w:id="5"/>
      </w:r>
      <w:r>
        <w:rPr>
          <w:noProof/>
        </w:rPr>
        <w:t xml:space="preserve">. </w:t>
      </w:r>
    </w:p>
    <w:p>
      <w:pPr>
        <w:pStyle w:val="ManualConsidrant"/>
        <w:rPr>
          <w:noProof/>
        </w:rPr>
      </w:pPr>
      <w:r>
        <w:t>(13)</w:t>
      </w:r>
      <w:r>
        <w:tab/>
      </w:r>
      <w:r>
        <w:rPr>
          <w:noProof/>
        </w:rPr>
        <w:t>Je vhodné stanoviť pozíciu, ktorá sa má v mene Únie zaujať na zasadnutí MEPC 75, keďže schválenie obežníka MSC-MEPC.5 môže rozhodujúcim spôsobom ovplyvniť obsah právnych predpisov Únie, konkrétne smernicu Európskeho parlamentu a Rady 2009/15/ES.</w:t>
      </w:r>
    </w:p>
    <w:p>
      <w:pPr>
        <w:pStyle w:val="ManualConsidrant"/>
        <w:rPr>
          <w:noProof/>
        </w:rPr>
      </w:pPr>
      <w:r>
        <w:t>(14)</w:t>
      </w:r>
      <w:r>
        <w:tab/>
      </w:r>
      <w:r>
        <w:rPr>
          <w:noProof/>
        </w:rPr>
        <w:t>Schválením obežníka MSC-MEPC.5, ktorý nahrádza obežníky MSC/obež.710 a MEPC/obež.307, sa vzorová dohoda aktualizuje a zosúladí s kódexom pre uznané organizácie (kódex RO) [rezolúcie MSC.349(92) a MEPC.237(65)]. Prispeje to k zvýšeniu presnosti, transparentnosti a zodpovednosti tak vlajkového štátu, ako aj uznaných organizácií na celosvetovej úrovni.</w:t>
      </w:r>
    </w:p>
    <w:p>
      <w:pPr>
        <w:pStyle w:val="ManualConsidrant"/>
        <w:rPr>
          <w:noProof/>
        </w:rPr>
      </w:pPr>
      <w:r>
        <w:t>(15)</w:t>
      </w:r>
      <w:r>
        <w:tab/>
      </w:r>
      <w:r>
        <w:rPr>
          <w:noProof/>
        </w:rPr>
        <w:t>Rozhodnutie Rady (EÚ) 2020/721 z 19. mája 2020</w:t>
      </w:r>
      <w:r>
        <w:rPr>
          <w:rStyle w:val="FootnoteReference"/>
          <w:noProof/>
        </w:rPr>
        <w:footnoteReference w:id="6"/>
      </w:r>
      <w:r>
        <w:rPr>
          <w:noProof/>
        </w:rPr>
        <w:t xml:space="preserve"> by sa malo zmeniť tak, aby obsahovalo odkaz na schválenie obežníka MSC-MEPC.5. </w:t>
      </w:r>
    </w:p>
    <w:p>
      <w:pPr>
        <w:pStyle w:val="ManualConsidrant"/>
        <w:rPr>
          <w:noProof/>
        </w:rPr>
      </w:pPr>
      <w:r>
        <w:t>(16)</w:t>
      </w:r>
      <w:r>
        <w:tab/>
      </w:r>
      <w:r>
        <w:rPr>
          <w:noProof/>
        </w:rPr>
        <w:t xml:space="preserve">Pozíciu Únie majú vyjadriť členské štáty Únie, ktoré sú členmi Výboru IMO pre námornú bezpečnosť a Výboru IMO pre ochranu morského prostredia, konajúc spoločne, </w:t>
      </w:r>
    </w:p>
    <w:p>
      <w:pPr>
        <w:pStyle w:val="Formuledadoption"/>
        <w:rPr>
          <w:noProof/>
        </w:rPr>
      </w:pPr>
      <w:r>
        <w:rPr>
          <w:noProof/>
        </w:rPr>
        <w:t>PRIJALA TOTO ROZHODNUTIE:</w:t>
      </w:r>
    </w:p>
    <w:p>
      <w:pPr>
        <w:pStyle w:val="Titrearticle"/>
        <w:rPr>
          <w:noProof/>
        </w:rPr>
      </w:pPr>
      <w:r>
        <w:rPr>
          <w:noProof/>
        </w:rPr>
        <w:t>Článok 1</w:t>
      </w:r>
    </w:p>
    <w:p>
      <w:pPr>
        <w:rPr>
          <w:noProof/>
        </w:rPr>
      </w:pPr>
      <w:r>
        <w:rPr>
          <w:noProof/>
        </w:rPr>
        <w:t xml:space="preserve">Rozhodnutie Rady (EÚ) 2020/721 sa týmto mení takto: </w:t>
      </w:r>
    </w:p>
    <w:p>
      <w:pPr>
        <w:jc w:val="center"/>
        <w:rPr>
          <w:i/>
          <w:noProof/>
        </w:rPr>
      </w:pPr>
      <w:r>
        <w:rPr>
          <w:i/>
          <w:noProof/>
        </w:rPr>
        <w:t>„Článok 1</w:t>
      </w:r>
    </w:p>
    <w:p>
      <w:pPr>
        <w:rPr>
          <w:noProof/>
        </w:rPr>
      </w:pPr>
      <w:r>
        <w:rPr>
          <w:noProof/>
        </w:rPr>
        <w:t xml:space="preserve">Pozícia, ktorá sa má v mene Únie zaujať vo Výbore Medzinárodnej námornej organizácie pre ochranu morského prostredia na jeho 75. zasadnutí, je podporiť prijatie zmien pravidiel 2, 14 a 18 a dodatkov I a VI prílohy VI k Medzinárodnému dohovoru o zabránení znečisťovaniu z </w:t>
      </w:r>
      <w:r>
        <w:rPr>
          <w:noProof/>
        </w:rPr>
        <w:lastRenderedPageBreak/>
        <w:t xml:space="preserve">lodí stanovených v prílohe k dokumentu IMO MEPC 75/3 a podporiť schválenie obežníka MSC-MEPC.5 stanoveného v prílohe 8 k dokumentu IMO III 6/15. </w:t>
      </w:r>
    </w:p>
    <w:p>
      <w:pPr>
        <w:jc w:val="center"/>
        <w:rPr>
          <w:i/>
          <w:noProof/>
        </w:rPr>
      </w:pPr>
      <w:r>
        <w:rPr>
          <w:i/>
          <w:noProof/>
        </w:rPr>
        <w:t>Článok 2</w:t>
      </w:r>
    </w:p>
    <w:p>
      <w:pPr>
        <w:rPr>
          <w:noProof/>
        </w:rPr>
      </w:pPr>
      <w:r>
        <w:rPr>
          <w:noProof/>
        </w:rPr>
        <w:t>1. Pozícia, ktorá sa má v mene Únie zaujať vo Výbore Medzinárodnej námornej organizácie pre námornú bezpečnosť na jeho 102. zasadnutí, je podporiť prijatie zmien:</w:t>
      </w:r>
    </w:p>
    <w:p>
      <w:pPr>
        <w:rPr>
          <w:noProof/>
        </w:rPr>
      </w:pPr>
      <w:r>
        <w:rPr>
          <w:noProof/>
        </w:rPr>
        <w:t>a) častí A-1, B, B-1 a B-2 až B-4 kapitoly II-1 Medzinárodného dohovoru o bezpečnosti ľudského života na mori stanovených v prílohe 1 k dokumentu IMO MSC 102/3;</w:t>
      </w:r>
    </w:p>
    <w:p>
      <w:pPr>
        <w:rPr>
          <w:noProof/>
        </w:rPr>
      </w:pPr>
      <w:r>
        <w:rPr>
          <w:noProof/>
        </w:rPr>
        <w:t>b) častí A-1 a B-1 Medzinárodného kódexu bezpečnosti pre lode používajúce plyny alebo iné palivá s nízkou teplotou vzplanutia stanovených v prílohe 2 k dokumentu IMO MSC 102/3;</w:t>
      </w:r>
    </w:p>
    <w:p>
      <w:pPr>
        <w:rPr>
          <w:noProof/>
        </w:rPr>
      </w:pPr>
      <w:r>
        <w:rPr>
          <w:noProof/>
        </w:rPr>
        <w:t xml:space="preserve">c) rezolúcie A.658(16) o používaní a umiestňovaní odrazových materiálov na záchranných prostriedkoch </w:t>
      </w:r>
    </w:p>
    <w:p>
      <w:pPr>
        <w:rPr>
          <w:noProof/>
        </w:rPr>
      </w:pPr>
      <w:r>
        <w:rPr>
          <w:noProof/>
        </w:rPr>
        <w:t>a schválenie obežníka MSC-MEPC.5 o vzorovej dohode týkajúcej sa oprávnenia uznaných organizácií, ktoré konajú v mene úradu.“</w:t>
      </w:r>
    </w:p>
    <w:p>
      <w:pPr>
        <w:pStyle w:val="Titrearticle"/>
        <w:rPr>
          <w:noProof/>
        </w:rPr>
      </w:pPr>
      <w:r>
        <w:rPr>
          <w:noProof/>
        </w:rPr>
        <w:t xml:space="preserve">Článok 2 </w:t>
      </w:r>
    </w:p>
    <w:p>
      <w:pPr>
        <w:rPr>
          <w:noProof/>
          <w:color w:val="000000"/>
        </w:rPr>
      </w:pPr>
      <w:r>
        <w:rPr>
          <w:noProof/>
          <w:color w:val="000000"/>
        </w:rPr>
        <w:t xml:space="preserve">Toto rozhodnutie je určené členským štátom. </w:t>
      </w:r>
    </w:p>
    <w:p>
      <w:pPr>
        <w:pStyle w:val="Fait"/>
        <w:rPr>
          <w:noProof/>
        </w:rPr>
      </w:pPr>
      <w:r>
        <w:t>V Bruseli</w:t>
      </w:r>
    </w:p>
    <w:p>
      <w:pPr>
        <w:pStyle w:val="Institutionquisigne"/>
        <w:rPr>
          <w:noProof/>
        </w:rPr>
      </w:pPr>
      <w:r>
        <w:rPr>
          <w:noProof/>
        </w:rPr>
        <w:tab/>
        <w:t>Za Radu</w:t>
      </w:r>
    </w:p>
    <w:p>
      <w:pPr>
        <w:pStyle w:val="Personnequisigne"/>
        <w:rPr>
          <w:noProof/>
        </w:rPr>
      </w:pPr>
      <w:r>
        <w:rPr>
          <w:noProof/>
        </w:rPr>
        <w:tab/>
        <w:t>predseda</w:t>
      </w:r>
    </w:p>
    <w:sectPr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  <w:endnote w:type="continuationNotice" w:id="1">
    <w:p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SK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SK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SK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8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SK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  <w:footnote w:type="continuationNotice" w:id="1">
    <w:p>
      <w:pPr>
        <w:spacing w:before="0" w:after="0"/>
      </w:pP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ab/>
        <w:t>Rozhodnutie Rady (EÚ) 2020/721 z 19. mája 2020 o pozícii, ktorá sa má zaujať v mene Európskej únie vo Výbore Medzinárodnej námornej organizácie pre ochranu morského prostredia na 75. zasadnutí a vo Výbore Medzinárodnej námornej organizácie pre námornú bezpečnosť na 102. zasadnutí, pokiaľ ide o prijatie zmien pravidiel 2, 14 a 18 a dodatkov I a VI prílohy VI k Medzinárodnému dohovoru o zabránení znečisťovaniu z lodí, častí A-1, B, B-1 a B-2 až B-4 kapitoly II-1 Medzinárodného dohovoru o bezpečnosti ľudského života na mori, častí A-1 a B-1 Medzinárodného kódexu bezpečnosti pre lode používajúce plyny alebo iné palivá s nízkou teplotou vzplanutia a rezolúcie A.658(16) o používaní a umiestňovaní odrazových materiálov na záchranných prostriedkoch (Ú. v. EÚ L 171, 2.6.2020, s. 1 – 3).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ab/>
        <w:t xml:space="preserve">Vec C-399/12 Nemecko/Rada (OIV), ECLI:EU:C:2014:2258, bod 64. 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ab/>
        <w:t xml:space="preserve">Vec C-399/12 Nemecko/Rada (OIV), ECLI:EU:C:2014:2258, body 61 – 64. 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ab/>
        <w:t>Smernica Európskeho parlamentu a Rady 2009/15/ES z 23. apríla 2009 o spoločných pravidlách a normách pre organizácie vykonávajúce inšpekcie a prehliadky lodí a pre príslušné činnosti námorných úradov (Ú. v. EÚ L 131, 28.5.2009, s. 47).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tab/>
        <w:t>Rozhodnutie Rady (EÚ) 2020/721 z 19. mája 2020 o pozícii, ktorá sa má zaujať v mene Európskej únie vo Výbore Medzinárodnej námornej organizácie pre ochranu morského prostredia na 75. zasadnutí a vo Výbore Medzinárodnej námornej organizácie pre námornú bezpečnosť na 102. zasadnutí, pokiaľ ide o prijatie zmien pravidiel 2, 14 a 18 a dodatkov I a VI prílohy VI k Medzinárodnému dohovoru o zabránení znečisťovaniu z lodí, častí A-1, B, B-1 a B-2 až B-4 kapitoly II-1 Medzinárodného dohovoru o bezpečnosti ľudského života na mori, častí A-1 a B-1 Medzinárodného kódexu bezpečnosti pre lode používajúce plyny alebo iné palivá s nízkou teplotou vzplanutia a rezolúcie A.658(16) o používaní a umiestňovaní odrazových materiálov na záchranných prostriedkoch (Ú. v. EÚ L 171, 2.6.2020, s. 1 – 3).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A656D76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EBD263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ED38401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FE6E691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EB0CE5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5BE7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8D0C9A4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C92E8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1"/>
    <w:lvlOverride w:ilvl="0">
      <w:startOverride w:val="1"/>
    </w:lvlOverride>
  </w:num>
  <w:num w:numId="7">
    <w:abstractNumId w:val="6"/>
  </w:num>
  <w:num w:numId="8">
    <w:abstractNumId w:val="2"/>
  </w:num>
  <w:num w:numId="9">
    <w:abstractNumId w:val="0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</w:num>
  <w:num w:numId="12">
    <w:abstractNumId w:val="18"/>
  </w:num>
  <w:num w:numId="13">
    <w:abstractNumId w:val="12"/>
  </w:num>
  <w:num w:numId="14">
    <w:abstractNumId w:val="20"/>
  </w:num>
  <w:num w:numId="15">
    <w:abstractNumId w:val="11"/>
  </w:num>
  <w:num w:numId="16">
    <w:abstractNumId w:val="13"/>
  </w:num>
  <w:num w:numId="17">
    <w:abstractNumId w:val="9"/>
  </w:num>
  <w:num w:numId="18">
    <w:abstractNumId w:val="19"/>
  </w:num>
  <w:num w:numId="19">
    <w:abstractNumId w:val="8"/>
  </w:num>
  <w:num w:numId="20">
    <w:abstractNumId w:val="14"/>
  </w:num>
  <w:num w:numId="21">
    <w:abstractNumId w:val="16"/>
  </w:num>
  <w:num w:numId="22">
    <w:abstractNumId w:val="17"/>
  </w:num>
  <w:num w:numId="23">
    <w:abstractNumId w:val="10"/>
  </w:num>
  <w:num w:numId="24">
    <w:abstractNumId w:val="15"/>
  </w:num>
  <w:num w:numId="25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ctiveWritingStyle w:appName="MSWord" w:lang="fr-B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" w:vendorID="64" w:dllVersion="131078" w:nlCheck="1" w:checkStyle="1"/>
  <w:activeWritingStyle w:appName="MSWord" w:lang="en-IE" w:vendorID="64" w:dllVersion="131078" w:nlCheck="1" w:checkStyle="1"/>
  <w:attachedTemplate r:id="rId1"/>
  <w:revisionView w:markup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0-09-21 17:22:13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8DA5D18F-7986-4AF0-82EA-ED76EC82E996"/>
    <w:docVar w:name="LW_COVERPAGE_TYPE" w:val="1"/>
    <w:docVar w:name="LW_CROSSREFERENCE" w:val="&lt;UNUSED&gt;"/>
    <w:docVar w:name="LW_DocType" w:val="COM"/>
    <w:docVar w:name="LW_EMISSION" w:val="28. 9. 2020"/>
    <w:docVar w:name="LW_EMISSION_ISODATE" w:val="2020-09-28"/>
    <w:docVar w:name="LW_EMISSION_LOCATION" w:val="BRX"/>
    <w:docVar w:name="LW_EMISSION_PREFIX" w:val="V Bruseli"/>
    <w:docVar w:name="LW_EMISSION_SUFFIX" w:val=" "/>
    <w:docVar w:name="LW_ID_DOCMODEL" w:val="SJ-043"/>
    <w:docVar w:name="LW_ID_DOCSIGNATURE" w:val="SJ-019"/>
    <w:docVar w:name="LW_ID_DOCSTRUCTURE" w:val="COM/PL/ORG"/>
    <w:docVar w:name="LW_ID_DOCTYPE" w:val="SJ-043"/>
    <w:docVar w:name="LW_ID_EXP.MOTIFS.NEW" w:val="EM_PL2_"/>
    <w:docVar w:name="LW_ID_STATUT" w:val="SJ-019"/>
    <w:docVar w:name="LW_INTERETEEE.CP" w:val="&lt;UNUSED&gt;"/>
    <w:docVar w:name="LW_LANGUE" w:val="SK"/>
    <w:docVar w:name="LW_LEVEL_OF_SENSITIVITY" w:val="Standard treatment"/>
    <w:docVar w:name="LW_NOM.INST" w:val="EURÓPSKA KOMISIA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271"/>
    <w:docVar w:name="LW_REF.II.NEW.CP_YEAR" w:val="2020"/>
    <w:docVar w:name="LW_REF.INST.NEW" w:val="COM"/>
    <w:docVar w:name="LW_REF.INST.NEW_ADOPTED" w:val="final"/>
    <w:docVar w:name="LW_REF.INST.NEW_TEXT" w:val="(2020) 586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Návrh"/>
    <w:docVar w:name="LW_SUPERTITRE" w:val="&lt;UNUSED&gt;"/>
    <w:docVar w:name="LW_TITRE.OBJ.CP" w:val="ktorým sa mení rozhodnutie Rady (EÚ) 2020/721 z 19. mája 2020 s cie\u318?om zahrnú\u357? pozíciu, ktorá sa má zauja\u357? v mene Európskej únie v Medzinárodnej námornej organizácii na 75. zasadnutí Výboru pre ochranu morského prostredia a na 102. zasadnutí Výboru pre námornú bezpe\u269?nos\u357?, pokia\u318? ide o schválenie obe\u382?níka MSC-MEPC.5 o vzorovej dohode týkajúcej sa oprávnenia uznaných organizácií, ktoré konajú v mene úradu"/>
    <w:docVar w:name="LW_TYPE.DOC.CP" w:val="ROZHODNUTIE RADY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sk-SK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8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Number3">
    <w:name w:val="List Number 3"/>
    <w:basedOn w:val="Normal"/>
    <w:pPr>
      <w:numPr>
        <w:numId w:val="5"/>
      </w:numPr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sk-SK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  <w:jc w:val="left"/>
    </w:pPr>
    <w:rPr>
      <w:rFonts w:eastAsia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sk-SK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sk-SK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12"/>
      </w:numPr>
    </w:pPr>
  </w:style>
  <w:style w:type="paragraph" w:customStyle="1" w:styleId="Tiret1">
    <w:name w:val="Tiret 1"/>
    <w:basedOn w:val="Point1"/>
    <w:pPr>
      <w:numPr>
        <w:numId w:val="13"/>
      </w:numPr>
    </w:pPr>
  </w:style>
  <w:style w:type="paragraph" w:customStyle="1" w:styleId="Tiret2">
    <w:name w:val="Tiret 2"/>
    <w:basedOn w:val="Point2"/>
    <w:pPr>
      <w:numPr>
        <w:numId w:val="14"/>
      </w:numPr>
    </w:pPr>
  </w:style>
  <w:style w:type="paragraph" w:customStyle="1" w:styleId="Tiret3">
    <w:name w:val="Tiret 3"/>
    <w:basedOn w:val="Point3"/>
    <w:pPr>
      <w:numPr>
        <w:numId w:val="15"/>
      </w:numPr>
    </w:pPr>
  </w:style>
  <w:style w:type="paragraph" w:customStyle="1" w:styleId="Tiret4">
    <w:name w:val="Tiret 4"/>
    <w:basedOn w:val="Point4"/>
    <w:pPr>
      <w:numPr>
        <w:numId w:val="16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7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7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7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7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9"/>
      </w:numPr>
    </w:pPr>
  </w:style>
  <w:style w:type="paragraph" w:customStyle="1" w:styleId="Point1number">
    <w:name w:val="Point 1 (number)"/>
    <w:basedOn w:val="Normal"/>
    <w:pPr>
      <w:numPr>
        <w:ilvl w:val="2"/>
        <w:numId w:val="19"/>
      </w:numPr>
    </w:pPr>
  </w:style>
  <w:style w:type="paragraph" w:customStyle="1" w:styleId="Point2number">
    <w:name w:val="Point 2 (number)"/>
    <w:basedOn w:val="Normal"/>
    <w:pPr>
      <w:numPr>
        <w:ilvl w:val="4"/>
        <w:numId w:val="19"/>
      </w:numPr>
    </w:pPr>
  </w:style>
  <w:style w:type="paragraph" w:customStyle="1" w:styleId="Point3number">
    <w:name w:val="Point 3 (number)"/>
    <w:basedOn w:val="Normal"/>
    <w:pPr>
      <w:numPr>
        <w:ilvl w:val="6"/>
        <w:numId w:val="19"/>
      </w:numPr>
    </w:pPr>
  </w:style>
  <w:style w:type="paragraph" w:customStyle="1" w:styleId="Point0letter">
    <w:name w:val="Point 0 (letter)"/>
    <w:basedOn w:val="Normal"/>
    <w:pPr>
      <w:numPr>
        <w:ilvl w:val="1"/>
        <w:numId w:val="19"/>
      </w:numPr>
    </w:pPr>
  </w:style>
  <w:style w:type="paragraph" w:customStyle="1" w:styleId="Point1letter">
    <w:name w:val="Point 1 (letter)"/>
    <w:basedOn w:val="Normal"/>
    <w:pPr>
      <w:numPr>
        <w:ilvl w:val="3"/>
        <w:numId w:val="19"/>
      </w:numPr>
    </w:pPr>
  </w:style>
  <w:style w:type="paragraph" w:customStyle="1" w:styleId="Point2letter">
    <w:name w:val="Point 2 (letter)"/>
    <w:basedOn w:val="Normal"/>
    <w:pPr>
      <w:numPr>
        <w:ilvl w:val="5"/>
        <w:numId w:val="19"/>
      </w:numPr>
    </w:pPr>
  </w:style>
  <w:style w:type="paragraph" w:customStyle="1" w:styleId="Point3letter">
    <w:name w:val="Point 3 (letter)"/>
    <w:basedOn w:val="Normal"/>
    <w:pPr>
      <w:numPr>
        <w:ilvl w:val="7"/>
        <w:numId w:val="19"/>
      </w:numPr>
    </w:pPr>
  </w:style>
  <w:style w:type="paragraph" w:customStyle="1" w:styleId="Point4letter">
    <w:name w:val="Point 4 (letter)"/>
    <w:basedOn w:val="Normal"/>
    <w:pPr>
      <w:numPr>
        <w:ilvl w:val="8"/>
        <w:numId w:val="19"/>
      </w:numPr>
    </w:pPr>
  </w:style>
  <w:style w:type="paragraph" w:customStyle="1" w:styleId="Bullet0">
    <w:name w:val="Bullet 0"/>
    <w:basedOn w:val="Normal"/>
    <w:pPr>
      <w:numPr>
        <w:numId w:val="20"/>
      </w:numPr>
    </w:pPr>
  </w:style>
  <w:style w:type="paragraph" w:customStyle="1" w:styleId="Bullet1">
    <w:name w:val="Bullet 1"/>
    <w:basedOn w:val="Normal"/>
    <w:pPr>
      <w:numPr>
        <w:numId w:val="21"/>
      </w:numPr>
    </w:pPr>
  </w:style>
  <w:style w:type="paragraph" w:customStyle="1" w:styleId="Bullet2">
    <w:name w:val="Bullet 2"/>
    <w:basedOn w:val="Normal"/>
    <w:pPr>
      <w:numPr>
        <w:numId w:val="22"/>
      </w:numPr>
    </w:pPr>
  </w:style>
  <w:style w:type="paragraph" w:customStyle="1" w:styleId="Bullet3">
    <w:name w:val="Bullet 3"/>
    <w:basedOn w:val="Normal"/>
    <w:pPr>
      <w:numPr>
        <w:numId w:val="23"/>
      </w:numPr>
    </w:pPr>
  </w:style>
  <w:style w:type="paragraph" w:customStyle="1" w:styleId="Bullet4">
    <w:name w:val="Bullet 4"/>
    <w:basedOn w:val="Normal"/>
    <w:pPr>
      <w:numPr>
        <w:numId w:val="24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5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sk-SK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8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Number3">
    <w:name w:val="List Number 3"/>
    <w:basedOn w:val="Normal"/>
    <w:pPr>
      <w:numPr>
        <w:numId w:val="5"/>
      </w:numPr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sk-SK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  <w:jc w:val="left"/>
    </w:pPr>
    <w:rPr>
      <w:rFonts w:eastAsia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sk-SK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sk-SK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12"/>
      </w:numPr>
    </w:pPr>
  </w:style>
  <w:style w:type="paragraph" w:customStyle="1" w:styleId="Tiret1">
    <w:name w:val="Tiret 1"/>
    <w:basedOn w:val="Point1"/>
    <w:pPr>
      <w:numPr>
        <w:numId w:val="13"/>
      </w:numPr>
    </w:pPr>
  </w:style>
  <w:style w:type="paragraph" w:customStyle="1" w:styleId="Tiret2">
    <w:name w:val="Tiret 2"/>
    <w:basedOn w:val="Point2"/>
    <w:pPr>
      <w:numPr>
        <w:numId w:val="14"/>
      </w:numPr>
    </w:pPr>
  </w:style>
  <w:style w:type="paragraph" w:customStyle="1" w:styleId="Tiret3">
    <w:name w:val="Tiret 3"/>
    <w:basedOn w:val="Point3"/>
    <w:pPr>
      <w:numPr>
        <w:numId w:val="15"/>
      </w:numPr>
    </w:pPr>
  </w:style>
  <w:style w:type="paragraph" w:customStyle="1" w:styleId="Tiret4">
    <w:name w:val="Tiret 4"/>
    <w:basedOn w:val="Point4"/>
    <w:pPr>
      <w:numPr>
        <w:numId w:val="16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7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7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7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7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9"/>
      </w:numPr>
    </w:pPr>
  </w:style>
  <w:style w:type="paragraph" w:customStyle="1" w:styleId="Point1number">
    <w:name w:val="Point 1 (number)"/>
    <w:basedOn w:val="Normal"/>
    <w:pPr>
      <w:numPr>
        <w:ilvl w:val="2"/>
        <w:numId w:val="19"/>
      </w:numPr>
    </w:pPr>
  </w:style>
  <w:style w:type="paragraph" w:customStyle="1" w:styleId="Point2number">
    <w:name w:val="Point 2 (number)"/>
    <w:basedOn w:val="Normal"/>
    <w:pPr>
      <w:numPr>
        <w:ilvl w:val="4"/>
        <w:numId w:val="19"/>
      </w:numPr>
    </w:pPr>
  </w:style>
  <w:style w:type="paragraph" w:customStyle="1" w:styleId="Point3number">
    <w:name w:val="Point 3 (number)"/>
    <w:basedOn w:val="Normal"/>
    <w:pPr>
      <w:numPr>
        <w:ilvl w:val="6"/>
        <w:numId w:val="19"/>
      </w:numPr>
    </w:pPr>
  </w:style>
  <w:style w:type="paragraph" w:customStyle="1" w:styleId="Point0letter">
    <w:name w:val="Point 0 (letter)"/>
    <w:basedOn w:val="Normal"/>
    <w:pPr>
      <w:numPr>
        <w:ilvl w:val="1"/>
        <w:numId w:val="19"/>
      </w:numPr>
    </w:pPr>
  </w:style>
  <w:style w:type="paragraph" w:customStyle="1" w:styleId="Point1letter">
    <w:name w:val="Point 1 (letter)"/>
    <w:basedOn w:val="Normal"/>
    <w:pPr>
      <w:numPr>
        <w:ilvl w:val="3"/>
        <w:numId w:val="19"/>
      </w:numPr>
    </w:pPr>
  </w:style>
  <w:style w:type="paragraph" w:customStyle="1" w:styleId="Point2letter">
    <w:name w:val="Point 2 (letter)"/>
    <w:basedOn w:val="Normal"/>
    <w:pPr>
      <w:numPr>
        <w:ilvl w:val="5"/>
        <w:numId w:val="19"/>
      </w:numPr>
    </w:pPr>
  </w:style>
  <w:style w:type="paragraph" w:customStyle="1" w:styleId="Point3letter">
    <w:name w:val="Point 3 (letter)"/>
    <w:basedOn w:val="Normal"/>
    <w:pPr>
      <w:numPr>
        <w:ilvl w:val="7"/>
        <w:numId w:val="19"/>
      </w:numPr>
    </w:pPr>
  </w:style>
  <w:style w:type="paragraph" w:customStyle="1" w:styleId="Point4letter">
    <w:name w:val="Point 4 (letter)"/>
    <w:basedOn w:val="Normal"/>
    <w:pPr>
      <w:numPr>
        <w:ilvl w:val="8"/>
        <w:numId w:val="19"/>
      </w:numPr>
    </w:pPr>
  </w:style>
  <w:style w:type="paragraph" w:customStyle="1" w:styleId="Bullet0">
    <w:name w:val="Bullet 0"/>
    <w:basedOn w:val="Normal"/>
    <w:pPr>
      <w:numPr>
        <w:numId w:val="20"/>
      </w:numPr>
    </w:pPr>
  </w:style>
  <w:style w:type="paragraph" w:customStyle="1" w:styleId="Bullet1">
    <w:name w:val="Bullet 1"/>
    <w:basedOn w:val="Normal"/>
    <w:pPr>
      <w:numPr>
        <w:numId w:val="21"/>
      </w:numPr>
    </w:pPr>
  </w:style>
  <w:style w:type="paragraph" w:customStyle="1" w:styleId="Bullet2">
    <w:name w:val="Bullet 2"/>
    <w:basedOn w:val="Normal"/>
    <w:pPr>
      <w:numPr>
        <w:numId w:val="22"/>
      </w:numPr>
    </w:pPr>
  </w:style>
  <w:style w:type="paragraph" w:customStyle="1" w:styleId="Bullet3">
    <w:name w:val="Bullet 3"/>
    <w:basedOn w:val="Normal"/>
    <w:pPr>
      <w:numPr>
        <w:numId w:val="23"/>
      </w:numPr>
    </w:pPr>
  </w:style>
  <w:style w:type="paragraph" w:customStyle="1" w:styleId="Bullet4">
    <w:name w:val="Bullet 4"/>
    <w:basedOn w:val="Normal"/>
    <w:pPr>
      <w:numPr>
        <w:numId w:val="24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5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3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333E0-0017-42D4-8268-0533AD348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3</TotalTime>
  <Pages>9</Pages>
  <Words>2706</Words>
  <Characters>15804</Characters>
  <Application>Microsoft Office Word</Application>
  <DocSecurity>0</DocSecurity>
  <Lines>277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19</cp:revision>
  <cp:lastPrinted>2019-12-18T11:02:00Z</cp:lastPrinted>
  <dcterms:created xsi:type="dcterms:W3CDTF">2020-09-18T13:02:00Z</dcterms:created>
  <dcterms:modified xsi:type="dcterms:W3CDTF">2020-09-21T15:22:00Z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7.0.8.0</vt:lpwstr>
  </property>
  <property fmtid="{D5CDD505-2E9C-101B-9397-08002B2CF9AE}" pid="4" name="Last edited using">
    <vt:lpwstr>LW 7.0.1, Build 20190916</vt:lpwstr>
  </property>
  <property fmtid="{D5CDD505-2E9C-101B-9397-08002B2CF9AE}" pid="5" name="Created using">
    <vt:lpwstr>LW 7.0, Build 20190717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SJ-043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