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22E0C97-54D1-4BC3-841E-4CE65A7A3AFD" style="width:450.85pt;height:380.5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DÔVODOVÁ SPRÁVA</w:t>
      </w:r>
    </w:p>
    <w:p>
      <w:pPr>
        <w:pStyle w:val="ManualHeading1"/>
        <w:rPr>
          <w:noProof/>
        </w:rPr>
      </w:pPr>
      <w:r>
        <w:rPr>
          <w:noProof/>
        </w:rPr>
        <w:t>1.</w:t>
      </w:r>
      <w:r>
        <w:rPr>
          <w:noProof/>
        </w:rPr>
        <w:tab/>
        <w:t>KONTEXT NÁVRHU</w:t>
      </w:r>
    </w:p>
    <w:p>
      <w:pPr>
        <w:pStyle w:val="ManualHeading2"/>
        <w:rPr>
          <w:rFonts w:eastAsia="Arial Unicode MS"/>
          <w:noProof/>
        </w:rPr>
      </w:pPr>
      <w:r>
        <w:rPr>
          <w:noProof/>
          <w:color w:val="000000"/>
          <w:u w:color="000000"/>
          <w:bdr w:val="nil"/>
        </w:rPr>
        <w:t>•</w:t>
      </w:r>
      <w:r>
        <w:rPr>
          <w:noProof/>
        </w:rPr>
        <w:tab/>
        <w:t>Ciele návrhu</w:t>
      </w:r>
    </w:p>
    <w:p>
      <w:pPr>
        <w:rPr>
          <w:rFonts w:eastAsia="Calibri"/>
          <w:noProof/>
          <w:szCs w:val="24"/>
        </w:rPr>
      </w:pPr>
      <w:r>
        <w:rPr>
          <w:noProof/>
        </w:rPr>
        <w:t>Smernica 2002/58/ES („smernica o súkromí a elektronických komunikáciách“)</w:t>
      </w:r>
      <w:r>
        <w:rPr>
          <w:rStyle w:val="FootnoteReference"/>
          <w:noProof/>
        </w:rPr>
        <w:footnoteReference w:id="1"/>
      </w:r>
      <w:r>
        <w:rPr>
          <w:noProof/>
        </w:rPr>
        <w:t xml:space="preserve"> zabezpečuje ochranu súkromného života, dôvernosti komunikácií a osobných údajov v sektore elektronických komunikácií. Implementujú sa ňou články 7 a 8 Charty základných práv Európskej únie (ďalej len „</w:t>
      </w:r>
      <w:r>
        <w:rPr>
          <w:b/>
          <w:noProof/>
          <w:szCs w:val="24"/>
        </w:rPr>
        <w:t>charta</w:t>
      </w:r>
      <w:r>
        <w:rPr>
          <w:noProof/>
        </w:rPr>
        <w:t>“) do sekundárneho práva Únie.</w:t>
      </w:r>
    </w:p>
    <w:p>
      <w:pPr>
        <w:rPr>
          <w:rFonts w:eastAsia="Calibri"/>
          <w:noProof/>
          <w:szCs w:val="24"/>
        </w:rPr>
      </w:pPr>
      <w:r>
        <w:rPr>
          <w:noProof/>
        </w:rPr>
        <w:t>Po začiatku uplatňovania európskeho kódexu elektronických komunikácií (ďalej len „EECC“)</w:t>
      </w:r>
      <w:r>
        <w:rPr>
          <w:rStyle w:val="FootnoteReference"/>
          <w:noProof/>
        </w:rPr>
        <w:footnoteReference w:id="2"/>
      </w:r>
      <w:r>
        <w:rPr>
          <w:noProof/>
        </w:rPr>
        <w:t xml:space="preserve"> 21. decembra 2020 sa vymedzenie pojmu elektronických komunikačných služieb nahradí novým vymedzením, ktoré zahŕňa interpersonálne komunikačné služby nezávislé od číslovania. Od uvedeného dátumu sa teda na tieto služby bude vzťahovať smernica o súkromí a elektronických komunikáciách, v ktorej sa používa vymedzenie pojmu v zmysle EECC. Táto zmena sa týka komunikačných služieb, ako sú webmailové služby, služby odosielania správ a internetová telefónia. </w:t>
      </w:r>
    </w:p>
    <w:p>
      <w:pPr>
        <w:rPr>
          <w:rFonts w:eastAsia="Calibri"/>
          <w:noProof/>
          <w:szCs w:val="24"/>
        </w:rPr>
      </w:pPr>
      <w:r>
        <w:rPr>
          <w:noProof/>
        </w:rPr>
        <w:t xml:space="preserve">Niektorí poskytovatelia interpersonálnych komunikačných služieb nezávislých od číslovania už používajú osobitné technológie na odhaľovanie sexuálneho zneužívania detí vo svojich službách a oznamujú ho orgánom presadzovania práva a organizáciám konajúcim vo verejnom záujme proti sexuálnemu zneužívaniu detí a/alebo na odstránenie detskej pornografie. Pri týchto organizáciách ide o vnútroštátne linky na nahlasovanie detskej pornografie, ako aj o organizácie, ktorých účelom je obmedziť sexuálne vykorisťovanie detí a predchádzať viktimizácii detí a ktoré sa nachádzajú v EÚ aj v tretích krajinách. </w:t>
      </w:r>
    </w:p>
    <w:p>
      <w:pPr>
        <w:autoSpaceDE w:val="0"/>
        <w:autoSpaceDN w:val="0"/>
        <w:spacing w:after="0"/>
        <w:rPr>
          <w:noProof/>
          <w:sz w:val="22"/>
        </w:rPr>
      </w:pPr>
      <w:r>
        <w:rPr>
          <w:noProof/>
        </w:rPr>
        <w:t>Sexuálne zneužívanie detí je obzvlášť závažný trestný čin, ktorý má pre obete rozsiahle a závažné celoživotné následky. Tieto zločiny ubližujú deťom, čím spôsobujú aj značné a dlhodobé sociálne škody. Boj proti sexuálnemu zneužívaniu detí je pre EÚ prioritou. Európska komisia 24. júla 2020 prijala stratégiu EÚ pre účinnejší boj proti sexuálnemu zneužívaniu detí</w:t>
      </w:r>
      <w:r>
        <w:rPr>
          <w:rStyle w:val="FootnoteReference"/>
          <w:noProof/>
        </w:rPr>
        <w:footnoteReference w:id="3"/>
      </w:r>
      <w:r>
        <w:rPr>
          <w:noProof/>
        </w:rPr>
        <w:t>, ktorej cieľom je zabezpečiť na úrovni EÚ účinnú reakciu na trestné činy sexuálneho zneužívania detí. Komisia oznámila, že do 2. štvrťroku 2021 navrhne nevyhnutné právne predpisy na účinné riešenie sexuálneho zneužívania detí online, ktorými sa okrem iného bude od príslušných poskytovateľov online služieb vyžadovať, aby odhaľovali známy materiál obsahujúci sexuálne zneužívanie detí a povinne oznamovali takýto materiál verejným orgánom.</w:t>
      </w:r>
      <w:r>
        <w:rPr>
          <w:noProof/>
          <w:color w:val="000000"/>
          <w:sz w:val="20"/>
          <w:szCs w:val="20"/>
        </w:rPr>
        <w:t xml:space="preserve"> </w:t>
      </w:r>
      <w:r>
        <w:rPr>
          <w:noProof/>
        </w:rPr>
        <w:t>Cieľom ohlásených právnych predpisov bude nahradiť toto nariadenie zavedením povinných opatrení na odhaľovanie a nahlasovanie sexuálneho zneužívania detí s cieľom priniesť viac svetla a istoty do práce orgánov presadzovania práva a príslušných aktérov v súkromnom sektore v boji proti zneužívaniu online, pričom sa zároveň zabezpečí dodržiavanie základných práv používateľov, najmä vrátane práva na slobodu prejavu a presvedčenia, ochranu osobných údajov a súkromia, a stanovia sa mechanizmy na zabezpečenie zodpovednosti a transparentnosti.</w:t>
      </w:r>
    </w:p>
    <w:p>
      <w:pPr>
        <w:autoSpaceDE w:val="0"/>
        <w:autoSpaceDN w:val="0"/>
        <w:spacing w:after="0"/>
        <w:rPr>
          <w:noProof/>
        </w:rPr>
      </w:pPr>
      <w:r>
        <w:rPr>
          <w:noProof/>
        </w:rPr>
        <w:lastRenderedPageBreak/>
        <w:t xml:space="preserve">Poskytovatelia elektronických komunikačných služieb musia dodržiavať povinnosť stanovenú v smernici o súkromí a elektronických komunikáciách, a to rešpektovať dôvernosť komunikácií, ako aj podmienky spracovania údajov z komunikácií. Súčasné postupy niektorých interpersonálnych komunikačných služieb nezávislých od číslovania na odhaľovanie sexuálneho zneužívania detí online by mohli byť v nesúlade s určitými ustanoveniami smernice o súkromí a elektronických komunikáciách. Smernica o súkromí a elektronických komunikáciách neobsahuje explicitný právny základ pre dobrovoľné spracúvanie obsahu alebo prevádzkových údajov na účel odhaľovania sexuálneho zneužívania detí online. Preto v prípade služieb, ktoré patria do rozsahu pôsobnosti smernice o súkromí a elektronických komunikáciách, poskytovatelia budú môcť naďalej uplatňovať takéto opatrenia len vtedy, ak členské štáty prijmú legislatívne opatrenia odôvodnené v zmysle článku 15 uvedenej smernice, ktoré spĺňajú požiadavky uvedeného ustanovenia. Bez takýchto vnútroštátnych legislatívnych opatrení a až do prijatia dlhodobých právnych predpisov oznámených v stratégii Komisie z 24. júla 2020 by poskytovateľom interpersonálnych komunikačných služieb nezávislých od číslovania chýbal právny základ na pokračovanie odhaľovania sexuálneho zneužívania detí v rámci ich služieb. Tieto dobrovoľné činnosti zohrávajú významnú úlohu pri umožňovaní identifikácie a záchrany obetí a obmedzovaní ďalšieho šírenia detskej pornografie, pričom prispievajú aj k identifikácii a vyšetrovaniu páchateľov a k predchádzaniu trestným činom sexuálneho zneužívania detí. </w:t>
      </w:r>
    </w:p>
    <w:p>
      <w:pPr>
        <w:pBdr>
          <w:top w:val="nil"/>
          <w:left w:val="nil"/>
          <w:bottom w:val="nil"/>
          <w:right w:val="nil"/>
          <w:between w:val="nil"/>
          <w:bar w:val="nil"/>
        </w:pBdr>
        <w:spacing w:after="240"/>
        <w:rPr>
          <w:rFonts w:eastAsia="Calibri"/>
          <w:noProof/>
          <w:szCs w:val="24"/>
        </w:rPr>
      </w:pPr>
      <w:r>
        <w:rPr>
          <w:noProof/>
        </w:rPr>
        <w:t>Komisia sa domnieva, že je nevyhnutné prijať okamžité opatrenie. Tento návrh preto predstavuje úzke a cielené dočasné legislatívne riešenie s jediným cieľom vytvoriť dočasnú a prísne obmedzenú výnimku z uplatniteľnosti článku 5 ods. 1 a článku 6 smernice o súkromí a elektronických komunikáciách, ktoré chránia dôvernosť komunikácií a prevádzkových údajov. Tento návrh rešpektuje základné práva vrátane práva na súkromie a ochranu osobných údajov a zároveň umožňuje poskytovateľom interpersonálnych komunikačných služieb nezávislých od číslovania naďalej používať osobitné technológie a pokračovať vo svojich súčasných činnostiach v rozsahu potrebnom na odhaľovanie a nahlasovanie sexuálneho zneužívania detí online a odstraňovanie detskej pornografie v rámci ich služieb, a to až do prijatia ohlásených dlhodobých právnych predpisov. Dobrovoľné úsilie o odhaľovanie nadväzovania kontaktov s deťmi na účely sexuálneho zneužívania („grooming“) musí byť takisto obmedzené na využívanie existujúcich moderných technológií, ktoré zodpovedá stanoveným zárukám. Toto nariadenie by sa malo prestať uplatňovať v decembri 2025. V prípade, že sa ohlásené dlhodobé právne predpisy prijmú a nadobudnú účinnosť pred týmto dátumom, uvedenými právnymi predpismi by sa malo toto nariadenie zrušiť.</w:t>
      </w:r>
    </w:p>
    <w:p>
      <w:pPr>
        <w:pStyle w:val="ManualHeading1"/>
        <w:rPr>
          <w:noProof/>
        </w:rPr>
      </w:pPr>
      <w:r>
        <w:rPr>
          <w:noProof/>
        </w:rPr>
        <w:t>2.</w:t>
      </w:r>
      <w:r>
        <w:rPr>
          <w:noProof/>
        </w:rPr>
        <w:tab/>
        <w:t>PRÁVNY ZÁKLAD, SUBSIDIARITA A PROPORCIONALITA</w:t>
      </w:r>
    </w:p>
    <w:p>
      <w:pPr>
        <w:pStyle w:val="ManualHeading2"/>
        <w:rPr>
          <w:rFonts w:eastAsia="Arial Unicode MS"/>
          <w:noProof/>
          <w:u w:color="000000"/>
          <w:bdr w:val="nil"/>
        </w:rPr>
      </w:pPr>
      <w:r>
        <w:rPr>
          <w:noProof/>
          <w:u w:color="000000"/>
          <w:bdr w:val="nil"/>
        </w:rPr>
        <w:t>•</w:t>
      </w:r>
      <w:r>
        <w:rPr>
          <w:noProof/>
        </w:rPr>
        <w:tab/>
      </w:r>
      <w:r>
        <w:rPr>
          <w:noProof/>
          <w:u w:color="000000"/>
          <w:bdr w:val="nil"/>
        </w:rPr>
        <w:t>Právny základ</w:t>
      </w:r>
    </w:p>
    <w:p>
      <w:pPr>
        <w:pBdr>
          <w:top w:val="nil"/>
          <w:left w:val="nil"/>
          <w:bottom w:val="nil"/>
          <w:right w:val="nil"/>
          <w:between w:val="nil"/>
          <w:bar w:val="nil"/>
        </w:pBdr>
        <w:spacing w:after="240"/>
        <w:rPr>
          <w:rFonts w:eastAsia="Arial Unicode MS"/>
          <w:noProof/>
          <w:color w:val="000000"/>
          <w:szCs w:val="24"/>
          <w:u w:color="000000"/>
          <w:bdr w:val="nil"/>
        </w:rPr>
      </w:pPr>
      <w:r>
        <w:rPr>
          <w:noProof/>
          <w:color w:val="000000"/>
          <w:szCs w:val="24"/>
          <w:u w:color="000000"/>
          <w:bdr w:val="nil"/>
        </w:rPr>
        <w:t xml:space="preserve">Príslušným právnym základom sú články 16 a 114 Zmluvy o fungovaní Európskej únie (ZFEÚ). </w:t>
      </w:r>
    </w:p>
    <w:p>
      <w:pPr>
        <w:pBdr>
          <w:top w:val="nil"/>
          <w:left w:val="nil"/>
          <w:bottom w:val="nil"/>
          <w:right w:val="nil"/>
          <w:between w:val="nil"/>
          <w:bar w:val="nil"/>
        </w:pBdr>
        <w:spacing w:after="240"/>
        <w:rPr>
          <w:rFonts w:eastAsia="Arial Unicode MS"/>
          <w:noProof/>
          <w:color w:val="000000"/>
          <w:szCs w:val="24"/>
          <w:u w:color="000000"/>
          <w:bdr w:val="nil"/>
        </w:rPr>
      </w:pPr>
      <w:r>
        <w:rPr>
          <w:noProof/>
        </w:rPr>
        <w:t>Vzhľadom na to, že týmto nariadením sa stanovuje dočasná výnimka z určitých ustanovení smernice 2002/58/ES, ktorá bola prijatá na základe článku 95 Zmluvy o založení Európskeho spoločenstva, je vhodné prijať toto nariadenie na základe zodpovedajúceho ustanovenia článku 114 ZFEÚ. Okrem toho nie všetky členské štáty prijali legislatívne opatrenia v súlade s článkom 15 ods. 1 smernice o súkromí a elektronických komunikáciách týkajúce sa používania technológií poskytovateľmi interpersonálnych komunikačných služieb nezávislých od číslovania na účely boja proti sexuálnemu zneužívaniu detí online a s prijatím takýchto opatrení je spojené značné riziko fragmentácie, ktorá môže negatívne ovplyvniť vnútorný trh.</w:t>
      </w:r>
      <w:r>
        <w:rPr>
          <w:noProof/>
          <w:color w:val="000000"/>
          <w:szCs w:val="24"/>
          <w:u w:color="000000"/>
          <w:bdr w:val="nil"/>
        </w:rPr>
        <w:t xml:space="preserve"> Preto je vhodné prijať toto nariadenie na základe článku 114 ZFEÚ.</w:t>
      </w:r>
    </w:p>
    <w:p>
      <w:pPr>
        <w:pBdr>
          <w:top w:val="nil"/>
          <w:left w:val="nil"/>
          <w:bottom w:val="nil"/>
          <w:right w:val="nil"/>
          <w:between w:val="nil"/>
          <w:bar w:val="nil"/>
        </w:pBdr>
        <w:spacing w:after="240"/>
        <w:rPr>
          <w:rFonts w:eastAsia="Arial Unicode MS"/>
          <w:noProof/>
          <w:color w:val="000000"/>
          <w:szCs w:val="24"/>
          <w:u w:color="000000"/>
          <w:bdr w:val="nil"/>
        </w:rPr>
      </w:pPr>
      <w:r>
        <w:rPr>
          <w:noProof/>
          <w:color w:val="000000"/>
          <w:szCs w:val="24"/>
          <w:u w:color="000000"/>
          <w:bdr w:val="nil"/>
        </w:rPr>
        <w:lastRenderedPageBreak/>
        <w:t>V článku 16 ZFEÚ sa zavádza osobitný právny základ na prijímanie pravidiel týkajúcich sa ochrany jednotlivcov pri spracúvaní osobných údajov inštitúciami Únie a členskými štátmi počas vykonávania činností patriacich do rozsahu pôsobnosti práva Únie a pravidiel týkajúcich sa voľného pohybu takýchto údajov. Keďže elektronická komunikácia zahŕňajúca fyzickú osobu sa zvyčajne považuje za osobné údaje, toto nariadenie by malo byť založené aj na článku 16 ZFEÚ.</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 (v prípade inej ako výlučnej právomoci) </w:t>
      </w:r>
    </w:p>
    <w:p>
      <w:pPr>
        <w:pBdr>
          <w:top w:val="nil"/>
          <w:left w:val="nil"/>
          <w:bottom w:val="nil"/>
          <w:right w:val="nil"/>
          <w:between w:val="nil"/>
          <w:bar w:val="nil"/>
        </w:pBdr>
        <w:spacing w:after="240"/>
        <w:rPr>
          <w:rFonts w:eastAsia="Arial Unicode MS"/>
          <w:noProof/>
          <w:color w:val="000000"/>
          <w:szCs w:val="24"/>
          <w:u w:color="000000"/>
          <w:bdr w:val="nil"/>
        </w:rPr>
      </w:pPr>
      <w:r>
        <w:rPr>
          <w:noProof/>
          <w:color w:val="000000"/>
          <w:szCs w:val="24"/>
          <w:u w:color="000000"/>
          <w:bdr w:val="nil"/>
        </w:rPr>
        <w:t xml:space="preserve">Podľa zásady subsidiarity môžu byť opatrenia na úrovni EÚ prijaté len vtedy, ak členské štáty nedokážu samy dosiahnuť plánované ciele. Zásah EÚ je potrebný na zachovanie schopnosti poskytovateľov interpersonálnych komunikačných služieb nezávislých od číslovania dobrovoľne odhaľovať a nahlasovať sexuálne zneužívanie detí online a odstraňovať detskú pornografiu, ako aj na zabezpečenie jednotného a súdržného právneho rámca pre príslušné činnosti na celom vnútornom trhu. Ak by členské štáty prijali odlišujúce sa vnútroštátne právne predpisy, nečinnosť Únie v tejto oblasti by mohla viesť k fragmentácii. Okrem toho by takéto vnútroštátne riešenia pravdepodobne nebolo možné prijať do 21. decembra 2020 vo všetkých členských štátoch. Celoúnijnú výnimku z uplatňovania ustanovení smernice o súkromí a elektronických komunikáciách na určité spracovateľské činnosti možno navyše prijať len prostredníctvom právnych predpisov Únie. Cieľ preto nemôže účinne dosiahnuť žiadny členský štát konajúci samostatne, ani členské štáty konajúce spoločne. </w:t>
      </w:r>
    </w:p>
    <w:p>
      <w:pPr>
        <w:pStyle w:val="ManualHeading2"/>
        <w:rPr>
          <w:rFonts w:eastAsia="Arial Unicode MS"/>
          <w:noProof/>
          <w:u w:color="000000"/>
          <w:bdr w:val="nil"/>
        </w:rPr>
      </w:pPr>
      <w:r>
        <w:rPr>
          <w:noProof/>
          <w:u w:color="000000"/>
          <w:bdr w:val="nil"/>
        </w:rPr>
        <w:t>•</w:t>
      </w:r>
      <w:r>
        <w:rPr>
          <w:noProof/>
        </w:rPr>
        <w:tab/>
      </w:r>
      <w:r>
        <w:rPr>
          <w:noProof/>
          <w:u w:color="000000"/>
          <w:bdr w:val="nil"/>
        </w:rPr>
        <w:t>Proporcionalita</w:t>
      </w:r>
    </w:p>
    <w:p>
      <w:pPr>
        <w:pBdr>
          <w:top w:val="nil"/>
          <w:left w:val="nil"/>
          <w:bottom w:val="nil"/>
          <w:right w:val="nil"/>
          <w:between w:val="nil"/>
          <w:bar w:val="nil"/>
        </w:pBdr>
        <w:spacing w:after="240"/>
        <w:rPr>
          <w:rFonts w:eastAsia="Arial Unicode MS"/>
          <w:noProof/>
          <w:color w:val="000000"/>
          <w:szCs w:val="24"/>
          <w:u w:color="000000"/>
          <w:bdr w:val="nil"/>
        </w:rPr>
      </w:pPr>
      <w:r>
        <w:rPr>
          <w:noProof/>
          <w:color w:val="000000"/>
          <w:szCs w:val="24"/>
          <w:u w:color="000000"/>
          <w:bdr w:val="nil"/>
        </w:rPr>
        <w:t xml:space="preserve">Návrh je v súlade so zásadou proporcionality stanovenou v článku 5 Zmluvy o Európskej únii, keďže neprekročí rámec toho, čo je nevyhnutné na dosiahnutie stanovených cieľov. Zavádza sa ním cielená a dočasná výnimka, pokiaľ ide o určité aspekty zmien súčasného rámca, aby sa zabezpečilo, že určité opatrenia zostanú prípustné, pokiaľ sú v súčasnosti v súlade s právom Únie. </w:t>
      </w:r>
      <w:r>
        <w:rPr>
          <w:noProof/>
        </w:rPr>
        <w:t>Tento návrh najmä vytvára dočasnú a prísne obmedzenú výnimku z uplatniteľnosti článku 5 ods. 1 a článku 6 smernice o súkromí a elektronických komunikáciách s jediným cieľom, a to umožniť poskytovateľom interpersonálnych komunikačných služieb nezávislých od číslovania naďalej používať osobitné technológie a pokračovať vo svojich súčasných činnostiach v rozsahu potrebnom na odhaľovanie a nahlasovanie sexuálneho zneužívania detí online a odstraňovanie detskej pornografie v rámci ich služieb, a to až do prijatia ohlásených dlhodobých právnych predpisov.</w:t>
      </w:r>
      <w:r>
        <w:rPr>
          <w:noProof/>
          <w:color w:val="000000"/>
          <w:szCs w:val="24"/>
          <w:u w:color="000000"/>
          <w:bdr w:val="nil"/>
        </w:rPr>
        <w:t xml:space="preserve"> Túto výnimku z revidovaného rozsahu pôsobnosti smernice o súkromí a elektronických komunikáciách treba vykladať reštriktívne, najmä preto, že interpersonálne komunikačné služby nezávislé od číslovania budú naďalej podliehať smernici o súkromí a elektronických komunikáciách, pokiaľ ide o všetky ich ostatné činnosti. Návrh preto obsahuje záruky na zabezpečenie toho, aby technológie, na ktoré sa vzťahuje výnimka, spĺňali normy najlepších postupov, ktoré sa v súčasnosti uplatňujú, a tým obmedzuje rušivý vplyv na dôvernosť komunikácií a riziko obchádzania. </w:t>
      </w:r>
      <w:r>
        <w:rPr>
          <w:noProof/>
        </w:rPr>
        <w:t>Výnimka sa obmedzuje na technológie, ktoré pravidelne využívali interpersonálne komunikačné služby nezávislé od číslovania na účely odhaľovania a nahlasovania sexuálneho zneužívania detí online a odstraňovania detskej pornografie pred nadobudnutím účinnosti tohto nariadenia, a zabezpečuje, aby používané druhy technológií čo najmenej narúšali súkromie v súlade s najnovším stavom techniky v tomto odvetví. Poskytovatelia by mali uverejňovať aj výročné správy o vykonávanom spracovaní.</w:t>
      </w:r>
      <w:r>
        <w:rPr>
          <w:noProof/>
          <w:color w:val="000000"/>
          <w:szCs w:val="24"/>
          <w:u w:color="000000"/>
          <w:bdr w:val="nil"/>
        </w:rPr>
        <w:t xml:space="preserve"> Trvanie výnimky je obmedzené na obdobie nevyhnutne potrebné na prijatie dlhodobých právnych predpisov.</w:t>
      </w:r>
    </w:p>
    <w:p>
      <w:pPr>
        <w:pStyle w:val="ManualHeading2"/>
        <w:rPr>
          <w:rFonts w:eastAsia="Arial Unicode MS"/>
          <w:noProof/>
          <w:u w:color="000000"/>
          <w:bdr w:val="nil"/>
        </w:rPr>
      </w:pPr>
      <w:r>
        <w:rPr>
          <w:noProof/>
          <w:u w:color="000000"/>
          <w:bdr w:val="nil"/>
        </w:rPr>
        <w:t>•</w:t>
      </w:r>
      <w:r>
        <w:rPr>
          <w:noProof/>
        </w:rPr>
        <w:tab/>
      </w:r>
      <w:r>
        <w:rPr>
          <w:noProof/>
          <w:u w:color="000000"/>
          <w:bdr w:val="nil"/>
        </w:rPr>
        <w:t>Výber nástroja</w:t>
      </w:r>
    </w:p>
    <w:p>
      <w:pPr>
        <w:autoSpaceDE w:val="0"/>
        <w:autoSpaceDN w:val="0"/>
        <w:spacing w:after="0"/>
        <w:rPr>
          <w:noProof/>
          <w:sz w:val="22"/>
        </w:rPr>
      </w:pPr>
      <w:r>
        <w:rPr>
          <w:noProof/>
          <w:color w:val="000000"/>
          <w:szCs w:val="24"/>
          <w:u w:color="000000"/>
          <w:bdr w:val="nil"/>
        </w:rPr>
        <w:t xml:space="preserve">Ciele tohto návrhu možno najlepšie realizovať prostredníctvom nariadenia. Tým sa zabezpečí priama uplatniteľnosť ustanovení a jednotný a súdržný prístup na celom vnútornom trhu. Je to </w:t>
      </w:r>
      <w:r>
        <w:rPr>
          <w:noProof/>
          <w:color w:val="000000"/>
          <w:szCs w:val="24"/>
          <w:u w:color="000000"/>
          <w:bdr w:val="nil"/>
        </w:rPr>
        <w:lastRenderedPageBreak/>
        <w:t xml:space="preserve">mimoriadne dôležité, keďže jednotlivé spoločnosti realizujú opatrenia boja proti sexuálnemu zneužívaniu detí online jednotne v rámci celej svojej služby a rozdielne vnútroštátne transpozičné opatrenia by mohli odrádzať od pokračovania v tejto dobrovoľnej činnosti. </w:t>
      </w:r>
      <w:r>
        <w:rPr>
          <w:noProof/>
        </w:rPr>
        <w:t>Okrem toho sa zdá, že stihnúť dátum začatia uplatňovania, ktorým je 21. december, dokáže len nariadenie.</w:t>
      </w:r>
    </w:p>
    <w:p>
      <w:pPr>
        <w:pBdr>
          <w:top w:val="nil"/>
          <w:left w:val="nil"/>
          <w:bottom w:val="nil"/>
          <w:right w:val="nil"/>
          <w:between w:val="nil"/>
          <w:bar w:val="nil"/>
        </w:pBdr>
        <w:spacing w:after="240"/>
        <w:rPr>
          <w:rFonts w:eastAsia="Arial Unicode MS"/>
          <w:noProof/>
          <w:color w:val="000000"/>
          <w:szCs w:val="24"/>
          <w:u w:color="000000"/>
          <w:bdr w:val="nil"/>
          <w:lang w:eastAsia="en-GB"/>
        </w:rPr>
      </w:pPr>
    </w:p>
    <w:p>
      <w:pPr>
        <w:pStyle w:val="ManualHeading1"/>
        <w:rPr>
          <w:noProof/>
        </w:rPr>
      </w:pPr>
      <w:r>
        <w:rPr>
          <w:noProof/>
        </w:rPr>
        <w:t>3.</w:t>
      </w:r>
      <w:r>
        <w:rPr>
          <w:noProof/>
        </w:rPr>
        <w:tab/>
        <w:t>VÝSLEDKY HODNOTENÍ EX POST, KONZULTÁCIÍ SO ZAINTERESOVANÝMI STRANAMI A POSÚDENÍ VPLYVU</w:t>
      </w:r>
    </w:p>
    <w:p>
      <w:pPr>
        <w:pStyle w:val="ManualHeading2"/>
        <w:rPr>
          <w:rFonts w:eastAsia="Arial Unicode MS"/>
          <w:noProof/>
          <w:u w:color="000000"/>
          <w:bdr w:val="nil"/>
        </w:rPr>
      </w:pPr>
      <w:r>
        <w:rPr>
          <w:noProof/>
          <w:u w:color="000000"/>
          <w:bdr w:val="nil"/>
        </w:rPr>
        <w:t>•</w:t>
      </w:r>
      <w:r>
        <w:rPr>
          <w:noProof/>
        </w:rPr>
        <w:tab/>
      </w:r>
      <w:r>
        <w:rPr>
          <w:noProof/>
          <w:u w:color="000000"/>
          <w:bdr w:val="nil"/>
        </w:rPr>
        <w:t>Hodnotenia ex post/kontroly vhodnosti existujúcich právnych predpisov</w:t>
      </w:r>
    </w:p>
    <w:p>
      <w:pPr>
        <w:pBdr>
          <w:top w:val="nil"/>
          <w:left w:val="nil"/>
          <w:bottom w:val="nil"/>
          <w:right w:val="nil"/>
          <w:between w:val="nil"/>
          <w:bar w:val="nil"/>
        </w:pBdr>
        <w:spacing w:after="240"/>
        <w:rPr>
          <w:rFonts w:eastAsia="Arial Unicode MS"/>
          <w:noProof/>
          <w:color w:val="000000"/>
          <w:szCs w:val="24"/>
          <w:u w:color="000000"/>
          <w:bdr w:val="nil"/>
        </w:rPr>
      </w:pPr>
      <w:r>
        <w:rPr>
          <w:noProof/>
          <w:color w:val="000000"/>
          <w:szCs w:val="24"/>
          <w:u w:color="000000"/>
          <w:bdr w:val="nil"/>
        </w:rPr>
        <w:t>Neuplatňuje sa.</w:t>
      </w:r>
    </w:p>
    <w:p>
      <w:pPr>
        <w:pStyle w:val="ManualHeading2"/>
        <w:rPr>
          <w:rFonts w:eastAsia="Arial Unicode MS"/>
          <w:noProof/>
          <w:u w:color="000000"/>
          <w:bdr w:val="nil"/>
        </w:rPr>
      </w:pPr>
      <w:r>
        <w:rPr>
          <w:noProof/>
          <w:u w:color="000000"/>
          <w:bdr w:val="nil"/>
        </w:rPr>
        <w:t>•</w:t>
      </w:r>
      <w:r>
        <w:rPr>
          <w:noProof/>
        </w:rPr>
        <w:tab/>
      </w:r>
      <w:r>
        <w:rPr>
          <w:noProof/>
          <w:u w:color="000000"/>
          <w:bdr w:val="nil"/>
        </w:rPr>
        <w:t>Konzultácie so zainteresovanými stranami</w:t>
      </w:r>
    </w:p>
    <w:p>
      <w:pPr>
        <w:pBdr>
          <w:top w:val="nil"/>
          <w:left w:val="nil"/>
          <w:bottom w:val="nil"/>
          <w:right w:val="nil"/>
          <w:between w:val="nil"/>
          <w:bar w:val="nil"/>
        </w:pBdr>
        <w:spacing w:after="240"/>
        <w:rPr>
          <w:rFonts w:eastAsia="Arial Unicode MS"/>
          <w:noProof/>
          <w:color w:val="000000"/>
          <w:szCs w:val="24"/>
          <w:u w:color="000000"/>
          <w:bdr w:val="nil"/>
        </w:rPr>
      </w:pPr>
      <w:r>
        <w:rPr>
          <w:noProof/>
          <w:color w:val="000000"/>
          <w:szCs w:val="24"/>
          <w:u w:color="000000"/>
          <w:bdr w:val="nil"/>
        </w:rPr>
        <w:t>Neuplatňuje sa.</w:t>
      </w:r>
    </w:p>
    <w:p>
      <w:pPr>
        <w:pStyle w:val="ManualHeading2"/>
        <w:rPr>
          <w:rFonts w:eastAsia="Arial Unicode MS"/>
          <w:noProof/>
          <w:u w:color="000000"/>
          <w:bdr w:val="nil"/>
        </w:rPr>
      </w:pPr>
      <w:r>
        <w:rPr>
          <w:noProof/>
          <w:u w:color="000000"/>
          <w:bdr w:val="nil"/>
        </w:rPr>
        <w:t>•</w:t>
      </w:r>
      <w:r>
        <w:rPr>
          <w:noProof/>
        </w:rPr>
        <w:tab/>
      </w:r>
      <w:r>
        <w:rPr>
          <w:noProof/>
          <w:u w:color="000000"/>
          <w:bdr w:val="nil"/>
        </w:rPr>
        <w:t>Získavanie a využívanie expertízy</w:t>
      </w:r>
    </w:p>
    <w:p>
      <w:pPr>
        <w:pBdr>
          <w:top w:val="nil"/>
          <w:left w:val="nil"/>
          <w:bottom w:val="nil"/>
          <w:right w:val="nil"/>
          <w:between w:val="nil"/>
          <w:bar w:val="nil"/>
        </w:pBdr>
        <w:spacing w:after="240"/>
        <w:rPr>
          <w:rFonts w:eastAsia="Arial Unicode MS"/>
          <w:noProof/>
          <w:color w:val="000000"/>
          <w:szCs w:val="24"/>
          <w:u w:color="000000"/>
          <w:bdr w:val="nil"/>
        </w:rPr>
      </w:pPr>
      <w:r>
        <w:rPr>
          <w:noProof/>
          <w:color w:val="000000"/>
          <w:szCs w:val="24"/>
          <w:u w:color="000000"/>
          <w:bdr w:val="nil"/>
        </w:rPr>
        <w:t>Neuplatňuje sa.</w:t>
      </w:r>
    </w:p>
    <w:p>
      <w:pPr>
        <w:pStyle w:val="ManualHeading2"/>
        <w:rPr>
          <w:rFonts w:eastAsia="Arial Unicode MS"/>
          <w:noProof/>
          <w:u w:color="000000"/>
          <w:bdr w:val="nil"/>
        </w:rPr>
      </w:pPr>
      <w:r>
        <w:rPr>
          <w:noProof/>
          <w:u w:color="000000"/>
          <w:bdr w:val="nil"/>
        </w:rPr>
        <w:t>•</w:t>
      </w:r>
      <w:r>
        <w:rPr>
          <w:noProof/>
        </w:rPr>
        <w:tab/>
      </w:r>
      <w:r>
        <w:rPr>
          <w:noProof/>
          <w:u w:color="000000"/>
          <w:bdr w:val="nil"/>
        </w:rPr>
        <w:t>Posúdenie vplyvu</w:t>
      </w:r>
    </w:p>
    <w:p>
      <w:pPr>
        <w:pBdr>
          <w:top w:val="nil"/>
          <w:left w:val="nil"/>
          <w:bottom w:val="nil"/>
          <w:right w:val="nil"/>
          <w:between w:val="nil"/>
          <w:bar w:val="nil"/>
        </w:pBdr>
        <w:spacing w:after="240"/>
        <w:rPr>
          <w:rFonts w:eastAsia="Arial Unicode MS"/>
          <w:noProof/>
          <w:color w:val="000000"/>
          <w:szCs w:val="24"/>
          <w:u w:color="000000"/>
          <w:bdr w:val="nil"/>
        </w:rPr>
      </w:pPr>
      <w:r>
        <w:rPr>
          <w:noProof/>
          <w:color w:val="000000"/>
          <w:szCs w:val="24"/>
          <w:u w:color="000000"/>
          <w:bdr w:val="nil"/>
        </w:rPr>
        <w:t xml:space="preserve">Vzhľadom na politický cieľ a časovo citlivú povahu tejto otázky nie sú k dispozícii žiadne iné vecne odlišné možnosti politiky, a teda žiadne posúdenie vplyvu nie je vhodné. </w:t>
      </w:r>
      <w:r>
        <w:rPr>
          <w:noProof/>
        </w:rPr>
        <w:t>Cieľom opatrenia je najmä zaviesť dočasnú a prísne obmedzenú výnimku z uplatňovania článku 5 ods. 1 a článku 6 smernice o súkromí a elektronických komunikáciách s cieľom zabezpečiť, aby poskytovatelia interpersonálnych komunikačných služieb nezávislých od číslovania mohli naďalej dobrovoľne používať osobitné technológie na odhaľovanie a nahlasovanie sexuálneho zneužívania detí online a odstraňovať detskú pornografiu v rámci svojich služieb po 20. decembri 2020, kým sa neprijmú dlhodobé právne predpisy.</w:t>
      </w:r>
      <w:r>
        <w:rPr>
          <w:noProof/>
          <w:color w:val="000000"/>
          <w:szCs w:val="24"/>
          <w:u w:color="000000"/>
          <w:bdr w:val="nil"/>
        </w:rPr>
        <w:t xml:space="preserve"> </w:t>
      </w:r>
      <w:r>
        <w:rPr>
          <w:noProof/>
        </w:rPr>
        <w:t>Dlhodobé právne predpisy budú navrhnuté v druhom štvrťroku 2021, ako sa uvádza v stratégii EÚ pre účinnejší boj proti sexuálnemu zneužívaniu detí, a bude ich sprevádzať posúdenie vplyvu.</w:t>
      </w:r>
      <w:r>
        <w:rPr>
          <w:noProof/>
          <w:color w:val="000000"/>
          <w:szCs w:val="24"/>
          <w:u w:color="000000"/>
          <w:bdr w:val="nil"/>
        </w:rPr>
        <w:t xml:space="preserve"> </w:t>
      </w:r>
    </w:p>
    <w:p>
      <w:pPr>
        <w:pStyle w:val="ManualHeading2"/>
        <w:rPr>
          <w:rFonts w:eastAsia="Arial Unicode MS"/>
          <w:noProof/>
          <w:u w:color="000000"/>
          <w:bdr w:val="nil"/>
        </w:rPr>
      </w:pPr>
      <w:r>
        <w:rPr>
          <w:noProof/>
          <w:u w:color="000000"/>
          <w:bdr w:val="nil"/>
        </w:rPr>
        <w:t>•</w:t>
      </w:r>
      <w:r>
        <w:rPr>
          <w:noProof/>
        </w:rPr>
        <w:tab/>
      </w:r>
      <w:r>
        <w:rPr>
          <w:noProof/>
          <w:u w:color="000000"/>
          <w:bdr w:val="nil"/>
        </w:rPr>
        <w:t>Základné práva</w:t>
      </w:r>
    </w:p>
    <w:p>
      <w:pPr>
        <w:pBdr>
          <w:top w:val="nil"/>
          <w:left w:val="nil"/>
          <w:bottom w:val="nil"/>
          <w:right w:val="nil"/>
          <w:between w:val="nil"/>
          <w:bar w:val="nil"/>
        </w:pBdr>
        <w:spacing w:after="240"/>
        <w:rPr>
          <w:rFonts w:eastAsia="Arial Unicode MS"/>
          <w:noProof/>
          <w:color w:val="000000"/>
          <w:szCs w:val="24"/>
          <w:u w:color="000000"/>
          <w:bdr w:val="nil"/>
        </w:rPr>
      </w:pPr>
      <w:r>
        <w:rPr>
          <w:noProof/>
          <w:color w:val="000000"/>
          <w:szCs w:val="24"/>
          <w:u w:color="000000"/>
          <w:bdr w:val="nil"/>
        </w:rPr>
        <w:t xml:space="preserve">V návrhu sú v plnej miere zohľadnené základné práva a zásady uznané v Charte základných práv Európskej únie. Navrhované opatrenia zohľadňujú najmä článok 7 Charty základných práv Európskej únie, ktorý chráni základné právo každého človeka na rešpektovanie jeho súkromného a rodinného života, obydlia a komunikácie, ktoré zahŕňa dôvernosť komunikácie. Okrem toho sa v návrhu zohľadňuje článok 24 ods. 2 charty, v ktorom sa stanovuje, že pri všetkých opatreniach prijatých orgánmi verejnej moci alebo súkromnými inštitúciami, ktoré sa týkajú detí, sa musia v prvom rade brať do úvahy najlepšie záujmy dieťaťa. Navyše pokiaľ spracúvanie elektronických komunikácií interpersonálnymi komunikačnými službami nezávislými od číslovania výlučne na účely odhaľovania a nahlasovania sexuálneho zneužívania detí online a odstraňovania detskej pornografie patrí do rozsahu pôsobnosti výnimky stanovenej týmto návrhom, na takéto spracúvanie sa naďalej vzťahuje všeobecné nariadenie o ochrane údajov, ktorým sa v sekundárnych právnych predpisoch vykonáva článok 8 ods. 1 charty. </w:t>
      </w:r>
    </w:p>
    <w:p>
      <w:pPr>
        <w:pStyle w:val="ManualHeading1"/>
        <w:rPr>
          <w:noProof/>
        </w:rPr>
      </w:pPr>
      <w:r>
        <w:rPr>
          <w:noProof/>
        </w:rPr>
        <w:t>4.</w:t>
      </w:r>
      <w:r>
        <w:rPr>
          <w:noProof/>
        </w:rPr>
        <w:tab/>
        <w:t>VPLYV NA ROZPOČET</w:t>
      </w:r>
    </w:p>
    <w:p>
      <w:pPr>
        <w:pBdr>
          <w:top w:val="nil"/>
          <w:left w:val="nil"/>
          <w:bottom w:val="nil"/>
          <w:right w:val="nil"/>
          <w:between w:val="nil"/>
          <w:bar w:val="nil"/>
        </w:pBdr>
        <w:spacing w:after="240"/>
        <w:rPr>
          <w:rFonts w:eastAsia="Arial Unicode MS"/>
          <w:noProof/>
          <w:color w:val="000000"/>
          <w:szCs w:val="24"/>
          <w:u w:color="000000"/>
          <w:bdr w:val="nil"/>
        </w:rPr>
      </w:pPr>
      <w:r>
        <w:rPr>
          <w:noProof/>
          <w:color w:val="000000"/>
          <w:szCs w:val="24"/>
          <w:u w:color="000000"/>
          <w:bdr w:val="nil"/>
        </w:rPr>
        <w:t>Tento návrh nemá žiadny vplyv na rozpočet EÚ.</w:t>
      </w:r>
    </w:p>
    <w:p>
      <w:pPr>
        <w:pStyle w:val="ManualHeading1"/>
        <w:rPr>
          <w:noProof/>
        </w:rPr>
      </w:pPr>
      <w:r>
        <w:rPr>
          <w:noProof/>
        </w:rPr>
        <w:lastRenderedPageBreak/>
        <w:t>5.</w:t>
      </w:r>
      <w:r>
        <w:rPr>
          <w:noProof/>
        </w:rPr>
        <w:tab/>
        <w:t>ĎALŠIE PRVKY</w:t>
      </w:r>
    </w:p>
    <w:p>
      <w:pPr>
        <w:pStyle w:val="ManualHeading2"/>
        <w:rPr>
          <w:rFonts w:eastAsia="Arial Unicode MS"/>
          <w:noProof/>
          <w:u w:color="000000"/>
          <w:bdr w:val="nil"/>
        </w:rPr>
      </w:pPr>
      <w:r>
        <w:rPr>
          <w:noProof/>
          <w:u w:color="000000"/>
          <w:bdr w:val="nil"/>
        </w:rPr>
        <w:t>•</w:t>
      </w:r>
      <w:r>
        <w:rPr>
          <w:noProof/>
        </w:rPr>
        <w:tab/>
      </w:r>
      <w:r>
        <w:rPr>
          <w:noProof/>
          <w:u w:color="000000"/>
          <w:bdr w:val="nil"/>
        </w:rPr>
        <w:t>Plány vykonávania, spôsob monitorovania, hodnotenia a podávania správ</w:t>
      </w:r>
    </w:p>
    <w:p>
      <w:pPr>
        <w:pBdr>
          <w:top w:val="nil"/>
          <w:left w:val="nil"/>
          <w:bottom w:val="nil"/>
          <w:right w:val="nil"/>
          <w:between w:val="nil"/>
          <w:bar w:val="nil"/>
        </w:pBdr>
        <w:spacing w:after="240"/>
        <w:rPr>
          <w:rFonts w:eastAsia="Arial Unicode MS"/>
          <w:i/>
          <w:noProof/>
          <w:color w:val="000000"/>
          <w:szCs w:val="24"/>
          <w:u w:color="000000"/>
          <w:bdr w:val="nil"/>
        </w:rPr>
      </w:pPr>
      <w:r>
        <w:rPr>
          <w:noProof/>
          <w:color w:val="000000"/>
          <w:szCs w:val="24"/>
          <w:u w:color="000000"/>
          <w:bdr w:val="nil"/>
        </w:rPr>
        <w:t>Neuplatňuje sa.</w:t>
      </w:r>
    </w:p>
    <w:p>
      <w:pPr>
        <w:pStyle w:val="ManualHeading2"/>
        <w:rPr>
          <w:rFonts w:eastAsia="Arial Unicode MS"/>
          <w:noProof/>
          <w:u w:color="000000"/>
          <w:bdr w:val="nil"/>
        </w:rPr>
      </w:pPr>
      <w:r>
        <w:rPr>
          <w:noProof/>
          <w:u w:color="000000"/>
          <w:bdr w:val="nil"/>
        </w:rPr>
        <w:t>•</w:t>
      </w:r>
      <w:r>
        <w:rPr>
          <w:noProof/>
        </w:rPr>
        <w:tab/>
      </w:r>
      <w:r>
        <w:rPr>
          <w:noProof/>
          <w:u w:color="000000"/>
          <w:bdr w:val="nil"/>
        </w:rPr>
        <w:t>Podrobné vysvetlenie konkrétnych ustanovení návrhu</w:t>
      </w:r>
    </w:p>
    <w:p>
      <w:pPr>
        <w:spacing w:after="240"/>
        <w:rPr>
          <w:rFonts w:eastAsia="Arial Unicode MS"/>
          <w:noProof/>
          <w:color w:val="000000"/>
          <w:szCs w:val="24"/>
          <w:u w:color="000000"/>
          <w:bdr w:val="nil"/>
        </w:rPr>
      </w:pPr>
      <w:r>
        <w:rPr>
          <w:noProof/>
        </w:rPr>
        <w:t>V článku 1 sa vymedzuje cieľ návrhu, a to vytvoriť dočasnú a prísne obmedzenú výnimku z uplatňovania určitých povinností smernice 2002/58/ES s jediným cieľom umožniť poskytovateľom interpersonálnych komunikačných služieb nezávislých od číslovania ďalšie používanie technológií na spracúvanie osobných a iných údajov v rozsahu potrebnom na odhaľovanie a nahlasovanie sexuálneho zneužívania detí online a odstraňovanie detskej pornografie v rámci ich služieb.</w:t>
      </w:r>
    </w:p>
    <w:p>
      <w:pPr>
        <w:spacing w:after="240"/>
        <w:rPr>
          <w:rFonts w:eastAsia="Calibri"/>
          <w:noProof/>
        </w:rPr>
      </w:pPr>
      <w:r>
        <w:rPr>
          <w:noProof/>
        </w:rPr>
        <w:t>V článku 2 sa odkazuje na vymedzenie pojmu interpersonálnych komunikačných služieb nezávislých od číslovania v smernici (EÚ) 2018/1972 (európsky kódex elektronických komunikácií) a na niektoré vymedzenia pojmov v smernici 2011/93/EÚ o boji proti sexuálnemu zneužívaniu a sexuálnemu vykorisťovaniu detí a proti detskej pornografii, ktorou sa nahrádza rámcové rozhodnutie Rady 2004/68/SVV.</w:t>
      </w:r>
    </w:p>
    <w:p>
      <w:pPr>
        <w:spacing w:after="240"/>
        <w:rPr>
          <w:rFonts w:eastAsia="Arial Unicode MS"/>
          <w:noProof/>
          <w:color w:val="000000"/>
          <w:szCs w:val="24"/>
          <w:u w:color="000000"/>
          <w:bdr w:val="nil"/>
        </w:rPr>
      </w:pPr>
      <w:r>
        <w:rPr>
          <w:noProof/>
        </w:rPr>
        <w:t xml:space="preserve">V článku 3 sa stanovuje rozsah pôsobnosti výnimky tým, že sa vytvára obmedzená výnimka z povinností stanovených v článku 5 ods. 1 a článku 6 smernice o súkromí a elektronických komunikáciách, pokiaľ ide o spracúvanie osobných a iných údajov v súvislosti s poskytovaním interpersonálnych komunikačných služieb nezávislých od číslovania, ktoré je potrebné na používanie technológie, v prípade potreby vrátane akejkoľvek ľudskej kontroly, ktorá sa priamo týka používania tejto technológie, výlučne na účely odhaľovania alebo oznamovania sexuálneho zneužívania detí online orgánom presadzovania práva a organizáciám konajúcim vo verejnom záujme proti sexuálnemu zneužívaniu detí, ako aj na odstraňovanie detskej pornografie, a stanovuje sa v ňom zoznam podmienok, za ktorých sa takáto výnimka uplatňuje. </w:t>
      </w:r>
    </w:p>
    <w:p>
      <w:pPr>
        <w:spacing w:after="240"/>
        <w:rPr>
          <w:rFonts w:eastAsia="Arial Unicode MS"/>
          <w:noProof/>
          <w:color w:val="000000"/>
          <w:szCs w:val="24"/>
          <w:u w:color="000000"/>
          <w:bdr w:val="nil"/>
        </w:rPr>
      </w:pPr>
      <w:r>
        <w:rPr>
          <w:noProof/>
          <w:color w:val="000000"/>
          <w:szCs w:val="24"/>
          <w:u w:color="000000"/>
          <w:bdr w:val="nil"/>
        </w:rPr>
        <w:t>V článku 4 sa stanovujú dátumy nadobudnutia účinnosti a začatia uplatňovania nariadenia a kedy alebo za akých podmienok sa nariadenie prestane uplatňovať.</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2020/0259 (COD)</w:t>
      </w:r>
    </w:p>
    <w:p>
      <w:pPr>
        <w:pStyle w:val="Statut"/>
        <w:rPr>
          <w:noProof/>
        </w:rPr>
      </w:pPr>
      <w:r>
        <w:rPr>
          <w:noProof/>
        </w:rPr>
        <w:t>Návrh</w:t>
      </w:r>
    </w:p>
    <w:p>
      <w:pPr>
        <w:pStyle w:val="Typedudocument"/>
        <w:rPr>
          <w:noProof/>
        </w:rPr>
      </w:pPr>
      <w:r>
        <w:rPr>
          <w:noProof/>
        </w:rPr>
        <w:t>NARIADENIE EURÓPSKEHO PARLAMENTU A RADY</w:t>
      </w:r>
    </w:p>
    <w:p>
      <w:pPr>
        <w:pStyle w:val="Titreobjet"/>
        <w:rPr>
          <w:noProof/>
        </w:rPr>
      </w:pPr>
      <w:r>
        <w:rPr>
          <w:noProof/>
        </w:rPr>
        <w:t>o dočasnej výnimke z určitých ustanovení smernice Európskeho parlamentu a Rady 2002/58/ES, pokiaľ ide o používanie technológií poskytovateľmi interpersonálnych komunikačných služieb nezávislých od číslovania na spracúvanie osobných a iných údajov na účely boja proti sexuálnemu zneužívaniu detí online</w:t>
      </w:r>
    </w:p>
    <w:p>
      <w:pPr>
        <w:pStyle w:val="Institutionquiagit"/>
        <w:rPr>
          <w:noProof/>
        </w:rPr>
      </w:pPr>
      <w:r>
        <w:rPr>
          <w:noProof/>
        </w:rPr>
        <w:t>EURÓPSKY PARLAMENT A RADA EURÓPSKEJ ÚNIE</w:t>
      </w:r>
    </w:p>
    <w:p>
      <w:pPr>
        <w:rPr>
          <w:noProof/>
        </w:rPr>
      </w:pPr>
      <w:r>
        <w:rPr>
          <w:noProof/>
        </w:rPr>
        <w:t>so zreteľom na Zmluvu o fungovaní Európskej únie, a najmä na jej článok 16 ods. 2 v spojení s jej článkom 114 ods. 1,</w:t>
      </w:r>
    </w:p>
    <w:p>
      <w:pPr>
        <w:rPr>
          <w:noProof/>
        </w:rPr>
      </w:pPr>
      <w:r>
        <w:rPr>
          <w:noProof/>
        </w:rPr>
        <w:t>so zreteľom na návrh Európskej komisie,</w:t>
      </w:r>
    </w:p>
    <w:p>
      <w:pPr>
        <w:rPr>
          <w:noProof/>
        </w:rPr>
      </w:pPr>
      <w:r>
        <w:rPr>
          <w:noProof/>
        </w:rPr>
        <w:t>po postúpení návrhu legislatívneho aktu národným parlamentom,</w:t>
      </w:r>
    </w:p>
    <w:p>
      <w:pPr>
        <w:rPr>
          <w:noProof/>
        </w:rPr>
      </w:pPr>
      <w:r>
        <w:rPr>
          <w:noProof/>
        </w:rPr>
        <w:t>so zreteľom na stanovisko Európskeho hospodárskeho a sociálneho výboru</w:t>
      </w:r>
      <w:r>
        <w:rPr>
          <w:rStyle w:val="FootnoteReference"/>
          <w:noProof/>
        </w:rPr>
        <w:footnoteReference w:id="4"/>
      </w:r>
      <w:r>
        <w:rPr>
          <w:noProof/>
        </w:rPr>
        <w:t xml:space="preserve">, </w:t>
      </w:r>
    </w:p>
    <w:p>
      <w:pPr>
        <w:rPr>
          <w:noProof/>
        </w:rPr>
      </w:pPr>
      <w:r>
        <w:rPr>
          <w:noProof/>
        </w:rPr>
        <w:t>konajúc v súlade s riadnym legislatívnym postupom,</w:t>
      </w:r>
    </w:p>
    <w:p>
      <w:pPr>
        <w:rPr>
          <w:noProof/>
        </w:rPr>
      </w:pPr>
      <w:r>
        <w:rPr>
          <w:noProof/>
        </w:rPr>
        <w:t>keďže:</w:t>
      </w:r>
    </w:p>
    <w:p>
      <w:pPr>
        <w:pStyle w:val="ManualConsidrant"/>
        <w:rPr>
          <w:noProof/>
        </w:rPr>
      </w:pPr>
      <w:r>
        <w:t>(1)</w:t>
      </w:r>
      <w:r>
        <w:tab/>
      </w:r>
      <w:r>
        <w:rPr>
          <w:noProof/>
        </w:rPr>
        <w:t>Smernicou Európskeho parlamentu a Rady 2002/58/ES</w:t>
      </w:r>
      <w:r>
        <w:rPr>
          <w:rStyle w:val="FootnoteReference"/>
          <w:noProof/>
        </w:rPr>
        <w:footnoteReference w:id="5"/>
      </w:r>
      <w:r>
        <w:rPr>
          <w:noProof/>
        </w:rPr>
        <w:t xml:space="preserve"> sa stanovujú pravidlá zabezpečujúce právo na súkromie a dôvernosť, pokiaľ ide o spracúvanie osobných údajov pri výmene údajov v sektore elektronických komunikácií. Uvedená smernica konkretizuje a dopĺňa nariadenie Európskeho parlamentu a Rady (EÚ) 2016/679</w:t>
      </w:r>
      <w:r>
        <w:rPr>
          <w:rStyle w:val="FootnoteReference"/>
          <w:noProof/>
        </w:rPr>
        <w:footnoteReference w:id="6"/>
      </w:r>
      <w:r>
        <w:rPr>
          <w:noProof/>
        </w:rPr>
        <w:t xml:space="preserve">. </w:t>
      </w:r>
    </w:p>
    <w:p>
      <w:pPr>
        <w:pStyle w:val="ManualConsidrant"/>
        <w:rPr>
          <w:noProof/>
        </w:rPr>
      </w:pPr>
      <w:r>
        <w:t>(2)</w:t>
      </w:r>
      <w:r>
        <w:tab/>
      </w:r>
      <w:r>
        <w:rPr>
          <w:noProof/>
        </w:rPr>
        <w:t xml:space="preserve"> Smernica 2002/58/ES sa vzťahuje na spracovanie osobných údajov v súvislosti s poskytovaním verejne dostupných elektronických komunikačných služieb. Vymedzenie pojmu elektronická komunikačná služba sa v súčasnosti nachádza v článku 2 písm. c) smernice Európskeho parlamentu a Rady 2002/21/ES</w:t>
      </w:r>
      <w:r>
        <w:rPr>
          <w:rStyle w:val="FootnoteReference"/>
          <w:noProof/>
        </w:rPr>
        <w:footnoteReference w:id="7"/>
      </w:r>
      <w:r>
        <w:rPr>
          <w:noProof/>
        </w:rPr>
        <w:t>. Smernicou Európskeho parlamentu a Rady (EÚ) 2018/1972</w:t>
      </w:r>
      <w:r>
        <w:rPr>
          <w:rStyle w:val="FootnoteReference"/>
          <w:noProof/>
        </w:rPr>
        <w:footnoteReference w:id="8"/>
      </w:r>
      <w:r>
        <w:rPr>
          <w:noProof/>
        </w:rPr>
        <w:t xml:space="preserve"> sa zrušuje smernica 2002/21/ES s účinnosťou od 21. decembra 2020. Od uvedeného dátumu sa vymedzenie pojmu elektronických komunikačných služieb nahradí novým vymedzením pojmu v článku 2 ods. 4 smernice (EÚ) 2018/1972, ktoré zahŕňa interpersonálne komunikačné služby nezávislé od číslovania vymedzené v článku 2 ods. 7 uvedenej smernice. Tieto služby, ktoré zahŕňajú napríklad internetovú telefóniu, služby odosielania správ a webmailové </w:t>
      </w:r>
      <w:r>
        <w:rPr>
          <w:noProof/>
        </w:rPr>
        <w:lastRenderedPageBreak/>
        <w:t xml:space="preserve">služby, budú preto od 21. decembra 2020 patriť do rozsahu pôsobnosti smernice 2002/58/ES. </w:t>
      </w:r>
    </w:p>
    <w:p>
      <w:pPr>
        <w:pStyle w:val="ManualConsidrant"/>
        <w:rPr>
          <w:noProof/>
        </w:rPr>
      </w:pPr>
      <w:r>
        <w:t>(3)</w:t>
      </w:r>
      <w:r>
        <w:tab/>
      </w:r>
      <w:r>
        <w:rPr>
          <w:noProof/>
        </w:rPr>
        <w:t>V súlade s článkom 6 ods. 1 Zmluvy o Európskej únii Únia uznáva práva, slobody a zásady uvedené v Charte základných práv Európskej únie. Článok 7 Charty základných práv Európskej únie (ďalej len „charta“) chráni základné právo každého človeka na rešpektovanie jeho súkromného a rodinného života, obydlia a komunikácie, ktoré zahŕňa dôvernosť komunikácie. Článok 8 charty obsahuje právo na ochranu osobných údajov. V článku 24 ods. 2 charty sa stanovuje, že pri všetkých opatreniach prijatých orgánmi verejnej moci alebo súkromnými inštitúciami, ktoré sa týkajú detí, sa musia v prvom rade brať do úvahy najlepšie záujmy dieťaťa.</w:t>
      </w:r>
    </w:p>
    <w:p>
      <w:pPr>
        <w:pStyle w:val="ManualConsidrant"/>
        <w:rPr>
          <w:noProof/>
        </w:rPr>
      </w:pPr>
      <w:r>
        <w:t>(4)</w:t>
      </w:r>
      <w:r>
        <w:tab/>
      </w:r>
      <w:r>
        <w:rPr>
          <w:noProof/>
        </w:rPr>
        <w:t>Sexuálne zneužívanie a sexuálne vykorisťovanie detí predstavuje závažné porušovanie ľudských práv, najmä práv detí na ochranu pred všetkými formami násilia, zneužívania a zanedbávania, zlého zaobchádzania alebo vykorisťovania vrátane sexuálneho zneužívania, ako sa stanovuje v Dohovore o právach dieťaťa z roku 1989 a v charte. Digitalizácia priniesla spoločnosti a hospodárstvu mnoho výhod, ale aj výzvy vrátane nárastu sexuálneho zneužívania detí online. Ochrana dieťaťa na internete je jednou z priorít Únie. Komisia 24. júla 2020 prijala stratégiu EÚ pre účinnejší boj proti sexuálnemu zneužívaniu detí</w:t>
      </w:r>
      <w:r>
        <w:rPr>
          <w:rStyle w:val="FootnoteReference"/>
          <w:noProof/>
          <w:szCs w:val="24"/>
        </w:rPr>
        <w:footnoteReference w:id="9"/>
      </w:r>
      <w:r>
        <w:rPr>
          <w:noProof/>
        </w:rPr>
        <w:t xml:space="preserve"> (ďalej len „stratégia“), ktorej cieľom je zabezpečiť na úrovni Únie účinnú reakciu na trestné činy sexuálneho zneužívania detí. </w:t>
      </w:r>
    </w:p>
    <w:p>
      <w:pPr>
        <w:pStyle w:val="ManualConsidrant"/>
        <w:rPr>
          <w:noProof/>
        </w:rPr>
      </w:pPr>
      <w:r>
        <w:t>(5)</w:t>
      </w:r>
      <w:r>
        <w:tab/>
      </w:r>
      <w:r>
        <w:rPr>
          <w:noProof/>
        </w:rPr>
        <w:t xml:space="preserve">Niektorí poskytovatelia interpersonálnych komunikačných služieb nezávislých od číslovania, ako napríklad webmailové služby a služby na odosielanie správ, už na dobrovoľnej báze používajú osobitné technológie na odhaľovanie sexuálneho zneužívania detí online a jeho nahlasovanie orgánom presadzovania práva a organizáciám konajúcim vo verejnom záujme proti sexuálnemu zneužívaniu detí alebo na odstraňovanie detskej pornografie. Pri uvedených organizáciách ide o vnútroštátne linky na nahlasovanie detskej pornografie, ako aj o organizácie, ktorých účelom je obmedziť sexuálne vykorisťovanie detí a predchádzať viktimizácii detí a ktoré sa nachádzajú v Únii aj v tretích krajinách. Tieto dobrovoľné činnosti ako celok zohrávajú významnú úlohu pri umožňovaní identifikácie a záchrany obetí a obmedzovaní ďalšieho šírenia detskej pornografie, pričom prispievajú aj k identifikácii a vyšetrovaniu páchateľov a k predchádzaniu trestným činom sexuálneho zneužívania detí. </w:t>
      </w:r>
    </w:p>
    <w:p>
      <w:pPr>
        <w:pStyle w:val="ManualConsidrant"/>
        <w:rPr>
          <w:noProof/>
        </w:rPr>
      </w:pPr>
      <w:r>
        <w:t>(6)</w:t>
      </w:r>
      <w:r>
        <w:tab/>
      </w:r>
      <w:r>
        <w:rPr>
          <w:noProof/>
        </w:rPr>
        <w:t>Spracúvanie osobných údajov poskytovateľmi interpersonálnych komunikačných služieb nezávislých od číslovania prostredníctvom dobrovoľných opatrení na účely odhaľovania a nahlasovania sexuálneho zneužívania detí online a odstraňovania detskej pornografie do 20. decembra 2020 upravuje nariadenie (EÚ) 2016/679.</w:t>
      </w:r>
    </w:p>
    <w:p>
      <w:pPr>
        <w:pStyle w:val="ManualConsidrant"/>
        <w:rPr>
          <w:noProof/>
        </w:rPr>
      </w:pPr>
      <w:r>
        <w:t>(7)</w:t>
      </w:r>
      <w:r>
        <w:tab/>
      </w:r>
      <w:r>
        <w:rPr>
          <w:noProof/>
        </w:rPr>
        <w:t xml:space="preserve">Smernica 2002/58/ES neobsahuje žiadne osobitné ustanovenia týkajúce sa spracúvania osobných a iných údajov v súvislosti s poskytovaním elektronických komunikačných služieb na účely odhaľovania a nahlasovania sexuálneho zneužívania detí online a odstraňovania detskej pornografie. Podľa článku 15 ods. 1 smernice 2002/58/ES však členské štáty môžu prijať legislatívne opatrenia na obmedzenie rozsahu práv a povinností ustanovených okrem iného v článkoch 5 a 6 uvedenej smernice, ktoré sa týkajú dôvernosti komunikácií a prevádzkových údajov, na účely predchádzania trestným činom spojeným so sexuálnym zneužívaním detí, ich vyšetrovania, odhaľovania a stíhania. Bez takýchto legislatívnych opatrení a až do prijatia nového </w:t>
      </w:r>
      <w:r>
        <w:rPr>
          <w:noProof/>
        </w:rPr>
        <w:lastRenderedPageBreak/>
        <w:t xml:space="preserve">dlhodobejšieho právneho rámca na účinný boj proti sexuálnemu zneužívaniu detí na úrovni Únie, ako sa uvádza v stratégii, by neexistoval právny základ pre poskytovateľov interpersonálnych komunikačných služieb nezávislých od číslovania, aby mohli naďalej odhaľovať a nahlasovať sexuálne zneužívanie detí online a odstraňovať detskú pornografiu v rámci svojich služieb aj po 21. decembri 2020. </w:t>
      </w:r>
    </w:p>
    <w:p>
      <w:pPr>
        <w:pStyle w:val="ManualConsidrant"/>
        <w:rPr>
          <w:noProof/>
        </w:rPr>
      </w:pPr>
      <w:r>
        <w:t>(8)</w:t>
      </w:r>
      <w:r>
        <w:tab/>
      </w:r>
      <w:r>
        <w:rPr>
          <w:noProof/>
        </w:rPr>
        <w:t xml:space="preserve">Týmto nariadením sa preto stanovuje dočasná výnimka z článku 5 ods. 1 a článku 6 smernice 2002/58/ES, ktoré chránia dôvernosť komunikácií a prevádzkových údajov. Keďže smernica 2002/58/ES bola prijatá na základe článku 114 Zmluvy o fungovaní Európskej únie, je vhodné prijať toto nariadenie na rovnakom právnom základe. Okrem toho nie všetky členské štáty prijali legislatívne opatrenia na vnútroštátnej úrovni s cieľom obmedziť rozsah práv a povinností stanovených v uvedených ustanoveniach v súlade s článkom 15 ods. 1 smernice 2002/58/ES a prijatie takýchto opatrení prináša so sebou značné riziko fragmentácie, ktorá by mohla negatívne ovplyvniť vnútorný trh. </w:t>
      </w:r>
    </w:p>
    <w:p>
      <w:pPr>
        <w:pStyle w:val="ManualConsidrant"/>
        <w:rPr>
          <w:noProof/>
        </w:rPr>
      </w:pPr>
      <w:r>
        <w:t>(9)</w:t>
      </w:r>
      <w:r>
        <w:tab/>
      </w:r>
      <w:r>
        <w:rPr>
          <w:noProof/>
        </w:rPr>
        <w:t>Keďže elektronická komunikácia zahŕňajúca fyzické osoby sa bude v bežnom prípade považovať za osobný údaj, toto nariadenie by malo byť založené aj na článku 16 zmluvy, v ktorom sa zavádza osobitný právny základ na prijímanie pravidiel týkajúcich sa ochrany jednotlivcov pri spracúvaní osobných údajov inštitúciami Únie a členskými štátmi počas vykonávania činností, ktoré patria do rozsahu pôsobnosti práva Únie, a pravidiel týkajúcich sa voľného pohybu takýchto údajov.</w:t>
      </w:r>
    </w:p>
    <w:p>
      <w:pPr>
        <w:pStyle w:val="ManualConsidrant"/>
        <w:rPr>
          <w:noProof/>
        </w:rPr>
      </w:pPr>
      <w:r>
        <w:t>(10)</w:t>
      </w:r>
      <w:r>
        <w:tab/>
      </w:r>
      <w:r>
        <w:rPr>
          <w:noProof/>
        </w:rPr>
        <w:t>Pokiaľ spracúvanie osobných údajov v súvislosti s poskytovaním elektronických komunikačných služieb interpersonálnymi komunikačnými službami nezávislými od číslovania výlučne na účely odhaľovania a nahlasovania sexuálneho zneužívania detí online a odstraňovania detskej pornografie patrí do rozsahu pôsobnosti výnimky stanovenej v tomto nariadení, na takéto spracúvanie sa vzťahuje nariadenie (EÚ) 2016/679 vrátane požiadavky vykonať posúdenie vplyvu plánovaných spracovateľských operácií v prípade potreby podľa článku 35 uvedeného nariadenia pred zavedením príslušných technológií.</w:t>
      </w:r>
    </w:p>
    <w:p>
      <w:pPr>
        <w:pStyle w:val="ManualConsidrant"/>
        <w:rPr>
          <w:noProof/>
        </w:rPr>
      </w:pPr>
      <w:r>
        <w:t>(11)</w:t>
      </w:r>
      <w:r>
        <w:tab/>
      </w:r>
      <w:r>
        <w:rPr>
          <w:noProof/>
        </w:rPr>
        <w:t>Keďže jediným cieľom tohto nariadenia je umožniť pokračovanie určitých existujúcich činností zameraných na boj proti sexuálnemu zneužívaniu detí online, výnimka stanovená v tomto nariadení by mala byť obmedzená na osvedčenú technológiu, ktorú pravidelne používajú interpersonálne komunikačné služby nezávislé od číslovania na účely odhaľovania a nahlasovania sexuálneho zneužívania detí online a odstraňovania detskej pornografie pred nadobudnutím účinnosti tohto nariadenia. Odkaz na technológiu zahŕňa v prípade potreby akúkoľvek ľudskú kontrolu priamo súvisiacu s používaním technológie a dohľad nad ňou. Používanie príslušnej technológie by preto malo byť v tomto odvetví bežné bez toho, aby sa nevyhnutne vyžadovalo, aby všetci poskytovatelia túto technológiu používali, a bez toho, aby sa bránilo ďalšiemu vývoju technológie spôsobom, ktorý je šetrný k ochrane súkromia. V tejto súvislosti by nemalo byť podstatné, či konkrétny poskytovateľ, ktorý chce využiť túto výnimku, už používa takúto technológiu k dátumu nadobudnutia účinnosti tohto nariadenia. Používané typy technológie by mali čo najmenej zasahovať do ochrany súkromia v súlade s najnovším stavom techniky v tomto odvetví a nemali by zahŕňať systematické filtrovanie a skenovanie komunikácie obsahujúcej text, ale mali by sa zamerať len na špecifickú komunikáciu v prípade konkrétnych prvkov podozrenia na sexuálne zneužívanie detí.</w:t>
      </w:r>
    </w:p>
    <w:p>
      <w:pPr>
        <w:pStyle w:val="ManualConsidrant"/>
        <w:rPr>
          <w:noProof/>
        </w:rPr>
      </w:pPr>
      <w:r>
        <w:t>(12)</w:t>
      </w:r>
      <w:r>
        <w:tab/>
      </w:r>
      <w:r>
        <w:rPr>
          <w:noProof/>
        </w:rPr>
        <w:t xml:space="preserve">S cieľom zabezpečiť čo najväčšiu presnosť a spoľahlivosť by použitá technológia mala byť v súlade s najnovším stavom techniky v odvetví taká, aby sa v maximálnej možnej </w:t>
      </w:r>
      <w:r>
        <w:rPr>
          <w:noProof/>
        </w:rPr>
        <w:lastRenderedPageBreak/>
        <w:t>miere obmedzila miera chybovosti falošne pozitívnych výsledkov a aby sa v prípade potreby bezodkladne odstránili všetky takéto chyby, ktoré sa napriek tomu môžu vyskytnúť.</w:t>
      </w:r>
    </w:p>
    <w:p>
      <w:pPr>
        <w:pStyle w:val="ManualConsidrant"/>
        <w:rPr>
          <w:noProof/>
        </w:rPr>
      </w:pPr>
      <w:r>
        <w:t>(13)</w:t>
      </w:r>
      <w:r>
        <w:tab/>
      </w:r>
      <w:r>
        <w:rPr>
          <w:noProof/>
        </w:rPr>
        <w:t xml:space="preserve">Osobné a iné údaje použité pri vykonávaní činností, na ktoré sa vzťahuje výnimka stanovená v tomto nariadení, ako aj obdobie, počas ktorého sa údaje následne uchovávajú v prípade pozitívnych výsledkov, by sa mali minimalizovať, aby sa zabezpečilo, že výnimka zostane obmedzená na to, čo je nevyhnutne potrebné. </w:t>
      </w:r>
    </w:p>
    <w:p>
      <w:pPr>
        <w:pStyle w:val="ManualConsidrant"/>
        <w:rPr>
          <w:noProof/>
        </w:rPr>
      </w:pPr>
      <w:r>
        <w:t>(14)</w:t>
      </w:r>
      <w:r>
        <w:tab/>
      </w:r>
      <w:r>
        <w:rPr>
          <w:noProof/>
        </w:rPr>
        <w:t>S cieľom zabezpečiť transparentnosť a zodpovednosť v súvislosti s činnosťami vykonávanými na základe výnimky by poskytovatelia mali každoročne uverejňovať správy o spracúvaní, ktoré patrí do rozsahu pôsobnosti tohto nariadenia, vrátane informácií o druhu a objeme spracúvaných údajov, počte identifikovaných prípadov, opatreniach uplatnených pri výbere a na zlepšenie kľúčových ukazovateľov, počte chýb a chybovosti (falošne pozitívne výsledky) rôznych nasadených technológií, opatreniach uplatnených na obmedzenie chybovosti a dosiahnutej chybovosti, politike uchovávania a uplatnených zárukách na ochranu údajov.</w:t>
      </w:r>
    </w:p>
    <w:p>
      <w:pPr>
        <w:pStyle w:val="ManualConsidrant"/>
        <w:rPr>
          <w:noProof/>
        </w:rPr>
      </w:pPr>
      <w:r>
        <w:t>(15)</w:t>
      </w:r>
      <w:r>
        <w:tab/>
      </w:r>
      <w:r>
        <w:rPr>
          <w:noProof/>
        </w:rPr>
        <w:t xml:space="preserve">Toto nariadenie by malo nadobudnúť účinnosť tretím dňom po jeho uverejnení v </w:t>
      </w:r>
      <w:r>
        <w:rPr>
          <w:i/>
          <w:noProof/>
        </w:rPr>
        <w:t>Úradnom vestníku Európskej únie</w:t>
      </w:r>
      <w:r>
        <w:rPr>
          <w:noProof/>
        </w:rPr>
        <w:t>, aby sa zabezpečilo jeho uplatňovanie od 21. decembra 2020.</w:t>
      </w:r>
    </w:p>
    <w:p>
      <w:pPr>
        <w:pStyle w:val="ManualConsidrant"/>
        <w:rPr>
          <w:noProof/>
        </w:rPr>
      </w:pPr>
      <w:r>
        <w:t>(16)</w:t>
      </w:r>
      <w:r>
        <w:tab/>
      </w:r>
      <w:r>
        <w:rPr>
          <w:noProof/>
        </w:rPr>
        <w:t>Týmto nariadením sa obmedzuje právo na ochranu dôvernosti komunikácií a odchyľuje sa od rozhodnutia prijatého v smernici (EÚ) 2018/1972, podľa ktorého interpersonálne komunikačné služby nezávislé od číslovania podliehajú rovnakým pravidlám ako všetky ostatné elektronické komunikačné služby, pokiaľ ide o súkromie. Obdobie uplatňovania tohto nariadenia by sa preto malo obmedziť do 31. decembra 2025, t. j. na obdobie, ktoré je primerane potrebné na prijatie nového dlhodobého právneho rámca s prepracovanejšími zárukami. Ak dlhodobé právne predpisy budú prijaté a nadobudnú účinnosť pred uvedeným dátumom, toto nariadenie by sa nimi malo zrušiť.</w:t>
      </w:r>
    </w:p>
    <w:p>
      <w:pPr>
        <w:pStyle w:val="ManualConsidrant"/>
        <w:rPr>
          <w:noProof/>
        </w:rPr>
      </w:pPr>
      <w:r>
        <w:t>(17)</w:t>
      </w:r>
      <w:r>
        <w:tab/>
      </w:r>
      <w:r>
        <w:rPr>
          <w:noProof/>
        </w:rPr>
        <w:t>Poskytovatelia interpersonálnych komunikačných služieb nezávislých od číslovania by mali podliehať osobitným povinnostiam stanoveným v smernici 2002/58/ES, pokiaľ ide o akékoľvek iné činnosti, ktoré patria do rozsahu jej pôsobnosti.</w:t>
      </w:r>
    </w:p>
    <w:p>
      <w:pPr>
        <w:pStyle w:val="ManualConsidrant"/>
        <w:rPr>
          <w:noProof/>
        </w:rPr>
      </w:pPr>
      <w:r>
        <w:t>(18)</w:t>
      </w:r>
      <w:r>
        <w:tab/>
      </w:r>
      <w:r>
        <w:rPr>
          <w:noProof/>
        </w:rPr>
        <w:t>Cieľom tohto nariadenia je vytvoriť dočasnú výnimku z určitých ustanovení smernice 2002/58/ES bez toho, aby došlo k fragmentácii vnútorného trhu. Okrem toho by vnútroštátne riešenia pravdepodobne neboli prijaté včas vo všetkých členských štátoch. Keďže tento cieľ nie je možné uspokojivo dosiahnuť na úrovni samotných členských štátov, ale možno ho lepšie dosiahnuť na úrovni Únie, môže Únia prijať opatrenia v súlade so zásadou subsidiarity podľa článku 5 Zmluvy o Európskej únii. V súlade so zásadou proporcionality podľa uvedeného článku toto nariadenie neprekračuje rámec nevyhnutný na dosiahnutie tohto cieľa. Zavádza sa ním dočasná a prísne obmedzená výnimka z uplatňovania článku 5 ods. 1 a článku 6 smernice 2002/58/ES so súborom záruk na zabezpečenie toho, aby neprekračovala rámec toho, čo je nevyhnutné na dosiahnutie stanovených cieľov.</w:t>
      </w:r>
    </w:p>
    <w:p>
      <w:pPr>
        <w:pStyle w:val="ManualConsidrant"/>
        <w:rPr>
          <w:noProof/>
        </w:rPr>
      </w:pPr>
      <w:r>
        <w:t>(19)</w:t>
      </w:r>
      <w:r>
        <w:tab/>
      </w:r>
      <w:r>
        <w:rPr>
          <w:noProof/>
        </w:rPr>
        <w:t>V súlade s článkom 42 ods. 1 nariadenia Európskeho parlamentu a Rady (EÚ) 2018/1725</w:t>
      </w:r>
      <w:r>
        <w:rPr>
          <w:rStyle w:val="FootnoteReference"/>
          <w:noProof/>
        </w:rPr>
        <w:footnoteReference w:id="10"/>
      </w:r>
      <w:r>
        <w:rPr>
          <w:noProof/>
        </w:rPr>
        <w:t xml:space="preserve"> sa uskutočnili konzultácie s európskym dozorným úradníkom pre ochranu údajov, ktorý vydal svoje stanovisko […],</w:t>
      </w:r>
    </w:p>
    <w:p>
      <w:pPr>
        <w:rPr>
          <w:noProof/>
        </w:rPr>
      </w:pPr>
    </w:p>
    <w:p>
      <w:pPr>
        <w:pStyle w:val="Formuledadoption"/>
        <w:rPr>
          <w:noProof/>
        </w:rPr>
      </w:pPr>
      <w:r>
        <w:rPr>
          <w:noProof/>
        </w:rPr>
        <w:t>PRIJALI TOTO NARIADENIE:</w:t>
      </w:r>
    </w:p>
    <w:p>
      <w:pPr>
        <w:spacing w:before="0" w:after="0"/>
        <w:jc w:val="center"/>
        <w:rPr>
          <w:i/>
          <w:noProof/>
          <w:szCs w:val="24"/>
        </w:rPr>
      </w:pPr>
      <w:r>
        <w:rPr>
          <w:i/>
          <w:noProof/>
          <w:szCs w:val="24"/>
        </w:rPr>
        <w:t>Článok 1</w:t>
      </w:r>
    </w:p>
    <w:p>
      <w:pPr>
        <w:spacing w:before="0" w:after="0"/>
        <w:jc w:val="center"/>
        <w:rPr>
          <w:i/>
          <w:noProof/>
          <w:szCs w:val="24"/>
        </w:rPr>
      </w:pPr>
      <w:r>
        <w:rPr>
          <w:i/>
          <w:noProof/>
          <w:szCs w:val="24"/>
        </w:rPr>
        <w:t>Predmet úpravy</w:t>
      </w:r>
    </w:p>
    <w:p>
      <w:pPr>
        <w:spacing w:before="0" w:after="0"/>
        <w:jc w:val="center"/>
        <w:rPr>
          <w:i/>
          <w:noProof/>
          <w:szCs w:val="24"/>
          <w:lang w:eastAsia="fr-BE"/>
        </w:rPr>
      </w:pPr>
    </w:p>
    <w:p>
      <w:pPr>
        <w:rPr>
          <w:noProof/>
        </w:rPr>
      </w:pPr>
      <w:r>
        <w:rPr>
          <w:noProof/>
        </w:rPr>
        <w:t xml:space="preserve">Týmto nariadením sa stanovujú dočasné a prísne obmedzené pravidlá odchyľujúce sa od určitých povinností stanovených v smernici 2002/58/ES s jediným cieľom umožniť poskytovateľom interpersonálnych komunikačných služieb nezávislých od číslovania ďalšie používanie technológií na spracúvanie osobných a iných údajov v rozsahu potrebnom na odhaľovanie a nahlasovanie sexuálneho zneužívania detí online a odstraňovanie detskej pornografie v rámci ich služieb. </w:t>
      </w:r>
    </w:p>
    <w:p>
      <w:pPr>
        <w:rPr>
          <w:noProof/>
        </w:rPr>
      </w:pPr>
      <w:r>
        <w:rPr>
          <w:noProof/>
        </w:rPr>
        <w:t xml:space="preserve"> </w:t>
      </w:r>
    </w:p>
    <w:p>
      <w:pPr>
        <w:spacing w:before="0" w:after="0"/>
        <w:jc w:val="center"/>
        <w:rPr>
          <w:i/>
          <w:noProof/>
          <w:szCs w:val="24"/>
        </w:rPr>
      </w:pPr>
      <w:r>
        <w:rPr>
          <w:i/>
          <w:noProof/>
          <w:szCs w:val="24"/>
        </w:rPr>
        <w:t>Článok 2</w:t>
      </w:r>
    </w:p>
    <w:p>
      <w:pPr>
        <w:spacing w:before="0" w:after="0"/>
        <w:jc w:val="center"/>
        <w:rPr>
          <w:i/>
          <w:noProof/>
          <w:szCs w:val="24"/>
        </w:rPr>
      </w:pPr>
      <w:r>
        <w:rPr>
          <w:i/>
          <w:noProof/>
          <w:szCs w:val="24"/>
        </w:rPr>
        <w:t xml:space="preserve">Vymedzenie pojmov </w:t>
      </w:r>
    </w:p>
    <w:p>
      <w:pPr>
        <w:spacing w:before="0" w:after="0"/>
        <w:ind w:left="720"/>
        <w:jc w:val="center"/>
        <w:rPr>
          <w:b/>
          <w:noProof/>
          <w:szCs w:val="24"/>
          <w:lang w:eastAsia="fr-BE"/>
        </w:rPr>
      </w:pPr>
    </w:p>
    <w:p>
      <w:pPr>
        <w:rPr>
          <w:noProof/>
          <w:szCs w:val="24"/>
        </w:rPr>
      </w:pPr>
      <w:r>
        <w:rPr>
          <w:noProof/>
        </w:rPr>
        <w:t xml:space="preserve">Na účely tohto nariadenia sa uplatňuje toto vymedzenie pojmov: </w:t>
      </w:r>
    </w:p>
    <w:p>
      <w:pPr>
        <w:pStyle w:val="ListParagraph"/>
        <w:spacing w:before="0" w:after="0"/>
        <w:rPr>
          <w:noProof/>
          <w:szCs w:val="24"/>
        </w:rPr>
      </w:pPr>
      <w:r>
        <w:rPr>
          <w:noProof/>
        </w:rPr>
        <w:t xml:space="preserve">1. „interpersonálna komunikačná služba nezávislá od číslovania“ je služba vymedzená v článku 2 ods. 7 smernice (EÚ) 2018/1972; </w:t>
      </w:r>
    </w:p>
    <w:p>
      <w:pPr>
        <w:pStyle w:val="ListParagraph"/>
        <w:spacing w:before="0" w:after="0"/>
        <w:rPr>
          <w:noProof/>
          <w:szCs w:val="24"/>
        </w:rPr>
      </w:pPr>
      <w:r>
        <w:rPr>
          <w:noProof/>
        </w:rPr>
        <w:t xml:space="preserve">2. „sexuálne zneužívanie detí online“ je: </w:t>
      </w:r>
    </w:p>
    <w:p>
      <w:pPr>
        <w:pStyle w:val="ListParagraph"/>
        <w:spacing w:before="0" w:after="0"/>
        <w:ind w:left="1440"/>
        <w:rPr>
          <w:noProof/>
        </w:rPr>
      </w:pPr>
      <w:r>
        <w:rPr>
          <w:noProof/>
        </w:rPr>
        <w:t>a) materiál, ktorý predstavuje detskú pornografiu v zmysle článku 2 písm. c) smernice Európskeho parlamentu a Rady 2011/93/EÚ;</w:t>
      </w:r>
    </w:p>
    <w:p>
      <w:pPr>
        <w:pStyle w:val="ListParagraph"/>
        <w:spacing w:before="0" w:after="0"/>
        <w:ind w:left="1440"/>
        <w:rPr>
          <w:noProof/>
          <w:szCs w:val="24"/>
          <w:lang w:eastAsia="fr-BE"/>
        </w:rPr>
      </w:pPr>
    </w:p>
    <w:p>
      <w:pPr>
        <w:pStyle w:val="ListParagraph"/>
        <w:spacing w:before="0" w:after="0"/>
        <w:ind w:left="1440"/>
        <w:rPr>
          <w:noProof/>
          <w:color w:val="1F497D"/>
        </w:rPr>
      </w:pPr>
      <w:r>
        <w:rPr>
          <w:noProof/>
        </w:rPr>
        <w:t>b) nadväzovanie kontaktu s dieťaťom na účely zapájania dieťaťa do sexuálnych aktivít alebo na výrobu detskej pornografie ktorýmkoľvek z týchto spôsobov:</w:t>
      </w:r>
      <w:r>
        <w:rPr>
          <w:noProof/>
          <w:color w:val="1F497D"/>
        </w:rPr>
        <w:t xml:space="preserve"> </w:t>
      </w:r>
    </w:p>
    <w:p>
      <w:pPr>
        <w:ind w:left="1843"/>
        <w:rPr>
          <w:noProof/>
        </w:rPr>
      </w:pPr>
      <w:r>
        <w:rPr>
          <w:noProof/>
        </w:rPr>
        <w:t xml:space="preserve">i) lákanie dieťaťa ponúkaním darov alebo iných výhod; </w:t>
      </w:r>
    </w:p>
    <w:p>
      <w:pPr>
        <w:ind w:left="1843"/>
        <w:rPr>
          <w:noProof/>
        </w:rPr>
      </w:pPr>
      <w:r>
        <w:rPr>
          <w:noProof/>
        </w:rPr>
        <w:t>ii) vyhrážanie sa dieťaťu negatívnymi dôsledkami, ktoré môžu mať na dieťa závažný vplyv;</w:t>
      </w:r>
    </w:p>
    <w:p>
      <w:pPr>
        <w:ind w:left="1843"/>
        <w:rPr>
          <w:noProof/>
          <w:sz w:val="22"/>
        </w:rPr>
      </w:pPr>
      <w:r>
        <w:rPr>
          <w:noProof/>
        </w:rPr>
        <w:t>iii) predvádzanie pornografického materiálu dieťaťu alebo jeho sprístupnenie dieťaťu.</w:t>
      </w:r>
    </w:p>
    <w:p>
      <w:pPr>
        <w:pStyle w:val="ListParagraph"/>
        <w:spacing w:before="0" w:after="0"/>
        <w:ind w:left="1440"/>
        <w:rPr>
          <w:noProof/>
          <w:szCs w:val="24"/>
        </w:rPr>
      </w:pPr>
      <w:r>
        <w:rPr>
          <w:noProof/>
        </w:rPr>
        <w:t>c) „pornografické predstavenie“ vymedzené v článku 2 písm. e) smernice 2011/93/EÚ.</w:t>
      </w:r>
    </w:p>
    <w:p>
      <w:pPr>
        <w:pStyle w:val="Titrearticle"/>
        <w:rPr>
          <w:noProof/>
        </w:rPr>
      </w:pPr>
      <w:r>
        <w:rPr>
          <w:noProof/>
        </w:rPr>
        <w:t xml:space="preserve">Článok 3 </w:t>
      </w:r>
      <w:r>
        <w:rPr>
          <w:noProof/>
        </w:rPr>
        <w:br/>
        <w:t>Rozsah pôsobnosti výnimky</w:t>
      </w:r>
    </w:p>
    <w:p>
      <w:pPr>
        <w:pStyle w:val="ListParagraph"/>
        <w:rPr>
          <w:noProof/>
        </w:rPr>
      </w:pPr>
      <w:r>
        <w:rPr>
          <w:noProof/>
        </w:rPr>
        <w:t>Osobitné povinnosti stanovené v článku 5 ods. 1 a článku 6 smernice 2002/58/ES sa nevzťahujú na spracúvanie osobných a iných údajov v súvislosti s poskytovaním interpersonálnych komunikačných služieb nezávislých od číslovania, ktoré je nevyhnutne potrebné na používanie technológie výlučne na účely odstraňovania detskej pornografie a odhaľovania alebo nahlasovania sexuálneho zneužívania detí online orgánom presadzovania práva a organizáciám konajúcim vo verejnom záujme proti sexuálnemu zneužívaniu detí, za predpokladu, že:</w:t>
      </w:r>
    </w:p>
    <w:p>
      <w:pPr>
        <w:pStyle w:val="Point0"/>
        <w:rPr>
          <w:noProof/>
        </w:rPr>
      </w:pPr>
      <w:r>
        <w:rPr>
          <w:noProof/>
        </w:rPr>
        <w:lastRenderedPageBreak/>
        <w:t>a)</w:t>
      </w:r>
      <w:r>
        <w:rPr>
          <w:noProof/>
        </w:rPr>
        <w:tab/>
        <w:t>spracúvanie je primerané a obmedzené na zavedené technológie, ktoré poskytovatelia interpersonálnych komunikačných služieb nezávislých od číslovania pravidelne používali na tento účel pred nadobudnutím účinnosti tohto nariadenia a ktoré sú v súlade s najnovším stavom techniky v tomto odvetví a najmenej narušujú súkromie;</w:t>
      </w:r>
    </w:p>
    <w:p>
      <w:pPr>
        <w:pStyle w:val="Point0"/>
        <w:rPr>
          <w:noProof/>
        </w:rPr>
      </w:pPr>
      <w:r>
        <w:rPr>
          <w:noProof/>
        </w:rPr>
        <w:t>b)</w:t>
      </w:r>
      <w:r>
        <w:rPr>
          <w:noProof/>
        </w:rPr>
        <w:tab/>
        <w:t>použitá technológia je sama osebe dostatočne spoľahlivá v tom zmysle, že v maximálnej možnej miere obmedzuje mieru chybovosti, pokiaľ ide o odhaľovanie obsahu predstavujúceho sexuálne zneužívanie detí, a ak sa takéto príležitostné chyby vyskytnú, ich dôsledky sa bezodkladne odstránia;</w:t>
      </w:r>
    </w:p>
    <w:p>
      <w:pPr>
        <w:pStyle w:val="Point0"/>
        <w:rPr>
          <w:noProof/>
        </w:rPr>
      </w:pPr>
      <w:r>
        <w:rPr>
          <w:noProof/>
        </w:rPr>
        <w:t>c)</w:t>
      </w:r>
      <w:r>
        <w:rPr>
          <w:noProof/>
        </w:rPr>
        <w:tab/>
        <w:t>technológia použitá na odhaľovanie nadväzovania kontaktov s deťmi sa obmedzuje na používanie relevantných kľúčových ukazovateľov, ako sú kľúčové slová a objektívne identifikované rizikové faktory, ako je vekový rozdiel, bez toho, aby bolo dotknuté právo na ľudskú kontrolu;</w:t>
      </w:r>
    </w:p>
    <w:p>
      <w:pPr>
        <w:pStyle w:val="Point0"/>
        <w:rPr>
          <w:noProof/>
        </w:rPr>
      </w:pPr>
      <w:r>
        <w:rPr>
          <w:noProof/>
        </w:rPr>
        <w:t>d)</w:t>
      </w:r>
      <w:r>
        <w:rPr>
          <w:noProof/>
        </w:rPr>
        <w:tab/>
        <w:t xml:space="preserve">spracúvanie je obmedzené na to, čo je nevyhnutne potrebné na účely odhaľovania a nahlasovania sexuálneho zneužívania detí online a odstraňovania detskej pornografie, a pokiaľ sa sexuálne zneužívanie detí na internete neodhalí a nepotvrdí, okamžite sa vymaže; </w:t>
      </w:r>
    </w:p>
    <w:p>
      <w:pPr>
        <w:pStyle w:val="Point0"/>
        <w:rPr>
          <w:noProof/>
          <w:szCs w:val="24"/>
        </w:rPr>
      </w:pPr>
      <w:r>
        <w:rPr>
          <w:noProof/>
        </w:rPr>
        <w:t>e)</w:t>
      </w:r>
      <w:r>
        <w:rPr>
          <w:noProof/>
        </w:rPr>
        <w:tab/>
        <w:t>poskytovateľ každoročne uverejňuje správy o príslušnom spracúvaní vrátane informácií o druhu a objeme spracúvaných údajov, počte identifikovaných prípadov, opatreniach uplatnených pri výbere a na zlepšenie kľúčových ukazovateľov, počte chýb a chybovosti (falošne pozitívne výsledky) rôznych nasadených technológií, opatreniach uplatnených na obmedzenie chybovosti a dosiahnutej chybovosti, politike uchovávania a uplatnených zárukách na ochranu údajov.</w:t>
      </w:r>
    </w:p>
    <w:p>
      <w:pPr>
        <w:pStyle w:val="ListParagraph"/>
        <w:rPr>
          <w:noProof/>
          <w:sz w:val="22"/>
        </w:rPr>
      </w:pPr>
      <w:r>
        <w:rPr>
          <w:noProof/>
        </w:rPr>
        <w:t xml:space="preserve">Pokiaľ ide o písmeno d), ak bolo sexuálne zneužívanie detí online odhalené a potvrdené, príslušné údaje sa môžu uchovávať výlučne na tieto účely a len počas potrebného obdobia: </w:t>
      </w:r>
    </w:p>
    <w:p>
      <w:pPr>
        <w:pStyle w:val="Tiret0"/>
        <w:numPr>
          <w:ilvl w:val="0"/>
          <w:numId w:val="10"/>
        </w:numPr>
        <w:tabs>
          <w:tab w:val="clear" w:pos="850"/>
          <w:tab w:val="num" w:pos="1701"/>
        </w:tabs>
        <w:ind w:left="1701" w:hanging="567"/>
        <w:rPr>
          <w:noProof/>
        </w:rPr>
      </w:pPr>
      <w:r>
        <w:rPr>
          <w:noProof/>
        </w:rPr>
        <w:t>na účely jeho nahlásenia a na vyhovenie primeraným žiadostiam orgánov presadzovania práva a iných príslušných verejných orgánov,</w:t>
      </w:r>
    </w:p>
    <w:p>
      <w:pPr>
        <w:pStyle w:val="Tiret0"/>
        <w:tabs>
          <w:tab w:val="clear" w:pos="850"/>
          <w:tab w:val="num" w:pos="1701"/>
        </w:tabs>
        <w:ind w:left="1701" w:hanging="567"/>
        <w:rPr>
          <w:noProof/>
        </w:rPr>
      </w:pPr>
      <w:r>
        <w:rPr>
          <w:noProof/>
        </w:rPr>
        <w:t xml:space="preserve">na zablokovanie účtu dotknutého používateľa, </w:t>
      </w:r>
    </w:p>
    <w:p>
      <w:pPr>
        <w:pStyle w:val="Tiret0"/>
        <w:tabs>
          <w:tab w:val="clear" w:pos="850"/>
          <w:tab w:val="num" w:pos="1701"/>
        </w:tabs>
        <w:ind w:left="1701" w:hanging="567"/>
        <w:rPr>
          <w:noProof/>
        </w:rPr>
      </w:pPr>
      <w:r>
        <w:rPr>
          <w:noProof/>
        </w:rPr>
        <w:t>vo vzťahu k údajom spoľahlivo identifikovaným ako detská pornografia, na vytvorenie jedinečného, spätne nekonvertovateľného digitálneho podpisu („hash“).</w:t>
      </w:r>
    </w:p>
    <w:p>
      <w:pPr>
        <w:spacing w:before="240"/>
        <w:jc w:val="center"/>
        <w:rPr>
          <w:i/>
          <w:iCs/>
          <w:noProof/>
          <w:color w:val="000000" w:themeColor="text1"/>
        </w:rPr>
      </w:pPr>
      <w:r>
        <w:rPr>
          <w:i/>
          <w:noProof/>
          <w:szCs w:val="24"/>
        </w:rPr>
        <w:t>Článok 4</w:t>
      </w:r>
      <w:r>
        <w:rPr>
          <w:noProof/>
        </w:rPr>
        <w:t xml:space="preserve"> </w:t>
      </w:r>
      <w:r>
        <w:rPr>
          <w:noProof/>
        </w:rPr>
        <w:br/>
      </w:r>
      <w:r>
        <w:rPr>
          <w:i/>
          <w:iCs/>
          <w:noProof/>
          <w:color w:val="000000" w:themeColor="text1"/>
        </w:rPr>
        <w:t>Nadobudnutie účinnosti a uplatňovanie</w:t>
      </w:r>
    </w:p>
    <w:p>
      <w:pPr>
        <w:pStyle w:val="ListParagraph"/>
        <w:rPr>
          <w:noProof/>
        </w:rPr>
      </w:pPr>
      <w:r>
        <w:rPr>
          <w:noProof/>
        </w:rPr>
        <w:t xml:space="preserve">Toto nariadenie nadobúda účinnosť tretím dňom po jeho uverejnení v </w:t>
      </w:r>
      <w:r>
        <w:rPr>
          <w:i/>
          <w:iCs/>
          <w:noProof/>
        </w:rPr>
        <w:t>Úradnom vestníku Európskej únie</w:t>
      </w:r>
      <w:r>
        <w:rPr>
          <w:noProof/>
        </w:rPr>
        <w:t xml:space="preserve">. </w:t>
      </w:r>
    </w:p>
    <w:p>
      <w:pPr>
        <w:pStyle w:val="Normal1"/>
        <w:spacing w:before="0" w:beforeAutospacing="0" w:after="240" w:afterAutospacing="0"/>
        <w:ind w:left="720"/>
        <w:jc w:val="both"/>
        <w:rPr>
          <w:noProof/>
          <w:color w:val="000000" w:themeColor="text1"/>
        </w:rPr>
      </w:pPr>
      <w:r>
        <w:rPr>
          <w:noProof/>
          <w:color w:val="000000" w:themeColor="text1"/>
        </w:rPr>
        <w:t>Uplatňuje sa od 21. decembra 2020 do 31. decembra 2025.</w:t>
      </w:r>
    </w:p>
    <w:p>
      <w:pPr>
        <w:pStyle w:val="Normal1"/>
        <w:spacing w:before="0" w:beforeAutospacing="0" w:after="240" w:afterAutospacing="0"/>
        <w:rPr>
          <w:i/>
          <w:noProof/>
        </w:rPr>
      </w:pPr>
      <w:r>
        <w:rPr>
          <w:noProof/>
          <w:color w:val="000000" w:themeColor="text1"/>
        </w:rPr>
        <w:t>Toto nariadenie je záväzné v celom rozsahu a priamo uplatniteľné vo všetkých členských štátoch.</w:t>
      </w:r>
    </w:p>
    <w:p>
      <w:pPr>
        <w:pStyle w:val="Fait"/>
        <w:rPr>
          <w:noProof/>
        </w:rPr>
      </w:pPr>
      <w:r>
        <w:t>V Bruseli</w:t>
      </w:r>
    </w:p>
    <w:p>
      <w:pPr>
        <w:pStyle w:val="Institutionquisigne"/>
        <w:rPr>
          <w:noProof/>
        </w:rPr>
      </w:pPr>
      <w:r>
        <w:rPr>
          <w:noProof/>
        </w:rPr>
        <w:t>Za Európsky parlament</w:t>
      </w:r>
      <w:r>
        <w:rPr>
          <w:noProof/>
        </w:rPr>
        <w:tab/>
        <w:t>Za Radu</w:t>
      </w:r>
    </w:p>
    <w:p>
      <w:pPr>
        <w:pStyle w:val="Personnequisigne"/>
        <w:rPr>
          <w:noProof/>
        </w:rPr>
      </w:pPr>
      <w:r>
        <w:rPr>
          <w:noProof/>
        </w:rPr>
        <w:t>predseda</w:t>
      </w:r>
      <w:r>
        <w:rPr>
          <w:noProof/>
        </w:rPr>
        <w:tab/>
        <w:t>predseda</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SK</w:t>
    </w:r>
    <w:r>
      <w:rPr>
        <w:rFonts w:ascii="Arial" w:hAnsi="Arial" w:cs="Arial"/>
        <w:b/>
        <w:sz w:val="48"/>
      </w:rPr>
      <w:tab/>
    </w:r>
    <w:r>
      <w:rPr>
        <w:rFonts w:ascii="Arial" w:hAnsi="Arial" w:cs="Arial"/>
        <w:b/>
        <w:sz w:val="48"/>
      </w:rPr>
      <w:tab/>
    </w:r>
    <w:r>
      <w:tab/>
    </w:r>
    <w:r>
      <w:rPr>
        <w:rFonts w:ascii="Arial" w:hAnsi="Arial" w:cs="Arial"/>
        <w:b/>
        <w:sz w:val="48"/>
      </w:rPr>
      <w:t>SK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SK</w:t>
    </w:r>
    <w:r>
      <w:rPr>
        <w:rFonts w:ascii="Arial" w:hAnsi="Arial" w:cs="Arial"/>
        <w:b/>
        <w:sz w:val="48"/>
      </w:rPr>
      <w:tab/>
    </w:r>
    <w:r>
      <w:fldChar w:fldCharType="begin"/>
    </w:r>
    <w:r>
      <w:instrText xml:space="preserve"> PAGE  \* MERGEFORMAT </w:instrText>
    </w:r>
    <w:r>
      <w:fldChar w:fldCharType="separate"/>
    </w:r>
    <w:r>
      <w:rPr>
        <w:noProof/>
      </w:rPr>
      <w:t>11</w:t>
    </w:r>
    <w:r>
      <w:fldChar w:fldCharType="end"/>
    </w:r>
    <w:r>
      <w:tab/>
    </w:r>
    <w:r>
      <w:tab/>
    </w:r>
    <w:r>
      <w:rPr>
        <w:rFonts w:ascii="Arial" w:hAnsi="Arial" w:cs="Arial"/>
        <w:b/>
        <w:sz w:val="48"/>
      </w:rPr>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Smernica Európskeho parlamentu a Rady 2002/58/ES z 12. júla 2002, týkajúca sa spracovávania osobných údajov a ochrany súkromia v sektore elektronických komunikácií (smernica o súkromí a elektronických komunikáciách) (Ú. v. ES L 201, 31.7.2002, s. 37).</w:t>
      </w:r>
    </w:p>
  </w:footnote>
  <w:footnote w:id="2">
    <w:p>
      <w:pPr>
        <w:pStyle w:val="FootnoteText"/>
      </w:pPr>
      <w:r>
        <w:rPr>
          <w:rStyle w:val="FootnoteReference"/>
        </w:rPr>
        <w:footnoteRef/>
      </w:r>
      <w:r>
        <w:tab/>
        <w:t>Smernica Európskeho parlamentu a Rady (EÚ) 2018/1972 z 11. decembra 2018, ktorou sa stanovuje európsky kódex elektronických komunikácií (prepracované znenie) (Ú. v. EÚ L 321, 17.12.2018, s. 36 – 214).</w:t>
      </w:r>
    </w:p>
  </w:footnote>
  <w:footnote w:id="3">
    <w:p>
      <w:pPr>
        <w:pStyle w:val="FootnoteText"/>
      </w:pPr>
      <w:r>
        <w:rPr>
          <w:rStyle w:val="FootnoteReference"/>
        </w:rPr>
        <w:footnoteRef/>
      </w:r>
      <w:r>
        <w:tab/>
        <w:t>Oznámenie Komisie Európskemu parlamentu, Rade, Európskemu hospodárskemu a sociálnemu výboru a Výboru regiónov – Stratégia EÚ pre účinnejší boj proti sexuálnemu zneužívaniu detí, 24.7.2020, COM(2020) 607 final.</w:t>
      </w:r>
    </w:p>
  </w:footnote>
  <w:footnote w:id="4">
    <w:p>
      <w:pPr>
        <w:pStyle w:val="FootnoteText"/>
      </w:pPr>
      <w:r>
        <w:rPr>
          <w:rStyle w:val="FootnoteReference"/>
        </w:rPr>
        <w:footnoteRef/>
      </w:r>
      <w:r>
        <w:tab/>
        <w:t>Ú. v. EÚ C …, …, s. ….</w:t>
      </w:r>
    </w:p>
  </w:footnote>
  <w:footnote w:id="5">
    <w:p>
      <w:pPr>
        <w:pStyle w:val="FootnoteText"/>
        <w:rPr>
          <w:rFonts w:ascii="&amp;quot" w:hAnsi="&amp;quot"/>
          <w:color w:val="444444"/>
          <w:sz w:val="21"/>
          <w:szCs w:val="21"/>
        </w:rPr>
      </w:pPr>
      <w:r>
        <w:rPr>
          <w:rStyle w:val="FootnoteReference"/>
        </w:rPr>
        <w:footnoteRef/>
      </w:r>
      <w:r>
        <w:tab/>
        <w:t>Smernica Európskeho parlamentu a Rady 2002/58/ES z 12. júla 2002 týkajúca sa spracovávania osobných údajov a ochrany súkromia v sektore elektronických komunikácií (smernica o súkromí a elektronických komunikáciách) (Ú. v. ES L 201, 31.7.2002, s. 37).</w:t>
      </w:r>
    </w:p>
    <w:p>
      <w:pPr>
        <w:pStyle w:val="FootnoteText"/>
      </w:pPr>
    </w:p>
  </w:footnote>
  <w:footnote w:id="6">
    <w:p>
      <w:pPr>
        <w:pStyle w:val="FootnoteText"/>
      </w:pPr>
      <w:r>
        <w:rPr>
          <w:rStyle w:val="FootnoteReference"/>
        </w:rPr>
        <w:footnoteRef/>
      </w:r>
      <w:r>
        <w:tab/>
        <w:t>Nariadenie Európskeho parlamentu a Rady (EÚ) 2016/679 z 27. apríla 2016 o ochrane fyzických osôb pri spracúvaní osobných údajov a o voľnom pohybe takýchto údajov, ktorým sa zrušuje smernica 95/46/ES (všeobecné nariadenie o ochrane údajov) (Ú. v. EÚ L 119, 4.5.2016, s. 1).</w:t>
      </w:r>
    </w:p>
  </w:footnote>
  <w:footnote w:id="7">
    <w:p>
      <w:pPr>
        <w:pStyle w:val="FootnoteText"/>
      </w:pPr>
      <w:r>
        <w:rPr>
          <w:rStyle w:val="FootnoteReference"/>
        </w:rPr>
        <w:footnoteRef/>
      </w:r>
      <w:r>
        <w:tab/>
        <w:t>Smernica Európskeho parlamentu a Rady 2002/21/ES zo 7. marca 2002 o spoločnom regulačnom rámci pre elektronické komunikačné siete a služby (rámcová smernica) (Ú. v. ES L 108, 24.4.2002, s. 33).</w:t>
      </w:r>
    </w:p>
  </w:footnote>
  <w:footnote w:id="8">
    <w:p>
      <w:pPr>
        <w:pStyle w:val="FootnoteText"/>
      </w:pPr>
      <w:r>
        <w:rPr>
          <w:rStyle w:val="FootnoteReference"/>
        </w:rPr>
        <w:footnoteRef/>
      </w:r>
      <w:r>
        <w:tab/>
        <w:t>Smernica Európskeho parlamentu a Rady (EÚ) 2018/1972 z 11. decembra 2018, ktorou sa stanovuje európsky kódex elektronických komunikácií (Ú. v. EÚ L 321, 17.12.2018, s. 36).</w:t>
      </w:r>
    </w:p>
  </w:footnote>
  <w:footnote w:id="9">
    <w:p>
      <w:pPr>
        <w:pStyle w:val="FootnoteText"/>
      </w:pPr>
      <w:r>
        <w:rPr>
          <w:rStyle w:val="FootnoteReference"/>
        </w:rPr>
        <w:footnoteRef/>
      </w:r>
      <w:r>
        <w:tab/>
        <w:t>Oznámenie Komisie Európskemu parlamentu, Rade, Európskemu hospodárskemu a sociálnemu výboru a Výboru regiónov – Stratégia EÚ pre účinnejší boj proti sexuálnemu zneužívaniu detí, 24.7.2020, COM(2020) 607 final.</w:t>
      </w:r>
    </w:p>
  </w:footnote>
  <w:footnote w:id="10">
    <w:p>
      <w:pPr>
        <w:pStyle w:val="FootnoteText"/>
      </w:pPr>
      <w:r>
        <w:rPr>
          <w:rStyle w:val="FootnoteReference"/>
        </w:rPr>
        <w:footnoteRef/>
      </w:r>
      <w:r>
        <w:tab/>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C 20, 21.1.2019, s.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C30E2C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628A8D8"/>
    <w:lvl w:ilvl="0">
      <w:start w:val="1"/>
      <w:numFmt w:val="decimal"/>
      <w:pStyle w:val="ListNumber3"/>
      <w:lvlText w:val="%1."/>
      <w:lvlJc w:val="left"/>
      <w:pPr>
        <w:tabs>
          <w:tab w:val="num" w:pos="926"/>
        </w:tabs>
        <w:ind w:left="926" w:hanging="360"/>
      </w:pPr>
    </w:lvl>
  </w:abstractNum>
  <w:abstractNum w:abstractNumId="2">
    <w:nsid w:val="FFFFFF7F"/>
    <w:multiLevelType w:val="singleLevel"/>
    <w:tmpl w:val="EA18614A"/>
    <w:lvl w:ilvl="0">
      <w:start w:val="1"/>
      <w:numFmt w:val="decimal"/>
      <w:pStyle w:val="ListNumber2"/>
      <w:lvlText w:val="%1."/>
      <w:lvlJc w:val="left"/>
      <w:pPr>
        <w:tabs>
          <w:tab w:val="num" w:pos="643"/>
        </w:tabs>
        <w:ind w:left="643" w:hanging="360"/>
      </w:pPr>
    </w:lvl>
  </w:abstractNum>
  <w:abstractNum w:abstractNumId="3">
    <w:nsid w:val="FFFFFF81"/>
    <w:multiLevelType w:val="singleLevel"/>
    <w:tmpl w:val="522CE04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082C3D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F5E543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E48D330"/>
    <w:lvl w:ilvl="0">
      <w:start w:val="1"/>
      <w:numFmt w:val="decimal"/>
      <w:pStyle w:val="ListNumber"/>
      <w:lvlText w:val="%1."/>
      <w:lvlJc w:val="left"/>
      <w:pPr>
        <w:tabs>
          <w:tab w:val="num" w:pos="360"/>
        </w:tabs>
        <w:ind w:left="360" w:hanging="360"/>
      </w:pPr>
    </w:lvl>
  </w:abstractNum>
  <w:abstractNum w:abstractNumId="7">
    <w:nsid w:val="FFFFFF89"/>
    <w:multiLevelType w:val="singleLevel"/>
    <w:tmpl w:val="54E8C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lvlOverride w:ilvl="0">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9-16 15:00:06"/>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2"/>
    <w:docVar w:name="DQCResult_ModifiedMarkers" w:val="0;0"/>
    <w:docVar w:name="DQCResult_ModifiedNumbering" w:val="0;0"/>
    <w:docVar w:name="DQCResult_Objects" w:val="0;0"/>
    <w:docVar w:name="DQCResult_Sections" w:val="0;0"/>
    <w:docVar w:name="DQCResult_StructureCheck" w:val="0;0"/>
    <w:docVar w:name="DQCResult_SuperfluousWhitespace" w:val="0;8"/>
    <w:docVar w:name="DQCResult_UnknownFonts" w:val="0;0"/>
    <w:docVar w:name="DQCResult_UnknownStyles" w:val="0;11"/>
    <w:docVar w:name="DQCStatus" w:val="Green"/>
    <w:docVar w:name="DQCVersion" w:val="3"/>
    <w:docVar w:name="DQCWithWarnings" w:val="0"/>
    <w:docVar w:name="LW_CORRIGENDUM" w:val="&lt;UNUSED&gt;"/>
    <w:docVar w:name="LW_COVERPAGE_EXISTS" w:val="True"/>
    <w:docVar w:name="LW_COVERPAGE_GUID" w:val="522E0C97-54D1-4BC3-841E-4CE65A7A3AFD"/>
    <w:docVar w:name="LW_COVERPAGE_TYPE" w:val="1"/>
    <w:docVar w:name="LW_CROSSREFERENCE" w:val="&lt;UNUSED&gt;"/>
    <w:docVar w:name="LW_DocType" w:val="COM"/>
    <w:docVar w:name="LW_EMISSION" w:val="10. 9. 2020"/>
    <w:docVar w:name="LW_EMISSION_ISODATE" w:val="2020-09-10"/>
    <w:docVar w:name="LW_EMISSION_LOCATION" w:val="BRX"/>
    <w:docVar w:name="LW_EMISSION_PREFIX" w:val="V Bruseli"/>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SK"/>
    <w:docVar w:name="LW_LEVEL_OF_SENSITIVITY" w:val="Standard treatment"/>
    <w:docVar w:name="LW_NOM.INST" w:val="EURÓPSKA KOMISIA"/>
    <w:docVar w:name="LW_NOM.INST_JOINTDOC" w:val="&lt;EMPTY&gt;"/>
    <w:docVar w:name="LW_PART_NBR" w:val="1"/>
    <w:docVar w:name="LW_PART_NBR_TOTAL" w:val="1"/>
    <w:docVar w:name="LW_REF.II.NEW.CP" w:val="COD"/>
    <w:docVar w:name="LW_REF.II.NEW.CP_NUMBER" w:val="0259"/>
    <w:docVar w:name="LW_REF.II.NEW.CP_YEAR" w:val="2020"/>
    <w:docVar w:name="LW_REF.INST.NEW" w:val="COM"/>
    <w:docVar w:name="LW_REF.INST.NEW_ADOPTED" w:val="final"/>
    <w:docVar w:name="LW_REF.INST.NEW_TEXT" w:val="(2020) 5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Návrh"/>
    <w:docVar w:name="LW_SUPERTITRE" w:val="&lt;UNUSED&gt;"/>
    <w:docVar w:name="LW_TITRE.OBJ.CP" w:val="o do\u269?asnej výnimke z ur\u269?itých ustanovení smernice Európskeho parlamentu a Rady 2002/58/ES, pokia\u318? ide o pou\u382?ívanie technológií poskytovate\u318?mi interpersonálnych komunika\u269?ných slu\u382?ieb nezávislých od \u269?íslovania na spracúvanie osobných a iných údajov na ú\u269?ely boja proti sexuálnemu zneu\u382?ívaniu detí online"/>
    <w:docVar w:name="LW_TYPE.DOC.CP" w:val="NARIADENIE EURÓPSKEHO PARLAMENTU A RADY"/>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k-SK"/>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shd w:val="clear" w:color="auto" w:fill="auto"/>
    </w:rPr>
  </w:style>
  <w:style w:type="paragraph" w:styleId="ListParagraph">
    <w:name w:val="List Paragraph"/>
    <w:basedOn w:val="Normal"/>
    <w:uiPriority w:val="34"/>
    <w:qFormat/>
    <w:pPr>
      <w:ind w:left="720"/>
      <w:contextualSpacing/>
    </w:pPr>
  </w:style>
  <w:style w:type="paragraph" w:customStyle="1" w:styleId="Normal1">
    <w:name w:val="Normal1"/>
    <w:basedOn w:val="Normal"/>
    <w:pPr>
      <w:spacing w:before="100" w:beforeAutospacing="1" w:after="100" w:afterAutospacing="1"/>
      <w:jc w:val="left"/>
    </w:pPr>
    <w:rPr>
      <w:rFonts w:eastAsia="Times New Roman"/>
      <w:szCs w:val="24"/>
      <w:lang w:eastAsia="de-D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k-S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k-S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k-SK"/>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fr-BE"/>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k-S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k-S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k-SK"/>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shd w:val="clear" w:color="auto" w:fill="auto"/>
    </w:rPr>
  </w:style>
  <w:style w:type="paragraph" w:styleId="ListParagraph">
    <w:name w:val="List Paragraph"/>
    <w:basedOn w:val="Normal"/>
    <w:uiPriority w:val="34"/>
    <w:qFormat/>
    <w:pPr>
      <w:ind w:left="720"/>
      <w:contextualSpacing/>
    </w:pPr>
  </w:style>
  <w:style w:type="paragraph" w:customStyle="1" w:styleId="Normal1">
    <w:name w:val="Normal1"/>
    <w:basedOn w:val="Normal"/>
    <w:pPr>
      <w:spacing w:before="100" w:beforeAutospacing="1" w:after="100" w:afterAutospacing="1"/>
      <w:jc w:val="left"/>
    </w:pPr>
    <w:rPr>
      <w:rFonts w:eastAsia="Times New Roman"/>
      <w:szCs w:val="24"/>
      <w:lang w:eastAsia="de-D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k-S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k-S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k-SK"/>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fr-BE"/>
    </w:rPr>
  </w:style>
  <w:style w:type="character" w:styleId="Emphasis">
    <w:name w:val="Emphasis"/>
    <w:basedOn w:val="DefaultParagraphFont"/>
    <w:uiPriority w:val="20"/>
    <w:qFormat/>
    <w:rPr>
      <w:i/>
      <w:iCs/>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k-S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k-S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291772">
      <w:bodyDiv w:val="1"/>
      <w:marLeft w:val="0"/>
      <w:marRight w:val="0"/>
      <w:marTop w:val="0"/>
      <w:marBottom w:val="0"/>
      <w:divBdr>
        <w:top w:val="none" w:sz="0" w:space="0" w:color="auto"/>
        <w:left w:val="none" w:sz="0" w:space="0" w:color="auto"/>
        <w:bottom w:val="none" w:sz="0" w:space="0" w:color="auto"/>
        <w:right w:val="none" w:sz="0" w:space="0" w:color="auto"/>
      </w:divBdr>
    </w:div>
    <w:div w:id="374887633">
      <w:bodyDiv w:val="1"/>
      <w:marLeft w:val="0"/>
      <w:marRight w:val="0"/>
      <w:marTop w:val="0"/>
      <w:marBottom w:val="0"/>
      <w:divBdr>
        <w:top w:val="none" w:sz="0" w:space="0" w:color="auto"/>
        <w:left w:val="none" w:sz="0" w:space="0" w:color="auto"/>
        <w:bottom w:val="none" w:sz="0" w:space="0" w:color="auto"/>
        <w:right w:val="none" w:sz="0" w:space="0" w:color="auto"/>
      </w:divBdr>
    </w:div>
    <w:div w:id="561452147">
      <w:bodyDiv w:val="1"/>
      <w:marLeft w:val="0"/>
      <w:marRight w:val="0"/>
      <w:marTop w:val="0"/>
      <w:marBottom w:val="0"/>
      <w:divBdr>
        <w:top w:val="none" w:sz="0" w:space="0" w:color="auto"/>
        <w:left w:val="none" w:sz="0" w:space="0" w:color="auto"/>
        <w:bottom w:val="none" w:sz="0" w:space="0" w:color="auto"/>
        <w:right w:val="none" w:sz="0" w:space="0" w:color="auto"/>
      </w:divBdr>
    </w:div>
    <w:div w:id="813445114">
      <w:bodyDiv w:val="1"/>
      <w:marLeft w:val="0"/>
      <w:marRight w:val="0"/>
      <w:marTop w:val="0"/>
      <w:marBottom w:val="0"/>
      <w:divBdr>
        <w:top w:val="none" w:sz="0" w:space="0" w:color="auto"/>
        <w:left w:val="none" w:sz="0" w:space="0" w:color="auto"/>
        <w:bottom w:val="none" w:sz="0" w:space="0" w:color="auto"/>
        <w:right w:val="none" w:sz="0" w:space="0" w:color="auto"/>
      </w:divBdr>
    </w:div>
    <w:div w:id="1303923451">
      <w:bodyDiv w:val="1"/>
      <w:marLeft w:val="0"/>
      <w:marRight w:val="0"/>
      <w:marTop w:val="0"/>
      <w:marBottom w:val="0"/>
      <w:divBdr>
        <w:top w:val="none" w:sz="0" w:space="0" w:color="auto"/>
        <w:left w:val="none" w:sz="0" w:space="0" w:color="auto"/>
        <w:bottom w:val="none" w:sz="0" w:space="0" w:color="auto"/>
        <w:right w:val="none" w:sz="0" w:space="0" w:color="auto"/>
      </w:divBdr>
    </w:div>
    <w:div w:id="1627541808">
      <w:bodyDiv w:val="1"/>
      <w:marLeft w:val="0"/>
      <w:marRight w:val="0"/>
      <w:marTop w:val="0"/>
      <w:marBottom w:val="0"/>
      <w:divBdr>
        <w:top w:val="none" w:sz="0" w:space="0" w:color="auto"/>
        <w:left w:val="none" w:sz="0" w:space="0" w:color="auto"/>
        <w:bottom w:val="none" w:sz="0" w:space="0" w:color="auto"/>
        <w:right w:val="none" w:sz="0" w:space="0" w:color="auto"/>
      </w:divBdr>
    </w:div>
    <w:div w:id="1695568777">
      <w:bodyDiv w:val="1"/>
      <w:marLeft w:val="0"/>
      <w:marRight w:val="0"/>
      <w:marTop w:val="0"/>
      <w:marBottom w:val="0"/>
      <w:divBdr>
        <w:top w:val="none" w:sz="0" w:space="0" w:color="auto"/>
        <w:left w:val="none" w:sz="0" w:space="0" w:color="auto"/>
        <w:bottom w:val="none" w:sz="0" w:space="0" w:color="auto"/>
        <w:right w:val="none" w:sz="0" w:space="0" w:color="auto"/>
      </w:divBdr>
    </w:div>
    <w:div w:id="175894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85A5DBE-7409-49C0-8D28-27EAEC5C2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12</Pages>
  <Words>4295</Words>
  <Characters>27580</Characters>
  <Application>Microsoft Office Word</Application>
  <DocSecurity>0</DocSecurity>
  <Lines>452</Lines>
  <Paragraphs>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2020-09-15T05:21:00Z</dcterms:created>
  <dcterms:modified xsi:type="dcterms:W3CDTF">2020-09-16T13:00:00Z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20190916</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