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BB5" w:rsidRDefault="00A34992" w:rsidP="00A34992">
      <w:pPr>
        <w:pStyle w:val="Pagedecouverture"/>
        <w:rPr>
          <w:noProof/>
        </w:rPr>
      </w:pPr>
      <w:bookmarkStart w:id="0" w:name="LW_BM_COVERPAGE"/>
      <w:bookmarkStart w:id="1" w:name="_GoBack"/>
      <w:bookmarkEnd w:id="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60289293-8CCF-4CDA-A4A4-621A2F73734B" style="width:450.5pt;height:334.5pt">
            <v:imagedata r:id="rId14" o:title=""/>
          </v:shape>
        </w:pict>
      </w:r>
    </w:p>
    <w:bookmarkEnd w:id="0"/>
    <w:p w:rsidR="00F47BB5" w:rsidRDefault="00F47BB5">
      <w:pPr>
        <w:pStyle w:val="Pagedecouverture"/>
        <w:rPr>
          <w:noProof/>
        </w:rPr>
        <w:sectPr w:rsidR="00F47BB5" w:rsidSect="00A34992">
          <w:headerReference w:type="even" r:id="rId15"/>
          <w:headerReference w:type="default" r:id="rId16"/>
          <w:footerReference w:type="even" r:id="rId17"/>
          <w:footerReference w:type="default" r:id="rId18"/>
          <w:headerReference w:type="first" r:id="rId19"/>
          <w:footerReference w:type="first" r:id="rId20"/>
          <w:pgSz w:w="11906" w:h="16838"/>
          <w:pgMar w:top="1134" w:right="1417" w:bottom="1134" w:left="1417" w:header="709" w:footer="709" w:gutter="0"/>
          <w:pgNumType w:start="0"/>
          <w:cols w:space="720"/>
          <w:docGrid w:linePitch="326"/>
        </w:sectPr>
      </w:pPr>
    </w:p>
    <w:p w:rsidR="00F47BB5" w:rsidRDefault="00F47BB5">
      <w:pPr>
        <w:spacing w:line="276" w:lineRule="auto"/>
        <w:rPr>
          <w:noProof/>
        </w:rPr>
      </w:pPr>
    </w:p>
    <w:p w:rsidR="00F47BB5" w:rsidRDefault="00A34992">
      <w:pPr>
        <w:spacing w:line="276" w:lineRule="auto"/>
        <w:jc w:val="center"/>
        <w:rPr>
          <w:noProof/>
          <w:szCs w:val="28"/>
        </w:rPr>
      </w:pPr>
      <w:bookmarkStart w:id="2" w:name="_Toc44671280"/>
      <w:bookmarkStart w:id="3" w:name="_Toc45003000"/>
      <w:bookmarkStart w:id="4" w:name="_Toc45004493"/>
      <w:bookmarkStart w:id="5" w:name="_Toc45111155"/>
      <w:bookmarkStart w:id="6" w:name="_Toc45639277"/>
      <w:bookmarkStart w:id="7" w:name="_Toc45647491"/>
      <w:bookmarkStart w:id="8" w:name="_Toc45724451"/>
      <w:bookmarkStart w:id="9" w:name="_Toc45790724"/>
      <w:r>
        <w:rPr>
          <w:b/>
          <w:bCs/>
          <w:noProof/>
          <w:sz w:val="28"/>
          <w:szCs w:val="28"/>
          <w:u w:val="single"/>
        </w:rPr>
        <w:t>Obsah</w:t>
      </w:r>
      <w:bookmarkEnd w:id="2"/>
      <w:bookmarkEnd w:id="3"/>
      <w:bookmarkEnd w:id="4"/>
      <w:bookmarkEnd w:id="5"/>
      <w:bookmarkEnd w:id="6"/>
      <w:bookmarkEnd w:id="7"/>
      <w:bookmarkEnd w:id="8"/>
      <w:bookmarkEnd w:id="9"/>
    </w:p>
    <w:p w:rsidR="00F47BB5" w:rsidRDefault="00F47BB5">
      <w:pPr>
        <w:spacing w:line="276" w:lineRule="auto"/>
        <w:rPr>
          <w:noProof/>
        </w:rPr>
      </w:pPr>
    </w:p>
    <w:sdt>
      <w:sdtPr>
        <w:rPr>
          <w:rFonts w:ascii="Calibri" w:hAnsi="Calibri" w:cs="Calibri"/>
          <w:caps w:val="0"/>
          <w:noProof/>
        </w:rPr>
        <w:id w:val="1393697976"/>
        <w:docPartObj>
          <w:docPartGallery w:val="Table of Contents"/>
          <w:docPartUnique/>
        </w:docPartObj>
      </w:sdtPr>
      <w:sdtEndPr>
        <w:rPr>
          <w:rFonts w:ascii="Times New Roman" w:hAnsi="Times New Roman" w:cs="Times New Roman"/>
          <w:szCs w:val="24"/>
        </w:rPr>
      </w:sdtEndPr>
      <w:sdtContent>
        <w:p w:rsidR="00F47BB5" w:rsidRDefault="00A34992">
          <w:pPr>
            <w:pStyle w:val="TOC1"/>
            <w:rPr>
              <w:rFonts w:asciiTheme="minorHAnsi" w:eastAsiaTheme="minorEastAsia" w:hAnsiTheme="minorHAnsi" w:cstheme="minorBidi"/>
              <w:caps w:val="0"/>
              <w:noProof/>
              <w:sz w:val="22"/>
              <w:szCs w:val="22"/>
              <w:lang w:eastAsia="en-US"/>
            </w:rPr>
          </w:pPr>
          <w:r>
            <w:rPr>
              <w:noProof/>
              <w:szCs w:val="24"/>
            </w:rPr>
            <w:fldChar w:fldCharType="begin"/>
          </w:r>
          <w:r>
            <w:rPr>
              <w:noProof/>
              <w:szCs w:val="24"/>
            </w:rPr>
            <w:instrText xml:space="preserve"> TOC \h \u \z </w:instrText>
          </w:r>
          <w:r>
            <w:rPr>
              <w:noProof/>
              <w:szCs w:val="24"/>
            </w:rPr>
            <w:fldChar w:fldCharType="separate"/>
          </w:r>
          <w:hyperlink w:anchor="_Toc51067194" w:history="1">
            <w:r>
              <w:rPr>
                <w:rStyle w:val="Hyperlink"/>
                <w:noProof/>
              </w:rPr>
              <w:t>Zhrnutie</w:t>
            </w:r>
            <w:r>
              <w:rPr>
                <w:noProof/>
                <w:webHidden/>
              </w:rPr>
              <w:tab/>
            </w:r>
            <w:r>
              <w:rPr>
                <w:noProof/>
                <w:webHidden/>
              </w:rPr>
              <w:fldChar w:fldCharType="begin"/>
            </w:r>
            <w:r>
              <w:rPr>
                <w:noProof/>
                <w:webHidden/>
              </w:rPr>
              <w:instrText xml:space="preserve"> PAGEREF _Toc51067194 \h </w:instrText>
            </w:r>
            <w:r>
              <w:rPr>
                <w:noProof/>
                <w:webHidden/>
              </w:rPr>
            </w:r>
            <w:r>
              <w:rPr>
                <w:noProof/>
                <w:webHidden/>
              </w:rPr>
              <w:fldChar w:fldCharType="separate"/>
            </w:r>
            <w:r>
              <w:rPr>
                <w:noProof/>
                <w:webHidden/>
              </w:rPr>
              <w:t>1</w:t>
            </w:r>
            <w:r>
              <w:rPr>
                <w:noProof/>
                <w:webHidden/>
              </w:rPr>
              <w:fldChar w:fldCharType="end"/>
            </w:r>
          </w:hyperlink>
        </w:p>
        <w:p w:rsidR="00F47BB5" w:rsidRDefault="00A34992">
          <w:pPr>
            <w:pStyle w:val="TOC1"/>
            <w:rPr>
              <w:rFonts w:asciiTheme="minorHAnsi" w:eastAsiaTheme="minorEastAsia" w:hAnsiTheme="minorHAnsi" w:cstheme="minorBidi"/>
              <w:caps w:val="0"/>
              <w:noProof/>
              <w:sz w:val="22"/>
              <w:szCs w:val="22"/>
              <w:lang w:eastAsia="en-US"/>
            </w:rPr>
          </w:pPr>
          <w:hyperlink w:anchor="_Toc51067195" w:history="1">
            <w:r>
              <w:rPr>
                <w:rStyle w:val="Hyperlink"/>
                <w:noProof/>
              </w:rPr>
              <w:t>1.</w:t>
            </w:r>
            <w:r>
              <w:rPr>
                <w:rFonts w:asciiTheme="minorHAnsi" w:eastAsiaTheme="minorEastAsia" w:hAnsiTheme="minorHAnsi" w:cstheme="minorBidi"/>
                <w:caps w:val="0"/>
                <w:noProof/>
                <w:sz w:val="22"/>
                <w:szCs w:val="22"/>
                <w:lang w:eastAsia="en-US"/>
              </w:rPr>
              <w:tab/>
            </w:r>
            <w:r>
              <w:rPr>
                <w:rStyle w:val="Hyperlink"/>
                <w:noProof/>
              </w:rPr>
              <w:t>Začlenenie strategického výhľadu do tvorby politík EÚ</w:t>
            </w:r>
            <w:r>
              <w:rPr>
                <w:noProof/>
                <w:webHidden/>
              </w:rPr>
              <w:tab/>
            </w:r>
            <w:r>
              <w:rPr>
                <w:noProof/>
                <w:webHidden/>
              </w:rPr>
              <w:fldChar w:fldCharType="begin"/>
            </w:r>
            <w:r>
              <w:rPr>
                <w:noProof/>
                <w:webHidden/>
              </w:rPr>
              <w:instrText xml:space="preserve"> PAGEREF _Toc51067195 \h </w:instrText>
            </w:r>
            <w:r>
              <w:rPr>
                <w:noProof/>
                <w:webHidden/>
              </w:rPr>
            </w:r>
            <w:r>
              <w:rPr>
                <w:noProof/>
                <w:webHidden/>
              </w:rPr>
              <w:fldChar w:fldCharType="separate"/>
            </w:r>
            <w:r>
              <w:rPr>
                <w:noProof/>
                <w:webHidden/>
              </w:rPr>
              <w:t>1</w:t>
            </w:r>
            <w:r>
              <w:rPr>
                <w:noProof/>
                <w:webHidden/>
              </w:rPr>
              <w:fldChar w:fldCharType="end"/>
            </w:r>
          </w:hyperlink>
        </w:p>
        <w:p w:rsidR="00F47BB5" w:rsidRDefault="00A34992">
          <w:pPr>
            <w:pStyle w:val="TOC1"/>
            <w:rPr>
              <w:rFonts w:asciiTheme="minorHAnsi" w:eastAsiaTheme="minorEastAsia" w:hAnsiTheme="minorHAnsi" w:cstheme="minorBidi"/>
              <w:caps w:val="0"/>
              <w:noProof/>
              <w:sz w:val="22"/>
              <w:szCs w:val="22"/>
              <w:lang w:eastAsia="en-US"/>
            </w:rPr>
          </w:pPr>
          <w:hyperlink w:anchor="_Toc51067196" w:history="1">
            <w:r>
              <w:rPr>
                <w:rStyle w:val="Hyperlink"/>
                <w:noProof/>
              </w:rPr>
              <w:t>2.</w:t>
            </w:r>
            <w:r>
              <w:rPr>
                <w:rFonts w:asciiTheme="minorHAnsi" w:eastAsiaTheme="minorEastAsia" w:hAnsiTheme="minorHAnsi" w:cstheme="minorBidi"/>
                <w:caps w:val="0"/>
                <w:noProof/>
                <w:sz w:val="22"/>
                <w:szCs w:val="22"/>
                <w:lang w:eastAsia="en-US"/>
              </w:rPr>
              <w:tab/>
            </w:r>
            <w:r>
              <w:rPr>
                <w:rStyle w:val="Hyperlink"/>
                <w:noProof/>
              </w:rPr>
              <w:t>Odolnosť ako nový kompas politík EÚ</w:t>
            </w:r>
            <w:r>
              <w:rPr>
                <w:noProof/>
                <w:webHidden/>
              </w:rPr>
              <w:tab/>
            </w:r>
            <w:r>
              <w:rPr>
                <w:noProof/>
                <w:webHidden/>
              </w:rPr>
              <w:fldChar w:fldCharType="begin"/>
            </w:r>
            <w:r>
              <w:rPr>
                <w:noProof/>
                <w:webHidden/>
              </w:rPr>
              <w:instrText xml:space="preserve"> PAGEREF _Toc51067196 \h </w:instrText>
            </w:r>
            <w:r>
              <w:rPr>
                <w:noProof/>
                <w:webHidden/>
              </w:rPr>
            </w:r>
            <w:r>
              <w:rPr>
                <w:noProof/>
                <w:webHidden/>
              </w:rPr>
              <w:fldChar w:fldCharType="separate"/>
            </w:r>
            <w:r>
              <w:rPr>
                <w:noProof/>
                <w:webHidden/>
              </w:rPr>
              <w:t>1</w:t>
            </w:r>
            <w:r>
              <w:rPr>
                <w:noProof/>
                <w:webHidden/>
              </w:rPr>
              <w:fldChar w:fldCharType="end"/>
            </w:r>
          </w:hyperlink>
        </w:p>
        <w:p w:rsidR="00F47BB5" w:rsidRDefault="00A34992">
          <w:pPr>
            <w:pStyle w:val="TOC1"/>
            <w:rPr>
              <w:rFonts w:asciiTheme="minorHAnsi" w:eastAsiaTheme="minorEastAsia" w:hAnsiTheme="minorHAnsi" w:cstheme="minorBidi"/>
              <w:caps w:val="0"/>
              <w:noProof/>
              <w:sz w:val="22"/>
              <w:szCs w:val="22"/>
              <w:lang w:eastAsia="en-US"/>
            </w:rPr>
          </w:pPr>
          <w:hyperlink w:anchor="_Toc51067197" w:history="1">
            <w:r>
              <w:rPr>
                <w:rStyle w:val="Hyperlink"/>
                <w:noProof/>
              </w:rPr>
              <w:t>3.</w:t>
            </w:r>
            <w:r>
              <w:rPr>
                <w:rFonts w:asciiTheme="minorHAnsi" w:eastAsiaTheme="minorEastAsia" w:hAnsiTheme="minorHAnsi" w:cstheme="minorBidi"/>
                <w:caps w:val="0"/>
                <w:noProof/>
                <w:sz w:val="22"/>
                <w:szCs w:val="22"/>
                <w:lang w:eastAsia="en-US"/>
              </w:rPr>
              <w:tab/>
            </w:r>
            <w:r>
              <w:rPr>
                <w:rStyle w:val="Hyperlink"/>
                <w:noProof/>
              </w:rPr>
              <w:t>Štvorrozmerná analýza odolnosti</w:t>
            </w:r>
            <w:r>
              <w:rPr>
                <w:noProof/>
                <w:webHidden/>
              </w:rPr>
              <w:tab/>
            </w:r>
            <w:r>
              <w:rPr>
                <w:noProof/>
                <w:webHidden/>
              </w:rPr>
              <w:fldChar w:fldCharType="begin"/>
            </w:r>
            <w:r>
              <w:rPr>
                <w:noProof/>
                <w:webHidden/>
              </w:rPr>
              <w:instrText xml:space="preserve"> PAGEREF _Toc51067197 \h </w:instrText>
            </w:r>
            <w:r>
              <w:rPr>
                <w:noProof/>
                <w:webHidden/>
              </w:rPr>
            </w:r>
            <w:r>
              <w:rPr>
                <w:noProof/>
                <w:webHidden/>
              </w:rPr>
              <w:fldChar w:fldCharType="separate"/>
            </w:r>
            <w:r>
              <w:rPr>
                <w:noProof/>
                <w:webHidden/>
              </w:rPr>
              <w:t>1</w:t>
            </w:r>
            <w:r>
              <w:rPr>
                <w:noProof/>
                <w:webHidden/>
              </w:rPr>
              <w:fldChar w:fldCharType="end"/>
            </w:r>
          </w:hyperlink>
        </w:p>
        <w:p w:rsidR="00F47BB5" w:rsidRDefault="00A34992">
          <w:pPr>
            <w:pStyle w:val="TOC2"/>
            <w:tabs>
              <w:tab w:val="left" w:pos="1077"/>
            </w:tabs>
            <w:rPr>
              <w:rFonts w:asciiTheme="minorHAnsi" w:eastAsiaTheme="minorEastAsia" w:hAnsiTheme="minorHAnsi" w:cstheme="minorBidi"/>
              <w:sz w:val="22"/>
              <w:szCs w:val="22"/>
              <w:lang w:eastAsia="en-US"/>
            </w:rPr>
          </w:pPr>
          <w:hyperlink w:anchor="_Toc51067198" w:history="1">
            <w:r>
              <w:rPr>
                <w:rStyle w:val="Hyperlink"/>
              </w:rPr>
              <w:t>3.1.</w:t>
            </w:r>
            <w:r>
              <w:rPr>
                <w:rFonts w:asciiTheme="minorHAnsi" w:eastAsiaTheme="minorEastAsia" w:hAnsiTheme="minorHAnsi" w:cstheme="minorBidi"/>
                <w:sz w:val="22"/>
                <w:szCs w:val="22"/>
                <w:lang w:eastAsia="en-US"/>
              </w:rPr>
              <w:tab/>
            </w:r>
            <w:r>
              <w:rPr>
                <w:rStyle w:val="Hyperlink"/>
              </w:rPr>
              <w:t>Sociálno-hospodársky rozmer</w:t>
            </w:r>
            <w:r>
              <w:rPr>
                <w:webHidden/>
              </w:rPr>
              <w:tab/>
            </w:r>
            <w:r>
              <w:rPr>
                <w:webHidden/>
              </w:rPr>
              <w:fldChar w:fldCharType="begin"/>
            </w:r>
            <w:r>
              <w:rPr>
                <w:webHidden/>
              </w:rPr>
              <w:instrText xml:space="preserve"> PAGEREF _Toc51067198 \h </w:instrText>
            </w:r>
            <w:r>
              <w:rPr>
                <w:webHidden/>
              </w:rPr>
            </w:r>
            <w:r>
              <w:rPr>
                <w:webHidden/>
              </w:rPr>
              <w:fldChar w:fldCharType="separate"/>
            </w:r>
            <w:r>
              <w:rPr>
                <w:webHidden/>
              </w:rPr>
              <w:t>1</w:t>
            </w:r>
            <w:r>
              <w:rPr>
                <w:webHidden/>
              </w:rPr>
              <w:fldChar w:fldCharType="end"/>
            </w:r>
          </w:hyperlink>
        </w:p>
        <w:p w:rsidR="00F47BB5" w:rsidRDefault="00A34992">
          <w:pPr>
            <w:pStyle w:val="TOC2"/>
            <w:tabs>
              <w:tab w:val="left" w:pos="1077"/>
            </w:tabs>
            <w:rPr>
              <w:rFonts w:asciiTheme="minorHAnsi" w:eastAsiaTheme="minorEastAsia" w:hAnsiTheme="minorHAnsi" w:cstheme="minorBidi"/>
              <w:sz w:val="22"/>
              <w:szCs w:val="22"/>
              <w:lang w:eastAsia="en-US"/>
            </w:rPr>
          </w:pPr>
          <w:hyperlink w:anchor="_Toc51067199" w:history="1">
            <w:r>
              <w:rPr>
                <w:rStyle w:val="Hyperlink"/>
              </w:rPr>
              <w:t>3.2.</w:t>
            </w:r>
            <w:r>
              <w:rPr>
                <w:rFonts w:asciiTheme="minorHAnsi" w:eastAsiaTheme="minorEastAsia" w:hAnsiTheme="minorHAnsi" w:cstheme="minorBidi"/>
                <w:sz w:val="22"/>
                <w:szCs w:val="22"/>
                <w:lang w:eastAsia="en-US"/>
              </w:rPr>
              <w:tab/>
            </w:r>
            <w:r>
              <w:rPr>
                <w:rStyle w:val="Hyperlink"/>
              </w:rPr>
              <w:t>Geopolitický rozmer</w:t>
            </w:r>
            <w:r>
              <w:rPr>
                <w:webHidden/>
              </w:rPr>
              <w:tab/>
            </w:r>
            <w:r>
              <w:rPr>
                <w:webHidden/>
              </w:rPr>
              <w:fldChar w:fldCharType="begin"/>
            </w:r>
            <w:r>
              <w:rPr>
                <w:webHidden/>
              </w:rPr>
              <w:instrText xml:space="preserve"> PAGEREF _Toc51067199 \h </w:instrText>
            </w:r>
            <w:r>
              <w:rPr>
                <w:webHidden/>
              </w:rPr>
            </w:r>
            <w:r>
              <w:rPr>
                <w:webHidden/>
              </w:rPr>
              <w:fldChar w:fldCharType="separate"/>
            </w:r>
            <w:r>
              <w:rPr>
                <w:webHidden/>
              </w:rPr>
              <w:t>1</w:t>
            </w:r>
            <w:r>
              <w:rPr>
                <w:webHidden/>
              </w:rPr>
              <w:fldChar w:fldCharType="end"/>
            </w:r>
          </w:hyperlink>
        </w:p>
        <w:p w:rsidR="00F47BB5" w:rsidRDefault="00A34992">
          <w:pPr>
            <w:pStyle w:val="TOC2"/>
            <w:tabs>
              <w:tab w:val="left" w:pos="1077"/>
            </w:tabs>
            <w:rPr>
              <w:rFonts w:asciiTheme="minorHAnsi" w:eastAsiaTheme="minorEastAsia" w:hAnsiTheme="minorHAnsi" w:cstheme="minorBidi"/>
              <w:sz w:val="22"/>
              <w:szCs w:val="22"/>
              <w:lang w:eastAsia="en-US"/>
            </w:rPr>
          </w:pPr>
          <w:hyperlink w:anchor="_Toc51067200" w:history="1">
            <w:r>
              <w:rPr>
                <w:rStyle w:val="Hyperlink"/>
              </w:rPr>
              <w:t>3.3.</w:t>
            </w:r>
            <w:r>
              <w:rPr>
                <w:rFonts w:asciiTheme="minorHAnsi" w:eastAsiaTheme="minorEastAsia" w:hAnsiTheme="minorHAnsi" w:cstheme="minorBidi"/>
                <w:sz w:val="22"/>
                <w:szCs w:val="22"/>
                <w:lang w:eastAsia="en-US"/>
              </w:rPr>
              <w:tab/>
            </w:r>
            <w:r>
              <w:rPr>
                <w:rStyle w:val="Hyperlink"/>
              </w:rPr>
              <w:t>Zelený rozmer</w:t>
            </w:r>
            <w:r>
              <w:rPr>
                <w:webHidden/>
              </w:rPr>
              <w:tab/>
            </w:r>
            <w:r>
              <w:rPr>
                <w:webHidden/>
              </w:rPr>
              <w:fldChar w:fldCharType="begin"/>
            </w:r>
            <w:r>
              <w:rPr>
                <w:webHidden/>
              </w:rPr>
              <w:instrText xml:space="preserve"> PAGEREF _Toc51067200 \h </w:instrText>
            </w:r>
            <w:r>
              <w:rPr>
                <w:webHidden/>
              </w:rPr>
            </w:r>
            <w:r>
              <w:rPr>
                <w:webHidden/>
              </w:rPr>
              <w:fldChar w:fldCharType="separate"/>
            </w:r>
            <w:r>
              <w:rPr>
                <w:webHidden/>
              </w:rPr>
              <w:t>1</w:t>
            </w:r>
            <w:r>
              <w:rPr>
                <w:webHidden/>
              </w:rPr>
              <w:fldChar w:fldCharType="end"/>
            </w:r>
          </w:hyperlink>
        </w:p>
        <w:p w:rsidR="00F47BB5" w:rsidRDefault="00A34992">
          <w:pPr>
            <w:pStyle w:val="TOC2"/>
            <w:tabs>
              <w:tab w:val="left" w:pos="1077"/>
            </w:tabs>
            <w:rPr>
              <w:rFonts w:asciiTheme="minorHAnsi" w:eastAsiaTheme="minorEastAsia" w:hAnsiTheme="minorHAnsi" w:cstheme="minorBidi"/>
              <w:sz w:val="22"/>
              <w:szCs w:val="22"/>
              <w:lang w:eastAsia="en-US"/>
            </w:rPr>
          </w:pPr>
          <w:hyperlink w:anchor="_Toc51067201" w:history="1">
            <w:r>
              <w:rPr>
                <w:rStyle w:val="Hyperlink"/>
              </w:rPr>
              <w:t>3.4.</w:t>
            </w:r>
            <w:r>
              <w:rPr>
                <w:rFonts w:asciiTheme="minorHAnsi" w:eastAsiaTheme="minorEastAsia" w:hAnsiTheme="minorHAnsi" w:cstheme="minorBidi"/>
                <w:sz w:val="22"/>
                <w:szCs w:val="22"/>
                <w:lang w:eastAsia="en-US"/>
              </w:rPr>
              <w:tab/>
            </w:r>
            <w:r>
              <w:rPr>
                <w:rStyle w:val="Hyperlink"/>
              </w:rPr>
              <w:t>Digitálny rozmer</w:t>
            </w:r>
            <w:r>
              <w:rPr>
                <w:webHidden/>
              </w:rPr>
              <w:tab/>
            </w:r>
            <w:r>
              <w:rPr>
                <w:webHidden/>
              </w:rPr>
              <w:fldChar w:fldCharType="begin"/>
            </w:r>
            <w:r>
              <w:rPr>
                <w:webHidden/>
              </w:rPr>
              <w:instrText xml:space="preserve"> PAGEREF _Toc51067201 \h </w:instrText>
            </w:r>
            <w:r>
              <w:rPr>
                <w:webHidden/>
              </w:rPr>
            </w:r>
            <w:r>
              <w:rPr>
                <w:webHidden/>
              </w:rPr>
              <w:fldChar w:fldCharType="separate"/>
            </w:r>
            <w:r>
              <w:rPr>
                <w:webHidden/>
              </w:rPr>
              <w:t>1</w:t>
            </w:r>
            <w:r>
              <w:rPr>
                <w:webHidden/>
              </w:rPr>
              <w:fldChar w:fldCharType="end"/>
            </w:r>
          </w:hyperlink>
        </w:p>
        <w:p w:rsidR="00F47BB5" w:rsidRDefault="00A34992">
          <w:pPr>
            <w:pStyle w:val="TOC1"/>
            <w:rPr>
              <w:rFonts w:asciiTheme="minorHAnsi" w:eastAsiaTheme="minorEastAsia" w:hAnsiTheme="minorHAnsi" w:cstheme="minorBidi"/>
              <w:caps w:val="0"/>
              <w:noProof/>
              <w:sz w:val="22"/>
              <w:szCs w:val="22"/>
              <w:lang w:eastAsia="en-US"/>
            </w:rPr>
          </w:pPr>
          <w:hyperlink w:anchor="_Toc51067202" w:history="1">
            <w:r>
              <w:rPr>
                <w:rStyle w:val="Hyperlink"/>
                <w:noProof/>
              </w:rPr>
              <w:t>4. Agenda st</w:t>
            </w:r>
            <w:r>
              <w:rPr>
                <w:rStyle w:val="Hyperlink"/>
                <w:noProof/>
              </w:rPr>
              <w:t>rategického výhľadu</w:t>
            </w:r>
            <w:r>
              <w:rPr>
                <w:noProof/>
                <w:webHidden/>
              </w:rPr>
              <w:tab/>
            </w:r>
            <w:r>
              <w:rPr>
                <w:noProof/>
                <w:webHidden/>
              </w:rPr>
              <w:fldChar w:fldCharType="begin"/>
            </w:r>
            <w:r>
              <w:rPr>
                <w:noProof/>
                <w:webHidden/>
              </w:rPr>
              <w:instrText xml:space="preserve"> PAGEREF _Toc51067202 \h </w:instrText>
            </w:r>
            <w:r>
              <w:rPr>
                <w:noProof/>
                <w:webHidden/>
              </w:rPr>
            </w:r>
            <w:r>
              <w:rPr>
                <w:noProof/>
                <w:webHidden/>
              </w:rPr>
              <w:fldChar w:fldCharType="separate"/>
            </w:r>
            <w:r>
              <w:rPr>
                <w:noProof/>
                <w:webHidden/>
              </w:rPr>
              <w:t>1</w:t>
            </w:r>
            <w:r>
              <w:rPr>
                <w:noProof/>
                <w:webHidden/>
              </w:rPr>
              <w:fldChar w:fldCharType="end"/>
            </w:r>
          </w:hyperlink>
        </w:p>
        <w:p w:rsidR="00F47BB5" w:rsidRDefault="00A34992">
          <w:pPr>
            <w:pStyle w:val="TOC2"/>
            <w:rPr>
              <w:rFonts w:asciiTheme="minorHAnsi" w:eastAsiaTheme="minorEastAsia" w:hAnsiTheme="minorHAnsi" w:cstheme="minorBidi"/>
              <w:sz w:val="22"/>
              <w:szCs w:val="22"/>
              <w:lang w:eastAsia="en-US"/>
            </w:rPr>
          </w:pPr>
          <w:hyperlink w:anchor="_Toc51067203" w:history="1">
            <w:r>
              <w:rPr>
                <w:rStyle w:val="Hyperlink"/>
              </w:rPr>
              <w:t>4.1. Monitorovanie odolnosti</w:t>
            </w:r>
            <w:r>
              <w:rPr>
                <w:webHidden/>
              </w:rPr>
              <w:tab/>
            </w:r>
            <w:r>
              <w:rPr>
                <w:webHidden/>
              </w:rPr>
              <w:fldChar w:fldCharType="begin"/>
            </w:r>
            <w:r>
              <w:rPr>
                <w:webHidden/>
              </w:rPr>
              <w:instrText xml:space="preserve"> PAGEREF _Toc51067203 \h </w:instrText>
            </w:r>
            <w:r>
              <w:rPr>
                <w:webHidden/>
              </w:rPr>
            </w:r>
            <w:r>
              <w:rPr>
                <w:webHidden/>
              </w:rPr>
              <w:fldChar w:fldCharType="separate"/>
            </w:r>
            <w:r>
              <w:rPr>
                <w:webHidden/>
              </w:rPr>
              <w:t>1</w:t>
            </w:r>
            <w:r>
              <w:rPr>
                <w:webHidden/>
              </w:rPr>
              <w:fldChar w:fldCharType="end"/>
            </w:r>
          </w:hyperlink>
        </w:p>
        <w:p w:rsidR="00F47BB5" w:rsidRDefault="00A34992">
          <w:pPr>
            <w:pStyle w:val="TOC3"/>
            <w:rPr>
              <w:rFonts w:asciiTheme="minorHAnsi" w:eastAsiaTheme="minorEastAsia" w:hAnsiTheme="minorHAnsi" w:cstheme="minorBidi"/>
              <w:noProof/>
              <w:sz w:val="22"/>
              <w:szCs w:val="22"/>
              <w:lang w:eastAsia="en-US"/>
            </w:rPr>
          </w:pPr>
          <w:hyperlink w:anchor="_Toc51067204" w:history="1">
            <w:r>
              <w:rPr>
                <w:rStyle w:val="Hyperlink"/>
                <w:noProof/>
              </w:rPr>
              <w:t>4.1.1. Prototypy prehľadu odolnosti</w:t>
            </w:r>
            <w:r>
              <w:rPr>
                <w:noProof/>
                <w:webHidden/>
              </w:rPr>
              <w:tab/>
            </w:r>
            <w:r>
              <w:rPr>
                <w:noProof/>
                <w:webHidden/>
              </w:rPr>
              <w:fldChar w:fldCharType="begin"/>
            </w:r>
            <w:r>
              <w:rPr>
                <w:noProof/>
                <w:webHidden/>
              </w:rPr>
              <w:instrText xml:space="preserve"> PAGEREF _Toc51067204 \h </w:instrText>
            </w:r>
            <w:r>
              <w:rPr>
                <w:noProof/>
                <w:webHidden/>
              </w:rPr>
            </w:r>
            <w:r>
              <w:rPr>
                <w:noProof/>
                <w:webHidden/>
              </w:rPr>
              <w:fldChar w:fldCharType="separate"/>
            </w:r>
            <w:r>
              <w:rPr>
                <w:noProof/>
                <w:webHidden/>
              </w:rPr>
              <w:t>1</w:t>
            </w:r>
            <w:r>
              <w:rPr>
                <w:noProof/>
                <w:webHidden/>
              </w:rPr>
              <w:fldChar w:fldCharType="end"/>
            </w:r>
          </w:hyperlink>
        </w:p>
        <w:p w:rsidR="00F47BB5" w:rsidRDefault="00A34992">
          <w:pPr>
            <w:pStyle w:val="TOC3"/>
            <w:rPr>
              <w:rFonts w:asciiTheme="minorHAnsi" w:eastAsiaTheme="minorEastAsia" w:hAnsiTheme="minorHAnsi" w:cstheme="minorBidi"/>
              <w:noProof/>
              <w:sz w:val="22"/>
              <w:szCs w:val="22"/>
              <w:lang w:eastAsia="en-US"/>
            </w:rPr>
          </w:pPr>
          <w:hyperlink w:anchor="_Toc51067205" w:history="1">
            <w:r>
              <w:rPr>
                <w:rStyle w:val="Hyperlink"/>
                <w:noProof/>
              </w:rPr>
              <w:t>4.1.2. Ďalší postup v oblasti monitorovania odolnosti</w:t>
            </w:r>
            <w:r>
              <w:rPr>
                <w:noProof/>
                <w:webHidden/>
              </w:rPr>
              <w:tab/>
            </w:r>
            <w:r>
              <w:rPr>
                <w:noProof/>
                <w:webHidden/>
              </w:rPr>
              <w:fldChar w:fldCharType="begin"/>
            </w:r>
            <w:r>
              <w:rPr>
                <w:noProof/>
                <w:webHidden/>
              </w:rPr>
              <w:instrText xml:space="preserve"> PAGEREF _Toc51067205 \h </w:instrText>
            </w:r>
            <w:r>
              <w:rPr>
                <w:noProof/>
                <w:webHidden/>
              </w:rPr>
            </w:r>
            <w:r>
              <w:rPr>
                <w:noProof/>
                <w:webHidden/>
              </w:rPr>
              <w:fldChar w:fldCharType="separate"/>
            </w:r>
            <w:r>
              <w:rPr>
                <w:noProof/>
                <w:webHidden/>
              </w:rPr>
              <w:t>1</w:t>
            </w:r>
            <w:r>
              <w:rPr>
                <w:noProof/>
                <w:webHidden/>
              </w:rPr>
              <w:fldChar w:fldCharType="end"/>
            </w:r>
          </w:hyperlink>
        </w:p>
        <w:p w:rsidR="00F47BB5" w:rsidRDefault="00A34992">
          <w:pPr>
            <w:pStyle w:val="TOC2"/>
            <w:rPr>
              <w:rFonts w:asciiTheme="minorHAnsi" w:eastAsiaTheme="minorEastAsia" w:hAnsiTheme="minorHAnsi" w:cstheme="minorBidi"/>
              <w:sz w:val="22"/>
              <w:szCs w:val="22"/>
              <w:lang w:eastAsia="en-US"/>
            </w:rPr>
          </w:pPr>
          <w:hyperlink w:anchor="_Toc51067206" w:history="1">
            <w:r>
              <w:rPr>
                <w:rStyle w:val="Hyperlink"/>
              </w:rPr>
              <w:t>4.2. Horizontálne činnosti výhľadu na podporu účinných transformačných politík EÚ</w:t>
            </w:r>
            <w:r>
              <w:rPr>
                <w:webHidden/>
              </w:rPr>
              <w:tab/>
            </w:r>
            <w:r>
              <w:rPr>
                <w:webHidden/>
              </w:rPr>
              <w:fldChar w:fldCharType="begin"/>
            </w:r>
            <w:r>
              <w:rPr>
                <w:webHidden/>
              </w:rPr>
              <w:instrText xml:space="preserve"> PAGEREF _Toc51067206 \h </w:instrText>
            </w:r>
            <w:r>
              <w:rPr>
                <w:webHidden/>
              </w:rPr>
            </w:r>
            <w:r>
              <w:rPr>
                <w:webHidden/>
              </w:rPr>
              <w:fldChar w:fldCharType="separate"/>
            </w:r>
            <w:r>
              <w:rPr>
                <w:webHidden/>
              </w:rPr>
              <w:t>1</w:t>
            </w:r>
            <w:r>
              <w:rPr>
                <w:webHidden/>
              </w:rPr>
              <w:fldChar w:fldCharType="end"/>
            </w:r>
          </w:hyperlink>
        </w:p>
        <w:p w:rsidR="00F47BB5" w:rsidRDefault="00A34992">
          <w:pPr>
            <w:pStyle w:val="TOC2"/>
            <w:rPr>
              <w:rFonts w:asciiTheme="minorHAnsi" w:eastAsiaTheme="minorEastAsia" w:hAnsiTheme="minorHAnsi" w:cstheme="minorBidi"/>
              <w:sz w:val="22"/>
              <w:szCs w:val="22"/>
              <w:lang w:eastAsia="en-US"/>
            </w:rPr>
          </w:pPr>
          <w:hyperlink w:anchor="_Toc51067207" w:history="1">
            <w:r>
              <w:rPr>
                <w:rStyle w:val="Hyperlink"/>
              </w:rPr>
              <w:t>4.3. Tematická agenda strate</w:t>
            </w:r>
            <w:r>
              <w:rPr>
                <w:rStyle w:val="Hyperlink"/>
              </w:rPr>
              <w:t>gického výhľadu</w:t>
            </w:r>
            <w:r>
              <w:rPr>
                <w:webHidden/>
              </w:rPr>
              <w:tab/>
            </w:r>
            <w:r>
              <w:rPr>
                <w:webHidden/>
              </w:rPr>
              <w:fldChar w:fldCharType="begin"/>
            </w:r>
            <w:r>
              <w:rPr>
                <w:webHidden/>
              </w:rPr>
              <w:instrText xml:space="preserve"> PAGEREF _Toc51067207 \h </w:instrText>
            </w:r>
            <w:r>
              <w:rPr>
                <w:webHidden/>
              </w:rPr>
            </w:r>
            <w:r>
              <w:rPr>
                <w:webHidden/>
              </w:rPr>
              <w:fldChar w:fldCharType="separate"/>
            </w:r>
            <w:r>
              <w:rPr>
                <w:webHidden/>
              </w:rPr>
              <w:t>1</w:t>
            </w:r>
            <w:r>
              <w:rPr>
                <w:webHidden/>
              </w:rPr>
              <w:fldChar w:fldCharType="end"/>
            </w:r>
          </w:hyperlink>
        </w:p>
        <w:p w:rsidR="00F47BB5" w:rsidRDefault="00A34992">
          <w:pPr>
            <w:rPr>
              <w:noProof/>
              <w:szCs w:val="24"/>
            </w:rPr>
          </w:pPr>
          <w:r>
            <w:rPr>
              <w:noProof/>
              <w:szCs w:val="24"/>
            </w:rPr>
            <w:fldChar w:fldCharType="end"/>
          </w:r>
        </w:p>
      </w:sdtContent>
    </w:sdt>
    <w:p w:rsidR="00F47BB5" w:rsidRDefault="00A34992">
      <w:pPr>
        <w:pStyle w:val="Heading1"/>
        <w:tabs>
          <w:tab w:val="clear" w:pos="482"/>
        </w:tabs>
        <w:ind w:firstLine="0"/>
        <w:jc w:val="center"/>
        <w:rPr>
          <w:noProof/>
        </w:rPr>
      </w:pPr>
      <w:r>
        <w:rPr>
          <w:noProof/>
        </w:rPr>
        <w:br w:type="page"/>
      </w:r>
      <w:bookmarkStart w:id="10" w:name="_Toc47944120"/>
      <w:bookmarkStart w:id="11" w:name="_Toc47971925"/>
      <w:bookmarkStart w:id="12" w:name="_Toc47976560"/>
      <w:bookmarkStart w:id="13" w:name="_Toc47978135"/>
      <w:bookmarkStart w:id="14" w:name="_Toc47981395"/>
      <w:bookmarkStart w:id="15" w:name="_Toc48199508"/>
      <w:bookmarkStart w:id="16" w:name="_Toc48200734"/>
      <w:bookmarkStart w:id="17" w:name="_Toc48202339"/>
      <w:bookmarkStart w:id="18" w:name="_Toc48204363"/>
      <w:bookmarkStart w:id="19" w:name="_Toc48204984"/>
      <w:bookmarkStart w:id="20" w:name="_Toc48205723"/>
      <w:bookmarkStart w:id="21" w:name="_Toc48208882"/>
      <w:bookmarkStart w:id="22" w:name="_Toc48210076"/>
      <w:bookmarkStart w:id="23" w:name="_Toc48217716"/>
      <w:bookmarkStart w:id="24" w:name="_Toc48218454"/>
      <w:bookmarkStart w:id="25" w:name="_Toc48220100"/>
      <w:bookmarkStart w:id="26" w:name="_Toc48220498"/>
      <w:bookmarkStart w:id="27" w:name="_Toc48221783"/>
      <w:bookmarkStart w:id="28" w:name="_Toc48222633"/>
      <w:bookmarkStart w:id="29" w:name="_Toc48224698"/>
      <w:bookmarkStart w:id="30" w:name="_Toc48226245"/>
      <w:bookmarkStart w:id="31" w:name="_Toc48226779"/>
      <w:bookmarkStart w:id="32" w:name="_Toc48230224"/>
      <w:bookmarkStart w:id="33" w:name="_Toc48230571"/>
      <w:bookmarkStart w:id="34" w:name="_Toc48718091"/>
      <w:bookmarkStart w:id="35" w:name="_Toc49871737"/>
      <w:bookmarkStart w:id="36" w:name="_Toc49871791"/>
      <w:bookmarkStart w:id="37" w:name="_Toc49950864"/>
      <w:bookmarkStart w:id="38" w:name="_Toc50298910"/>
      <w:bookmarkStart w:id="39" w:name="_Toc51067194"/>
      <w:r>
        <w:rPr>
          <w:noProof/>
        </w:rPr>
        <w:t>Zhrnutie</w:t>
      </w:r>
      <w:bookmarkStart w:id="40" w:name="_Toc45639278"/>
      <w:bookmarkStart w:id="41" w:name="_Toc45647492"/>
      <w:bookmarkStart w:id="42" w:name="_Toc45791958"/>
      <w:bookmarkStart w:id="43" w:name="_Toc45794780"/>
      <w:bookmarkStart w:id="44" w:name="_Toc45833732"/>
      <w:bookmarkStart w:id="45" w:name="_Toc45883745"/>
      <w:bookmarkStart w:id="46" w:name="_Toc45883840"/>
      <w:bookmarkStart w:id="47" w:name="_Toc45892524"/>
      <w:bookmarkStart w:id="48" w:name="_Toc45892865"/>
      <w:bookmarkStart w:id="49" w:name="_Toc45893015"/>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F47BB5" w:rsidRDefault="00A34992">
      <w:pPr>
        <w:spacing w:after="120" w:line="276" w:lineRule="auto"/>
        <w:rPr>
          <w:noProof/>
        </w:rPr>
      </w:pPr>
      <w:r>
        <w:rPr>
          <w:b/>
          <w:bCs/>
          <w:noProof/>
        </w:rPr>
        <w:t xml:space="preserve">V politických usmerneniach predsedníčky von der Leyenovej sa stanovuje strategické dlhodobé smerovanie s cieľom realizovať </w:t>
      </w:r>
      <w:r>
        <w:rPr>
          <w:b/>
          <w:bCs/>
          <w:noProof/>
        </w:rPr>
        <w:t>transformáciu na zelenú, digitálnu a spravodlivú Európu</w:t>
      </w:r>
      <w:r>
        <w:rPr>
          <w:b/>
          <w:bCs/>
          <w:noProof/>
          <w:vertAlign w:val="superscript"/>
        </w:rPr>
        <w:footnoteReference w:id="2"/>
      </w:r>
      <w:r>
        <w:rPr>
          <w:noProof/>
        </w:rPr>
        <w:t>. Vytyčuje sa v nich smer, ktorým sa Európa musí uberať, aby sa do roku 2050 stala prvým klimaticky neutrálnym kontinentom, aby bola pripravená na digitálny vek a aby zveľaďovala svoje jedinečné sociá</w:t>
      </w:r>
      <w:r>
        <w:rPr>
          <w:noProof/>
        </w:rPr>
        <w:t>lne trhové hospodárstvo a demokratický poriadok.</w:t>
      </w:r>
    </w:p>
    <w:p w:rsidR="00F47BB5" w:rsidRDefault="00A34992">
      <w:pPr>
        <w:spacing w:after="120" w:line="276" w:lineRule="auto"/>
        <w:rPr>
          <w:noProof/>
          <w:szCs w:val="24"/>
        </w:rPr>
      </w:pPr>
      <w:r>
        <w:rPr>
          <w:b/>
          <w:bCs/>
          <w:noProof/>
        </w:rPr>
        <w:t>Kríza spôsobená pandémiou COVID-19 šokovala celý svet, pričom v EÚ odhalila jej slabé miesta a zároveň poukázala na doposiaľ nepoznané kapacity.</w:t>
      </w:r>
      <w:r>
        <w:rPr>
          <w:noProof/>
        </w:rPr>
        <w:t xml:space="preserve"> Pandémia si doposiaľ na celom svete vyžiadala životy takmer mi</w:t>
      </w:r>
      <w:r>
        <w:rPr>
          <w:noProof/>
        </w:rPr>
        <w:t>lióna ľudí a spôsobila hospodárske, sociálne a psychologické ťažkosti. V EÚ prehĺbila sociálne a hospodárske nerovnosti: predpokladá sa, že napriek rôznym záchranným sieťam v roku 2020 nezamestnanosť stúpne na viac než 9 % a reálny disponibilný príjem kles</w:t>
      </w:r>
      <w:r>
        <w:rPr>
          <w:noProof/>
        </w:rPr>
        <w:t>ne o 1 %, pričom tento vývoj bude mať neprimerane výrazný vplyv najmä na ženy a chudobnejšie domácnosti</w:t>
      </w:r>
      <w:r>
        <w:rPr>
          <w:noProof/>
          <w:vertAlign w:val="superscript"/>
        </w:rPr>
        <w:footnoteReference w:id="3"/>
      </w:r>
      <w:r>
        <w:rPr>
          <w:noProof/>
        </w:rPr>
        <w:t>. Ako silná stránka EÚ sa ukázal jej silne diverzifikovaný obchod, hoci nadmerná miera spoliehania sa na limitovaný počet dodávateľov určitých kritickýc</w:t>
      </w:r>
      <w:r>
        <w:rPr>
          <w:noProof/>
        </w:rPr>
        <w:t>h výrobkov a služieb z krajín mimo EÚ bola pre Úniu naopak zraniteľným miestom. EÚ a jej členské štáty sa zároveň mohli spoľahnúť na svoje sociálne trhové hospodárstva, udržateľné ekosystémy, odolné finančné systémy a účinný rámec správy a riadenia. Plán o</w:t>
      </w:r>
      <w:r>
        <w:rPr>
          <w:noProof/>
        </w:rPr>
        <w:t>bnovy pre Európu</w:t>
      </w:r>
      <w:r>
        <w:rPr>
          <w:noProof/>
          <w:vertAlign w:val="superscript"/>
        </w:rPr>
        <w:footnoteReference w:id="4"/>
      </w:r>
      <w:r>
        <w:rPr>
          <w:noProof/>
        </w:rPr>
        <w:t xml:space="preserve"> nám teraz ukazuje, ako ďalej: cieľom nástroja </w:t>
      </w:r>
      <w:r>
        <w:rPr>
          <w:noProof/>
          <w:color w:val="000000"/>
        </w:rPr>
        <w:t>Next Generation EU</w:t>
      </w:r>
      <w:r>
        <w:rPr>
          <w:noProof/>
        </w:rPr>
        <w:t xml:space="preserve"> je vybudovať odolnejšiu, udržateľnejšiu a spravodlivejšiu Európu </w:t>
      </w:r>
      <w:r>
        <w:rPr>
          <w:noProof/>
          <w:color w:val="000000"/>
        </w:rPr>
        <w:t>prostredníctvom rozsiahlej finančnej podpory investícií a reforiem</w:t>
      </w:r>
      <w:r>
        <w:rPr>
          <w:noProof/>
        </w:rPr>
        <w:t>.</w:t>
      </w:r>
    </w:p>
    <w:p w:rsidR="00F47BB5" w:rsidRDefault="00A34992">
      <w:pPr>
        <w:spacing w:after="120" w:line="276" w:lineRule="auto"/>
        <w:rPr>
          <w:noProof/>
        </w:rPr>
      </w:pPr>
      <w:r>
        <w:rPr>
          <w:b/>
          <w:noProof/>
        </w:rPr>
        <w:t>Kľúčovú úlohu bude v tejto súvislosti zo</w:t>
      </w:r>
      <w:r>
        <w:rPr>
          <w:b/>
          <w:noProof/>
        </w:rPr>
        <w:t>hrávať strategický výhľad</w:t>
      </w:r>
      <w:r>
        <w:rPr>
          <w:b/>
          <w:bCs/>
          <w:noProof/>
        </w:rPr>
        <w:t>, ktorý pomôže pripraviť tvorbu politík EÚ na budúcnosť tak, že zabezpečí, aby sa pri realizácii krátkodobých iniciatív náležite zohľadňovala dlhodobejšia perspektíva</w:t>
      </w:r>
      <w:r>
        <w:rPr>
          <w:b/>
          <w:noProof/>
        </w:rPr>
        <w:t>.</w:t>
      </w:r>
      <w:r>
        <w:rPr>
          <w:noProof/>
        </w:rPr>
        <w:t xml:space="preserve"> Táto Komisia má silný mandát na to, aby </w:t>
      </w:r>
      <w:r>
        <w:rPr>
          <w:i/>
          <w:iCs/>
          <w:noProof/>
        </w:rPr>
        <w:t>strategický výhľad</w:t>
      </w:r>
      <w:r>
        <w:rPr>
          <w:noProof/>
          <w:color w:val="000000"/>
        </w:rPr>
        <w:t xml:space="preserve"> </w:t>
      </w:r>
      <w:r>
        <w:rPr>
          <w:noProof/>
        </w:rPr>
        <w:t>post</w:t>
      </w:r>
      <w:r>
        <w:rPr>
          <w:noProof/>
        </w:rPr>
        <w:t>avila do stredobodu tvorby politík EÚ</w:t>
      </w:r>
      <w:r>
        <w:rPr>
          <w:noProof/>
          <w:vertAlign w:val="superscript"/>
        </w:rPr>
        <w:footnoteReference w:id="5"/>
      </w:r>
      <w:r>
        <w:rPr>
          <w:noProof/>
        </w:rPr>
        <w:t>, a tým naplno využila jeho potenciál. Strategický výhľad nám môže pomôcť štruktúrovaným spôsobom budovať kolektívnu inteligenciu, aby sme vedeli vytýčiť vhodnejší spôsob realizácie dvojitej ekologicko-digitálnej trans</w:t>
      </w:r>
      <w:r>
        <w:rPr>
          <w:noProof/>
        </w:rPr>
        <w:t>formácie a zároveň dokázali prekonávať vznikajúce prekážky. V tomto oznámení Komisia stanovuje, ako hodlá strategický výhľad začleniť do tvorby politík EÚ, a uvádza príslušné priority.</w:t>
      </w:r>
      <w:r>
        <w:rPr>
          <w:b/>
          <w:noProof/>
        </w:rPr>
        <w:t xml:space="preserve"> </w:t>
      </w:r>
      <w:r>
        <w:rPr>
          <w:noProof/>
        </w:rPr>
        <w:t>Ide o aspekt zásadného významu, pretože vstupujeme do novej éry, v ktor</w:t>
      </w:r>
      <w:r>
        <w:rPr>
          <w:noProof/>
        </w:rPr>
        <w:t>ej bude predvídanie orientované na konkrétne opatrenia stimulovať strategické myslenie a formovať politiky a iniciatívy EÚ vrátane budúcich pracovných programov Komisie.</w:t>
      </w:r>
    </w:p>
    <w:p w:rsidR="00F47BB5" w:rsidRDefault="00A34992">
      <w:pPr>
        <w:spacing w:after="120" w:line="276" w:lineRule="auto"/>
        <w:rPr>
          <w:noProof/>
        </w:rPr>
      </w:pPr>
      <w:r>
        <w:rPr>
          <w:b/>
          <w:noProof/>
        </w:rPr>
        <w:t>Ústrednou témou tejto prvej správy je odolnosť, ktorá sa v nadväznosti na krízu spôsob</w:t>
      </w:r>
      <w:r>
        <w:rPr>
          <w:b/>
          <w:noProof/>
        </w:rPr>
        <w:t>enú pandémiou COVID-19 stala akýmsi novým kompasom politiky EÚ</w:t>
      </w:r>
      <w:r>
        <w:rPr>
          <w:noProof/>
        </w:rPr>
        <w:t xml:space="preserve">. </w:t>
      </w:r>
      <w:r>
        <w:rPr>
          <w:i/>
          <w:noProof/>
          <w:color w:val="000000" w:themeColor="text1"/>
        </w:rPr>
        <w:t>Odolnosť</w:t>
      </w:r>
      <w:r>
        <w:rPr>
          <w:noProof/>
          <w:color w:val="000000" w:themeColor="text1"/>
        </w:rPr>
        <w:t xml:space="preserve"> je schopnosť nielen ustáť a zdolať výzvy, ale súčasne podstúpiť udržateľnú, spravodlivú a demokratickú transformáciu. </w:t>
      </w:r>
      <w:r>
        <w:rPr>
          <w:noProof/>
        </w:rPr>
        <w:t>Odolnosť je nevyhnutná pre všetky oblasti politiky, aby sme v dyn</w:t>
      </w:r>
      <w:r>
        <w:rPr>
          <w:noProof/>
        </w:rPr>
        <w:t>amickom a často turbulentnom prostredí dokázali realizovať zelenú a digitálnu transformáciu a súčasne zachovávať hlavné poslanie EÚ i jej integritu.</w:t>
      </w:r>
      <w:r>
        <w:rPr>
          <w:noProof/>
          <w:color w:val="000000" w:themeColor="text1"/>
        </w:rPr>
        <w:t xml:space="preserve"> Odolnejšia Európa</w:t>
      </w:r>
      <w:r>
        <w:rPr>
          <w:noProof/>
        </w:rPr>
        <w:t xml:space="preserve"> je taká, ktorá sa z krízy zotaví rýchlejšie, ktorú súčasné a budúce výzvy zocelia a ktorá</w:t>
      </w:r>
      <w:r>
        <w:rPr>
          <w:noProof/>
        </w:rPr>
        <w:t xml:space="preserve"> </w:t>
      </w:r>
      <w:r>
        <w:rPr>
          <w:noProof/>
          <w:color w:val="444444"/>
        </w:rPr>
        <w:t>lepšie splní ciele OSN</w:t>
      </w:r>
      <w:r>
        <w:rPr>
          <w:noProof/>
        </w:rPr>
        <w:t xml:space="preserve"> v oblasti udržateľného rozvoja.</w:t>
      </w:r>
    </w:p>
    <w:p w:rsidR="00F47BB5" w:rsidRDefault="00A34992">
      <w:pPr>
        <w:spacing w:after="120" w:line="276" w:lineRule="auto"/>
        <w:rPr>
          <w:noProof/>
          <w:color w:val="000000" w:themeColor="text1"/>
        </w:rPr>
      </w:pPr>
      <w:r>
        <w:rPr>
          <w:b/>
          <w:noProof/>
          <w:color w:val="000000" w:themeColor="text1"/>
        </w:rPr>
        <w:t xml:space="preserve">V tejto prvej výročnej správe o strategickom výhľade sa uvádza, ako sa strategický výhľad </w:t>
      </w:r>
      <w:r>
        <w:rPr>
          <w:b/>
          <w:bCs/>
          <w:noProof/>
          <w:color w:val="000000" w:themeColor="text1"/>
        </w:rPr>
        <w:t>premietne</w:t>
      </w:r>
      <w:r>
        <w:rPr>
          <w:b/>
          <w:noProof/>
          <w:color w:val="000000" w:themeColor="text1"/>
        </w:rPr>
        <w:t xml:space="preserve"> do politík s cieľom posilniť </w:t>
      </w:r>
      <w:r>
        <w:rPr>
          <w:b/>
          <w:bCs/>
          <w:noProof/>
          <w:color w:val="000000" w:themeColor="text1"/>
        </w:rPr>
        <w:t xml:space="preserve">odolnosť EÚ v štyroch navzájom prepojených rozmeroch: </w:t>
      </w:r>
      <w:r>
        <w:rPr>
          <w:b/>
          <w:noProof/>
          <w:color w:val="000000" w:themeColor="text1"/>
        </w:rPr>
        <w:t>sociálno-hospodárskom, geopolitickom, zelenom a digitálnom</w:t>
      </w:r>
      <w:r>
        <w:rPr>
          <w:noProof/>
          <w:color w:val="000000" w:themeColor="text1"/>
        </w:rPr>
        <w:t>.</w:t>
      </w:r>
      <w:r>
        <w:rPr>
          <w:bCs/>
          <w:noProof/>
          <w:color w:val="000000" w:themeColor="text1"/>
        </w:rPr>
        <w:t xml:space="preserve"> </w:t>
      </w:r>
      <w:r>
        <w:rPr>
          <w:noProof/>
          <w:color w:val="000000" w:themeColor="text1"/>
        </w:rPr>
        <w:t xml:space="preserve">Analyzuje sa v nej, akú odolnosť prejavila EÚ v reakcii na krízu spôsobenú ochorením COVID-19 v kontexte zrýchľovania alebo spomaľovania relevantných </w:t>
      </w:r>
      <w:r>
        <w:rPr>
          <w:i/>
          <w:noProof/>
          <w:color w:val="000000" w:themeColor="text1"/>
        </w:rPr>
        <w:t>megatrendov</w:t>
      </w:r>
      <w:r>
        <w:rPr>
          <w:noProof/>
          <w:color w:val="000000" w:themeColor="text1"/>
        </w:rPr>
        <w:t>, čiže dlhodobých hybných síl, ktor</w:t>
      </w:r>
      <w:r>
        <w:rPr>
          <w:noProof/>
          <w:color w:val="000000" w:themeColor="text1"/>
        </w:rPr>
        <w:t>é budú mať pravdepodobne veľký vplyv na budúcnosť.</w:t>
      </w:r>
      <w:r>
        <w:rPr>
          <w:noProof/>
          <w:color w:val="000000"/>
        </w:rPr>
        <w:t xml:space="preserve"> V </w:t>
      </w:r>
      <w:r>
        <w:rPr>
          <w:noProof/>
          <w:color w:val="000000" w:themeColor="text1"/>
        </w:rPr>
        <w:t>tomto oznámení sa uvádza, ako môžu politiky zamerané na zlepšenie odolnosti priniesť spolu s riešením slabých miest a posilňovaním kapacít nové príležitosti v každom zo štyroch rozmerov. Patrí sem aj pre</w:t>
      </w:r>
      <w:r>
        <w:rPr>
          <w:noProof/>
          <w:color w:val="000000" w:themeColor="text1"/>
        </w:rPr>
        <w:t>hodnotenie budúcnosti v oblastiach ako dobré životné podmienky, práca, pracovné trhy a zručnosti, prestavanie globálnych hodnotových reťazcov, podpora demokracie, reforma nášho obchodného systému založeného na pravidlách, budovanie spojenectiev v oblasti v</w:t>
      </w:r>
      <w:r>
        <w:rPr>
          <w:noProof/>
          <w:color w:val="000000" w:themeColor="text1"/>
        </w:rPr>
        <w:t>znikajúcich technológií a investovanie do zelenej a digitálnej transformácie.</w:t>
      </w:r>
    </w:p>
    <w:p w:rsidR="00F47BB5" w:rsidRDefault="00A34992">
      <w:pPr>
        <w:spacing w:after="120" w:line="276" w:lineRule="auto"/>
        <w:rPr>
          <w:noProof/>
        </w:rPr>
      </w:pPr>
      <w:r>
        <w:rPr>
          <w:b/>
          <w:noProof/>
        </w:rPr>
        <w:t>Toto nové zameranie na odolnosť si vyžaduje dôkladné monitorovanie. V </w:t>
      </w:r>
      <w:r>
        <w:rPr>
          <w:noProof/>
        </w:rPr>
        <w:t xml:space="preserve">tomto oznámení sa navrhuje zaviesť tzv. </w:t>
      </w:r>
      <w:r>
        <w:rPr>
          <w:i/>
          <w:noProof/>
        </w:rPr>
        <w:t>prehľady odolnosti</w:t>
      </w:r>
      <w:r>
        <w:rPr>
          <w:noProof/>
        </w:rPr>
        <w:t>, ktoré by sa po úplnom dokončení v spolupráci čle</w:t>
      </w:r>
      <w:r>
        <w:rPr>
          <w:noProof/>
        </w:rPr>
        <w:t>nskými štátmi a inými kľúčovými zainteresovanými stranami mali používať na posudzovanie slabých miest a kapacít EÚ a jej členských štátov v každom zo štyroch rozmerov. Takáto analýza môže pomôcť odpovedať na otázku: darí sa nám prostredníctvom našich polit</w:t>
      </w:r>
      <w:r>
        <w:rPr>
          <w:noProof/>
        </w:rPr>
        <w:t>ík a stratégie obnovy skutočne posilňovať odolnosť EÚ</w:t>
      </w:r>
      <w:r>
        <w:rPr>
          <w:noProof/>
          <w:color w:val="000000" w:themeColor="text1"/>
        </w:rPr>
        <w:t>?</w:t>
      </w:r>
    </w:p>
    <w:p w:rsidR="00F47BB5" w:rsidRDefault="00A34992">
      <w:pPr>
        <w:spacing w:after="120" w:line="276" w:lineRule="auto"/>
        <w:rPr>
          <w:noProof/>
        </w:rPr>
      </w:pPr>
      <w:r>
        <w:rPr>
          <w:b/>
          <w:bCs/>
          <w:noProof/>
        </w:rPr>
        <w:t>Agenda strategického výhľadu bude zahŕňať horizontálne činnosti výhľadu a prospektívne tematické postupy. V </w:t>
      </w:r>
      <w:r>
        <w:rPr>
          <w:noProof/>
        </w:rPr>
        <w:t>nadchádzajúcom roku sem bude patriť: otvorená strategická autonómia, budúcnosť pracovných mie</w:t>
      </w:r>
      <w:r>
        <w:rPr>
          <w:noProof/>
        </w:rPr>
        <w:t>st a zručností pre potreby zelenej transformácie a v zelenej transformácii a prehlbovanie vzájomného pôsobenia digitálnej a zelenej transformácie. Táto agenda</w:t>
      </w:r>
      <w:r>
        <w:rPr>
          <w:b/>
          <w:noProof/>
        </w:rPr>
        <w:t xml:space="preserve"> </w:t>
      </w:r>
      <w:r>
        <w:rPr>
          <w:noProof/>
        </w:rPr>
        <w:t>vnesie dynamický pohľad na synergie a kompromisy medzi politickými cieľmi EÚ, a tak podporí súdrž</w:t>
      </w:r>
      <w:r>
        <w:rPr>
          <w:noProof/>
        </w:rPr>
        <w:t>nosť politík EÚ.</w:t>
      </w:r>
    </w:p>
    <w:p w:rsidR="00F47BB5" w:rsidRDefault="00F47BB5">
      <w:pPr>
        <w:spacing w:after="120" w:line="276" w:lineRule="auto"/>
        <w:rPr>
          <w:b/>
          <w:bCs/>
          <w:noProof/>
        </w:rPr>
      </w:pPr>
    </w:p>
    <w:p w:rsidR="00F47BB5" w:rsidRDefault="00A34992">
      <w:pPr>
        <w:pStyle w:val="Heading1"/>
        <w:keepNext w:val="0"/>
        <w:numPr>
          <w:ilvl w:val="0"/>
          <w:numId w:val="21"/>
        </w:numPr>
        <w:spacing w:before="0" w:line="276" w:lineRule="auto"/>
        <w:ind w:left="357" w:hanging="357"/>
        <w:jc w:val="left"/>
        <w:rPr>
          <w:noProof/>
        </w:rPr>
      </w:pPr>
      <w:bookmarkStart w:id="50" w:name="_Toc45794781"/>
      <w:bookmarkStart w:id="51" w:name="_Toc45833733"/>
      <w:bookmarkStart w:id="52" w:name="_Toc45883746"/>
      <w:bookmarkStart w:id="53" w:name="_Toc45883841"/>
      <w:bookmarkStart w:id="54" w:name="_Toc45892525"/>
      <w:bookmarkStart w:id="55" w:name="_Toc45892866"/>
      <w:bookmarkStart w:id="56" w:name="_Toc45893016"/>
      <w:bookmarkStart w:id="57" w:name="_Toc48718092"/>
      <w:bookmarkStart w:id="58" w:name="_Toc49871738"/>
      <w:bookmarkStart w:id="59" w:name="_Toc49871792"/>
      <w:bookmarkStart w:id="60" w:name="_Toc49950865"/>
      <w:bookmarkStart w:id="61" w:name="_Toc50298911"/>
      <w:bookmarkStart w:id="62" w:name="_Toc51067195"/>
      <w:bookmarkEnd w:id="50"/>
      <w:bookmarkEnd w:id="51"/>
      <w:bookmarkEnd w:id="52"/>
      <w:bookmarkEnd w:id="53"/>
      <w:bookmarkEnd w:id="54"/>
      <w:bookmarkEnd w:id="55"/>
      <w:bookmarkEnd w:id="56"/>
      <w:r>
        <w:rPr>
          <w:noProof/>
        </w:rPr>
        <w:t>Začlenenie strategického výhľadu do tvorby politík EÚ</w:t>
      </w:r>
      <w:bookmarkEnd w:id="57"/>
      <w:bookmarkEnd w:id="58"/>
      <w:bookmarkEnd w:id="59"/>
      <w:bookmarkEnd w:id="60"/>
      <w:bookmarkEnd w:id="61"/>
      <w:bookmarkEnd w:id="62"/>
    </w:p>
    <w:p w:rsidR="00F47BB5" w:rsidRDefault="00A34992">
      <w:pPr>
        <w:spacing w:after="120" w:line="276" w:lineRule="auto"/>
        <w:rPr>
          <w:noProof/>
          <w:color w:val="000000"/>
        </w:rPr>
      </w:pPr>
      <w:bookmarkStart w:id="63" w:name="_Toc45790726"/>
      <w:bookmarkStart w:id="64" w:name="_Toc45791241"/>
      <w:bookmarkStart w:id="65" w:name="_Toc45792365"/>
      <w:bookmarkStart w:id="66" w:name="_Toc45794716"/>
      <w:bookmarkStart w:id="67" w:name="_Toc45794782"/>
      <w:bookmarkStart w:id="68" w:name="_Toc45799960"/>
      <w:bookmarkStart w:id="69" w:name="_Toc45791244"/>
      <w:bookmarkStart w:id="70" w:name="_Toc45792368"/>
      <w:bookmarkStart w:id="71" w:name="_Toc45794719"/>
      <w:bookmarkStart w:id="72" w:name="_Toc45794785"/>
      <w:bookmarkStart w:id="73" w:name="_Toc45799963"/>
      <w:bookmarkEnd w:id="63"/>
      <w:bookmarkEnd w:id="64"/>
      <w:bookmarkEnd w:id="65"/>
      <w:bookmarkEnd w:id="66"/>
      <w:bookmarkEnd w:id="67"/>
      <w:bookmarkEnd w:id="68"/>
      <w:bookmarkEnd w:id="69"/>
      <w:bookmarkEnd w:id="70"/>
      <w:bookmarkEnd w:id="71"/>
      <w:bookmarkEnd w:id="72"/>
      <w:bookmarkEnd w:id="73"/>
      <w:r>
        <w:rPr>
          <w:b/>
          <w:bCs/>
          <w:noProof/>
          <w:color w:val="000000"/>
        </w:rPr>
        <w:t>Komisia výhľadové plánovanie využíva už mnoho rokov, no po novom ho chce spraviť súčasťou tvorby politík vo všetkých oblastiach</w:t>
      </w:r>
      <w:r>
        <w:rPr>
          <w:noProof/>
          <w:color w:val="000000"/>
        </w:rPr>
        <w:t xml:space="preserve">. </w:t>
      </w:r>
      <w:r>
        <w:rPr>
          <w:i/>
          <w:noProof/>
        </w:rPr>
        <w:t>Strategický výhľad</w:t>
      </w:r>
      <w:r>
        <w:rPr>
          <w:rStyle w:val="FootnoteReference"/>
          <w:noProof/>
        </w:rPr>
        <w:footnoteReference w:id="6"/>
      </w:r>
      <w:r>
        <w:rPr>
          <w:noProof/>
        </w:rPr>
        <w:t xml:space="preserve"> – </w:t>
      </w:r>
      <w:r>
        <w:rPr>
          <w:noProof/>
          <w:color w:val="000000"/>
        </w:rPr>
        <w:t xml:space="preserve">disciplína skúmania, predvídania </w:t>
      </w:r>
      <w:r>
        <w:rPr>
          <w:noProof/>
          <w:color w:val="000000"/>
        </w:rPr>
        <w:t>a formovania budúcnosti</w:t>
      </w:r>
      <w:r>
        <w:rPr>
          <w:noProof/>
        </w:rPr>
        <w:t xml:space="preserve"> – pomáha vybudovať a využívať kolektívnu inteligenciu štruktúrovaným a systematickým spôsobom s cieľom predvídať vývoj a lepšie sa pripraviť na zmenu. Strategické politické rozhodnutia sa prijímajú na základe informácií získaných z </w:t>
      </w:r>
      <w:r>
        <w:rPr>
          <w:noProof/>
        </w:rPr>
        <w:t>kľúčových postupov, ako je prieskum horizontu</w:t>
      </w:r>
      <w:r>
        <w:rPr>
          <w:rStyle w:val="FootnoteReference"/>
          <w:noProof/>
        </w:rPr>
        <w:footnoteReference w:id="7"/>
      </w:r>
      <w:r>
        <w:rPr>
          <w:noProof/>
        </w:rPr>
        <w:t>,</w:t>
      </w:r>
      <w:r>
        <w:rPr>
          <w:noProof/>
          <w:color w:val="000000"/>
        </w:rPr>
        <w:t xml:space="preserve"> posudzovanie</w:t>
      </w:r>
      <w:r>
        <w:rPr>
          <w:noProof/>
        </w:rPr>
        <w:t xml:space="preserve"> </w:t>
      </w:r>
      <w:r>
        <w:rPr>
          <w:noProof/>
          <w:color w:val="000000"/>
        </w:rPr>
        <w:t>megatrendov, vynárajúce sa otázky a ich politické dôsledky, ako aj skúmanie alternatívnych verzií budúcnosti</w:t>
      </w:r>
      <w:r>
        <w:rPr>
          <w:noProof/>
        </w:rPr>
        <w:t xml:space="preserve"> prostredníctvom projektovania vízií a plánovania scenárov. </w:t>
      </w:r>
      <w:r>
        <w:rPr>
          <w:noProof/>
          <w:color w:val="000000"/>
        </w:rPr>
        <w:t>Strategický výhľad bol na p</w:t>
      </w:r>
      <w:r>
        <w:rPr>
          <w:noProof/>
          <w:color w:val="000000"/>
        </w:rPr>
        <w:t xml:space="preserve">odporu tvorby politík EÚ prvýkrát spomenutý v dokumente bývalého predsedu Delorsa </w:t>
      </w:r>
      <w:r>
        <w:rPr>
          <w:i/>
          <w:iCs/>
          <w:noProof/>
          <w:color w:val="000000"/>
        </w:rPr>
        <w:t>Cellule de Prospective.</w:t>
      </w:r>
      <w:r>
        <w:rPr>
          <w:noProof/>
          <w:color w:val="000000"/>
        </w:rPr>
        <w:t xml:space="preserve"> Spolu s dlhodobým modelovaním</w:t>
      </w:r>
      <w:r>
        <w:rPr>
          <w:rStyle w:val="FootnoteReference"/>
          <w:noProof/>
          <w:color w:val="000000"/>
        </w:rPr>
        <w:footnoteReference w:id="8"/>
      </w:r>
      <w:r>
        <w:rPr>
          <w:noProof/>
          <w:color w:val="000000"/>
        </w:rPr>
        <w:t xml:space="preserve"> sa odvtedy stal základom pre mnohé politiky vrátane opatrení v oblasti klímy. Na podporu svojich dlhodobých ambícií stať sa klimaticky neutrálnym kontinentom pripraveným na digitálny vek si Komisia pod vedením predsedníčky von der Leyenovej stanovila cieľ</w:t>
      </w:r>
      <w:r>
        <w:rPr>
          <w:noProof/>
          <w:color w:val="000000"/>
        </w:rPr>
        <w:t xml:space="preserve"> začleniť strategický výhľad do hlavného prúdu príprav hlavných iniciatív. Tento proces už prebieha – napríklad nedávno prijaté oznámenie o kritických surovinách vo významnej miere využíva strategický výhľad</w:t>
      </w:r>
      <w:r>
        <w:rPr>
          <w:noProof/>
          <w:color w:val="000000"/>
          <w:vertAlign w:val="superscript"/>
        </w:rPr>
        <w:footnoteReference w:id="9"/>
      </w:r>
      <w:r>
        <w:rPr>
          <w:noProof/>
          <w:color w:val="000000"/>
        </w:rPr>
        <w:t>. V </w:t>
      </w:r>
      <w:r>
        <w:rPr>
          <w:noProof/>
        </w:rPr>
        <w:t xml:space="preserve">najbližších rokoch </w:t>
      </w:r>
      <w:r>
        <w:rPr>
          <w:noProof/>
          <w:color w:val="000000"/>
        </w:rPr>
        <w:t>bude pre EÚ zásadné dôlež</w:t>
      </w:r>
      <w:r>
        <w:rPr>
          <w:noProof/>
          <w:color w:val="000000"/>
        </w:rPr>
        <w:t>ité zaviesť pri tvorbe politík kultúru prospektívneho uvažovania, aby EÚ posilnila svoju schopnosť riešiť problémy v čoraz nestálejšom a zložitejšom svete</w:t>
      </w:r>
      <w:r>
        <w:rPr>
          <w:rStyle w:val="FootnoteReference"/>
          <w:noProof/>
        </w:rPr>
        <w:footnoteReference w:id="10"/>
      </w:r>
      <w:r>
        <w:rPr>
          <w:noProof/>
          <w:color w:val="000000"/>
        </w:rPr>
        <w:t xml:space="preserve"> a implementovať svoju politickú agendu zameranú na budúcnosť. Zabezpečí sa tým, aby sa krátkodobé op</w:t>
      </w:r>
      <w:r>
        <w:rPr>
          <w:noProof/>
          <w:color w:val="000000"/>
        </w:rPr>
        <w:t>atrenia prijímali s ohľadom na dlhodobé ciele, a EÚ to umožní mať rozhodujúce slovo pri určovaní vlastného smerovania a formovaní sveta okolo seba.</w:t>
      </w:r>
    </w:p>
    <w:p w:rsidR="00F47BB5" w:rsidRDefault="00A34992">
      <w:pPr>
        <w:pStyle w:val="NormalWeb"/>
        <w:spacing w:line="276" w:lineRule="auto"/>
        <w:jc w:val="both"/>
        <w:rPr>
          <w:noProof/>
        </w:rPr>
      </w:pPr>
      <w:r>
        <w:rPr>
          <w:b/>
          <w:noProof/>
          <w:color w:val="000000"/>
        </w:rPr>
        <w:t>Strategický výhľad by mal byť základom pre hlavné politické iniciatívy.</w:t>
      </w:r>
      <w:r>
        <w:rPr>
          <w:noProof/>
          <w:color w:val="000000"/>
        </w:rPr>
        <w:t xml:space="preserve"> Ako taký sa stane neoddeliteľnou súč</w:t>
      </w:r>
      <w:r>
        <w:rPr>
          <w:noProof/>
          <w:color w:val="000000"/>
        </w:rPr>
        <w:t xml:space="preserve">asťou súboru nástrojov Komisie na zlepšenie právnej regulácie, napríklad pri posúdeniach vplyvu </w:t>
      </w:r>
      <w:r>
        <w:rPr>
          <w:i/>
          <w:noProof/>
          <w:color w:val="000000"/>
        </w:rPr>
        <w:t>ex ante</w:t>
      </w:r>
      <w:r>
        <w:rPr>
          <w:noProof/>
          <w:color w:val="000000"/>
        </w:rPr>
        <w:t>. Zabezpečí sa tým, aby politiky EÚ vychádzali z jasného pochopenia možných budúcich trendov, scenárov a výziev, a to najmä v tých oblastiach, ktoré podl</w:t>
      </w:r>
      <w:r>
        <w:rPr>
          <w:noProof/>
          <w:color w:val="000000"/>
        </w:rPr>
        <w:t>iehajú rýchlym štrukturálnym zmenám. Strategický výhľad bude zároveň podporovať program regulačnej vhodnosti a efektívnosti</w:t>
      </w:r>
      <w:r>
        <w:rPr>
          <w:noProof/>
          <w:color w:val="000000"/>
          <w:vertAlign w:val="superscript"/>
        </w:rPr>
        <w:footnoteReference w:id="11"/>
      </w:r>
      <w:r>
        <w:rPr>
          <w:noProof/>
          <w:color w:val="000000"/>
        </w:rPr>
        <w:t>, ktorým sa identifikujú príležitosti na zníženie regulačného zaťaženia Európy, a pomôže posúdiť, či sú existujúce právne predpisy E</w:t>
      </w:r>
      <w:r>
        <w:rPr>
          <w:noProof/>
          <w:color w:val="000000"/>
        </w:rPr>
        <w:t>Ú stále „pripravené na budúcnosť“</w:t>
      </w:r>
      <w:r>
        <w:rPr>
          <w:rStyle w:val="FootnoteReference"/>
          <w:noProof/>
          <w:color w:val="000000"/>
        </w:rPr>
        <w:footnoteReference w:id="12"/>
      </w:r>
      <w:r>
        <w:rPr>
          <w:noProof/>
          <w:color w:val="000000"/>
        </w:rPr>
        <w:t>.</w:t>
      </w:r>
    </w:p>
    <w:p w:rsidR="00F47BB5" w:rsidRDefault="00A34992">
      <w:pPr>
        <w:spacing w:after="120" w:line="276" w:lineRule="auto"/>
        <w:rPr>
          <w:noProof/>
          <w:color w:val="000000"/>
        </w:rPr>
      </w:pPr>
      <w:r>
        <w:rPr>
          <w:b/>
          <w:bCs/>
          <w:noProof/>
        </w:rPr>
        <w:t>Pravidelné činnosti strategického výhľadu podporia tvorbu politík EÚ</w:t>
      </w:r>
      <w:r>
        <w:rPr>
          <w:noProof/>
        </w:rPr>
        <w:t>. Výročné správy o strategickom výhľade prispejú k inkluzívnej reflexii o otázkach, ktoré majú pre budúcnosť Európy strategický význam, k analýze kľúčov</w:t>
      </w:r>
      <w:r>
        <w:rPr>
          <w:noProof/>
        </w:rPr>
        <w:t xml:space="preserve">ých trendov, vymedzeniu tém kritického záujmu pre EÚ a k preskúmaniu spôsobov, ako realizovať naše ambície (oddiel 4). Budúce správy sa budú vypracúvať na základe </w:t>
      </w:r>
      <w:r>
        <w:rPr>
          <w:i/>
          <w:iCs/>
          <w:noProof/>
        </w:rPr>
        <w:t>kompletných cyklov výhľadu</w:t>
      </w:r>
      <w:r>
        <w:rPr>
          <w:noProof/>
          <w:vertAlign w:val="superscript"/>
        </w:rPr>
        <w:footnoteReference w:id="13"/>
      </w:r>
      <w:r>
        <w:rPr>
          <w:noProof/>
        </w:rPr>
        <w:t xml:space="preserve"> vrátane hĺbkových a participatívnych postupov výhľadu v oblasti h</w:t>
      </w:r>
      <w:r>
        <w:rPr>
          <w:noProof/>
        </w:rPr>
        <w:t xml:space="preserve">lavných iniciatív a jeho cieľom bude tvoriť podklad pre každoročnú správu o stave Únie, pracovné programy Komisie a viacročné plánovanie. </w:t>
      </w:r>
      <w:r>
        <w:rPr>
          <w:noProof/>
          <w:color w:val="000000"/>
        </w:rPr>
        <w:t>Vychádzajúc z interných zdrojov</w:t>
      </w:r>
      <w:r>
        <w:rPr>
          <w:noProof/>
          <w:color w:val="000000"/>
          <w:vertAlign w:val="superscript"/>
        </w:rPr>
        <w:footnoteReference w:id="14"/>
      </w:r>
      <w:r>
        <w:rPr>
          <w:noProof/>
          <w:color w:val="000000"/>
        </w:rPr>
        <w:t>, externých odborných znalostí</w:t>
      </w:r>
      <w:r>
        <w:rPr>
          <w:noProof/>
        </w:rPr>
        <w:t xml:space="preserve"> a zo spolupráce s členskými štátmi, ďalšími kľúčovými z</w:t>
      </w:r>
      <w:r>
        <w:rPr>
          <w:noProof/>
        </w:rPr>
        <w:t xml:space="preserve">ainteresovanými stranami a občanmi bude </w:t>
      </w:r>
      <w:r>
        <w:rPr>
          <w:noProof/>
          <w:color w:val="000000"/>
        </w:rPr>
        <w:t>Komisia rozširovať svoje kapacity strategického výhľadu s cieľom posudzovať riziká a príležitosti, napomáhať včasné varovanie a situačné povedomie</w:t>
      </w:r>
      <w:r>
        <w:rPr>
          <w:noProof/>
          <w:color w:val="000000"/>
          <w:vertAlign w:val="superscript"/>
        </w:rPr>
        <w:footnoteReference w:id="15"/>
      </w:r>
      <w:r>
        <w:rPr>
          <w:noProof/>
          <w:color w:val="000000"/>
        </w:rPr>
        <w:t xml:space="preserve"> a skúmať alternatívne verzie budúcnosti.</w:t>
      </w:r>
    </w:p>
    <w:p w:rsidR="00F47BB5" w:rsidRDefault="00A34992">
      <w:pPr>
        <w:spacing w:after="120" w:line="276" w:lineRule="auto"/>
        <w:rPr>
          <w:noProof/>
          <w:color w:val="000000"/>
        </w:rPr>
      </w:pPr>
      <w:r>
        <w:rPr>
          <w:b/>
          <w:noProof/>
        </w:rPr>
        <w:t xml:space="preserve">Strategický výhľad podporí </w:t>
      </w:r>
      <w:r>
        <w:rPr>
          <w:b/>
          <w:noProof/>
        </w:rPr>
        <w:t>participatívnu a prospektívnu správu a riadenie v Európe i mimo nej.</w:t>
      </w:r>
      <w:r>
        <w:rPr>
          <w:noProof/>
        </w:rPr>
        <w:t xml:space="preserve"> Komisia bude v oblasti výhľadu budovať úzku spoluprácu a spojenectvá s ostatnými inštitúciami EÚ, najmä v kontexte Európskeho systému strategických a politických analýz (ESPAS)</w:t>
      </w:r>
      <w:r>
        <w:rPr>
          <w:noProof/>
          <w:color w:val="000000"/>
          <w:vertAlign w:val="superscript"/>
        </w:rPr>
        <w:footnoteReference w:id="16"/>
      </w:r>
      <w:r>
        <w:rPr>
          <w:noProof/>
        </w:rPr>
        <w:t xml:space="preserve">, </w:t>
      </w:r>
      <w:r>
        <w:rPr>
          <w:noProof/>
          <w:color w:val="000000"/>
        </w:rPr>
        <w:t>pričom o</w:t>
      </w:r>
      <w:r>
        <w:rPr>
          <w:noProof/>
          <w:color w:val="000000"/>
        </w:rPr>
        <w:t>sloví medzinárodných partnerov</w:t>
      </w:r>
      <w:r>
        <w:rPr>
          <w:noProof/>
        </w:rPr>
        <w:t xml:space="preserve"> a </w:t>
      </w:r>
      <w:r>
        <w:rPr>
          <w:noProof/>
          <w:color w:val="000000"/>
        </w:rPr>
        <w:t>cez celoeurópsku sieť strategického výhľadu rozvinie partnerstvá, ktoré nadviažu na verejné kapacity členských štátov, think tankov, akademickej obce a občianskej spoločnosti v tejto oblasti. Začleňovanie strategického výhľ</w:t>
      </w:r>
      <w:r>
        <w:rPr>
          <w:noProof/>
          <w:color w:val="000000"/>
        </w:rPr>
        <w:t>adu do tvorby politiky EÚ musí prebiehať opakovane a systematicky, pričom sa bude vychádzať z prístupov, ktoré sa už ukázali ako účinné. Pomôže vypracovať spoločnú víziu tvorby politík na najvyššej politickej úrovni, pričom súčasne umožní ďalej zlepšovať o</w:t>
      </w:r>
      <w:r>
        <w:rPr>
          <w:noProof/>
          <w:color w:val="000000"/>
        </w:rPr>
        <w:t>svedčené postupy a ponechá otvorený priestor pre experimentovanie.</w:t>
      </w:r>
    </w:p>
    <w:p w:rsidR="00F47BB5" w:rsidRDefault="00A34992">
      <w:pPr>
        <w:pStyle w:val="Heading1"/>
        <w:numPr>
          <w:ilvl w:val="0"/>
          <w:numId w:val="21"/>
        </w:numPr>
        <w:spacing w:before="0" w:line="276" w:lineRule="auto"/>
        <w:ind w:left="357" w:hanging="357"/>
        <w:jc w:val="left"/>
        <w:rPr>
          <w:noProof/>
        </w:rPr>
      </w:pPr>
      <w:bookmarkStart w:id="74" w:name="_Toc50375013"/>
      <w:bookmarkStart w:id="75" w:name="_Toc50375767"/>
      <w:bookmarkStart w:id="76" w:name="_Toc50375838"/>
      <w:bookmarkStart w:id="77" w:name="_Toc50392783"/>
      <w:bookmarkStart w:id="78" w:name="_Toc50454437"/>
      <w:bookmarkStart w:id="79" w:name="_Toc48718093"/>
      <w:bookmarkStart w:id="80" w:name="_Toc49871739"/>
      <w:bookmarkStart w:id="81" w:name="_Toc49871793"/>
      <w:bookmarkStart w:id="82" w:name="_Toc49950866"/>
      <w:bookmarkStart w:id="83" w:name="_Toc50298912"/>
      <w:bookmarkStart w:id="84" w:name="_Toc51067196"/>
      <w:bookmarkEnd w:id="74"/>
      <w:bookmarkEnd w:id="75"/>
      <w:bookmarkEnd w:id="76"/>
      <w:bookmarkEnd w:id="77"/>
      <w:bookmarkEnd w:id="78"/>
      <w:r>
        <w:rPr>
          <w:noProof/>
        </w:rPr>
        <w:t>Odolnosť ako nový kompas politík EÚ</w:t>
      </w:r>
      <w:bookmarkEnd w:id="79"/>
      <w:bookmarkEnd w:id="80"/>
      <w:bookmarkEnd w:id="81"/>
      <w:bookmarkEnd w:id="82"/>
      <w:bookmarkEnd w:id="83"/>
      <w:bookmarkEnd w:id="84"/>
    </w:p>
    <w:p w:rsidR="00F47BB5" w:rsidRDefault="00A34992">
      <w:pPr>
        <w:spacing w:after="120" w:line="276" w:lineRule="auto"/>
        <w:rPr>
          <w:noProof/>
        </w:rPr>
      </w:pPr>
      <w:r>
        <w:rPr>
          <w:b/>
          <w:bCs/>
          <w:noProof/>
        </w:rPr>
        <w:t>Kríza spôsobená ochorením COVID-19 odhalila v EÚ a jej členských štátoch viaceré slabé miesta. Z </w:t>
      </w:r>
      <w:r>
        <w:rPr>
          <w:noProof/>
        </w:rPr>
        <w:t xml:space="preserve">analýza vplyvov krízy vyplynulo, že popri veľmi vysokej </w:t>
      </w:r>
      <w:r>
        <w:rPr>
          <w:noProof/>
        </w:rPr>
        <w:t>dani na ľudských životoch došlo v celej Európe aj k závažnému narušeniu fungovania ekonomík a spoločnosti. Pripravenosť a prevencia, systémy včasného varovania a koordinačné štruktúry sa zjavne dostali pod tlak, čo vyvolalo potrebu ambicióznejšieho krízové</w:t>
      </w:r>
      <w:r>
        <w:rPr>
          <w:noProof/>
        </w:rPr>
        <w:t>ho riadenia rozsiahlych núdzových situácií na úrovni celej EÚ. V prvých mesiacoch pandémie boli mnohé nemocnice preťažené, voľný pohyb osôb a tovaru bol značne obmedzený, chýbali základné lieky a vybavenie. Potreba liečiť pacientov s ochorením COVID-19 zho</w:t>
      </w:r>
      <w:r>
        <w:rPr>
          <w:noProof/>
        </w:rPr>
        <w:t>ršila schopnosť systému zaoberať sa pacientmi s inými ochoreniami. Osobitne zasiahnuté boli najmä zariadenia ústavnej starostlivosti a základné podporné služby pre starších ľudí a osoby so zdravotným postihnutím. Školy a univerzity, nútené zatvoriť svoje b</w:t>
      </w:r>
      <w:r>
        <w:rPr>
          <w:noProof/>
        </w:rPr>
        <w:t>rány, neboli dostatočne pripravené prejsť z prezenčného vzdelávania na digitálne vzdelávacie alternatívy; postihnuté boli najmä deti zo znevýhodneného prostredia alebo deti so zdravotným postihnutím. Celkovo možno konštatovať, že opatrenia na obmedzenie po</w:t>
      </w:r>
      <w:r>
        <w:rPr>
          <w:noProof/>
        </w:rPr>
        <w:t>hybu mali oveľa dramatickejší vplyv na hospodárstvo než finančná kríza v roku 2008.</w:t>
      </w:r>
    </w:p>
    <w:p w:rsidR="00F47BB5" w:rsidRDefault="00A34992">
      <w:pPr>
        <w:spacing w:after="120" w:line="276" w:lineRule="auto"/>
        <w:rPr>
          <w:noProof/>
        </w:rPr>
      </w:pPr>
      <w:r>
        <w:rPr>
          <w:b/>
          <w:bCs/>
          <w:noProof/>
        </w:rPr>
        <w:t>Po neľahkom začiatku sa EÚ a jej členské štáty zomkli a začali krízu riešiť spoločne.</w:t>
      </w:r>
      <w:r>
        <w:rPr>
          <w:noProof/>
        </w:rPr>
        <w:t xml:space="preserve"> Kľúčovú úlohu v našej reakcii na krízu zohrávala činorodosť a schopnosť viesť na všetk</w:t>
      </w:r>
      <w:r>
        <w:rPr>
          <w:noProof/>
        </w:rPr>
        <w:t>ých úrovniach verejnej správy. Prvotné inštinktívne zápolenie o nedostatkové zdravotnícke zdroje a jednostranné opatrenia členských štátov na jednotnom trhu i v schengenskom priestore sa s podporou Komisie rýchlo zmenili na zlepšenú spoluprácu a koordináci</w:t>
      </w:r>
      <w:r>
        <w:rPr>
          <w:noProof/>
        </w:rPr>
        <w:t>u. EÚ vypracovala inovatívne riešenia a preukázala svoje kapacity v odolnosti. Výrobcovia z EÚ a spoločnosti venujúce sa 3D tlači</w:t>
      </w:r>
      <w:r>
        <w:rPr>
          <w:noProof/>
          <w:vertAlign w:val="superscript"/>
        </w:rPr>
        <w:footnoteReference w:id="17"/>
      </w:r>
      <w:r>
        <w:rPr>
          <w:noProof/>
        </w:rPr>
        <w:t xml:space="preserve"> rýchlo prispôsobili svoje výrobné linky tak, aby vyrábali rúška, ventilátory a dezinfekčné prostriedky na ruky</w:t>
      </w:r>
      <w:r>
        <w:rPr>
          <w:noProof/>
          <w:vertAlign w:val="superscript"/>
        </w:rPr>
        <w:footnoteReference w:id="18"/>
      </w:r>
      <w:r>
        <w:rPr>
          <w:noProof/>
        </w:rPr>
        <w:t>. Komisia vytv</w:t>
      </w:r>
      <w:r>
        <w:rPr>
          <w:noProof/>
        </w:rPr>
        <w:t>orila v rámci systému rescEU historicky prvú spoločnú strategickú rezervu zdravotníckeho vybavenia a pomohla realizovať viac než 350 repatriačných letov s cieľom vrátiť uviaznutých občanov EÚ späť do vlasti. Po prvotných obmedzeniach na hraniciach, ktoré v</w:t>
      </w:r>
      <w:r>
        <w:rPr>
          <w:noProof/>
        </w:rPr>
        <w:t>iedli k uviaznutiu dodávok, Komisia implementovala a koordinovala zelené jazdné pruhy pre voľný pohyb nákladnej dopravy</w:t>
      </w:r>
      <w:r>
        <w:rPr>
          <w:noProof/>
        </w:rPr>
        <w:footnoteReference w:id="19"/>
      </w:r>
      <w:r>
        <w:rPr>
          <w:noProof/>
        </w:rPr>
        <w:t>. Zaviedlo sa dištančné vzdelávanie, ktoré pomohlo nahradiť zatvorené školy a univerzity. Spoločnosti a správne orgány prešli na prácu n</w:t>
      </w:r>
      <w:r>
        <w:rPr>
          <w:noProof/>
        </w:rPr>
        <w:t>a diaľku všade, kde to bolo možné. Spotrebitelia začali využívať elektronický obchod a dodávky do domácnosti. Členské štáty zaviedli záchranné siete na ochranu spoločností a pracovníkov počas opatrení na obmedzenie pohybu. V období od apríla do mája 2020 K</w:t>
      </w:r>
      <w:r>
        <w:rPr>
          <w:noProof/>
        </w:rPr>
        <w:t>omisia prijala balík opatrení v oblasti záchranných sietí</w:t>
      </w:r>
      <w:r>
        <w:rPr>
          <w:rStyle w:val="FootnoteReference"/>
          <w:noProof/>
        </w:rPr>
        <w:footnoteReference w:id="20"/>
      </w:r>
      <w:r>
        <w:rPr>
          <w:noProof/>
        </w:rPr>
        <w:t xml:space="preserve"> a v rámci európskeho semestra</w:t>
      </w:r>
      <w:r>
        <w:rPr>
          <w:rStyle w:val="FootnoteReference"/>
          <w:noProof/>
        </w:rPr>
        <w:footnoteReference w:id="21"/>
      </w:r>
      <w:r>
        <w:rPr>
          <w:noProof/>
        </w:rPr>
        <w:t xml:space="preserve"> vydala odporúčania pre jednotlivé krajiny, v ktorých sa s cieľom zohľadniť túto mimoriadnu situáciu uplatnila maximálna flexibilita. Zároveň predložila aj koordinovan</w:t>
      </w:r>
      <w:r>
        <w:rPr>
          <w:noProof/>
        </w:rPr>
        <w:t>ú stratégiu na zrušenie opatrení na obmedzenie pohybu a komplexný plán obnovy</w:t>
      </w:r>
      <w:r>
        <w:rPr>
          <w:noProof/>
          <w:vertAlign w:val="superscript"/>
        </w:rPr>
        <w:footnoteReference w:id="22"/>
      </w:r>
      <w:r>
        <w:rPr>
          <w:noProof/>
        </w:rPr>
        <w:t>. Pandémia tak zároveň zvýraznila schopnosť Európy konať napriek nepriazni okolností.</w:t>
      </w:r>
    </w:p>
    <w:p w:rsidR="00F47BB5" w:rsidRDefault="00A34992">
      <w:pPr>
        <w:spacing w:after="120" w:line="276" w:lineRule="auto"/>
        <w:rPr>
          <w:noProof/>
        </w:rPr>
      </w:pPr>
      <w:r>
        <w:rPr>
          <w:b/>
          <w:noProof/>
        </w:rPr>
        <w:t xml:space="preserve">Odolnosť znamená </w:t>
      </w:r>
      <w:r>
        <w:rPr>
          <w:b/>
          <w:i/>
          <w:noProof/>
        </w:rPr>
        <w:t>schopnosť</w:t>
      </w:r>
      <w:r>
        <w:rPr>
          <w:b/>
          <w:noProof/>
        </w:rPr>
        <w:t xml:space="preserve"> nielen ustáť a zdolať výzvy, ale aj transformovať sa udržateľným, spravodlivým a demokratickým spôsobom</w:t>
      </w:r>
      <w:r>
        <w:rPr>
          <w:rStyle w:val="FootnoteReference"/>
          <w:noProof/>
        </w:rPr>
        <w:footnoteReference w:id="23"/>
      </w:r>
      <w:r>
        <w:rPr>
          <w:noProof/>
        </w:rPr>
        <w:t>. V nadväznosti na krízu spôsobenú ochorením COVID-19 a na politickú agendu orientovanú na transformáciu je jasné, že Európa musí ďalej posilňovať svoj</w:t>
      </w:r>
      <w:r>
        <w:rPr>
          <w:noProof/>
        </w:rPr>
        <w:t>u odolnosť a napredovať, t. j. nie len sa zotaviť, ale zintenzívnením transformácie a vyjsť z krízy zocelená.</w:t>
      </w:r>
      <w:r>
        <w:rPr>
          <w:b/>
          <w:bCs/>
          <w:noProof/>
        </w:rPr>
        <w:t xml:space="preserve"> </w:t>
      </w:r>
      <w:r>
        <w:rPr>
          <w:noProof/>
        </w:rPr>
        <w:t>EÚ sa musí z pandémie poučiť, vedieť predvídať budúci vývoj a nájsť tú správnu rovnováhu medzi dobrými životnými podmienkami súčasnej generácie a </w:t>
      </w:r>
      <w:r>
        <w:rPr>
          <w:noProof/>
        </w:rPr>
        <w:t>budúcich pokolení</w:t>
      </w:r>
      <w:r>
        <w:rPr>
          <w:noProof/>
          <w:color w:val="000000"/>
          <w:vertAlign w:val="superscript"/>
        </w:rPr>
        <w:footnoteReference w:id="24"/>
      </w:r>
      <w:r>
        <w:rPr>
          <w:noProof/>
        </w:rPr>
        <w:t>.</w:t>
      </w:r>
    </w:p>
    <w:p w:rsidR="00F47BB5" w:rsidRDefault="00A34992">
      <w:pPr>
        <w:spacing w:after="120" w:line="276" w:lineRule="auto"/>
        <w:rPr>
          <w:noProof/>
          <w:color w:val="000000" w:themeColor="text1"/>
        </w:rPr>
      </w:pPr>
      <w:r>
        <w:rPr>
          <w:b/>
          <w:noProof/>
          <w:color w:val="000000"/>
        </w:rPr>
        <w:t>V nadväznosti na príslušné megatrendy</w:t>
      </w:r>
      <w:r>
        <w:rPr>
          <w:noProof/>
          <w:color w:val="000000"/>
        </w:rPr>
        <w:t xml:space="preserve"> – čiže dlhodobé hybné sily, ktoré budú mať pravdepodobne veľký vplyv na budúcnosť – </w:t>
      </w:r>
      <w:r>
        <w:rPr>
          <w:b/>
          <w:noProof/>
          <w:color w:val="000000"/>
        </w:rPr>
        <w:t>sa analyzujú slabé miesta EÚ a jej kapacity v oblasti odolnosti</w:t>
      </w:r>
      <w:r>
        <w:rPr>
          <w:noProof/>
          <w:color w:val="000000"/>
        </w:rPr>
        <w:t xml:space="preserve">. Komisia v rámci svojho </w:t>
      </w:r>
      <w:r>
        <w:rPr>
          <w:i/>
          <w:noProof/>
          <w:color w:val="000000"/>
        </w:rPr>
        <w:t>Centra pre megatrendy</w:t>
      </w:r>
      <w:r>
        <w:rPr>
          <w:noProof/>
          <w:vertAlign w:val="superscript"/>
        </w:rPr>
        <w:footnoteReference w:id="25"/>
      </w:r>
      <w:r>
        <w:rPr>
          <w:noProof/>
          <w:color w:val="000000"/>
        </w:rPr>
        <w:t xml:space="preserve"> ide</w:t>
      </w:r>
      <w:r>
        <w:rPr>
          <w:noProof/>
          <w:color w:val="000000"/>
        </w:rPr>
        <w:t>ntifikovala štrnásť globálnych megatrendov. V oddiele 3 je uvedená predbežná systematická analýza slabých miest a kapacít, ktoré sa prejavili v dôsledku krízy v EÚ a jej členských štátoch, v kontexte možného zrýchľovania alebo spomaľovania uvedených megatr</w:t>
      </w:r>
      <w:r>
        <w:rPr>
          <w:noProof/>
          <w:color w:val="000000"/>
        </w:rPr>
        <w:t xml:space="preserve">endov v dôsledku krízy, ako je znázornené na </w:t>
      </w:r>
      <w:r>
        <w:rPr>
          <w:b/>
          <w:noProof/>
        </w:rPr>
        <w:t>obrázku 2.1</w:t>
      </w:r>
      <w:r>
        <w:rPr>
          <w:noProof/>
        </w:rPr>
        <w:t>.</w:t>
      </w:r>
      <w:r>
        <w:rPr>
          <w:noProof/>
          <w:color w:val="000000" w:themeColor="text1"/>
        </w:rPr>
        <w:t xml:space="preserve"> Ochorenie COVID-19 napríklad prehĺbilo nerovnosti a súčasne zrýchlilo hyperkonektivitu a demografické nerovnováhy. V analýze sa tiež identifikujú hlavné príležitosti na posilnenie odolnosti Európy p</w:t>
      </w:r>
      <w:r>
        <w:rPr>
          <w:noProof/>
          <w:color w:val="000000" w:themeColor="text1"/>
        </w:rPr>
        <w:t>rostredníctvom príslušných politických opatrení.</w:t>
      </w:r>
    </w:p>
    <w:p w:rsidR="00F47BB5" w:rsidRDefault="00A34992">
      <w:pPr>
        <w:keepNext/>
        <w:spacing w:after="0" w:line="276" w:lineRule="auto"/>
        <w:jc w:val="center"/>
        <w:rPr>
          <w:b/>
          <w:noProof/>
          <w:sz w:val="22"/>
        </w:rPr>
      </w:pPr>
      <w:r>
        <w:rPr>
          <w:b/>
          <w:noProof/>
          <w:sz w:val="22"/>
          <w:szCs w:val="22"/>
        </w:rPr>
        <w:t>Obrázok 2.1 – Potenciálny vplyv ochorenia COVID-19 na megatrendy</w:t>
      </w:r>
    </w:p>
    <w:p w:rsidR="00F47BB5" w:rsidRDefault="00A34992">
      <w:pPr>
        <w:spacing w:after="0" w:line="276" w:lineRule="auto"/>
        <w:jc w:val="center"/>
        <w:rPr>
          <w:noProof/>
          <w:color w:val="000000"/>
          <w:sz w:val="12"/>
          <w:szCs w:val="12"/>
        </w:rPr>
      </w:pPr>
      <w:r>
        <w:rPr>
          <w:noProof/>
          <w:color w:val="000000"/>
          <w:sz w:val="12"/>
          <w:szCs w:val="12"/>
          <w:lang w:val="en-GB"/>
        </w:rPr>
        <w:drawing>
          <wp:inline distT="0" distB="0" distL="0" distR="0">
            <wp:extent cx="5731510" cy="403479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4034790"/>
                    </a:xfrm>
                    <a:prstGeom prst="rect">
                      <a:avLst/>
                    </a:prstGeom>
                  </pic:spPr>
                </pic:pic>
              </a:graphicData>
            </a:graphic>
          </wp:inline>
        </w:drawing>
      </w:r>
    </w:p>
    <w:p w:rsidR="00F47BB5" w:rsidRDefault="00F47BB5">
      <w:pPr>
        <w:spacing w:after="120" w:line="276" w:lineRule="auto"/>
        <w:rPr>
          <w:b/>
          <w:bCs/>
          <w:noProof/>
        </w:rPr>
      </w:pPr>
    </w:p>
    <w:p w:rsidR="00F47BB5" w:rsidRDefault="00A34992">
      <w:pPr>
        <w:spacing w:after="120" w:line="276" w:lineRule="auto"/>
        <w:rPr>
          <w:noProof/>
          <w:color w:val="000000" w:themeColor="text1"/>
        </w:rPr>
      </w:pPr>
      <w:r>
        <w:rPr>
          <w:b/>
          <w:bCs/>
          <w:noProof/>
        </w:rPr>
        <w:t xml:space="preserve">Prospektívne politiky podporované strategickým výhľadom posilnia odolnosť EÚ. </w:t>
      </w:r>
      <w:r>
        <w:rPr>
          <w:noProof/>
        </w:rPr>
        <w:t>Strategický výhľad nám môže pomôcť predvídať vývoj, ktorý pra</w:t>
      </w:r>
      <w:r>
        <w:rPr>
          <w:noProof/>
        </w:rPr>
        <w:t>vdepodobne bude mať nepriaznivý vplyv, a podľa toho posilniť odolnosť prostredníctvom štrukturálnych zmien</w:t>
      </w:r>
      <w:r>
        <w:rPr>
          <w:rStyle w:val="FootnoteReference"/>
          <w:noProof/>
        </w:rPr>
        <w:footnoteReference w:id="26"/>
      </w:r>
      <w:r>
        <w:rPr>
          <w:noProof/>
        </w:rPr>
        <w:t xml:space="preserve">. </w:t>
      </w:r>
      <w:r>
        <w:rPr>
          <w:b/>
          <w:noProof/>
        </w:rPr>
        <w:t>Obrázok 2.2</w:t>
      </w:r>
      <w:r>
        <w:rPr>
          <w:noProof/>
        </w:rPr>
        <w:t xml:space="preserve"> znázorňuje jeden cyklus toho, ako môže strategický výhľad prispieť k politikám zameraným na zvýšenie odolnosti naprieč sociálnymi a eko</w:t>
      </w:r>
      <w:r>
        <w:rPr>
          <w:noProof/>
        </w:rPr>
        <w:t>nomickými, geopolitickými, zelenými a digitálnymi rozmermi, pričom sa zohľadní vplyv krízy na príslušné megatrendy. Politiky, pri ktorých príprave sa využíva strategický výhľad, môžu lepšie riešiť slabé miesta a posilniť kapacity, ktoré odhalila kríza, pri</w:t>
      </w:r>
      <w:r>
        <w:rPr>
          <w:noProof/>
        </w:rPr>
        <w:t>niesť nové príležitosti a zvýšiť odolnosť Európy. Ide o kontinuálny proces, v rámci ktorého dochádza k neustálemu prehodnocovaniu a spätnej väzbe.</w:t>
      </w:r>
    </w:p>
    <w:p w:rsidR="00F47BB5" w:rsidRDefault="00A34992">
      <w:pPr>
        <w:keepNext/>
        <w:spacing w:after="0" w:line="276" w:lineRule="auto"/>
        <w:jc w:val="center"/>
        <w:rPr>
          <w:noProof/>
          <w:sz w:val="22"/>
          <w:szCs w:val="22"/>
        </w:rPr>
      </w:pPr>
      <w:r>
        <w:rPr>
          <w:b/>
          <w:noProof/>
          <w:sz w:val="22"/>
          <w:szCs w:val="22"/>
        </w:rPr>
        <w:t>Obrázok 2.2 – Súvis medzi strategickým výhľadom a odolnosťou</w:t>
      </w:r>
    </w:p>
    <w:p w:rsidR="00F47BB5" w:rsidRDefault="00A34992">
      <w:pPr>
        <w:spacing w:after="120" w:line="276" w:lineRule="auto"/>
        <w:jc w:val="center"/>
        <w:rPr>
          <w:noProof/>
          <w:szCs w:val="24"/>
        </w:rPr>
      </w:pPr>
      <w:r>
        <w:rPr>
          <w:noProof/>
          <w:snapToGrid w:val="0"/>
          <w:color w:val="000000"/>
          <w:sz w:val="0"/>
          <w:szCs w:val="0"/>
          <w:u w:color="000000"/>
          <w:bdr w:val="none" w:sz="0" w:space="0" w:color="000000"/>
          <w:shd w:val="clear" w:color="000000" w:fill="000000"/>
        </w:rPr>
        <w:t xml:space="preserve"> </w:t>
      </w:r>
      <w:r>
        <w:rPr>
          <w:noProof/>
          <w:lang w:val="en-GB"/>
        </w:rPr>
        <w:drawing>
          <wp:inline distT="0" distB="0" distL="0" distR="0">
            <wp:extent cx="5309072" cy="2950136"/>
            <wp:effectExtent l="0" t="0" r="635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401" r="12274"/>
                    <a:stretch/>
                  </pic:blipFill>
                  <pic:spPr bwMode="auto">
                    <a:xfrm>
                      <a:off x="0" y="0"/>
                      <a:ext cx="5314274" cy="2953027"/>
                    </a:xfrm>
                    <a:prstGeom prst="rect">
                      <a:avLst/>
                    </a:prstGeom>
                    <a:ln>
                      <a:noFill/>
                    </a:ln>
                    <a:extLst>
                      <a:ext uri="{53640926-AAD7-44D8-BBD7-CCE9431645EC}">
                        <a14:shadowObscured xmlns:a14="http://schemas.microsoft.com/office/drawing/2010/main"/>
                      </a:ext>
                    </a:extLst>
                  </pic:spPr>
                </pic:pic>
              </a:graphicData>
            </a:graphic>
          </wp:inline>
        </w:drawing>
      </w:r>
    </w:p>
    <w:p w:rsidR="00F47BB5" w:rsidRDefault="00F47BB5">
      <w:pPr>
        <w:spacing w:after="120" w:line="276" w:lineRule="auto"/>
        <w:rPr>
          <w:noProof/>
          <w:szCs w:val="24"/>
        </w:rPr>
      </w:pPr>
    </w:p>
    <w:p w:rsidR="00F47BB5" w:rsidRDefault="00A34992">
      <w:pPr>
        <w:pStyle w:val="Heading1"/>
        <w:numPr>
          <w:ilvl w:val="0"/>
          <w:numId w:val="21"/>
        </w:numPr>
        <w:spacing w:before="0" w:line="276" w:lineRule="auto"/>
        <w:ind w:left="357" w:hanging="357"/>
        <w:jc w:val="left"/>
        <w:rPr>
          <w:noProof/>
        </w:rPr>
      </w:pPr>
      <w:bookmarkStart w:id="85" w:name="_Toc48718094"/>
      <w:bookmarkStart w:id="86" w:name="_Toc49871740"/>
      <w:bookmarkStart w:id="87" w:name="_Toc49871794"/>
      <w:bookmarkStart w:id="88" w:name="_Toc49950867"/>
      <w:bookmarkStart w:id="89" w:name="_Toc50298913"/>
      <w:bookmarkStart w:id="90" w:name="_Toc51067197"/>
      <w:r>
        <w:rPr>
          <w:noProof/>
        </w:rPr>
        <w:t>Štvorrozmerná analýza odolnosti</w:t>
      </w:r>
      <w:bookmarkEnd w:id="85"/>
      <w:bookmarkEnd w:id="86"/>
      <w:bookmarkEnd w:id="87"/>
      <w:bookmarkEnd w:id="88"/>
      <w:bookmarkEnd w:id="89"/>
      <w:bookmarkEnd w:id="90"/>
    </w:p>
    <w:p w:rsidR="00F47BB5" w:rsidRDefault="00A34992">
      <w:pPr>
        <w:pStyle w:val="Heading2"/>
        <w:rPr>
          <w:noProof/>
        </w:rPr>
      </w:pPr>
      <w:bookmarkStart w:id="91" w:name="_Toc45630462"/>
      <w:bookmarkStart w:id="92" w:name="_Toc45630507"/>
      <w:bookmarkStart w:id="93" w:name="_Toc45631886"/>
      <w:bookmarkStart w:id="94" w:name="_Toc45633325"/>
      <w:bookmarkStart w:id="95" w:name="_Toc45634082"/>
      <w:bookmarkStart w:id="96" w:name="_Toc45634313"/>
      <w:bookmarkStart w:id="97" w:name="_Toc45634594"/>
      <w:bookmarkStart w:id="98" w:name="_Toc45635114"/>
      <w:bookmarkStart w:id="99" w:name="_Toc45635481"/>
      <w:bookmarkStart w:id="100" w:name="_Toc45636947"/>
      <w:bookmarkStart w:id="101" w:name="_Toc45637884"/>
      <w:bookmarkStart w:id="102" w:name="_Toc45638727"/>
      <w:bookmarkStart w:id="103" w:name="_Toc45639312"/>
      <w:bookmarkStart w:id="104" w:name="_Toc45644405"/>
      <w:bookmarkStart w:id="105" w:name="_Toc45644855"/>
      <w:bookmarkStart w:id="106" w:name="_Toc45646576"/>
      <w:bookmarkStart w:id="107" w:name="_Toc45647402"/>
      <w:bookmarkStart w:id="108" w:name="_Toc45648622"/>
      <w:bookmarkStart w:id="109" w:name="_Toc45722787"/>
      <w:bookmarkStart w:id="110" w:name="_Toc45722815"/>
      <w:bookmarkStart w:id="111" w:name="_Toc45723029"/>
      <w:bookmarkStart w:id="112" w:name="_Toc45723057"/>
      <w:bookmarkStart w:id="113" w:name="_Toc45724363"/>
      <w:bookmarkStart w:id="114" w:name="_Toc45724389"/>
      <w:bookmarkStart w:id="115" w:name="_Toc45724458"/>
      <w:bookmarkStart w:id="116" w:name="_Toc45790732"/>
      <w:bookmarkStart w:id="117" w:name="_Toc45791247"/>
      <w:bookmarkStart w:id="118" w:name="_Toc45792371"/>
      <w:bookmarkStart w:id="119" w:name="_Toc45794722"/>
      <w:bookmarkStart w:id="120" w:name="_Toc45794788"/>
      <w:bookmarkStart w:id="121" w:name="_Toc45799966"/>
      <w:bookmarkStart w:id="122" w:name="_Toc45630463"/>
      <w:bookmarkStart w:id="123" w:name="_Toc45630508"/>
      <w:bookmarkStart w:id="124" w:name="_Toc45631887"/>
      <w:bookmarkStart w:id="125" w:name="_Toc45633326"/>
      <w:bookmarkStart w:id="126" w:name="_Toc45634083"/>
      <w:bookmarkStart w:id="127" w:name="_Toc45634314"/>
      <w:bookmarkStart w:id="128" w:name="_Toc45634595"/>
      <w:bookmarkStart w:id="129" w:name="_Toc45635115"/>
      <w:bookmarkStart w:id="130" w:name="_Toc45635482"/>
      <w:bookmarkStart w:id="131" w:name="_Toc45636948"/>
      <w:bookmarkStart w:id="132" w:name="_Toc45637885"/>
      <w:bookmarkStart w:id="133" w:name="_Toc45638728"/>
      <w:bookmarkStart w:id="134" w:name="_Toc45639313"/>
      <w:bookmarkStart w:id="135" w:name="_Toc45644406"/>
      <w:bookmarkStart w:id="136" w:name="_Toc45644856"/>
      <w:bookmarkStart w:id="137" w:name="_Toc45646577"/>
      <w:bookmarkStart w:id="138" w:name="_Toc45647403"/>
      <w:bookmarkStart w:id="139" w:name="_Toc45648623"/>
      <w:bookmarkStart w:id="140" w:name="_Toc45722788"/>
      <w:bookmarkStart w:id="141" w:name="_Toc45722816"/>
      <w:bookmarkStart w:id="142" w:name="_Toc45723030"/>
      <w:bookmarkStart w:id="143" w:name="_Toc45723058"/>
      <w:bookmarkStart w:id="144" w:name="_Toc45724364"/>
      <w:bookmarkStart w:id="145" w:name="_Toc45724390"/>
      <w:bookmarkStart w:id="146" w:name="_Toc45724459"/>
      <w:bookmarkStart w:id="147" w:name="_Toc45790733"/>
      <w:bookmarkStart w:id="148" w:name="_Toc45791248"/>
      <w:bookmarkStart w:id="149" w:name="_Toc45792372"/>
      <w:bookmarkStart w:id="150" w:name="_Toc45794723"/>
      <w:bookmarkStart w:id="151" w:name="_Toc45794789"/>
      <w:bookmarkStart w:id="152" w:name="_Toc45799967"/>
      <w:bookmarkStart w:id="153" w:name="_Toc45630464"/>
      <w:bookmarkStart w:id="154" w:name="_Toc45630509"/>
      <w:bookmarkStart w:id="155" w:name="_Toc45631888"/>
      <w:bookmarkStart w:id="156" w:name="_Toc45633327"/>
      <w:bookmarkStart w:id="157" w:name="_Toc45634084"/>
      <w:bookmarkStart w:id="158" w:name="_Toc45634315"/>
      <w:bookmarkStart w:id="159" w:name="_Toc45634596"/>
      <w:bookmarkStart w:id="160" w:name="_Toc45635116"/>
      <w:bookmarkStart w:id="161" w:name="_Toc45635483"/>
      <w:bookmarkStart w:id="162" w:name="_Toc45636949"/>
      <w:bookmarkStart w:id="163" w:name="_Toc45637886"/>
      <w:bookmarkStart w:id="164" w:name="_Toc45638729"/>
      <w:bookmarkStart w:id="165" w:name="_Toc45639314"/>
      <w:bookmarkStart w:id="166" w:name="_Toc45644407"/>
      <w:bookmarkStart w:id="167" w:name="_Toc45644857"/>
      <w:bookmarkStart w:id="168" w:name="_Toc45646578"/>
      <w:bookmarkStart w:id="169" w:name="_Toc45647404"/>
      <w:bookmarkStart w:id="170" w:name="_Toc45648624"/>
      <w:bookmarkStart w:id="171" w:name="_Toc45722789"/>
      <w:bookmarkStart w:id="172" w:name="_Toc45722817"/>
      <w:bookmarkStart w:id="173" w:name="_Toc45723031"/>
      <w:bookmarkStart w:id="174" w:name="_Toc45723059"/>
      <w:bookmarkStart w:id="175" w:name="_Toc45724365"/>
      <w:bookmarkStart w:id="176" w:name="_Toc45724391"/>
      <w:bookmarkStart w:id="177" w:name="_Toc45724460"/>
      <w:bookmarkStart w:id="178" w:name="_Toc45790734"/>
      <w:bookmarkStart w:id="179" w:name="_Toc45791249"/>
      <w:bookmarkStart w:id="180" w:name="_Toc45792373"/>
      <w:bookmarkStart w:id="181" w:name="_Toc45794724"/>
      <w:bookmarkStart w:id="182" w:name="_Toc45794790"/>
      <w:bookmarkStart w:id="183" w:name="_Toc45799968"/>
      <w:bookmarkStart w:id="184" w:name="_Toc45791251"/>
      <w:bookmarkStart w:id="185" w:name="_Toc45792375"/>
      <w:bookmarkStart w:id="186" w:name="_Toc45794726"/>
      <w:bookmarkStart w:id="187" w:name="_Toc45794792"/>
      <w:bookmarkStart w:id="188" w:name="_Toc45799970"/>
      <w:bookmarkStart w:id="189" w:name="_Toc45111162"/>
      <w:bookmarkStart w:id="190" w:name="_Toc45549417"/>
      <w:bookmarkStart w:id="191" w:name="_Toc45630466"/>
      <w:bookmarkStart w:id="192" w:name="_Toc45630511"/>
      <w:bookmarkStart w:id="193" w:name="_Toc45631763"/>
      <w:bookmarkStart w:id="194" w:name="_Toc45631890"/>
      <w:bookmarkStart w:id="195" w:name="_Toc45632148"/>
      <w:bookmarkStart w:id="196" w:name="_Toc45633329"/>
      <w:bookmarkStart w:id="197" w:name="_Toc45633679"/>
      <w:bookmarkStart w:id="198" w:name="_Toc45634086"/>
      <w:bookmarkStart w:id="199" w:name="_Toc45634111"/>
      <w:bookmarkStart w:id="200" w:name="_Toc45634317"/>
      <w:bookmarkStart w:id="201" w:name="_Toc45634554"/>
      <w:bookmarkStart w:id="202" w:name="_Toc45634598"/>
      <w:bookmarkStart w:id="203" w:name="_Toc45635118"/>
      <w:bookmarkStart w:id="204" w:name="_Toc45635297"/>
      <w:bookmarkStart w:id="205" w:name="_Toc45635485"/>
      <w:bookmarkStart w:id="206" w:name="_Toc45635598"/>
      <w:bookmarkStart w:id="207" w:name="_Toc45635621"/>
      <w:bookmarkStart w:id="208" w:name="_Toc45636752"/>
      <w:bookmarkStart w:id="209" w:name="_Toc45636951"/>
      <w:bookmarkStart w:id="210" w:name="_Toc45637888"/>
      <w:bookmarkStart w:id="211" w:name="_Toc45638731"/>
      <w:bookmarkStart w:id="212" w:name="_Toc45639284"/>
      <w:bookmarkStart w:id="213" w:name="_Toc45639316"/>
      <w:bookmarkStart w:id="214" w:name="_Toc45637078"/>
      <w:bookmarkStart w:id="215" w:name="_Toc45643485"/>
      <w:bookmarkStart w:id="216" w:name="_Toc45644409"/>
      <w:bookmarkStart w:id="217" w:name="_Toc45644571"/>
      <w:bookmarkStart w:id="218" w:name="_Toc45644594"/>
      <w:bookmarkStart w:id="219" w:name="_Toc45644859"/>
      <w:bookmarkStart w:id="220" w:name="_Toc45645828"/>
      <w:bookmarkStart w:id="221" w:name="_Toc45646580"/>
      <w:bookmarkStart w:id="222" w:name="_Toc45647097"/>
      <w:bookmarkStart w:id="223" w:name="_Toc45647406"/>
      <w:bookmarkStart w:id="224" w:name="_Toc45647498"/>
      <w:bookmarkStart w:id="225" w:name="_Toc45648626"/>
      <w:bookmarkStart w:id="226" w:name="_Toc45722791"/>
      <w:bookmarkStart w:id="227" w:name="_Toc45722819"/>
      <w:bookmarkStart w:id="228" w:name="_Toc45723033"/>
      <w:bookmarkStart w:id="229" w:name="_Toc45723061"/>
      <w:bookmarkStart w:id="230" w:name="_Toc45724367"/>
      <w:bookmarkStart w:id="231" w:name="_Toc45724393"/>
      <w:bookmarkStart w:id="232" w:name="_Toc45724462"/>
      <w:bookmarkStart w:id="233" w:name="_Toc45790736"/>
      <w:bookmarkStart w:id="234" w:name="_Toc45791252"/>
      <w:bookmarkStart w:id="235" w:name="_Toc45791966"/>
      <w:bookmarkStart w:id="236" w:name="_Toc45792376"/>
      <w:bookmarkStart w:id="237" w:name="_Toc45794727"/>
      <w:bookmarkStart w:id="238" w:name="_Toc45794793"/>
      <w:bookmarkStart w:id="239" w:name="_Toc45799971"/>
      <w:bookmarkStart w:id="240" w:name="_Toc45823293"/>
      <w:bookmarkStart w:id="241" w:name="_Toc45823539"/>
      <w:bookmarkStart w:id="242" w:name="_Toc45823585"/>
      <w:bookmarkStart w:id="243" w:name="_Toc45831536"/>
      <w:bookmarkStart w:id="244" w:name="_Toc45831800"/>
      <w:bookmarkStart w:id="245" w:name="_Toc45832369"/>
      <w:bookmarkStart w:id="246" w:name="_Toc45832453"/>
      <w:bookmarkStart w:id="247" w:name="_Toc45832784"/>
      <w:bookmarkStart w:id="248" w:name="_Toc45832831"/>
      <w:bookmarkStart w:id="249" w:name="_Toc45833066"/>
      <w:bookmarkStart w:id="250" w:name="_Toc45833737"/>
      <w:bookmarkStart w:id="251" w:name="_Toc45834048"/>
      <w:bookmarkStart w:id="252" w:name="_Toc45882802"/>
      <w:bookmarkStart w:id="253" w:name="_Toc45882816"/>
      <w:bookmarkStart w:id="254" w:name="_Toc45882830"/>
      <w:bookmarkStart w:id="255" w:name="_Toc45882985"/>
      <w:bookmarkStart w:id="256" w:name="_Toc45883230"/>
      <w:bookmarkStart w:id="257" w:name="_Toc45883246"/>
      <w:bookmarkStart w:id="258" w:name="_Toc45883289"/>
      <w:bookmarkStart w:id="259" w:name="_Toc45883440"/>
      <w:bookmarkStart w:id="260" w:name="_Toc45883600"/>
      <w:bookmarkStart w:id="261" w:name="_Toc45883673"/>
      <w:bookmarkStart w:id="262" w:name="_Toc45883718"/>
      <w:bookmarkStart w:id="263" w:name="_Toc45883731"/>
      <w:bookmarkStart w:id="264" w:name="_Toc45883750"/>
      <w:bookmarkStart w:id="265" w:name="_Toc45883763"/>
      <w:bookmarkStart w:id="266" w:name="_Toc45883845"/>
      <w:bookmarkStart w:id="267" w:name="_Toc45883858"/>
      <w:bookmarkStart w:id="268" w:name="_Toc45884132"/>
      <w:bookmarkStart w:id="269" w:name="_Toc45884436"/>
      <w:bookmarkStart w:id="270" w:name="_Toc45886203"/>
      <w:bookmarkStart w:id="271" w:name="_Toc45891898"/>
      <w:bookmarkStart w:id="272" w:name="_Toc45891975"/>
      <w:bookmarkStart w:id="273" w:name="_Toc45892529"/>
      <w:bookmarkStart w:id="274" w:name="_Toc45892801"/>
      <w:bookmarkStart w:id="275" w:name="_Toc45892870"/>
      <w:bookmarkStart w:id="276" w:name="_Toc45893020"/>
      <w:bookmarkStart w:id="277" w:name="_Toc45893790"/>
      <w:bookmarkStart w:id="278" w:name="_Toc45905258"/>
      <w:bookmarkStart w:id="279" w:name="_Toc46992665"/>
      <w:bookmarkStart w:id="280" w:name="_Toc47026599"/>
      <w:bookmarkStart w:id="281" w:name="_Toc47608325"/>
      <w:bookmarkStart w:id="282" w:name="_Toc47942768"/>
      <w:bookmarkStart w:id="283" w:name="_Toc47943833"/>
      <w:bookmarkStart w:id="284" w:name="_Toc47944102"/>
      <w:bookmarkStart w:id="285" w:name="_Toc47944125"/>
      <w:bookmarkStart w:id="286" w:name="_Toc47944479"/>
      <w:bookmarkStart w:id="287" w:name="_Toc47969826"/>
      <w:bookmarkStart w:id="288" w:name="_Toc47969988"/>
      <w:bookmarkStart w:id="289" w:name="_Toc47970063"/>
      <w:bookmarkStart w:id="290" w:name="_Toc47970110"/>
      <w:bookmarkStart w:id="291" w:name="_Toc47970123"/>
      <w:bookmarkStart w:id="292" w:name="_Toc47970864"/>
      <w:bookmarkStart w:id="293" w:name="_Toc47971581"/>
      <w:bookmarkStart w:id="294" w:name="_Toc47971876"/>
      <w:bookmarkStart w:id="295" w:name="_Toc47971930"/>
      <w:bookmarkStart w:id="296" w:name="_Toc47971987"/>
      <w:bookmarkStart w:id="297" w:name="_Toc47972424"/>
      <w:bookmarkStart w:id="298" w:name="_Toc47972439"/>
      <w:bookmarkStart w:id="299" w:name="_Toc47972454"/>
      <w:bookmarkStart w:id="300" w:name="_Toc47972495"/>
      <w:bookmarkStart w:id="301" w:name="_Toc47972565"/>
      <w:bookmarkStart w:id="302" w:name="_Toc47972595"/>
      <w:bookmarkStart w:id="303" w:name="_Toc47972610"/>
      <w:bookmarkStart w:id="304" w:name="_Toc47972625"/>
      <w:bookmarkStart w:id="305" w:name="_Toc47972638"/>
      <w:bookmarkStart w:id="306" w:name="_Toc47972686"/>
      <w:bookmarkStart w:id="307" w:name="_Toc47972733"/>
      <w:bookmarkStart w:id="308" w:name="_Toc47972857"/>
      <w:bookmarkStart w:id="309" w:name="_Toc47972998"/>
      <w:bookmarkStart w:id="310" w:name="_Toc47973249"/>
      <w:bookmarkStart w:id="311" w:name="_Toc47973316"/>
      <w:bookmarkStart w:id="312" w:name="_Toc47973355"/>
      <w:bookmarkStart w:id="313" w:name="_Toc47973472"/>
      <w:bookmarkStart w:id="314" w:name="_Toc47973678"/>
      <w:bookmarkStart w:id="315" w:name="_Toc47973891"/>
      <w:bookmarkStart w:id="316" w:name="_Toc47974056"/>
      <w:bookmarkStart w:id="317" w:name="_Toc47974182"/>
      <w:bookmarkStart w:id="318" w:name="_Toc47974206"/>
      <w:bookmarkStart w:id="319" w:name="_Toc47974240"/>
      <w:bookmarkStart w:id="320" w:name="_Toc47974282"/>
      <w:bookmarkStart w:id="321" w:name="_Toc47974298"/>
      <w:bookmarkStart w:id="322" w:name="_Toc47974315"/>
      <w:bookmarkStart w:id="323" w:name="_Toc47974332"/>
      <w:bookmarkStart w:id="324" w:name="_Toc47974413"/>
      <w:bookmarkStart w:id="325" w:name="_Toc47974966"/>
      <w:bookmarkStart w:id="326" w:name="_Toc47975098"/>
      <w:bookmarkStart w:id="327" w:name="_Toc47975305"/>
      <w:bookmarkStart w:id="328" w:name="_Toc47975622"/>
      <w:bookmarkStart w:id="329" w:name="_Toc47975645"/>
      <w:bookmarkStart w:id="330" w:name="_Toc47975664"/>
      <w:bookmarkStart w:id="331" w:name="_Toc47975754"/>
      <w:bookmarkStart w:id="332" w:name="_Toc47975807"/>
      <w:bookmarkStart w:id="333" w:name="_Toc47976017"/>
      <w:bookmarkStart w:id="334" w:name="_Toc47976108"/>
      <w:bookmarkStart w:id="335" w:name="_Toc47976547"/>
      <w:bookmarkStart w:id="336" w:name="_Toc47976567"/>
      <w:bookmarkStart w:id="337" w:name="_Toc47976674"/>
      <w:bookmarkStart w:id="338" w:name="_Toc47977119"/>
      <w:bookmarkStart w:id="339" w:name="_Toc47977691"/>
      <w:bookmarkStart w:id="340" w:name="_Toc47977906"/>
      <w:bookmarkStart w:id="341" w:name="_Toc47977954"/>
      <w:bookmarkStart w:id="342" w:name="_Toc47978117"/>
      <w:bookmarkStart w:id="343" w:name="_Toc47978142"/>
      <w:bookmarkStart w:id="344" w:name="_Toc47978198"/>
      <w:bookmarkStart w:id="345" w:name="_Toc47978272"/>
      <w:bookmarkStart w:id="346" w:name="_Toc47978394"/>
      <w:bookmarkStart w:id="347" w:name="_Toc47978474"/>
      <w:bookmarkStart w:id="348" w:name="_Toc47978636"/>
      <w:bookmarkStart w:id="349" w:name="_Toc47978748"/>
      <w:bookmarkStart w:id="350" w:name="_Toc47978766"/>
      <w:bookmarkStart w:id="351" w:name="_Toc47979014"/>
      <w:bookmarkStart w:id="352" w:name="_Toc47979083"/>
      <w:bookmarkStart w:id="353" w:name="_Toc47979125"/>
      <w:bookmarkStart w:id="354" w:name="_Toc47979143"/>
      <w:bookmarkStart w:id="355" w:name="_Toc47979257"/>
      <w:bookmarkStart w:id="356" w:name="_Toc47979352"/>
      <w:bookmarkStart w:id="357" w:name="_Toc47979370"/>
      <w:bookmarkStart w:id="358" w:name="_Toc47979386"/>
      <w:bookmarkStart w:id="359" w:name="_Toc47979431"/>
      <w:bookmarkStart w:id="360" w:name="_Toc47981400"/>
      <w:bookmarkStart w:id="361" w:name="_Toc47981428"/>
      <w:bookmarkStart w:id="362" w:name="_Toc48043636"/>
      <w:bookmarkStart w:id="363" w:name="_Toc48160881"/>
      <w:bookmarkStart w:id="364" w:name="_Toc48192576"/>
      <w:bookmarkStart w:id="365" w:name="_Toc48198477"/>
      <w:bookmarkStart w:id="366" w:name="_Toc48199474"/>
      <w:bookmarkStart w:id="367" w:name="_Toc48199513"/>
      <w:bookmarkStart w:id="368" w:name="_Toc48199836"/>
      <w:bookmarkStart w:id="369" w:name="_Toc48200723"/>
      <w:bookmarkStart w:id="370" w:name="_Toc48200739"/>
      <w:bookmarkStart w:id="371" w:name="_Toc48200760"/>
      <w:bookmarkStart w:id="372" w:name="_Toc48200966"/>
      <w:bookmarkStart w:id="373" w:name="_Toc48201029"/>
      <w:bookmarkStart w:id="374" w:name="_Toc48201113"/>
      <w:bookmarkStart w:id="375" w:name="_Toc48201129"/>
      <w:bookmarkStart w:id="376" w:name="_Toc48201148"/>
      <w:bookmarkStart w:id="377" w:name="_Toc48202007"/>
      <w:bookmarkStart w:id="378" w:name="_Toc48202028"/>
      <w:bookmarkStart w:id="379" w:name="_Toc48202057"/>
      <w:bookmarkStart w:id="380" w:name="_Toc48202050"/>
      <w:bookmarkStart w:id="381" w:name="_Toc48202073"/>
      <w:bookmarkStart w:id="382" w:name="_Toc48202205"/>
      <w:bookmarkStart w:id="383" w:name="_Toc48202250"/>
      <w:bookmarkStart w:id="384" w:name="_Toc48202328"/>
      <w:bookmarkStart w:id="385" w:name="_Toc48202344"/>
      <w:bookmarkStart w:id="386" w:name="_Toc48202370"/>
      <w:bookmarkStart w:id="387" w:name="_Toc48202503"/>
      <w:bookmarkStart w:id="388" w:name="_Toc48202521"/>
      <w:bookmarkStart w:id="389" w:name="_Toc48202542"/>
      <w:bookmarkStart w:id="390" w:name="_Toc48202568"/>
      <w:bookmarkStart w:id="391" w:name="_Toc48202614"/>
      <w:bookmarkStart w:id="392" w:name="_Toc48202644"/>
      <w:bookmarkStart w:id="393" w:name="_Toc48202664"/>
      <w:bookmarkStart w:id="394" w:name="_Toc48202683"/>
      <w:bookmarkStart w:id="395" w:name="_Toc48202997"/>
      <w:bookmarkStart w:id="396" w:name="_Toc48203161"/>
      <w:bookmarkStart w:id="397" w:name="_Toc48203270"/>
      <w:bookmarkStart w:id="398" w:name="_Toc48203302"/>
      <w:bookmarkStart w:id="399" w:name="_Toc48203334"/>
      <w:bookmarkStart w:id="400" w:name="_Toc48203350"/>
      <w:bookmarkStart w:id="401" w:name="_Toc48203421"/>
      <w:bookmarkStart w:id="402" w:name="_Toc48203507"/>
      <w:bookmarkStart w:id="403" w:name="_Toc48203929"/>
      <w:bookmarkStart w:id="404" w:name="_Toc48203970"/>
      <w:bookmarkStart w:id="405" w:name="_Toc48203996"/>
      <w:bookmarkStart w:id="406" w:name="_Toc48204036"/>
      <w:bookmarkStart w:id="407" w:name="_Toc48204052"/>
      <w:bookmarkStart w:id="408" w:name="_Toc48204126"/>
      <w:bookmarkStart w:id="409" w:name="_Toc48204178"/>
      <w:bookmarkStart w:id="410" w:name="_Toc48204194"/>
      <w:bookmarkStart w:id="411" w:name="_Toc48204210"/>
      <w:bookmarkStart w:id="412" w:name="_Toc48204314"/>
      <w:bookmarkStart w:id="413" w:name="_Toc48204307"/>
      <w:bookmarkStart w:id="414" w:name="_Toc48204330"/>
      <w:bookmarkStart w:id="415" w:name="_Toc48204233"/>
      <w:bookmarkStart w:id="416" w:name="_Toc48204274"/>
      <w:bookmarkStart w:id="417" w:name="_Toc48204370"/>
      <w:bookmarkStart w:id="418" w:name="_Toc48204386"/>
      <w:bookmarkStart w:id="419" w:name="_Toc48204712"/>
      <w:bookmarkStart w:id="420" w:name="_Toc48204738"/>
      <w:bookmarkStart w:id="421" w:name="_Toc48204957"/>
      <w:bookmarkStart w:id="422" w:name="_Toc48204973"/>
      <w:bookmarkStart w:id="423" w:name="_Toc48204989"/>
      <w:bookmarkStart w:id="424" w:name="_Toc48205097"/>
      <w:bookmarkStart w:id="425" w:name="_Toc48205243"/>
      <w:bookmarkStart w:id="426" w:name="_Toc48205277"/>
      <w:bookmarkStart w:id="427" w:name="_Toc48205636"/>
      <w:bookmarkStart w:id="428" w:name="_Toc48205728"/>
      <w:bookmarkStart w:id="429" w:name="_Toc48206197"/>
      <w:bookmarkStart w:id="430" w:name="_Toc48206239"/>
      <w:bookmarkStart w:id="431" w:name="_Toc48206259"/>
      <w:bookmarkStart w:id="432" w:name="_Toc48206454"/>
      <w:bookmarkStart w:id="433" w:name="_Toc48206472"/>
      <w:bookmarkStart w:id="434" w:name="_Toc48206514"/>
      <w:bookmarkStart w:id="435" w:name="_Toc48206545"/>
      <w:bookmarkStart w:id="436" w:name="_Toc48206626"/>
      <w:bookmarkStart w:id="437" w:name="_Toc48206673"/>
      <w:bookmarkStart w:id="438" w:name="_Toc48206737"/>
      <w:bookmarkStart w:id="439" w:name="_Toc48206753"/>
      <w:bookmarkStart w:id="440" w:name="_Toc48206791"/>
      <w:bookmarkStart w:id="441" w:name="_Toc48206819"/>
      <w:bookmarkStart w:id="442" w:name="_Toc48206866"/>
      <w:bookmarkStart w:id="443" w:name="_Toc48206882"/>
      <w:bookmarkStart w:id="444" w:name="_Toc48206898"/>
      <w:bookmarkStart w:id="445" w:name="_Toc48207009"/>
      <w:bookmarkStart w:id="446" w:name="_Toc48207025"/>
      <w:bookmarkStart w:id="447" w:name="_Toc48207105"/>
      <w:bookmarkStart w:id="448" w:name="_Toc48207210"/>
      <w:bookmarkStart w:id="449" w:name="_Toc48207286"/>
      <w:bookmarkStart w:id="450" w:name="_Toc48207396"/>
      <w:bookmarkStart w:id="451" w:name="_Toc48207652"/>
      <w:bookmarkStart w:id="452" w:name="_Toc48207759"/>
      <w:bookmarkStart w:id="453" w:name="_Toc48208022"/>
      <w:bookmarkStart w:id="454" w:name="_Toc48208157"/>
      <w:bookmarkStart w:id="455" w:name="_Toc48208232"/>
      <w:bookmarkStart w:id="456" w:name="_Toc48208470"/>
      <w:bookmarkStart w:id="457" w:name="_Toc48208782"/>
      <w:bookmarkStart w:id="458" w:name="_Toc48208887"/>
      <w:bookmarkStart w:id="459" w:name="_Toc48208922"/>
      <w:bookmarkStart w:id="460" w:name="_Toc48209389"/>
      <w:bookmarkStart w:id="461" w:name="_Toc48209505"/>
      <w:bookmarkStart w:id="462" w:name="_Toc48209530"/>
      <w:bookmarkStart w:id="463" w:name="_Toc48209578"/>
      <w:bookmarkStart w:id="464" w:name="_Toc48209708"/>
      <w:bookmarkStart w:id="465" w:name="_Toc48209731"/>
      <w:bookmarkStart w:id="466" w:name="_Toc48209777"/>
      <w:bookmarkStart w:id="467" w:name="_Toc48209838"/>
      <w:bookmarkStart w:id="468" w:name="_Toc48209915"/>
      <w:bookmarkStart w:id="469" w:name="_Toc48210081"/>
      <w:bookmarkStart w:id="470" w:name="_Toc48210171"/>
      <w:bookmarkStart w:id="471" w:name="_Toc48210375"/>
      <w:bookmarkStart w:id="472" w:name="_Toc48211672"/>
      <w:bookmarkStart w:id="473" w:name="_Toc48212913"/>
      <w:bookmarkStart w:id="474" w:name="_Toc48213361"/>
      <w:bookmarkStart w:id="475" w:name="_Toc48214027"/>
      <w:bookmarkStart w:id="476" w:name="_Toc48214157"/>
      <w:bookmarkStart w:id="477" w:name="_Toc48214738"/>
      <w:bookmarkStart w:id="478" w:name="_Toc48214891"/>
      <w:bookmarkStart w:id="479" w:name="_Toc48215013"/>
      <w:bookmarkStart w:id="480" w:name="_Toc48215755"/>
      <w:bookmarkStart w:id="481" w:name="_Toc48216223"/>
      <w:bookmarkStart w:id="482" w:name="_Toc48216357"/>
      <w:bookmarkStart w:id="483" w:name="_Toc48216550"/>
      <w:bookmarkStart w:id="484" w:name="_Toc48217117"/>
      <w:bookmarkStart w:id="485" w:name="_Toc48217554"/>
      <w:bookmarkStart w:id="486" w:name="_Toc48217605"/>
      <w:bookmarkStart w:id="487" w:name="_Toc48217721"/>
      <w:bookmarkStart w:id="488" w:name="_Toc48217739"/>
      <w:bookmarkStart w:id="489" w:name="_Toc48217816"/>
      <w:bookmarkStart w:id="490" w:name="_Toc48218153"/>
      <w:bookmarkStart w:id="491" w:name="_Toc48218324"/>
      <w:bookmarkStart w:id="492" w:name="_Toc48218360"/>
      <w:bookmarkStart w:id="493" w:name="_Toc48218346"/>
      <w:bookmarkStart w:id="494" w:name="_Toc48218383"/>
      <w:bookmarkStart w:id="495" w:name="_Toc48218427"/>
      <w:bookmarkStart w:id="496" w:name="_Toc48218459"/>
      <w:bookmarkStart w:id="497" w:name="_Toc48218636"/>
      <w:bookmarkStart w:id="498" w:name="_Toc48218555"/>
      <w:bookmarkStart w:id="499" w:name="_Toc48218598"/>
      <w:bookmarkStart w:id="500" w:name="_Toc48218622"/>
      <w:bookmarkStart w:id="501" w:name="_Toc48218658"/>
      <w:bookmarkStart w:id="502" w:name="_Toc48218680"/>
      <w:bookmarkStart w:id="503" w:name="_Toc48219003"/>
      <w:bookmarkStart w:id="504" w:name="_Toc48219248"/>
      <w:bookmarkStart w:id="505" w:name="_Toc48219502"/>
      <w:bookmarkStart w:id="506" w:name="_Toc48219551"/>
      <w:bookmarkStart w:id="507" w:name="_Toc48219683"/>
      <w:bookmarkStart w:id="508" w:name="_Toc48219851"/>
      <w:bookmarkStart w:id="509" w:name="_Toc48219909"/>
      <w:bookmarkStart w:id="510" w:name="_Toc48219932"/>
      <w:bookmarkStart w:id="511" w:name="_Toc48219956"/>
      <w:bookmarkStart w:id="512" w:name="_Toc48220010"/>
      <w:bookmarkStart w:id="513" w:name="_Toc48220022"/>
      <w:bookmarkStart w:id="514" w:name="_Toc48220038"/>
      <w:bookmarkStart w:id="515" w:name="_Toc48220081"/>
      <w:bookmarkStart w:id="516" w:name="_Toc48220054"/>
      <w:bookmarkStart w:id="517" w:name="_Toc48220105"/>
      <w:bookmarkStart w:id="518" w:name="_Toc48220150"/>
      <w:bookmarkStart w:id="519" w:name="_Toc48220212"/>
      <w:bookmarkStart w:id="520" w:name="_Toc48220228"/>
      <w:bookmarkStart w:id="521" w:name="_Toc48220244"/>
      <w:bookmarkStart w:id="522" w:name="_Toc48220278"/>
      <w:bookmarkStart w:id="523" w:name="_Toc48220294"/>
      <w:bookmarkStart w:id="524" w:name="_Toc48220322"/>
      <w:bookmarkStart w:id="525" w:name="_Toc48220438"/>
      <w:bookmarkStart w:id="526" w:name="_Toc48220481"/>
      <w:bookmarkStart w:id="527" w:name="_Toc48220510"/>
      <w:bookmarkStart w:id="528" w:name="_Toc48220503"/>
      <w:bookmarkStart w:id="529" w:name="_Toc48220542"/>
      <w:bookmarkStart w:id="530" w:name="_Toc48220676"/>
      <w:bookmarkStart w:id="531" w:name="_Toc48220749"/>
      <w:bookmarkStart w:id="532" w:name="_Toc48220766"/>
      <w:bookmarkStart w:id="533" w:name="_Toc48220786"/>
      <w:bookmarkStart w:id="534" w:name="_Toc48220823"/>
      <w:bookmarkStart w:id="535" w:name="_Toc48221128"/>
      <w:bookmarkStart w:id="536" w:name="_Toc48221146"/>
      <w:bookmarkStart w:id="537" w:name="_Toc48221229"/>
      <w:bookmarkStart w:id="538" w:name="_Toc48221251"/>
      <w:bookmarkStart w:id="539" w:name="_Toc48221377"/>
      <w:bookmarkStart w:id="540" w:name="_Toc48221444"/>
      <w:bookmarkStart w:id="541" w:name="_Toc48221500"/>
      <w:bookmarkStart w:id="542" w:name="_Toc48221516"/>
      <w:bookmarkStart w:id="543" w:name="_Toc48221705"/>
      <w:bookmarkStart w:id="544" w:name="_Toc48221723"/>
      <w:bookmarkStart w:id="545" w:name="_Toc48221807"/>
      <w:bookmarkStart w:id="546" w:name="_Toc48221698"/>
      <w:bookmarkStart w:id="547" w:name="_Toc48221735"/>
      <w:bookmarkStart w:id="548" w:name="_Toc48221823"/>
      <w:bookmarkStart w:id="549" w:name="_Toc48221839"/>
      <w:bookmarkStart w:id="550" w:name="_Toc48221882"/>
      <w:bookmarkStart w:id="551" w:name="_Toc48221926"/>
      <w:bookmarkStart w:id="552" w:name="_Toc48222066"/>
      <w:bookmarkStart w:id="553" w:name="_Toc48221766"/>
      <w:bookmarkStart w:id="554" w:name="_Toc48221782"/>
      <w:bookmarkStart w:id="555" w:name="_Toc48221994"/>
      <w:bookmarkStart w:id="556" w:name="_Toc48222025"/>
      <w:bookmarkStart w:id="557" w:name="_Toc48222110"/>
      <w:bookmarkStart w:id="558" w:name="_Toc48222158"/>
      <w:bookmarkStart w:id="559" w:name="_Toc48222331"/>
      <w:bookmarkStart w:id="560" w:name="_Toc48222368"/>
      <w:bookmarkStart w:id="561" w:name="_Toc48222571"/>
      <w:bookmarkStart w:id="562" w:name="_Toc48222638"/>
      <w:bookmarkStart w:id="563" w:name="_Toc48222657"/>
      <w:bookmarkStart w:id="564" w:name="_Toc48223048"/>
      <w:bookmarkStart w:id="565" w:name="_Toc48223059"/>
      <w:bookmarkStart w:id="566" w:name="_Toc48223111"/>
      <w:bookmarkStart w:id="567" w:name="_Toc48223127"/>
      <w:bookmarkStart w:id="568" w:name="_Toc48223146"/>
      <w:bookmarkStart w:id="569" w:name="_Toc48223165"/>
      <w:bookmarkStart w:id="570" w:name="_Toc48223236"/>
      <w:bookmarkStart w:id="571" w:name="_Toc48223306"/>
      <w:bookmarkStart w:id="572" w:name="_Toc48223397"/>
      <w:bookmarkStart w:id="573" w:name="_Toc48223413"/>
      <w:bookmarkStart w:id="574" w:name="_Toc48223435"/>
      <w:bookmarkStart w:id="575" w:name="_Toc48223451"/>
      <w:bookmarkStart w:id="576" w:name="_Toc48223828"/>
      <w:bookmarkStart w:id="577" w:name="_Toc48223844"/>
      <w:bookmarkStart w:id="578" w:name="_Toc48223960"/>
      <w:bookmarkStart w:id="579" w:name="_Toc48223983"/>
      <w:bookmarkStart w:id="580" w:name="_Toc48224011"/>
      <w:bookmarkStart w:id="581" w:name="_Toc48224032"/>
      <w:bookmarkStart w:id="582" w:name="_Toc48224054"/>
      <w:bookmarkStart w:id="583" w:name="_Toc48224070"/>
      <w:bookmarkStart w:id="584" w:name="_Toc48224126"/>
      <w:bookmarkStart w:id="585" w:name="_Toc48224148"/>
      <w:bookmarkStart w:id="586" w:name="_Toc48224207"/>
      <w:bookmarkStart w:id="587" w:name="_Toc48224223"/>
      <w:bookmarkStart w:id="588" w:name="_Toc48224239"/>
      <w:bookmarkStart w:id="589" w:name="_Toc48224259"/>
      <w:bookmarkStart w:id="590" w:name="_Toc48224282"/>
      <w:bookmarkStart w:id="591" w:name="_Toc48224370"/>
      <w:bookmarkStart w:id="592" w:name="_Toc48224386"/>
      <w:bookmarkStart w:id="593" w:name="_Toc48224507"/>
      <w:bookmarkStart w:id="594" w:name="_Toc48224523"/>
      <w:bookmarkStart w:id="595" w:name="_Toc48224603"/>
      <w:bookmarkStart w:id="596" w:name="_Toc48224619"/>
      <w:bookmarkStart w:id="597" w:name="_Toc48224687"/>
      <w:bookmarkStart w:id="598" w:name="_Toc48224703"/>
      <w:bookmarkStart w:id="599" w:name="_Toc48224725"/>
      <w:bookmarkStart w:id="600" w:name="_Toc48224741"/>
      <w:bookmarkStart w:id="601" w:name="_Toc48224903"/>
      <w:bookmarkStart w:id="602" w:name="_Toc48224919"/>
      <w:bookmarkStart w:id="603" w:name="_Toc48225008"/>
      <w:bookmarkStart w:id="604" w:name="_Toc48225076"/>
      <w:bookmarkStart w:id="605" w:name="_Toc48225164"/>
      <w:bookmarkStart w:id="606" w:name="_Toc48225211"/>
      <w:bookmarkStart w:id="607" w:name="_Toc48225241"/>
      <w:bookmarkStart w:id="608" w:name="_Toc48225504"/>
      <w:bookmarkStart w:id="609" w:name="_Toc48225520"/>
      <w:bookmarkStart w:id="610" w:name="_Toc48225536"/>
      <w:bookmarkStart w:id="611" w:name="_Toc48225553"/>
      <w:bookmarkStart w:id="612" w:name="_Toc48225573"/>
      <w:bookmarkStart w:id="613" w:name="_Toc48225674"/>
      <w:bookmarkStart w:id="614" w:name="_Toc48225695"/>
      <w:bookmarkStart w:id="615" w:name="_Toc48225714"/>
      <w:bookmarkStart w:id="616" w:name="_Toc48225730"/>
      <w:bookmarkStart w:id="617" w:name="_Toc48225954"/>
      <w:bookmarkStart w:id="618" w:name="_Toc48225970"/>
      <w:bookmarkStart w:id="619" w:name="_Toc48226035"/>
      <w:bookmarkStart w:id="620" w:name="_Toc48226146"/>
      <w:bookmarkStart w:id="621" w:name="_Toc48226172"/>
      <w:bookmarkStart w:id="622" w:name="_Toc48226216"/>
      <w:bookmarkStart w:id="623" w:name="_Toc48226250"/>
      <w:bookmarkStart w:id="624" w:name="_Toc48226379"/>
      <w:bookmarkStart w:id="625" w:name="_Toc48226723"/>
      <w:bookmarkStart w:id="626" w:name="_Toc48226760"/>
      <w:bookmarkStart w:id="627" w:name="_Toc48226784"/>
      <w:bookmarkStart w:id="628" w:name="_Toc48226830"/>
      <w:bookmarkStart w:id="629" w:name="_Toc48227789"/>
      <w:bookmarkStart w:id="630" w:name="_Toc48228446"/>
      <w:bookmarkStart w:id="631" w:name="_Toc48228524"/>
      <w:bookmarkStart w:id="632" w:name="_Toc48228655"/>
      <w:bookmarkStart w:id="633" w:name="_Toc48229043"/>
      <w:bookmarkStart w:id="634" w:name="_Toc48229169"/>
      <w:bookmarkStart w:id="635" w:name="_Toc48229193"/>
      <w:bookmarkStart w:id="636" w:name="_Toc48229323"/>
      <w:bookmarkStart w:id="637" w:name="_Toc48229374"/>
      <w:bookmarkStart w:id="638" w:name="_Toc48229440"/>
      <w:bookmarkStart w:id="639" w:name="_Toc48229503"/>
      <w:bookmarkStart w:id="640" w:name="_Toc48229555"/>
      <w:bookmarkStart w:id="641" w:name="_Toc48229574"/>
      <w:bookmarkStart w:id="642" w:name="_Toc48229541"/>
      <w:bookmarkStart w:id="643" w:name="_Toc48229589"/>
      <w:bookmarkStart w:id="644" w:name="_Toc48229605"/>
      <w:bookmarkStart w:id="645" w:name="_Toc48229621"/>
      <w:bookmarkStart w:id="646" w:name="_Toc48229708"/>
      <w:bookmarkStart w:id="647" w:name="_Toc48229742"/>
      <w:bookmarkStart w:id="648" w:name="_Toc48229788"/>
      <w:bookmarkStart w:id="649" w:name="_Toc48229806"/>
      <w:bookmarkStart w:id="650" w:name="_Toc48229826"/>
      <w:bookmarkStart w:id="651" w:name="_Toc48229925"/>
      <w:bookmarkStart w:id="652" w:name="_Toc48229941"/>
      <w:bookmarkStart w:id="653" w:name="_Toc48229966"/>
      <w:bookmarkStart w:id="654" w:name="_Toc48230136"/>
      <w:bookmarkStart w:id="655" w:name="_Toc48230152"/>
      <w:bookmarkStart w:id="656" w:name="_Toc48230180"/>
      <w:bookmarkStart w:id="657" w:name="_Toc48230196"/>
      <w:bookmarkStart w:id="658" w:name="_Toc48230213"/>
      <w:bookmarkStart w:id="659" w:name="_Toc48230229"/>
      <w:bookmarkStart w:id="660" w:name="_Toc48230252"/>
      <w:bookmarkStart w:id="661" w:name="_Toc48230305"/>
      <w:bookmarkStart w:id="662" w:name="_Toc48230321"/>
      <w:bookmarkStart w:id="663" w:name="_Toc48230388"/>
      <w:bookmarkStart w:id="664" w:name="_Toc48230404"/>
      <w:bookmarkStart w:id="665" w:name="_Toc48230427"/>
      <w:bookmarkStart w:id="666" w:name="_Toc48230464"/>
      <w:bookmarkStart w:id="667" w:name="_Toc48230539"/>
      <w:bookmarkStart w:id="668" w:name="_Toc48230576"/>
      <w:bookmarkStart w:id="669" w:name="_Toc48230592"/>
      <w:bookmarkStart w:id="670" w:name="_Toc48295449"/>
      <w:bookmarkStart w:id="671" w:name="_Toc48296030"/>
      <w:bookmarkStart w:id="672" w:name="_Toc48297825"/>
      <w:bookmarkStart w:id="673" w:name="_Toc48298905"/>
      <w:bookmarkStart w:id="674" w:name="_Toc48302214"/>
      <w:bookmarkStart w:id="675" w:name="_Toc48320170"/>
      <w:bookmarkStart w:id="676" w:name="_Toc48321536"/>
      <w:bookmarkStart w:id="677" w:name="_Toc48321604"/>
      <w:bookmarkStart w:id="678" w:name="_Toc48714594"/>
      <w:bookmarkStart w:id="679" w:name="_Toc48714732"/>
      <w:bookmarkStart w:id="680" w:name="_Toc48718095"/>
      <w:bookmarkStart w:id="681" w:name="_Toc48721387"/>
      <w:bookmarkStart w:id="682" w:name="_Toc48753084"/>
      <w:bookmarkStart w:id="683" w:name="_Toc48797901"/>
      <w:bookmarkStart w:id="684" w:name="_Toc48832180"/>
      <w:bookmarkStart w:id="685" w:name="_Toc48832326"/>
      <w:bookmarkStart w:id="686" w:name="_Toc48906855"/>
      <w:bookmarkStart w:id="687" w:name="_Toc48908549"/>
      <w:bookmarkStart w:id="688" w:name="_Toc49870679"/>
      <w:bookmarkStart w:id="689" w:name="_Toc49870723"/>
      <w:bookmarkStart w:id="690" w:name="_Toc49870765"/>
      <w:bookmarkStart w:id="691" w:name="_Toc49870856"/>
      <w:bookmarkStart w:id="692" w:name="_Toc49870783"/>
      <w:bookmarkStart w:id="693" w:name="_Toc49870801"/>
      <w:bookmarkStart w:id="694" w:name="_Toc49870883"/>
      <w:bookmarkStart w:id="695" w:name="_Toc49870907"/>
      <w:bookmarkStart w:id="696" w:name="_Toc49870925"/>
      <w:bookmarkStart w:id="697" w:name="_Toc49870999"/>
      <w:bookmarkStart w:id="698" w:name="_Toc49871017"/>
      <w:bookmarkStart w:id="699" w:name="_Toc49871035"/>
      <w:bookmarkStart w:id="700" w:name="_Toc49871053"/>
      <w:bookmarkStart w:id="701" w:name="_Toc49871071"/>
      <w:bookmarkStart w:id="702" w:name="_Toc49871089"/>
      <w:bookmarkStart w:id="703" w:name="_Toc49871107"/>
      <w:bookmarkStart w:id="704" w:name="_Toc49871125"/>
      <w:bookmarkStart w:id="705" w:name="_Toc49871143"/>
      <w:bookmarkStart w:id="706" w:name="_Toc49871179"/>
      <w:bookmarkStart w:id="707" w:name="_Toc49871197"/>
      <w:bookmarkStart w:id="708" w:name="_Toc49871215"/>
      <w:bookmarkStart w:id="709" w:name="_Toc49871233"/>
      <w:bookmarkStart w:id="710" w:name="_Toc49871219"/>
      <w:bookmarkStart w:id="711" w:name="_Toc49871133"/>
      <w:bookmarkStart w:id="712" w:name="_Toc49871255"/>
      <w:bookmarkStart w:id="713" w:name="_Toc49871284"/>
      <w:bookmarkStart w:id="714" w:name="_Toc49871376"/>
      <w:bookmarkStart w:id="715" w:name="_Toc49871399"/>
      <w:bookmarkStart w:id="716" w:name="_Toc49871485"/>
      <w:bookmarkStart w:id="717" w:name="_Toc49871503"/>
      <w:bookmarkStart w:id="718" w:name="_Toc49871521"/>
      <w:bookmarkStart w:id="719" w:name="_Toc49871572"/>
      <w:bookmarkStart w:id="720" w:name="_Toc49871615"/>
      <w:bookmarkStart w:id="721" w:name="_Toc49871633"/>
      <w:bookmarkStart w:id="722" w:name="_Toc49871652"/>
      <w:bookmarkStart w:id="723" w:name="_Toc49871669"/>
      <w:bookmarkStart w:id="724" w:name="_Toc49871687"/>
      <w:bookmarkStart w:id="725" w:name="_Toc49871705"/>
      <w:bookmarkStart w:id="726" w:name="_Toc49871698"/>
      <w:bookmarkStart w:id="727" w:name="_Toc49871741"/>
      <w:bookmarkStart w:id="728" w:name="_Toc49871759"/>
      <w:bookmarkStart w:id="729" w:name="_Toc49871723"/>
      <w:bookmarkStart w:id="730" w:name="_Toc49871777"/>
      <w:bookmarkStart w:id="731" w:name="_Toc49871795"/>
      <w:bookmarkStart w:id="732" w:name="_Toc49871784"/>
      <w:bookmarkStart w:id="733" w:name="_Toc49873263"/>
      <w:bookmarkStart w:id="734" w:name="_Toc49873856"/>
      <w:bookmarkStart w:id="735" w:name="_Toc49950868"/>
      <w:bookmarkStart w:id="736" w:name="_Toc50047354"/>
      <w:bookmarkStart w:id="737" w:name="_Toc50298914"/>
      <w:bookmarkStart w:id="738" w:name="_Toc50365465"/>
      <w:bookmarkStart w:id="739" w:name="_Toc50375016"/>
      <w:bookmarkStart w:id="740" w:name="_Toc50375770"/>
      <w:bookmarkStart w:id="741" w:name="_Toc50375841"/>
      <w:bookmarkStart w:id="742" w:name="_Toc50376431"/>
      <w:bookmarkStart w:id="743" w:name="_Toc50379811"/>
      <w:bookmarkStart w:id="744" w:name="_Toc50392786"/>
      <w:bookmarkStart w:id="745" w:name="_Toc50454440"/>
      <w:bookmarkStart w:id="746" w:name="_Toc50456874"/>
      <w:bookmarkStart w:id="747" w:name="_Toc48297827"/>
      <w:bookmarkStart w:id="748" w:name="_Toc48298907"/>
      <w:bookmarkStart w:id="749" w:name="_Toc48302216"/>
      <w:bookmarkStart w:id="750" w:name="_Toc48320172"/>
      <w:bookmarkStart w:id="751" w:name="_Toc48321538"/>
      <w:bookmarkStart w:id="752" w:name="_Toc48321606"/>
      <w:bookmarkStart w:id="753" w:name="_Toc48714596"/>
      <w:bookmarkStart w:id="754" w:name="_Toc48714734"/>
      <w:bookmarkStart w:id="755" w:name="_Toc48718097"/>
      <w:bookmarkStart w:id="756" w:name="_Toc48721389"/>
      <w:bookmarkStart w:id="757" w:name="_Toc48753086"/>
      <w:bookmarkStart w:id="758" w:name="_Toc48797903"/>
      <w:bookmarkStart w:id="759" w:name="_Toc48832182"/>
      <w:bookmarkStart w:id="760" w:name="_Toc48832328"/>
      <w:bookmarkStart w:id="761" w:name="_Toc48906857"/>
      <w:bookmarkStart w:id="762" w:name="_Toc48908551"/>
      <w:bookmarkStart w:id="763" w:name="_Toc49870681"/>
      <w:bookmarkStart w:id="764" w:name="_Toc49870725"/>
      <w:bookmarkStart w:id="765" w:name="_Toc49870767"/>
      <w:bookmarkStart w:id="766" w:name="_Toc49870819"/>
      <w:bookmarkStart w:id="767" w:name="_Toc49870858"/>
      <w:bookmarkStart w:id="768" w:name="_Toc49870785"/>
      <w:bookmarkStart w:id="769" w:name="_Toc49870803"/>
      <w:bookmarkStart w:id="770" w:name="_Toc49870885"/>
      <w:bookmarkStart w:id="771" w:name="_Toc49870909"/>
      <w:bookmarkStart w:id="772" w:name="_Toc49870927"/>
      <w:bookmarkStart w:id="773" w:name="_Toc49871001"/>
      <w:bookmarkStart w:id="774" w:name="_Toc49871073"/>
      <w:bookmarkStart w:id="775" w:name="_Toc49871091"/>
      <w:bookmarkStart w:id="776" w:name="_Toc49871109"/>
      <w:bookmarkStart w:id="777" w:name="_Toc49871127"/>
      <w:bookmarkStart w:id="778" w:name="_Toc49871145"/>
      <w:bookmarkStart w:id="779" w:name="_Toc49871181"/>
      <w:bookmarkStart w:id="780" w:name="_Toc49871217"/>
      <w:bookmarkStart w:id="781" w:name="_Toc49871235"/>
      <w:bookmarkStart w:id="782" w:name="_Toc49871135"/>
      <w:bookmarkStart w:id="783" w:name="_Toc49871257"/>
      <w:bookmarkStart w:id="784" w:name="_Toc49871286"/>
      <w:bookmarkStart w:id="785" w:name="_Toc49871378"/>
      <w:bookmarkStart w:id="786" w:name="_Toc49871401"/>
      <w:bookmarkStart w:id="787" w:name="_Toc49871487"/>
      <w:bookmarkStart w:id="788" w:name="_Toc49871505"/>
      <w:bookmarkStart w:id="789" w:name="_Toc49871523"/>
      <w:bookmarkStart w:id="790" w:name="_Toc49871598"/>
      <w:bookmarkStart w:id="791" w:name="_Toc49871617"/>
      <w:bookmarkStart w:id="792" w:name="_Toc49871635"/>
      <w:bookmarkStart w:id="793" w:name="_Toc49871654"/>
      <w:bookmarkStart w:id="794" w:name="_Toc49871671"/>
      <w:bookmarkStart w:id="795" w:name="_Toc49871689"/>
      <w:bookmarkStart w:id="796" w:name="_Toc49871707"/>
      <w:bookmarkStart w:id="797" w:name="_Toc49871700"/>
      <w:bookmarkStart w:id="798" w:name="_Toc49871743"/>
      <w:bookmarkStart w:id="799" w:name="_Toc49871761"/>
      <w:bookmarkStart w:id="800" w:name="_Toc49871725"/>
      <w:bookmarkStart w:id="801" w:name="_Toc49871779"/>
      <w:bookmarkStart w:id="802" w:name="_Toc49871797"/>
      <w:bookmarkStart w:id="803" w:name="_Toc49871786"/>
      <w:bookmarkStart w:id="804" w:name="_Toc49873265"/>
      <w:bookmarkStart w:id="805" w:name="_Toc49873858"/>
      <w:bookmarkStart w:id="806" w:name="_Toc49950870"/>
      <w:bookmarkStart w:id="807" w:name="_Toc50047356"/>
      <w:bookmarkStart w:id="808" w:name="_Toc50298916"/>
      <w:bookmarkStart w:id="809" w:name="_Toc50365467"/>
      <w:bookmarkStart w:id="810" w:name="_Toc50375018"/>
      <w:bookmarkStart w:id="811" w:name="_Toc50375772"/>
      <w:bookmarkStart w:id="812" w:name="_Toc50375843"/>
      <w:bookmarkStart w:id="813" w:name="_Toc50376433"/>
      <w:bookmarkStart w:id="814" w:name="_Toc50379813"/>
      <w:bookmarkStart w:id="815" w:name="_Toc50392788"/>
      <w:bookmarkStart w:id="816" w:name="_Toc50454442"/>
      <w:bookmarkStart w:id="817" w:name="_Toc50456876"/>
      <w:bookmarkStart w:id="818" w:name="_Toc51067198"/>
      <w:bookmarkStart w:id="819" w:name="_Toc45639287"/>
      <w:bookmarkStart w:id="820" w:name="_Toc45647501"/>
      <w:bookmarkStart w:id="821" w:name="_Toc45790739"/>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r>
        <w:rPr>
          <w:noProof/>
        </w:rPr>
        <w:t>3.1.</w:t>
      </w:r>
      <w:r>
        <w:rPr>
          <w:noProof/>
        </w:rPr>
        <w:tab/>
      </w:r>
      <w:r>
        <w:rPr>
          <w:noProof/>
        </w:rPr>
        <w:t>Sociálno-hospodársky rozmer</w:t>
      </w:r>
      <w:bookmarkEnd w:id="818"/>
    </w:p>
    <w:p w:rsidR="00F47BB5" w:rsidRDefault="00A34992">
      <w:pPr>
        <w:spacing w:after="120" w:line="276" w:lineRule="auto"/>
        <w:rPr>
          <w:noProof/>
          <w:color w:val="000000"/>
        </w:rPr>
      </w:pPr>
      <w:r>
        <w:rPr>
          <w:b/>
          <w:bCs/>
          <w:noProof/>
          <w:color w:val="000000"/>
        </w:rPr>
        <w:t>Sociálno-hospodársky rozmer odolnosti sa týka schopnosti riešiť hospodárske otrasy a dosiahnuť dlhodobú štrukturálnu zmenu spravodlivým a inkluzívnym spôsobom</w:t>
      </w:r>
      <w:r>
        <w:rPr>
          <w:noProof/>
          <w:color w:val="000000"/>
        </w:rPr>
        <w:t>. Znamená to vytvoriť sociálne a hospodárske podmienky pre obnovu zame</w:t>
      </w:r>
      <w:r>
        <w:rPr>
          <w:noProof/>
          <w:color w:val="000000"/>
        </w:rPr>
        <w:t>ranú na transformáciu, podporiť sociálnu a regionálnu súdržnosť a poskytnúť pomoc najzraniteľnejším osobám v spoločnosti s tým, že sa zároveň zohľadnia demografické trendy a Európsky pilier sociálnych práv.</w:t>
      </w:r>
    </w:p>
    <w:p w:rsidR="00F47BB5" w:rsidRDefault="00A34992">
      <w:pPr>
        <w:spacing w:after="120" w:line="276" w:lineRule="auto"/>
        <w:rPr>
          <w:b/>
          <w:i/>
          <w:noProof/>
          <w:u w:val="single"/>
        </w:rPr>
      </w:pPr>
      <w:r>
        <w:rPr>
          <w:b/>
          <w:bCs/>
          <w:i/>
          <w:iCs/>
          <w:noProof/>
          <w:u w:val="single"/>
        </w:rPr>
        <w:t>Kapacity</w:t>
      </w:r>
    </w:p>
    <w:p w:rsidR="00F47BB5" w:rsidRDefault="00A34992">
      <w:pPr>
        <w:spacing w:after="120" w:line="276" w:lineRule="auto"/>
        <w:rPr>
          <w:noProof/>
        </w:rPr>
      </w:pPr>
      <w:r>
        <w:rPr>
          <w:b/>
          <w:noProof/>
        </w:rPr>
        <w:t>Sociálna a ekonomická odolnosť Európy sp</w:t>
      </w:r>
      <w:r>
        <w:rPr>
          <w:b/>
          <w:noProof/>
        </w:rPr>
        <w:t>očíva v jej obyvateľstve a jej jedinečnom sociálnom trhovom hospodárstve.</w:t>
      </w:r>
      <w:r>
        <w:rPr>
          <w:noProof/>
        </w:rPr>
        <w:t xml:space="preserve"> Snúbi sa v nej kvalifikovaná pracovná sila, konkurencieschopné hospodárstvo a sociálne systémy, ktorých cieľom je chrániť ľudí pred nepriaznivými udalosťami a pomáhať im zvládať zmen</w:t>
      </w:r>
      <w:r>
        <w:rPr>
          <w:noProof/>
        </w:rPr>
        <w:t>u. Sociálni partneri prostredníctvom sociálneho dialógu prispievajú k udržateľnému a inkluzívnemu rastu. Ľudia v celej EÚ majú zaručený prístup k vzdelávaniu a opatreniam sociálnej ochrany, ako sú nemocenské dávky a dávky v nezamestnanosti, rodičovská dovo</w:t>
      </w:r>
      <w:r>
        <w:rPr>
          <w:noProof/>
        </w:rPr>
        <w:t>lenka a pružné formy organizácie práce. Hoci boli na tento model vyvinuté značné tlaky, zohrával kľúčovú úlohu pri zmierňovaní účinkov krízy, napríklad tak, že chránil pracovné miesta a udržiaval spoločnosti nad hladinou</w:t>
      </w:r>
      <w:r>
        <w:rPr>
          <w:noProof/>
          <w:vertAlign w:val="superscript"/>
        </w:rPr>
        <w:footnoteReference w:id="27"/>
      </w:r>
      <w:r>
        <w:rPr>
          <w:noProof/>
        </w:rPr>
        <w:t>. Niektoré členské štáty boli krízo</w:t>
      </w:r>
      <w:r>
        <w:rPr>
          <w:noProof/>
        </w:rPr>
        <w:t>u zasiahnuté ťažšie, hlavne v dôsledku svojich odlišných hospodárskych štruktúr a fiškálneho priestoru. Členské štáty s vyššou úrovňou verejného dlhu môžu pri zmierňovaní vplyvu krízy vo všeobecnosti čeliť vyššiemu počtu obmedzujúcich faktorov. Vnútroštátn</w:t>
      </w:r>
      <w:r>
        <w:rPr>
          <w:noProof/>
        </w:rPr>
        <w:t>e opatrenia však boli doplnené opatreniami na úrovni EÚ, najmä troma hlavnými záchrannými sieťami pre pracovníkov, podniky a verejnú správu v hodnote 540 miliárd EUR, ktoré Európska rada schválila v apríli 2020</w:t>
      </w:r>
      <w:r>
        <w:rPr>
          <w:noProof/>
          <w:vertAlign w:val="superscript"/>
        </w:rPr>
        <w:footnoteReference w:id="28"/>
      </w:r>
      <w:r>
        <w:rPr>
          <w:noProof/>
        </w:rPr>
        <w:t>. Pri pohľade do budúcnosti možno konštatovať</w:t>
      </w:r>
      <w:r>
        <w:rPr>
          <w:noProof/>
        </w:rPr>
        <w:t>, že silný systém verejného vzdelávania EÚ pomáha poskytovať zručnosti potrebné na prípravu na pracovné miesta zajtrajška, čo je kľúčový prvok pri zabezpečovaní spravodlivej transformácie na zelené a digitálne hospodárstvo.</w:t>
      </w:r>
    </w:p>
    <w:p w:rsidR="00F47BB5" w:rsidRDefault="00A34992">
      <w:pPr>
        <w:spacing w:after="120" w:line="276" w:lineRule="auto"/>
        <w:rPr>
          <w:noProof/>
        </w:rPr>
      </w:pPr>
      <w:r>
        <w:rPr>
          <w:b/>
          <w:noProof/>
        </w:rPr>
        <w:t>Európa sa môže spoľahnúť aj na s</w:t>
      </w:r>
      <w:r>
        <w:rPr>
          <w:b/>
          <w:noProof/>
        </w:rPr>
        <w:t>ilu svojho jednotného trhu</w:t>
      </w:r>
      <w:r>
        <w:rPr>
          <w:rStyle w:val="FootnoteReference"/>
          <w:b/>
          <w:noProof/>
        </w:rPr>
        <w:footnoteReference w:id="29"/>
      </w:r>
      <w:r>
        <w:rPr>
          <w:noProof/>
        </w:rPr>
        <w:t>. Jednotný trh zlepšuje mobilitu, zabezpečuje rozvoj inovačných podnikateľských modelov, čo maloobchodníkom uľahčuje cezhraničné podnikanie, a zlepšuje prístup k tovaru a službám v celej EÚ. K odolnosti hospodárstva môžu prispieť</w:t>
      </w:r>
      <w:r>
        <w:rPr>
          <w:noProof/>
        </w:rPr>
        <w:t xml:space="preserve"> kľúčové faktory ako dopravná infraštruktúra, jednotná mena a diverzifikované hospodárske odvetvia Ekonomická, regionálna a sociálna rozmanitosť na celom jednotnom trhu poskytuje Únii nevídanú konkurenčnú výhodu v globálnom meradle a zároveň tvorí základ j</w:t>
      </w:r>
      <w:r>
        <w:rPr>
          <w:noProof/>
        </w:rPr>
        <w:t>ej kolektívnej odolnosti.</w:t>
      </w:r>
    </w:p>
    <w:p w:rsidR="00F47BB5" w:rsidRDefault="00A34992">
      <w:pPr>
        <w:spacing w:after="120" w:line="276" w:lineRule="auto"/>
        <w:rPr>
          <w:noProof/>
        </w:rPr>
      </w:pPr>
      <w:r>
        <w:rPr>
          <w:b/>
          <w:noProof/>
        </w:rPr>
        <w:t>Ďalším aspektom, ktorý pomôže nasmerovať hospodárstvo späť na správnu cestu, sú silné obchodné a investičné väzby Európy.</w:t>
      </w:r>
      <w:r>
        <w:rPr>
          <w:noProof/>
        </w:rPr>
        <w:t xml:space="preserve"> Očakáva sa, že k 85 % budúceho svetového rastu dôjde mimo EÚ, a keďže 35 miliónov pracovných miest v Európe </w:t>
      </w:r>
      <w:r>
        <w:rPr>
          <w:noProof/>
        </w:rPr>
        <w:t xml:space="preserve">závisí od vývozu a 16 miliónov od zahraničných investícií, ak sa má Európa napojiť na vonkajšie zdroje rastu, kľúčový význam budú mať práve obchod a investície. Platí to najmä preto, že je veľmi pravdepodobné, že k obnoveniu dopytu bude po kríze dochádzať </w:t>
      </w:r>
      <w:r>
        <w:rPr>
          <w:noProof/>
        </w:rPr>
        <w:t>asymetricky.</w:t>
      </w:r>
    </w:p>
    <w:p w:rsidR="00F47BB5" w:rsidRDefault="00A34992">
      <w:pPr>
        <w:spacing w:after="120" w:line="276" w:lineRule="auto"/>
        <w:rPr>
          <w:noProof/>
        </w:rPr>
      </w:pPr>
      <w:r>
        <w:rPr>
          <w:b/>
          <w:noProof/>
        </w:rPr>
        <w:t>Finančný systém EÚ sa z finančnej krízy v roku 2008 výrazne poučil. V </w:t>
      </w:r>
      <w:r>
        <w:rPr>
          <w:noProof/>
        </w:rPr>
        <w:t>počiatkoch pandémie sa ukázal ako odolný, čiastočne vďaka agende finančnej reformy EÚ, najmä vytvoreniu bankovej únie. V </w:t>
      </w:r>
      <w:r>
        <w:rPr>
          <w:noProof/>
          <w:color w:val="000000" w:themeColor="text1"/>
        </w:rPr>
        <w:t>súčasnosti je oveľa pevnejší, pričom banky sú lepšie</w:t>
      </w:r>
      <w:r>
        <w:rPr>
          <w:noProof/>
          <w:color w:val="000000" w:themeColor="text1"/>
        </w:rPr>
        <w:t xml:space="preserve"> kapitalizované a môžu sa sústreďovať na poskytovanie úverov domácnostiam a spoločnostiam lepšie než v roku 2008</w:t>
      </w:r>
      <w:r>
        <w:rPr>
          <w:rStyle w:val="FootnoteReference"/>
          <w:noProof/>
          <w:color w:val="000000" w:themeColor="text1"/>
        </w:rPr>
        <w:footnoteReference w:id="30"/>
      </w:r>
      <w:r>
        <w:rPr>
          <w:noProof/>
          <w:color w:val="000000" w:themeColor="text1"/>
        </w:rPr>
        <w:t>.</w:t>
      </w:r>
      <w:r>
        <w:rPr>
          <w:noProof/>
        </w:rPr>
        <w:t xml:space="preserve"> Zlepšili sa aj príležitosti pre podniky získavať financovanie na kapitálových trhoch.</w:t>
      </w:r>
    </w:p>
    <w:p w:rsidR="00F47BB5" w:rsidRDefault="00A34992">
      <w:pPr>
        <w:spacing w:after="120" w:line="276" w:lineRule="auto"/>
        <w:rPr>
          <w:noProof/>
        </w:rPr>
      </w:pPr>
      <w:r>
        <w:rPr>
          <w:b/>
          <w:bCs/>
          <w:noProof/>
        </w:rPr>
        <w:t>Kolaboratívne a neziskové organizácie posilňujú sociáln</w:t>
      </w:r>
      <w:r>
        <w:rPr>
          <w:b/>
          <w:bCs/>
          <w:noProof/>
        </w:rPr>
        <w:t xml:space="preserve">u a ekonomickú odolnosť. </w:t>
      </w:r>
      <w:r>
        <w:rPr>
          <w:noProof/>
        </w:rPr>
        <w:t>Verejným službám pomohli zvládať krízu aj družstvá, vzájomné spoločnosti, neziskové združenia, nadácie a sociálne podniky</w:t>
      </w:r>
      <w:r>
        <w:rPr>
          <w:rStyle w:val="FootnoteReference"/>
          <w:noProof/>
        </w:rPr>
        <w:footnoteReference w:id="31"/>
      </w:r>
      <w:r>
        <w:rPr>
          <w:noProof/>
        </w:rPr>
        <w:t xml:space="preserve">. Preukázali schopnosť poskytovať širokú škálu výrobkov a služieb na jednotnom trhu za okolností, keď </w:t>
      </w:r>
      <w:r>
        <w:rPr>
          <w:noProof/>
        </w:rPr>
        <w:t>komerčné spoločnosti neboli schopné generovať primeranú návratnosť kapitálu, a teda vytvorili a zachovali milióny pracovných miest</w:t>
      </w:r>
      <w:r>
        <w:rPr>
          <w:noProof/>
          <w:vertAlign w:val="superscript"/>
        </w:rPr>
        <w:footnoteReference w:id="32"/>
      </w:r>
      <w:r>
        <w:rPr>
          <w:noProof/>
        </w:rPr>
        <w:t>. Zároveň sú nevyhnutným motorom sociálnej inovácie.</w:t>
      </w:r>
    </w:p>
    <w:p w:rsidR="00F47BB5" w:rsidRDefault="00A34992">
      <w:pPr>
        <w:spacing w:after="120" w:line="276" w:lineRule="auto"/>
        <w:rPr>
          <w:noProof/>
        </w:rPr>
      </w:pPr>
      <w:r>
        <w:rPr>
          <w:b/>
          <w:noProof/>
        </w:rPr>
        <w:t xml:space="preserve">Kľúčom k prekonaniu kolektívnych problémov, akým je napríklad COVID-19, je európska solidarita. </w:t>
      </w:r>
      <w:r>
        <w:rPr>
          <w:noProof/>
        </w:rPr>
        <w:t>Politika súdržnosti a Fond solidarity EÚ zohrávajú kľúčovú úlohu v Investičnej iniciatíve v reakcii na koronavírus, ktorá pomáha postihnutým sektorom, ako je zd</w:t>
      </w:r>
      <w:r>
        <w:rPr>
          <w:noProof/>
        </w:rPr>
        <w:t>ravotná starostlivosť, MSP a pracovné trhy v najpostihnutejších členských štátoch a regiónoch</w:t>
      </w:r>
      <w:r>
        <w:rPr>
          <w:noProof/>
          <w:vertAlign w:val="superscript"/>
        </w:rPr>
        <w:footnoteReference w:id="33"/>
      </w:r>
      <w:r>
        <w:rPr>
          <w:noProof/>
        </w:rPr>
        <w:t>. Nástroj núdzovej podpory v rámci Únie – finančná časť spoločného európskeho plánu na zrušenie opatrení na obmedzenie pohybu v dôsledku COVID-19 – umožňuje koord</w:t>
      </w:r>
      <w:r>
        <w:rPr>
          <w:noProof/>
        </w:rPr>
        <w:t>inovaným spôsobom zmierňovať následky pandémie na úrovni EÚ</w:t>
      </w:r>
      <w:r>
        <w:rPr>
          <w:rStyle w:val="FootnoteReference"/>
          <w:noProof/>
        </w:rPr>
        <w:footnoteReference w:id="34"/>
      </w:r>
      <w:r>
        <w:rPr>
          <w:noProof/>
        </w:rPr>
        <w:t>.</w:t>
      </w:r>
    </w:p>
    <w:p w:rsidR="00F47BB5" w:rsidRDefault="00A34992">
      <w:pPr>
        <w:keepNext/>
        <w:spacing w:line="276" w:lineRule="auto"/>
        <w:rPr>
          <w:b/>
          <w:i/>
          <w:noProof/>
          <w:u w:val="single"/>
        </w:rPr>
      </w:pPr>
      <w:r>
        <w:rPr>
          <w:b/>
          <w:bCs/>
          <w:i/>
          <w:iCs/>
          <w:noProof/>
          <w:u w:val="single"/>
        </w:rPr>
        <w:t>Slabé miesta</w:t>
      </w:r>
    </w:p>
    <w:p w:rsidR="00F47BB5" w:rsidRDefault="00A34992">
      <w:pPr>
        <w:spacing w:after="120" w:line="276" w:lineRule="auto"/>
        <w:rPr>
          <w:noProof/>
        </w:rPr>
      </w:pPr>
      <w:r>
        <w:rPr>
          <w:b/>
          <w:bCs/>
          <w:noProof/>
        </w:rPr>
        <w:t>Kríza v Európe odhalila viaceré slabé miesta v oblasti zdravotníctva a sociálneho zabezpečenia</w:t>
      </w:r>
      <w:r>
        <w:rPr>
          <w:noProof/>
        </w:rPr>
        <w:t>. Zariadenia ústavnej starostlivosti a podporné služby pre starších ľudí a osoby so zdr</w:t>
      </w:r>
      <w:r>
        <w:rPr>
          <w:noProof/>
        </w:rPr>
        <w:t>avotným postihnutím boli štrukturálne zraniteľné a nepripravené na zvládnutie situácie a obmedzenie šírenia koronavírusu. Obzvlášť postihnuté boli osoby s chronickými chorobami, najmä osoby s oslabenou imunitou alebo dýchacími problémami. Nedostatočne prip</w:t>
      </w:r>
      <w:r>
        <w:rPr>
          <w:noProof/>
        </w:rPr>
        <w:t>ravené zdravotnícke systémy v niekoľkých členských štátoch, ako aj farmaceutický priemysel zaznamenali problémy vrátane nedostatku osobných ochranných prostriedkov a chemických látok potrebných na výrobu liečiv. Európa najmä zaváhala s prípravou a koordiná</w:t>
      </w:r>
      <w:r>
        <w:rPr>
          <w:noProof/>
        </w:rPr>
        <w:t>ciou, keď sa začali objavovať prvé varovné signály z Číny. Musíme byť schopní lepšie predvídať zdravotné riziká a predchádzať šíreniu nových infekčných chorôb a súvisiacich narušení. V dôsledku ochorenia COVID-19 začal svet venovať menšiu pozornosť zásadný</w:t>
      </w:r>
      <w:r>
        <w:rPr>
          <w:noProof/>
        </w:rPr>
        <w:t>m zdravotným problémom, ako sú neprenosné choroby, najmä rakovina a obezita.</w:t>
      </w:r>
    </w:p>
    <w:p w:rsidR="00F47BB5" w:rsidRDefault="00A34992">
      <w:pPr>
        <w:spacing w:after="120" w:line="276" w:lineRule="auto"/>
        <w:rPr>
          <w:noProof/>
        </w:rPr>
      </w:pPr>
      <w:r>
        <w:rPr>
          <w:b/>
          <w:noProof/>
        </w:rPr>
        <w:t>Opatrenia na obmedzenie pohybu negatívne ovplyvnili celkovú kvalitu životných podmienok</w:t>
      </w:r>
      <w:r>
        <w:rPr>
          <w:noProof/>
        </w:rPr>
        <w:t xml:space="preserve">. Spolu so životnou spokojnosťou klesla kvalita podmienok na najnižšiu úroveň za posledných </w:t>
      </w:r>
      <w:r>
        <w:rPr>
          <w:noProof/>
        </w:rPr>
        <w:t>40 rokov</w:t>
      </w:r>
      <w:r>
        <w:rPr>
          <w:rStyle w:val="FootnoteReference"/>
          <w:noProof/>
        </w:rPr>
        <w:footnoteReference w:id="35"/>
      </w:r>
      <w:r>
        <w:rPr>
          <w:noProof/>
        </w:rPr>
        <w:t>. Za prvých šesť mesiacov roku 2020 sa pocit osamelosti v Európe takmer strojnásobil, najmä medzi mladými a staršími ľuďmi, a došlo k zvýšeniu počtu problémov v oblasti duševného zdravia</w:t>
      </w:r>
      <w:r>
        <w:rPr>
          <w:rStyle w:val="FootnoteReference"/>
          <w:noProof/>
        </w:rPr>
        <w:footnoteReference w:id="36"/>
      </w:r>
      <w:r>
        <w:rPr>
          <w:noProof/>
        </w:rPr>
        <w:t>.</w:t>
      </w:r>
    </w:p>
    <w:p w:rsidR="00F47BB5" w:rsidRDefault="00A34992">
      <w:pPr>
        <w:spacing w:after="120" w:line="276" w:lineRule="auto"/>
        <w:rPr>
          <w:noProof/>
        </w:rPr>
      </w:pPr>
      <w:r>
        <w:rPr>
          <w:b/>
          <w:bCs/>
          <w:noProof/>
        </w:rPr>
        <w:t>Prehĺbili sa ekonomické, rodové, kompetenčné, regionálne a</w:t>
      </w:r>
      <w:r>
        <w:rPr>
          <w:b/>
          <w:bCs/>
          <w:noProof/>
        </w:rPr>
        <w:t> etnické nerovnosti</w:t>
      </w:r>
      <w:r>
        <w:rPr>
          <w:rStyle w:val="FootnoteReference"/>
          <w:b/>
          <w:bCs/>
          <w:noProof/>
        </w:rPr>
        <w:footnoteReference w:id="37"/>
      </w:r>
      <w:r>
        <w:rPr>
          <w:b/>
          <w:bCs/>
          <w:noProof/>
        </w:rPr>
        <w:t>. V </w:t>
      </w:r>
      <w:r>
        <w:rPr>
          <w:noProof/>
        </w:rPr>
        <w:t>dôsledku ochorenia COVID-19 došlo k nárastu počtu osôb, ktoré v Európe žijú v chudobe alebo sú chudobou ohrozené</w:t>
      </w:r>
      <w:r>
        <w:rPr>
          <w:noProof/>
          <w:vertAlign w:val="superscript"/>
        </w:rPr>
        <w:footnoteReference w:id="38"/>
      </w:r>
      <w:r>
        <w:rPr>
          <w:noProof/>
        </w:rPr>
        <w:t>. Určité skupiny ľudí, na ktoré pandémia doľahla ekonomicky, zaznamenali aj problémy v oblasti dostupnosti jedla</w:t>
      </w:r>
      <w:r>
        <w:rPr>
          <w:rStyle w:val="FootnoteReference"/>
          <w:noProof/>
        </w:rPr>
        <w:footnoteReference w:id="39"/>
      </w:r>
      <w:r>
        <w:rPr>
          <w:noProof/>
        </w:rPr>
        <w:t>. Raso</w:t>
      </w:r>
      <w:r>
        <w:rPr>
          <w:noProof/>
        </w:rPr>
        <w:t>vé a etnické menšiny sú štatisticky viac ohrozené tým, že dostanú koronavírus a že sa ocitnú vo finančnej neistote</w:t>
      </w:r>
      <w:r>
        <w:rPr>
          <w:rStyle w:val="FootnoteReference"/>
          <w:noProof/>
        </w:rPr>
        <w:footnoteReference w:id="40"/>
      </w:r>
      <w:r>
        <w:rPr>
          <w:noProof/>
        </w:rPr>
        <w:t xml:space="preserve">. Kríza poukázala aj na nerovný prístup k digitálnej infraštruktúre a službám, čím sa ešte viac prehĺbila digitálna priepasť. U študentov zo </w:t>
      </w:r>
      <w:r>
        <w:rPr>
          <w:noProof/>
        </w:rPr>
        <w:t>znevýhodneného prostredia bola menšia pravdepodobnosť, že budú mať prospech z online vzdelávania, a u pracovníkov s nižšou kvalifikáciou bola väčšia pravdepodobnosť, že sa zamestnajú na „kontaktných“ pracovných miestach, s čím je spojené riziko väčšieho vy</w:t>
      </w:r>
      <w:r>
        <w:rPr>
          <w:noProof/>
        </w:rPr>
        <w:t xml:space="preserve">stavenia chorobe, pričom títo zamestnanci majú zároveň slabší prístup k zdravotnej starostlivosti. Pracujúci rodičia (aj pri práci z domu) – a najmä matky – mali pri absencii služieb starostlivosti o deti značný problém. V radoch pracovníkov v prvej línii </w:t>
      </w:r>
      <w:r>
        <w:rPr>
          <w:noProof/>
        </w:rPr>
        <w:t>tvorili neúmerný podiel ženy, na ktoré pripadá 70 % všetkého personálu v zdravotníctve a sociálnych službách. Počet prípadov domáceho násilia dramaticky stúpol</w:t>
      </w:r>
      <w:r>
        <w:rPr>
          <w:noProof/>
          <w:vertAlign w:val="superscript"/>
        </w:rPr>
        <w:footnoteReference w:id="41"/>
      </w:r>
      <w:r>
        <w:rPr>
          <w:noProof/>
        </w:rPr>
        <w:t>. Kríza navyše zdôraznila sociálnu a hospodársku zraniteľnosť pracovníkov z krajín mimo EÚ</w:t>
      </w:r>
      <w:r>
        <w:rPr>
          <w:rStyle w:val="FootnoteReference"/>
          <w:noProof/>
        </w:rPr>
        <w:footnoteReference w:id="42"/>
      </w:r>
      <w:r>
        <w:rPr>
          <w:noProof/>
        </w:rPr>
        <w:t>, ako</w:t>
      </w:r>
      <w:r>
        <w:rPr>
          <w:noProof/>
        </w:rPr>
        <w:t xml:space="preserve"> aj ich kľúčový podiel na reakcii Európy na koronavírus</w:t>
      </w:r>
      <w:r>
        <w:rPr>
          <w:rStyle w:val="FootnoteReference"/>
          <w:noProof/>
        </w:rPr>
        <w:footnoteReference w:id="43"/>
      </w:r>
      <w:r>
        <w:rPr>
          <w:noProof/>
        </w:rPr>
        <w:t>. Hospodárske ťažkosti a recesia môžu zároveň viesť aj k zvýšeniu organizovanej trestnej činnosti a k nárastu korupcie</w:t>
      </w:r>
      <w:r>
        <w:rPr>
          <w:rStyle w:val="FootnoteReference"/>
          <w:noProof/>
        </w:rPr>
        <w:footnoteReference w:id="44"/>
      </w:r>
      <w:r>
        <w:rPr>
          <w:noProof/>
        </w:rPr>
        <w:t>.</w:t>
      </w:r>
    </w:p>
    <w:p w:rsidR="00F47BB5" w:rsidRDefault="00A34992">
      <w:pPr>
        <w:spacing w:after="120" w:line="276" w:lineRule="auto"/>
        <w:rPr>
          <w:noProof/>
        </w:rPr>
      </w:pPr>
      <w:r>
        <w:rPr>
          <w:b/>
          <w:noProof/>
        </w:rPr>
        <w:t>Hospodárske odvetvia a spoločnosti boli krízou ťažko zasiahnuté</w:t>
      </w:r>
      <w:r>
        <w:rPr>
          <w:noProof/>
        </w:rPr>
        <w:t>.</w:t>
      </w:r>
      <w:r>
        <w:rPr>
          <w:noProof/>
          <w:shd w:val="clear" w:color="auto" w:fill="FFFFFF"/>
        </w:rPr>
        <w:t xml:space="preserve"> V </w:t>
      </w:r>
      <w:r>
        <w:rPr>
          <w:noProof/>
        </w:rPr>
        <w:t>druhom štvrť</w:t>
      </w:r>
      <w:r>
        <w:rPr>
          <w:noProof/>
        </w:rPr>
        <w:t>roku 2020</w:t>
      </w:r>
      <w:r>
        <w:rPr>
          <w:noProof/>
          <w:shd w:val="clear" w:color="auto" w:fill="FFFFFF"/>
        </w:rPr>
        <w:t>, ktorý bol vo väčšine členských štátov kvôli ochoreniu COVID-19 stále poznačený opatreniami na obmedzenie pohybu, došlo oproti predchádzajúcemu štvrťroku k poklesu sezónne upraveného HDP o 12,1 % v eurozóne a o 11,7 % v </w:t>
      </w:r>
      <w:r>
        <w:rPr>
          <w:noProof/>
        </w:rPr>
        <w:t>EÚ</w:t>
      </w:r>
      <w:r>
        <w:rPr>
          <w:noProof/>
          <w:shd w:val="clear" w:color="auto" w:fill="FFFFFF"/>
        </w:rPr>
        <w:t>.</w:t>
      </w:r>
      <w:r>
        <w:rPr>
          <w:noProof/>
          <w:vertAlign w:val="superscript"/>
        </w:rPr>
        <w:footnoteReference w:id="45"/>
      </w:r>
      <w:r>
        <w:rPr>
          <w:noProof/>
        </w:rPr>
        <w:t xml:space="preserve"> Kumulatívne čisté str</w:t>
      </w:r>
      <w:r>
        <w:rPr>
          <w:noProof/>
        </w:rPr>
        <w:t>aty príjmov spoločností EÚ sa odhadujú rádovo na 13 – 24 % HDP EÚ</w:t>
      </w:r>
      <w:r>
        <w:rPr>
          <w:rStyle w:val="FootnoteReference"/>
          <w:noProof/>
        </w:rPr>
        <w:footnoteReference w:id="46"/>
      </w:r>
      <w:r>
        <w:rPr>
          <w:noProof/>
        </w:rPr>
        <w:t xml:space="preserve">. </w:t>
      </w:r>
      <w:r>
        <w:rPr>
          <w:rFonts w:ascii="&amp;quot" w:hAnsi="&amp;quot"/>
          <w:noProof/>
        </w:rPr>
        <w:t>Krehký podnikový sektor môže viesť ku krachom spoločností, ktoré môžu spôsobiť trvalé hospodárske škody, keďže v dôsledku nich dôjde k nárastu nezamestnanosti, plytvaniu kapitálom a deštru</w:t>
      </w:r>
      <w:r>
        <w:rPr>
          <w:rFonts w:ascii="&amp;quot" w:hAnsi="&amp;quot"/>
          <w:noProof/>
        </w:rPr>
        <w:t xml:space="preserve">kcii vlastného imania vlastníkov. Hospodárske siete narúša aj zlyhávanie podnikov, čo spôsobuje zástavu fungovania medzinárodných dodávateľských reťazcov. Kapacita investovať sa dramaticky zníži aj v tých podnikoch, ktoré prežijú. </w:t>
      </w:r>
      <w:r>
        <w:rPr>
          <w:noProof/>
        </w:rPr>
        <w:t>Kríza zároveň viedla k eš</w:t>
      </w:r>
      <w:r>
        <w:rPr>
          <w:noProof/>
        </w:rPr>
        <w:t>te väčším omeškaniam platieb v obchodných transakciách</w:t>
      </w:r>
      <w:r>
        <w:rPr>
          <w:noProof/>
          <w:vertAlign w:val="superscript"/>
        </w:rPr>
        <w:footnoteReference w:id="47"/>
      </w:r>
      <w:r>
        <w:rPr>
          <w:noProof/>
        </w:rPr>
        <w:t>. Pre malé podniky môžu oneskorené platby stáť medzi prežitím a bankrotom a ohroziť ich schopnosť vyplácať zamestnancov a dodávateľov, fungovať, produkovať a rásť. Vzhľadom na obmedzené zdroje a existu</w:t>
      </w:r>
      <w:r>
        <w:rPr>
          <w:noProof/>
        </w:rPr>
        <w:t>júce prekážky v prístupe ku kapitálu môžu mať MSP menšiu odolnosť a flexibilitu, pokiaľ ide o absorbovanie nákladov spojených s otrasmi, akým je napríklad COVID-19</w:t>
      </w:r>
      <w:r>
        <w:rPr>
          <w:rStyle w:val="FootnoteReference"/>
          <w:noProof/>
        </w:rPr>
        <w:footnoteReference w:id="48"/>
      </w:r>
      <w:r>
        <w:rPr>
          <w:noProof/>
        </w:rPr>
        <w:t>. Verejné správy boli vystavené veľkému tlaku, aby spoločnostiam a občanom nepretržite posky</w:t>
      </w:r>
      <w:r>
        <w:rPr>
          <w:noProof/>
        </w:rPr>
        <w:t>tovali služby.</w:t>
      </w:r>
    </w:p>
    <w:p w:rsidR="00F47BB5" w:rsidRDefault="00A34992">
      <w:pPr>
        <w:spacing w:after="120" w:line="276" w:lineRule="auto"/>
        <w:rPr>
          <w:noProof/>
        </w:rPr>
      </w:pPr>
      <w:r>
        <w:rPr>
          <w:b/>
          <w:noProof/>
        </w:rPr>
        <w:t>Došlo k výraznému narušeniu pracovných trhov</w:t>
      </w:r>
      <w:r>
        <w:rPr>
          <w:noProof/>
          <w:vertAlign w:val="superscript"/>
        </w:rPr>
        <w:footnoteReference w:id="49"/>
      </w:r>
      <w:r>
        <w:rPr>
          <w:b/>
          <w:noProof/>
        </w:rPr>
        <w:t>, kde boli zaznamenané masívne straty pracovných miest, ktoré by mohli mať dlhodobé kaskádové účinky</w:t>
      </w:r>
      <w:r>
        <w:rPr>
          <w:noProof/>
        </w:rPr>
        <w:t>. Schopnosti členských štátov, pokiaľ ide o financovanie záchranných sietí pre ľudí a spoločnost</w:t>
      </w:r>
      <w:r>
        <w:rPr>
          <w:noProof/>
        </w:rPr>
        <w:t>i s cieľom absorbovať dôsledky krízy, sa rôznia a následné asymetrie ohrozujú regionálnu a sociálnu súdržnosť. Na rozdiel od predchádzajúcich kríz bola zamestnanosť najviac postihnutá v sektore služieb, ktorý bol v poslednom desaťročí hnacou silou vytváran</w:t>
      </w:r>
      <w:r>
        <w:rPr>
          <w:noProof/>
        </w:rPr>
        <w:t>ia pracovných miest</w:t>
      </w:r>
      <w:r>
        <w:rPr>
          <w:noProof/>
          <w:vertAlign w:val="superscript"/>
        </w:rPr>
        <w:footnoteReference w:id="50"/>
      </w:r>
      <w:r>
        <w:rPr>
          <w:noProof/>
        </w:rPr>
        <w:t>. Predpokladá sa, že v roku 2020 zanikne takmer 8 % všetkých pracovných miest v Európe, teda ekvivalent 12 miliónov pracovných miest na plný úväzok</w:t>
      </w:r>
      <w:r>
        <w:rPr>
          <w:noProof/>
          <w:vertAlign w:val="superscript"/>
        </w:rPr>
        <w:footnoteReference w:id="51"/>
      </w:r>
      <w:r>
        <w:rPr>
          <w:noProof/>
        </w:rPr>
        <w:t>, pričom v tomto údaji ešte nie je započítaný devastačný účinok na atypické formy zamest</w:t>
      </w:r>
      <w:r>
        <w:rPr>
          <w:noProof/>
        </w:rPr>
        <w:t>nania a prácu na projektoch. V dôsledku toho dochádza k zvýšeniu rizika štrukturálnej a dlhodobej nezamestnanosti, čo vedie k strate zručností pracovnej sily práve v momente, keď začínajú byť digitálne a iné špecializované zručnosti kľúčové pre budúce zame</w:t>
      </w:r>
      <w:r>
        <w:rPr>
          <w:noProof/>
        </w:rPr>
        <w:t>stnanie, no zároveň dvom z piatich Európanov chýba digitálna gramotnosť</w:t>
      </w:r>
      <w:r>
        <w:rPr>
          <w:noProof/>
          <w:vertAlign w:val="superscript"/>
        </w:rPr>
        <w:footnoteReference w:id="52"/>
      </w:r>
      <w:r>
        <w:rPr>
          <w:noProof/>
        </w:rPr>
        <w:t>. Pre mladých ľudí, ktorí práve vystupujú na trh práce, bude zároveň ťažšie nájsť si prvé zamestnanie</w:t>
      </w:r>
      <w:r>
        <w:rPr>
          <w:rStyle w:val="FootnoteReference"/>
          <w:noProof/>
        </w:rPr>
        <w:footnoteReference w:id="53"/>
      </w:r>
      <w:r>
        <w:rPr>
          <w:noProof/>
        </w:rPr>
        <w:t xml:space="preserve">. Pandémia navyše udrela v momente, keď 21 % ľudí žijúcich v EÚ už bolo </w:t>
      </w:r>
      <w:r>
        <w:rPr>
          <w:noProof/>
        </w:rPr>
        <w:t>vystavených riziku nadmerného zadlženia</w:t>
      </w:r>
      <w:r>
        <w:rPr>
          <w:noProof/>
          <w:vertAlign w:val="superscript"/>
        </w:rPr>
        <w:footnoteReference w:id="54"/>
      </w:r>
      <w:r>
        <w:rPr>
          <w:noProof/>
        </w:rPr>
        <w:t>.</w:t>
      </w:r>
    </w:p>
    <w:p w:rsidR="00F47BB5" w:rsidRDefault="00A34992">
      <w:pPr>
        <w:spacing w:after="120" w:line="276" w:lineRule="auto"/>
        <w:rPr>
          <w:noProof/>
        </w:rPr>
      </w:pPr>
      <w:r>
        <w:rPr>
          <w:b/>
          <w:bCs/>
          <w:noProof/>
        </w:rPr>
        <w:t>Pri prekonávaní krízy mala v krátkodobom horizonte nesmierny význam banková únia, no hospodárska a menová únia je stále nedokončená</w:t>
      </w:r>
      <w:r>
        <w:rPr>
          <w:noProof/>
        </w:rPr>
        <w:t>.</w:t>
      </w:r>
      <w:r>
        <w:rPr>
          <w:b/>
          <w:bCs/>
          <w:noProof/>
        </w:rPr>
        <w:t xml:space="preserve"> V </w:t>
      </w:r>
      <w:r>
        <w:rPr>
          <w:noProof/>
        </w:rPr>
        <w:t xml:space="preserve">čase, keď je úloha trhového financovania v reálnej ekonomike nespochybniteľná, </w:t>
      </w:r>
      <w:r>
        <w:rPr>
          <w:noProof/>
        </w:rPr>
        <w:t>viac než kedykoľvek predtým vidíme dlhodobý význam únie kapitálových trhov. Hoci sa príležitosti na trhové financovanie podnikov vo všeobecnosti zlepšili, ak by sa prijali opatrenia na uľahčenie prístupu ku kapitálovému financovaniu, podniky by sa stali eš</w:t>
      </w:r>
      <w:r>
        <w:rPr>
          <w:noProof/>
        </w:rPr>
        <w:t>te odolnejšími. Ak teda máme vybudovať udržateľnú budúcnosť, EÚ potrebuje odolnejšiu infraštruktúru finančného trhu a hlbšie a rozsiahlejšie kapitálové trhy, ktoré bude možné zhodnotiť vo svete strategickej hospodárskej súťaže.</w:t>
      </w:r>
    </w:p>
    <w:p w:rsidR="00F47BB5" w:rsidRDefault="00A34992">
      <w:pPr>
        <w:spacing w:after="120" w:line="276" w:lineRule="auto"/>
        <w:rPr>
          <w:noProof/>
        </w:rPr>
      </w:pPr>
      <w:r>
        <w:rPr>
          <w:b/>
          <w:bCs/>
          <w:noProof/>
        </w:rPr>
        <w:t>Je pravdepodobné, že ochoren</w:t>
      </w:r>
      <w:r>
        <w:rPr>
          <w:b/>
          <w:bCs/>
          <w:noProof/>
        </w:rPr>
        <w:t>ie COVID-19</w:t>
      </w:r>
      <w:r>
        <w:rPr>
          <w:b/>
          <w:noProof/>
        </w:rPr>
        <w:t xml:space="preserve"> prispeje k súčasnému trendu klesajúceho počtu obyvateľov v Európe</w:t>
      </w:r>
      <w:r>
        <w:rPr>
          <w:noProof/>
        </w:rPr>
        <w:t>. Odborníci v oblasti demografie</w:t>
      </w:r>
      <w:r>
        <w:rPr>
          <w:rStyle w:val="FootnoteReference"/>
          <w:noProof/>
        </w:rPr>
        <w:footnoteReference w:id="55"/>
      </w:r>
      <w:r>
        <w:rPr>
          <w:noProof/>
        </w:rPr>
        <w:t xml:space="preserve"> očakávajú v Európe ešte nižšiu pôrodnosť v dôsledku neistoty spôsobenej pandémiou a následnou recesiou</w:t>
      </w:r>
      <w:r>
        <w:rPr>
          <w:noProof/>
          <w:vertAlign w:val="superscript"/>
        </w:rPr>
        <w:footnoteReference w:id="56"/>
      </w:r>
      <w:r>
        <w:rPr>
          <w:noProof/>
        </w:rPr>
        <w:t>. So starnutím obyvateľstva Európy sú star</w:t>
      </w:r>
      <w:r>
        <w:rPr>
          <w:noProof/>
        </w:rPr>
        <w:t>ší ľudia a osoby so zdravotným postihnutím zároveň najnáchylnejšie ocitnúť sa v chudobe a nakaziť sa ochorením COVID-19</w:t>
      </w:r>
      <w:r>
        <w:rPr>
          <w:noProof/>
          <w:vertAlign w:val="superscript"/>
        </w:rPr>
        <w:footnoteReference w:id="57"/>
      </w:r>
      <w:r>
        <w:rPr>
          <w:noProof/>
        </w:rPr>
        <w:t>, pričom sú v dôsledku opatrení na obmedzenie kontaktu navyše najviac sociálne izolovaní</w:t>
      </w:r>
      <w:r>
        <w:rPr>
          <w:noProof/>
          <w:vertAlign w:val="superscript"/>
        </w:rPr>
        <w:footnoteReference w:id="58"/>
      </w:r>
      <w:r>
        <w:rPr>
          <w:noProof/>
        </w:rPr>
        <w:t>. Demografické trendy navyše ovplyvňujú sociáln</w:t>
      </w:r>
      <w:r>
        <w:rPr>
          <w:noProof/>
        </w:rPr>
        <w:t>u a ekonomickú odolnosť ako celok.</w:t>
      </w:r>
    </w:p>
    <w:p w:rsidR="00F47BB5" w:rsidRDefault="00A34992">
      <w:pPr>
        <w:keepNext/>
        <w:spacing w:line="276" w:lineRule="auto"/>
        <w:rPr>
          <w:b/>
          <w:bCs/>
          <w:i/>
          <w:iCs/>
          <w:noProof/>
          <w:u w:val="single"/>
        </w:rPr>
      </w:pPr>
      <w:r>
        <w:rPr>
          <w:b/>
          <w:bCs/>
          <w:i/>
          <w:iCs/>
          <w:noProof/>
          <w:u w:val="single"/>
        </w:rPr>
        <w:t>Príležitosti</w:t>
      </w:r>
    </w:p>
    <w:p w:rsidR="00F47BB5" w:rsidRDefault="00A34992">
      <w:pPr>
        <w:spacing w:after="120" w:line="276" w:lineRule="auto"/>
        <w:rPr>
          <w:noProof/>
          <w:szCs w:val="24"/>
        </w:rPr>
      </w:pPr>
      <w:r>
        <w:rPr>
          <w:b/>
          <w:bCs/>
          <w:noProof/>
        </w:rPr>
        <w:t>Súkromné a verejné investície sú kľúčom k sociálnej a hospodárskej odolnosti a obnove</w:t>
      </w:r>
      <w:r>
        <w:rPr>
          <w:noProof/>
        </w:rPr>
        <w:t>.</w:t>
      </w:r>
      <w:r>
        <w:rPr>
          <w:b/>
          <w:bCs/>
          <w:noProof/>
        </w:rPr>
        <w:t xml:space="preserve"> </w:t>
      </w:r>
      <w:r>
        <w:rPr>
          <w:noProof/>
        </w:rPr>
        <w:t>Musia byť v súlade s politickými cieľmi EÚ, ktorými sú inkluzívnosť, digitalizácia, dekarbonizácia a udržateľnosť, pričom</w:t>
      </w:r>
      <w:r>
        <w:rPr>
          <w:noProof/>
        </w:rPr>
        <w:t xml:space="preserve"> pri vytváraní perspektívy, ktorou sa zabezpečí splnenie týchto podmienok, bude mať zásadný význam práve strategický výhľad. Viacročný finančný rámec na roky 2021 – 2027 a nástroj Next Generation EU budú podporovať výrazné investície, inovácie a hospodársk</w:t>
      </w:r>
      <w:r>
        <w:rPr>
          <w:noProof/>
        </w:rPr>
        <w:t xml:space="preserve">u konvergenciu medzi členskými štátmi, </w:t>
      </w:r>
      <w:r>
        <w:rPr>
          <w:noProof/>
          <w:color w:val="000000"/>
        </w:rPr>
        <w:t>pričom budú obsahovať aj záruky v oblasti právneho štátu. Zároveň</w:t>
      </w:r>
      <w:r>
        <w:rPr>
          <w:noProof/>
        </w:rPr>
        <w:t xml:space="preserve"> sa ním zabezpečí aj dobré fungovanie jednotného trhu. Mechanizmus na podporu obnovy a odolnosti podporí sociálnu a hospodársku odolnosť prostredníctvom</w:t>
      </w:r>
      <w:r>
        <w:rPr>
          <w:noProof/>
        </w:rPr>
        <w:t xml:space="preserve"> podpory balíkov investícií a reforiem.</w:t>
      </w:r>
    </w:p>
    <w:p w:rsidR="00F47BB5" w:rsidRDefault="00A34992">
      <w:pPr>
        <w:spacing w:after="120" w:line="276" w:lineRule="auto"/>
        <w:rPr>
          <w:noProof/>
          <w:szCs w:val="24"/>
        </w:rPr>
      </w:pPr>
      <w:r>
        <w:rPr>
          <w:b/>
          <w:bCs/>
          <w:noProof/>
        </w:rPr>
        <w:t>Prostredníctvom finančných prostriedkov pre spoločnosti, najmä MSP, sa musia naplniť ich súčasné potreby, ako aj potreby, ktoré prinesie dlhodobá transformácia</w:t>
      </w:r>
      <w:r>
        <w:rPr>
          <w:noProof/>
        </w:rPr>
        <w:t>. Pri posilňovaní odolnosti EÚ budú dôležité opatrenia na</w:t>
      </w:r>
      <w:r>
        <w:rPr>
          <w:noProof/>
        </w:rPr>
        <w:t xml:space="preserve"> posilnenie bankového sektora, kapitálových trhov a kapitálového financovania vrátane podpory únie kapitálových trhov a dobudovania bankovej únie. Pracovníci budú z takýchto reforiem profitovať a zvýši sa aj schopnosť spoločností zabezpečiť a vytvárať prac</w:t>
      </w:r>
      <w:r>
        <w:rPr>
          <w:noProof/>
        </w:rPr>
        <w:t xml:space="preserve">ovné miesta. Na zachovanie zamestnanosti bude dôležité prispôsobiť systémy sociálnej ochrany potrebám trhu práce, ktoré sa vyznačujú pohybom pracovníkov medzi jednotlivými profesiami a krajinami. Kľúčové sú v tomto kontexte investície do ľudského kapitálu </w:t>
      </w:r>
      <w:r>
        <w:rPr>
          <w:noProof/>
        </w:rPr>
        <w:t>a inovácií, dobre fungujúce inštitúcie a atraktívne podnikateľské prostredie.</w:t>
      </w:r>
    </w:p>
    <w:p w:rsidR="00F47BB5" w:rsidRDefault="00A34992">
      <w:pPr>
        <w:spacing w:after="120" w:line="276" w:lineRule="auto"/>
        <w:rPr>
          <w:noProof/>
        </w:rPr>
      </w:pPr>
      <w:r>
        <w:rPr>
          <w:b/>
          <w:bCs/>
          <w:noProof/>
        </w:rPr>
        <w:t>Ochorenie COVID-19 so sebou prinieslo rýchle zmeny na pracovných trhoch</w:t>
      </w:r>
      <w:r>
        <w:rPr>
          <w:noProof/>
        </w:rPr>
        <w:t>. Zmeny, o ktorých sa predpokladalo, že budú trvať desaťročia, ako napríklad to, že celé organizácie, štátn</w:t>
      </w:r>
      <w:r>
        <w:rPr>
          <w:noProof/>
        </w:rPr>
        <w:t>e správy a spoločnosti teraz pracujú na diaľku alebo cez virtuálne konferencie a podujatia, ktoré nahradili osobné stretnutia</w:t>
      </w:r>
      <w:r>
        <w:rPr>
          <w:rStyle w:val="FootnoteReference"/>
          <w:noProof/>
        </w:rPr>
        <w:footnoteReference w:id="59"/>
      </w:r>
      <w:r>
        <w:rPr>
          <w:noProof/>
        </w:rPr>
        <w:t>, sa v dôsledku pandémie udiali za niekoľko týždňov</w:t>
      </w:r>
      <w:r>
        <w:rPr>
          <w:noProof/>
          <w:vertAlign w:val="superscript"/>
        </w:rPr>
        <w:footnoteReference w:id="60"/>
      </w:r>
      <w:r>
        <w:rPr>
          <w:noProof/>
        </w:rPr>
        <w:t xml:space="preserve">. Hoci je pravdepodobné, že časť týchto zmien bude mať len dočasný charakter, </w:t>
      </w:r>
      <w:r>
        <w:rPr>
          <w:noProof/>
        </w:rPr>
        <w:t>vydláždia cestu pre nové pracovné príležitosti a posilnia integráciu európskeho trhu práce. Zároveň sa naskytá príležitosť prehodnotiť a prispôsobiť formy zamestnávania a modelov kariérneho postupu.</w:t>
      </w:r>
    </w:p>
    <w:p w:rsidR="00F47BB5" w:rsidRDefault="00A34992">
      <w:pPr>
        <w:spacing w:after="120" w:line="276" w:lineRule="auto"/>
        <w:rPr>
          <w:noProof/>
        </w:rPr>
      </w:pPr>
      <w:r>
        <w:rPr>
          <w:b/>
          <w:bCs/>
          <w:noProof/>
        </w:rPr>
        <w:t xml:space="preserve">Školy a univerzity museli takmer zo dňa na deň prejsť na </w:t>
      </w:r>
      <w:r>
        <w:rPr>
          <w:b/>
          <w:bCs/>
          <w:noProof/>
        </w:rPr>
        <w:t>virtuálnu výučbu, čo so sebou prinieslo nové príležitosti na poskytovanie vzdelávania a učenie sa</w:t>
      </w:r>
      <w:r>
        <w:rPr>
          <w:rStyle w:val="FootnoteReference"/>
          <w:b/>
          <w:bCs/>
          <w:noProof/>
        </w:rPr>
        <w:footnoteReference w:id="61"/>
      </w:r>
      <w:r>
        <w:rPr>
          <w:noProof/>
        </w:rPr>
        <w:t>. Hyperkonektivita a cezhraničná spolupráca medzi vzdelávacími inštitúciami, nové pedagogické prístupy a spôsoby realizácie výučby (napr. virtuálna alebo zmie</w:t>
      </w:r>
      <w:r>
        <w:rPr>
          <w:noProof/>
        </w:rPr>
        <w:t>šaná), pokrok v oblasti kognitívnych vied, dostupnosť informácií a väčší dôraz na celoživotné vzdelávanie patria medzi faktory, ktoré prispievajú k zmenám modelov výučby a prístupu k vzdelávaniu.</w:t>
      </w:r>
    </w:p>
    <w:p w:rsidR="00F47BB5" w:rsidRDefault="00A34992">
      <w:pPr>
        <w:spacing w:after="120" w:line="276" w:lineRule="auto"/>
        <w:rPr>
          <w:noProof/>
          <w:szCs w:val="24"/>
        </w:rPr>
      </w:pPr>
      <w:r>
        <w:rPr>
          <w:b/>
          <w:bCs/>
          <w:noProof/>
        </w:rPr>
        <w:t>Narušenie zabehaného spôsobu života zintenzívnilo rozpravu o</w:t>
      </w:r>
      <w:r>
        <w:rPr>
          <w:b/>
          <w:bCs/>
          <w:noProof/>
        </w:rPr>
        <w:t> tom, ako merať pokrok a vnímať „dobré životné podmienky“</w:t>
      </w:r>
      <w:r>
        <w:rPr>
          <w:noProof/>
        </w:rPr>
        <w:t>. Ako bolo zdôraznené v ročnej stratégii udržateľného rastu na rok 2020</w:t>
      </w:r>
      <w:r>
        <w:rPr>
          <w:noProof/>
          <w:vertAlign w:val="superscript"/>
        </w:rPr>
        <w:footnoteReference w:id="62"/>
      </w:r>
      <w:r>
        <w:rPr>
          <w:noProof/>
        </w:rPr>
        <w:t xml:space="preserve">, hospodársky rast nie je cieľom sám osebe. Komisia v decembri 2019 predstavila </w:t>
      </w:r>
      <w:r>
        <w:rPr>
          <w:i/>
          <w:noProof/>
        </w:rPr>
        <w:t>Európsku zelenú dohodu</w:t>
      </w:r>
      <w:r>
        <w:rPr>
          <w:noProof/>
        </w:rPr>
        <w:t xml:space="preserve"> – novú stratégiu rastu E</w:t>
      </w:r>
      <w:r>
        <w:rPr>
          <w:noProof/>
        </w:rPr>
        <w:t>Ú, ktorej cieľom je transformovať Úniu na moderné a konkurencieschopné hospodárstvo efektívne využívajúce zdroje, v ktorom sa výzvy v oblasti klímy a životného prostredia vnímajú ako príležitosti. Kríza opätovne podnietila diskusiu o tom, aký druh hospodár</w:t>
      </w:r>
      <w:r>
        <w:rPr>
          <w:noProof/>
        </w:rPr>
        <w:t>skeho rastu je žiaduci, na čom v súvislosti s ľudskými dobrými životnými podmienkami vo svete obmedzených zdrojov skutočne záleží, ako aj o potrebe nových ukazovateľov na meranie pokroku nad rámec rastu HDP. EÚ je v dobrej pozícii na to, aby na medzinárodn</w:t>
      </w:r>
      <w:r>
        <w:rPr>
          <w:noProof/>
        </w:rPr>
        <w:t>ej úrovni prevzala vedúcu úlohu a podporila inkluzívny rast a rovnosť s ťažiskom hospodárskej politiky v cieľoch OSN v oblasti udržateľného rozvoja</w:t>
      </w:r>
      <w:r>
        <w:rPr>
          <w:rStyle w:val="FootnoteReference"/>
          <w:noProof/>
        </w:rPr>
        <w:footnoteReference w:id="63"/>
      </w:r>
      <w:r>
        <w:rPr>
          <w:noProof/>
        </w:rPr>
        <w:t>. Ciele udržateľného rozvoja možno považovať za prostriedok na dosiahnutie väčšej odolnosti. Strategický výh</w:t>
      </w:r>
      <w:r>
        <w:rPr>
          <w:noProof/>
        </w:rPr>
        <w:t>ľad nám v tejto súvislosti môže pomôcť identifikovať najlepšie spôsoby plnenia týchto cieľov.</w:t>
      </w:r>
    </w:p>
    <w:p w:rsidR="00F47BB5" w:rsidRDefault="00A34992">
      <w:pPr>
        <w:pStyle w:val="NormalWeb"/>
        <w:spacing w:before="0" w:beforeAutospacing="0" w:after="120" w:afterAutospacing="0" w:line="276" w:lineRule="auto"/>
        <w:jc w:val="both"/>
        <w:rPr>
          <w:noProof/>
        </w:rPr>
      </w:pPr>
      <w:r>
        <w:rPr>
          <w:b/>
          <w:noProof/>
          <w:u w:val="single"/>
        </w:rPr>
        <w:t>Strategický výhľad nám môže pomôcť identifikovať ďalšie sociálne a hospodárske príležitosti a spôsoby dosahovania zelenej, digitálnej a spravodlivej transformácie</w:t>
      </w:r>
      <w:r>
        <w:rPr>
          <w:noProof/>
        </w:rPr>
        <w:t>. Patrí sem aj návrh nových sociálnych a fiškálnych reforiem a testovanie ich dlhodobej udržateľnosti s cieľom oživiť európsky model sociálneho trhového hospodárstva, pričom si EÚ zaistí postavenie lídra v globálnom hospodárstve. Strategický výhľad je dôle</w:t>
      </w:r>
      <w:r>
        <w:rPr>
          <w:noProof/>
        </w:rPr>
        <w:t>žitý aj pri formovaní povolaní budúcnosti, keďže pomáha identifikovať nové zručnosti potrebné v zelenom a digitálnom hospodárstve, osvojovať si nové vzorce správania a nadväzovať nové partnerstvá a pochopiť vzájomné spolupôsobenie nových technológií, praco</w:t>
      </w:r>
      <w:r>
        <w:rPr>
          <w:noProof/>
        </w:rPr>
        <w:t>vných miest, vzdelávania a kľúčových zainteresovaných strán. Vzhľadom na širšie demografické trendy, ktoré majú vplyv na niektoré vidiecke oblasti, vzhľadom na výzvy, ktoré prehlbujú regionálne a miestne nerovnosti, ako aj vzhľadom na geografickú nespokojn</w:t>
      </w:r>
      <w:r>
        <w:rPr>
          <w:noProof/>
        </w:rPr>
        <w:t>osť bude treba pre vidiecke oblasti zároveň vypracovať dlhodobú víziu, v ktorej sa zohľadní sociálny a hospodársky vývoj, potreby infraštruktúry, prístup k základným službám a územná súdržnosť. Táto dlhodobá vízia by mala zasiahnuť do viacerých oblastí pol</w:t>
      </w:r>
      <w:r>
        <w:rPr>
          <w:noProof/>
        </w:rPr>
        <w:t xml:space="preserve">itiky a vyžiada si integrovaný a koordinovaný prístup na európskej, vnútroštátnej i regionálnej úrovni. Strategický výhľad by napokon mohol podporiť úvahy o novom význame pojmov pokrok a dobré životné podmienky, ako aj o ukazovateľoch, ktoré by na meranie </w:t>
      </w:r>
      <w:r>
        <w:rPr>
          <w:noProof/>
        </w:rPr>
        <w:t>týchto ambícií boli najvhodnejšie (oddiel 4).</w:t>
      </w:r>
    </w:p>
    <w:p w:rsidR="00F47BB5" w:rsidRDefault="00A34992">
      <w:pPr>
        <w:pStyle w:val="Heading2"/>
        <w:rPr>
          <w:noProof/>
        </w:rPr>
      </w:pPr>
      <w:bookmarkStart w:id="822" w:name="_Toc50365470"/>
      <w:bookmarkStart w:id="823" w:name="_Toc51067199"/>
      <w:bookmarkEnd w:id="822"/>
      <w:r>
        <w:rPr>
          <w:noProof/>
        </w:rPr>
        <w:t>3.2.</w:t>
      </w:r>
      <w:r>
        <w:rPr>
          <w:noProof/>
        </w:rPr>
        <w:tab/>
        <w:t>Geopolitický rozmer</w:t>
      </w:r>
      <w:bookmarkEnd w:id="823"/>
    </w:p>
    <w:p w:rsidR="00F47BB5" w:rsidRDefault="00A34992">
      <w:pPr>
        <w:spacing w:after="120" w:line="276" w:lineRule="auto"/>
        <w:rPr>
          <w:noProof/>
        </w:rPr>
      </w:pPr>
      <w:r>
        <w:rPr>
          <w:b/>
          <w:bCs/>
          <w:noProof/>
        </w:rPr>
        <w:t>Geopolitická odolnosť súvisí s posilnením „otvorenej strategickej autonómie“</w:t>
      </w:r>
      <w:r>
        <w:rPr>
          <w:rStyle w:val="FootnoteReference"/>
          <w:b/>
          <w:bCs/>
          <w:noProof/>
        </w:rPr>
        <w:footnoteReference w:id="64"/>
      </w:r>
      <w:r>
        <w:rPr>
          <w:b/>
          <w:bCs/>
          <w:noProof/>
        </w:rPr>
        <w:t xml:space="preserve"> Európy a jej postavenia globálneho lídra</w:t>
      </w:r>
      <w:r>
        <w:rPr>
          <w:noProof/>
        </w:rPr>
        <w:t>. Vyjadruje ju trvanie na hodnotách EÚ vo svete konkurenčných mocno</w:t>
      </w:r>
      <w:r>
        <w:rPr>
          <w:noProof/>
        </w:rPr>
        <w:t>stí a vysokej miery vzájomnej závislosti, v ktorom na geopolitické trendy a rovnováhu síl dolieha ochorenie COVID-19. V nadväznosti na to, ako sa USA začínajú zameriavať stále viac na vnútorné aspekty svojej existencie, sa na globálnej scéne vytvára medzer</w:t>
      </w:r>
      <w:r>
        <w:rPr>
          <w:noProof/>
        </w:rPr>
        <w:t>a, ktorú by iní aktéri – napríklad Čína</w:t>
      </w:r>
      <w:r>
        <w:rPr>
          <w:rStyle w:val="FootnoteReference"/>
          <w:noProof/>
        </w:rPr>
        <w:footnoteReference w:id="65"/>
      </w:r>
      <w:r>
        <w:rPr>
          <w:noProof/>
        </w:rPr>
        <w:t xml:space="preserve"> – veľmi radi zaplnili. EÚ so svojím prístupom „Tím Európa“ vedie úsilie o mobilizáciu strategických zdrojov pre humanitárnu a rozvojovú pomoc a sprístupnenie vakcín a liekov na ochorenie COVID-19 celému svetu</w:t>
      </w:r>
      <w:r>
        <w:rPr>
          <w:noProof/>
          <w:vertAlign w:val="superscript"/>
        </w:rPr>
        <w:footnoteReference w:id="66"/>
      </w:r>
      <w:r>
        <w:rPr>
          <w:noProof/>
        </w:rPr>
        <w:t>.</w:t>
      </w:r>
    </w:p>
    <w:p w:rsidR="00F47BB5" w:rsidRDefault="00A34992">
      <w:pPr>
        <w:keepNext/>
        <w:spacing w:line="276" w:lineRule="auto"/>
        <w:rPr>
          <w:b/>
          <w:bCs/>
          <w:i/>
          <w:iCs/>
          <w:noProof/>
          <w:u w:val="single"/>
        </w:rPr>
      </w:pPr>
      <w:r>
        <w:rPr>
          <w:b/>
          <w:bCs/>
          <w:i/>
          <w:iCs/>
          <w:noProof/>
          <w:u w:val="single"/>
        </w:rPr>
        <w:t>Kapacity</w:t>
      </w:r>
    </w:p>
    <w:p w:rsidR="00F47BB5" w:rsidRDefault="00A34992">
      <w:pPr>
        <w:pBdr>
          <w:top w:val="nil"/>
          <w:left w:val="nil"/>
          <w:bottom w:val="nil"/>
          <w:right w:val="nil"/>
          <w:between w:val="nil"/>
        </w:pBdr>
        <w:spacing w:after="120" w:line="276" w:lineRule="auto"/>
        <w:rPr>
          <w:noProof/>
        </w:rPr>
      </w:pPr>
      <w:r>
        <w:rPr>
          <w:b/>
          <w:bCs/>
          <w:noProof/>
        </w:rPr>
        <w:t>EÚ je považovaná za dôveryhodného partnera a zodpovedného lídra</w:t>
      </w:r>
      <w:r>
        <w:rPr>
          <w:noProof/>
        </w:rPr>
        <w:t>.</w:t>
      </w:r>
      <w:r>
        <w:rPr>
          <w:b/>
          <w:bCs/>
          <w:noProof/>
        </w:rPr>
        <w:t xml:space="preserve"> </w:t>
      </w:r>
      <w:r>
        <w:rPr>
          <w:noProof/>
        </w:rPr>
        <w:t>Keďže hrozí, že dôjde k oslabeniu a rozdrobeniu celosvetového poriadku, EÚ môže pôsobiť ako opora stability a garant mieru. EÚ pôsobí ako mediátor v krízových situáciách, sprostredkú</w:t>
      </w:r>
      <w:r>
        <w:rPr>
          <w:noProof/>
        </w:rPr>
        <w:t>va medzinárodné dohody a využíva svoju schopnosť povolať ďalšie krajiny na formovanie globálnych riešení globálnych problémov. Pandémia ukazuje, že globálne výzvy si vyžadujú účinnú a činorodú medzinárodnú spoluprácu a spoločné riešenia. EÚ aktívne tvaruje</w:t>
      </w:r>
      <w:r>
        <w:rPr>
          <w:noProof/>
        </w:rPr>
        <w:t xml:space="preserve"> spoluprácu v štruktúrach globálneho riadenia a jej zahraničná a bezpečnostná politika sa opiera o širokospektrálnu diplomaciu a strategické partnerstvá s kľúčovými aktérmi a regiónmi. Priority zahraničnej a bezpečnostnej politiky EÚ vychádzajú z jej globá</w:t>
      </w:r>
      <w:r>
        <w:rPr>
          <w:noProof/>
        </w:rPr>
        <w:t>lnej stratégie. Keďže EÚ chápe význam spolupráce v oblasti bezpečnosti a obrany, zriadila okrem iného Európsky obranný fond a stálu štruktúrovanú spoluprácu (PESCO)</w:t>
      </w:r>
      <w:r>
        <w:rPr>
          <w:rStyle w:val="FootnoteReference"/>
          <w:noProof/>
        </w:rPr>
        <w:footnoteReference w:id="67"/>
      </w:r>
      <w:r>
        <w:rPr>
          <w:noProof/>
        </w:rPr>
        <w:t xml:space="preserve"> a spustila iniciatívu vojenskej mobility.</w:t>
      </w:r>
    </w:p>
    <w:p w:rsidR="00F47BB5" w:rsidRDefault="00A34992">
      <w:pPr>
        <w:spacing w:after="120" w:line="276" w:lineRule="auto"/>
        <w:rPr>
          <w:noProof/>
        </w:rPr>
      </w:pPr>
      <w:r>
        <w:rPr>
          <w:b/>
          <w:noProof/>
        </w:rPr>
        <w:t xml:space="preserve">Základom geopolitickej sily a odolnosti Európy </w:t>
      </w:r>
      <w:r>
        <w:rPr>
          <w:b/>
          <w:noProof/>
        </w:rPr>
        <w:t>je jej rozsiahla globálna obchodná kapacita</w:t>
      </w:r>
      <w:r>
        <w:rPr>
          <w:noProof/>
        </w:rPr>
        <w:t>. Z analýzy obchodnej závislosti od výrobkov, ktoré dodáva malý počet dodávateľov, vyplýva, že v prípade takmer všetkých výrobkov dovážaných do EÚ existujú alternatívne zdroje dodávok. Len 1 % celkovej dovoznej ho</w:t>
      </w:r>
      <w:r>
        <w:rPr>
          <w:noProof/>
        </w:rPr>
        <w:t>dnoty EÚ pochádza od jediného dodávateľa, zatiaľ čo 10 % pochádza od najmenej 67 alternatívnych dodávateľov a polovica všetkých výrobkov pochádza od viac než 25 dodávateľov z celého sveta</w:t>
      </w:r>
      <w:r>
        <w:rPr>
          <w:rStyle w:val="FootnoteReference"/>
          <w:noProof/>
        </w:rPr>
        <w:footnoteReference w:id="68"/>
      </w:r>
      <w:r>
        <w:rPr>
          <w:noProof/>
        </w:rPr>
        <w:t>. Navyše viac než dve tretiny dovozu do EÚ predstavujú polotovary po</w:t>
      </w:r>
      <w:r>
        <w:rPr>
          <w:noProof/>
        </w:rPr>
        <w:t>užívané v jej výrobných procesoch. EÚ preto dokáže dôsledne využívať svoj hospodársky vplyv a vyjednávaciu silu na plnenie medzinárodných dohôd, ktoré chránia jej občanov.</w:t>
      </w:r>
    </w:p>
    <w:p w:rsidR="00F47BB5" w:rsidRDefault="00A34992">
      <w:pPr>
        <w:spacing w:after="120" w:line="276" w:lineRule="auto"/>
        <w:rPr>
          <w:noProof/>
        </w:rPr>
      </w:pPr>
      <w:r>
        <w:rPr>
          <w:b/>
          <w:noProof/>
        </w:rPr>
        <w:t>EÚ je vesmírnou mocnosťou.</w:t>
      </w:r>
      <w:r>
        <w:rPr>
          <w:noProof/>
        </w:rPr>
        <w:t xml:space="preserve"> Dosiahla kritické vesmírne spôsobilosti, ktoré slúžia ako</w:t>
      </w:r>
      <w:r>
        <w:rPr>
          <w:noProof/>
        </w:rPr>
        <w:t xml:space="preserve"> geopolitický nástroj na posilňovanie jej globálnej úlohy v oblasti vývoja technológií a dohľadu</w:t>
      </w:r>
      <w:r>
        <w:rPr>
          <w:rStyle w:val="FootnoteReference"/>
          <w:noProof/>
        </w:rPr>
        <w:footnoteReference w:id="69"/>
      </w:r>
      <w:r>
        <w:rPr>
          <w:noProof/>
        </w:rPr>
        <w:t>. Na služby, ktoré poskytujú vesmírne aktíva Európy, sa spolieha niekoľko kritických hospodárskych odvetví.</w:t>
      </w:r>
    </w:p>
    <w:p w:rsidR="00F47BB5" w:rsidRDefault="00A34992">
      <w:pPr>
        <w:pBdr>
          <w:top w:val="nil"/>
          <w:left w:val="nil"/>
          <w:bottom w:val="nil"/>
          <w:right w:val="nil"/>
          <w:between w:val="nil"/>
        </w:pBdr>
        <w:spacing w:after="120" w:line="276" w:lineRule="auto"/>
        <w:rPr>
          <w:noProof/>
          <w:szCs w:val="24"/>
        </w:rPr>
      </w:pPr>
      <w:r>
        <w:rPr>
          <w:b/>
          <w:noProof/>
        </w:rPr>
        <w:t>EÚ buduje odolnosť vo svojom susedstve aj za jeho h</w:t>
      </w:r>
      <w:r>
        <w:rPr>
          <w:b/>
          <w:noProof/>
        </w:rPr>
        <w:t xml:space="preserve">ranicami. </w:t>
      </w:r>
      <w:r>
        <w:rPr>
          <w:noProof/>
        </w:rPr>
        <w:t>EÚ je najväčším poskytovateľom rozvojovej a humanitárnej pomoci na svete, pričom sa zameriava najmä na svoje susedstvo a Afriku. Európa podporuje partnerské krajiny prostredníctvom financovania, odbornej prípravy a štrukturálnych zlepšení s cieľo</w:t>
      </w:r>
      <w:r>
        <w:rPr>
          <w:noProof/>
        </w:rPr>
        <w:t>m posilniť ich rozvoj a odolnosť, a zároveň aj pri plnení cieľov udržateľného rozvoja. EÚ navyše prostredníctvom iniciatívy Východné partnerstvo prispieva k zvyšovaniu stability, prosperity a odolnosti svojich susedov tým, že im pomáha pokročiť v zelenej a</w:t>
      </w:r>
      <w:r>
        <w:rPr>
          <w:noProof/>
        </w:rPr>
        <w:t> digitálnej transformácii.</w:t>
      </w:r>
    </w:p>
    <w:p w:rsidR="00F47BB5" w:rsidRDefault="00A34992">
      <w:pPr>
        <w:spacing w:after="120" w:line="276" w:lineRule="auto"/>
        <w:rPr>
          <w:noProof/>
        </w:rPr>
      </w:pPr>
      <w:r>
        <w:rPr>
          <w:b/>
          <w:noProof/>
        </w:rPr>
        <w:t>EÚ má dlhodobé kapacity a históriu úspechov v oblasti formovania medzinárodných štandardov a noriem.</w:t>
      </w:r>
      <w:r>
        <w:rPr>
          <w:noProof/>
        </w:rPr>
        <w:t xml:space="preserve"> Aktuálne potrebuje posilniť spojenectvá orientované na budúcnosť s cieľom ďalej formovať medzinárodné normy a štandardy spôsobom</w:t>
      </w:r>
      <w:r>
        <w:rPr>
          <w:noProof/>
        </w:rPr>
        <w:t>, ktorý by odzrkadľoval európske hodnoty a záujmy. Napriek tomu, že EÚ sa dlhodobo proaktívne zapája v OSN a iných medzinárodných organizáciách do rôznych fór</w:t>
      </w:r>
      <w:r>
        <w:rPr>
          <w:rStyle w:val="FootnoteReference"/>
          <w:noProof/>
        </w:rPr>
        <w:footnoteReference w:id="70"/>
      </w:r>
      <w:r>
        <w:rPr>
          <w:noProof/>
        </w:rPr>
        <w:t>, takéto spojenectvá sú obzvlášť dôležité vzhľadom na rastúce tlaky zo strany vplyvných globálnyc</w:t>
      </w:r>
      <w:r>
        <w:rPr>
          <w:noProof/>
        </w:rPr>
        <w:t>h hráčov.</w:t>
      </w:r>
    </w:p>
    <w:p w:rsidR="00F47BB5" w:rsidRDefault="00A34992">
      <w:pPr>
        <w:spacing w:after="120" w:line="276" w:lineRule="auto"/>
        <w:rPr>
          <w:noProof/>
        </w:rPr>
      </w:pPr>
      <w:r>
        <w:rPr>
          <w:b/>
          <w:bCs/>
          <w:noProof/>
        </w:rPr>
        <w:t>EÚ môže uplatňovať svoje geopolitické kapacity a medzinárodný vplyv dôsledne a účinne dnes i v budúcnosti</w:t>
      </w:r>
      <w:r>
        <w:rPr>
          <w:b/>
          <w:noProof/>
        </w:rPr>
        <w:t>.</w:t>
      </w:r>
      <w:r>
        <w:rPr>
          <w:noProof/>
        </w:rPr>
        <w:t xml:space="preserve"> Európa bude musieť ďalej rozvíjať strategickú sieť partnerstiev a spojenectiev s cieľom znížiť závislosť od kritických hodnotových reťazcov</w:t>
      </w:r>
      <w:r>
        <w:rPr>
          <w:noProof/>
        </w:rPr>
        <w:t xml:space="preserve">, napomôcť mieru a stabilite vo svojom susedstve, nájsť účinné riešenia globálnych problémov a oživiť globálny poriadok založený na pravidlách. Súčasne musí zhodnocovať svoje finančné zdroje na podporu svojich politických cieľov. EÚ má dobré postavenie na </w:t>
      </w:r>
      <w:r>
        <w:rPr>
          <w:noProof/>
        </w:rPr>
        <w:t>to, aby mohla formovať multilaterálny systém globálnej správy hospodárskych záležitostí, rozvíjať vzájomne prospešné vzťahy na podporu svojej konkurencieschopnosti</w:t>
      </w:r>
      <w:r>
        <w:rPr>
          <w:rStyle w:val="FootnoteReference"/>
          <w:noProof/>
        </w:rPr>
        <w:footnoteReference w:id="71"/>
      </w:r>
      <w:r>
        <w:rPr>
          <w:noProof/>
        </w:rPr>
        <w:t xml:space="preserve"> a presadzovať a nastavovať globálne štandardy v oblasti zelenej a digitálnej transformácie.</w:t>
      </w:r>
      <w:r>
        <w:rPr>
          <w:noProof/>
        </w:rPr>
        <w:t xml:space="preserve"> Malo by k tomu dochádzať na pozadí šírenia jej demokratických hodnôt a v súlade so širšími prioritami v oblastiach udržateľnosti, zmeny klímy, digitálneho hospodárstva a bezpečnosti.</w:t>
      </w:r>
    </w:p>
    <w:p w:rsidR="00F47BB5" w:rsidRDefault="00A34992">
      <w:pPr>
        <w:keepNext/>
        <w:spacing w:line="276" w:lineRule="auto"/>
        <w:rPr>
          <w:b/>
          <w:bCs/>
          <w:i/>
          <w:iCs/>
          <w:noProof/>
          <w:u w:val="single"/>
        </w:rPr>
      </w:pPr>
      <w:bookmarkStart w:id="824" w:name="_rjo72jne9b0s"/>
      <w:bookmarkEnd w:id="824"/>
      <w:r>
        <w:rPr>
          <w:b/>
          <w:bCs/>
          <w:i/>
          <w:iCs/>
          <w:noProof/>
          <w:u w:val="single"/>
        </w:rPr>
        <w:t>Slabé miesta</w:t>
      </w:r>
    </w:p>
    <w:p w:rsidR="00F47BB5" w:rsidRDefault="00A34992">
      <w:pPr>
        <w:spacing w:after="120" w:line="276" w:lineRule="auto"/>
        <w:rPr>
          <w:noProof/>
        </w:rPr>
      </w:pPr>
      <w:bookmarkStart w:id="825" w:name="_3dy6vkm"/>
      <w:bookmarkEnd w:id="825"/>
      <w:r>
        <w:rPr>
          <w:b/>
          <w:bCs/>
          <w:noProof/>
        </w:rPr>
        <w:t xml:space="preserve">Multilateralizmus a globálny finančný systém sa v dôsledku </w:t>
      </w:r>
      <w:r>
        <w:rPr>
          <w:b/>
          <w:bCs/>
          <w:noProof/>
        </w:rPr>
        <w:t>presadzovania úzkych národných záujmov dostávajú pod čoraz väčší tlak</w:t>
      </w:r>
      <w:r>
        <w:rPr>
          <w:b/>
          <w:noProof/>
        </w:rPr>
        <w:t xml:space="preserve">. </w:t>
      </w:r>
      <w:r>
        <w:rPr>
          <w:noProof/>
        </w:rPr>
        <w:t>Ústrednou témou geopolitickej odolnosti je preto zachovanie priestoru na budovanie konsenzu a spoločné kroky, ktoré by viedli k riešeniu globálnych výziev a ochrane spoločných verejných</w:t>
      </w:r>
      <w:r>
        <w:rPr>
          <w:noProof/>
        </w:rPr>
        <w:t xml:space="preserve"> statkov.</w:t>
      </w:r>
    </w:p>
    <w:p w:rsidR="00F47BB5" w:rsidRDefault="00A34992">
      <w:pPr>
        <w:spacing w:after="120" w:line="276" w:lineRule="auto"/>
        <w:rPr>
          <w:noProof/>
        </w:rPr>
      </w:pPr>
      <w:r>
        <w:rPr>
          <w:b/>
          <w:noProof/>
        </w:rPr>
        <w:t>Presun moci na východ a juh</w:t>
      </w:r>
      <w:r>
        <w:rPr>
          <w:noProof/>
        </w:rPr>
        <w:t xml:space="preserve"> </w:t>
      </w:r>
      <w:r>
        <w:rPr>
          <w:b/>
          <w:noProof/>
        </w:rPr>
        <w:t>je globálnym megatrendom</w:t>
      </w:r>
      <w:r>
        <w:rPr>
          <w:noProof/>
        </w:rPr>
        <w:t>. Hoci sa v dôsledku krízy spôsobenej ochorením COVID-19 dočasne spomalil, pravdepodobne bude pokračovať, keďže ho vpred ženie narastajúca hospodárska a politický vplyv nových aktérov, ktorú pod</w:t>
      </w:r>
      <w:r>
        <w:rPr>
          <w:noProof/>
        </w:rPr>
        <w:t>poruje ich demografická váha. V nadväznosti na to, ako sa podiel EÚ na celosvetovej populácii a na celosvetovom HDP znižuje</w:t>
      </w:r>
      <w:r>
        <w:rPr>
          <w:rStyle w:val="FootnoteReference"/>
          <w:noProof/>
        </w:rPr>
        <w:footnoteReference w:id="72"/>
      </w:r>
      <w:r>
        <w:rPr>
          <w:noProof/>
        </w:rPr>
        <w:t>, môže dôjsť aj k ďalšiemu zníženiu jej vplyvu v mnohých kritických oblastiach.</w:t>
      </w:r>
    </w:p>
    <w:p w:rsidR="00F47BB5" w:rsidRDefault="00A34992">
      <w:pPr>
        <w:spacing w:after="120" w:line="276" w:lineRule="auto"/>
        <w:rPr>
          <w:noProof/>
        </w:rPr>
      </w:pPr>
      <w:r>
        <w:rPr>
          <w:b/>
          <w:noProof/>
        </w:rPr>
        <w:t>Bezpečnostné prostredie sa neustále mení</w:t>
      </w:r>
      <w:r>
        <w:rPr>
          <w:noProof/>
        </w:rPr>
        <w:t>. Charakteri</w:t>
      </w:r>
      <w:r>
        <w:rPr>
          <w:noProof/>
        </w:rPr>
        <w:t>zuje ho meniaca sa rovnováha moci, častejšie využívanie hybridných hrozieb, vesmírne a kybernetické vojny, dezinformácie a čoraz prominentnejšia úloha neštátnych subjektov</w:t>
      </w:r>
      <w:r>
        <w:rPr>
          <w:rStyle w:val="FootnoteReference"/>
          <w:noProof/>
        </w:rPr>
        <w:footnoteReference w:id="73"/>
      </w:r>
      <w:r>
        <w:rPr>
          <w:noProof/>
        </w:rPr>
        <w:t>. Kríza zároveň ešte viac prehĺbila tlaky, ktoré môžu viesť ku konfliktu. Vplyv hosp</w:t>
      </w:r>
      <w:r>
        <w:rPr>
          <w:noProof/>
        </w:rPr>
        <w:t>odárskych opatrení vyvolaných politickými stanoviskami, ako napríklad extrateritoriálny vplyv sankcií alebo protekcionistické opatrenia, prináša do EÚ ďalšie výzvy. Pandémia ochorenia COVID-19 poukázala na krehkosť kľúčovej infraštruktúry a na potrebu chrá</w:t>
      </w:r>
      <w:r>
        <w:rPr>
          <w:noProof/>
        </w:rPr>
        <w:t>niť ju pred fyzickými a digitálnymi hrozbami</w:t>
      </w:r>
      <w:r>
        <w:rPr>
          <w:rStyle w:val="FootnoteReference"/>
          <w:noProof/>
        </w:rPr>
        <w:footnoteReference w:id="74"/>
      </w:r>
      <w:r>
        <w:rPr>
          <w:noProof/>
        </w:rPr>
        <w:t>. Kríza tiež zhoršila existujúce slabé miesta a prehĺbila nerovnosti v konfliktmi sužovaných a nestabilných krajinách. V snahe o ucelenú strategickú víziu EÚ potrebuje spoločné chápanie bezpečnostného prostredia</w:t>
      </w:r>
      <w:r>
        <w:rPr>
          <w:noProof/>
        </w:rPr>
        <w:t xml:space="preserve"> i spoločných cieľov a zámerov. Do konca roku 2020 predstaví vysoký predstaviteľ analýzu hrozieb a výziev ako východisko pre strategický kompas v oblasti bezpečnosti a obrany, ktorý sa má predložiť do roku 2022. To bude nevyhnutným príspevkom k vypracovani</w:t>
      </w:r>
      <w:r>
        <w:rPr>
          <w:noProof/>
        </w:rPr>
        <w:t>u spoločnej európskej bezpečnostnej a obrannej kultúry, poskytne to nový impulz rôznym iniciatívam v oblasti obrany a posilní ich súdržnosť</w:t>
      </w:r>
      <w:r>
        <w:rPr>
          <w:rStyle w:val="FootnoteReference"/>
          <w:noProof/>
        </w:rPr>
        <w:footnoteReference w:id="75"/>
      </w:r>
      <w:r>
        <w:rPr>
          <w:noProof/>
        </w:rPr>
        <w:t>.</w:t>
      </w:r>
    </w:p>
    <w:p w:rsidR="00F47BB5" w:rsidRDefault="00A34992">
      <w:pPr>
        <w:spacing w:after="120" w:line="276" w:lineRule="auto"/>
        <w:rPr>
          <w:iCs/>
          <w:noProof/>
        </w:rPr>
      </w:pPr>
      <w:r>
        <w:rPr>
          <w:b/>
          <w:iCs/>
          <w:noProof/>
        </w:rPr>
        <w:t>Prioritou</w:t>
      </w:r>
      <w:r>
        <w:rPr>
          <w:b/>
          <w:noProof/>
        </w:rPr>
        <w:t xml:space="preserve"> bude </w:t>
      </w:r>
      <w:r>
        <w:rPr>
          <w:b/>
          <w:iCs/>
          <w:noProof/>
        </w:rPr>
        <w:t>aj naďalej systematické</w:t>
      </w:r>
      <w:r>
        <w:rPr>
          <w:b/>
          <w:noProof/>
        </w:rPr>
        <w:t xml:space="preserve"> </w:t>
      </w:r>
      <w:r>
        <w:rPr>
          <w:b/>
          <w:iCs/>
          <w:noProof/>
        </w:rPr>
        <w:t>riadenie</w:t>
      </w:r>
      <w:r>
        <w:rPr>
          <w:b/>
          <w:noProof/>
        </w:rPr>
        <w:t xml:space="preserve"> </w:t>
      </w:r>
      <w:r>
        <w:rPr>
          <w:b/>
          <w:iCs/>
          <w:noProof/>
        </w:rPr>
        <w:t>migrácie.</w:t>
      </w:r>
      <w:r>
        <w:rPr>
          <w:noProof/>
        </w:rPr>
        <w:t xml:space="preserve"> Základné príčiny migrácie vrátane miestnych konfliktov, chudoby a nerovností, ktoré len zhoršila kríza spôsobená ochorením COVID-19 a zmena klímy, budú pretrvávať</w:t>
      </w:r>
      <w:r>
        <w:rPr>
          <w:noProof/>
          <w:vertAlign w:val="superscript"/>
        </w:rPr>
        <w:footnoteReference w:id="76"/>
      </w:r>
      <w:r>
        <w:rPr>
          <w:noProof/>
          <w:vertAlign w:val="superscript"/>
        </w:rPr>
        <w:footnoteReference w:id="77"/>
      </w:r>
      <w:r>
        <w:rPr>
          <w:noProof/>
        </w:rPr>
        <w:t>. Na riešenie týchto výziev</w:t>
      </w:r>
      <w:r>
        <w:rPr>
          <w:noProof/>
          <w:vertAlign w:val="superscript"/>
        </w:rPr>
        <w:footnoteReference w:id="78"/>
      </w:r>
      <w:r>
        <w:rPr>
          <w:noProof/>
          <w:szCs w:val="24"/>
          <w:vertAlign w:val="superscript"/>
        </w:rPr>
        <w:t xml:space="preserve"> </w:t>
      </w:r>
      <w:r>
        <w:rPr>
          <w:noProof/>
        </w:rPr>
        <w:t>bude potrebná zvýšená pozornosť, činorodosť, zdroje a diplomat</w:t>
      </w:r>
      <w:r>
        <w:rPr>
          <w:noProof/>
        </w:rPr>
        <w:t>ické úsilie podporené poskytovaním pomoci, pričom sa súčasne musia nadväzovať strategické, vyvážené a individualizované partnerstvá s kľúčovými tretími krajinami, aby sa v oblasti riadenia migrácie mohli nájsť udržateľné a účinné riešenia</w:t>
      </w:r>
      <w:r>
        <w:rPr>
          <w:rStyle w:val="FootnoteReference"/>
          <w:iCs/>
          <w:noProof/>
        </w:rPr>
        <w:footnoteReference w:id="79"/>
      </w:r>
      <w:r>
        <w:rPr>
          <w:noProof/>
        </w:rPr>
        <w:t>.</w:t>
      </w:r>
    </w:p>
    <w:p w:rsidR="00F47BB5" w:rsidRDefault="00A34992">
      <w:pPr>
        <w:spacing w:after="120" w:line="276" w:lineRule="auto"/>
        <w:rPr>
          <w:noProof/>
        </w:rPr>
      </w:pPr>
      <w:r>
        <w:rPr>
          <w:b/>
          <w:bCs/>
          <w:noProof/>
        </w:rPr>
        <w:t>Zdrojom nestabi</w:t>
      </w:r>
      <w:r>
        <w:rPr>
          <w:b/>
          <w:bCs/>
          <w:noProof/>
        </w:rPr>
        <w:t>lity je nedostatok jednoty v konkrétnych oblastiach zahraničnej a bezpečnostnej politiky</w:t>
      </w:r>
      <w:r>
        <w:rPr>
          <w:noProof/>
        </w:rPr>
        <w:t>. Sila a dôveryhodnosť EÚ v zahraničí priamo súvisí s jej vnútornou jednotou a súdržnosťou, ktorá stavia na jej rozmanitosti. Nedostatočná jednota a koordinácia medzi č</w:t>
      </w:r>
      <w:r>
        <w:rPr>
          <w:noProof/>
        </w:rPr>
        <w:t>lenskými štátmi môže niekedy obmedzovať účinnosť a činorodosť opatrení na úrovni EÚ, čo môže zahraničným mocnostiam umožniť uplatňovať stratégie typu „rozdeľ a panuj“.</w:t>
      </w:r>
    </w:p>
    <w:p w:rsidR="00F47BB5" w:rsidRDefault="00A34992">
      <w:pPr>
        <w:spacing w:after="120" w:line="276" w:lineRule="auto"/>
        <w:rPr>
          <w:bCs/>
          <w:noProof/>
        </w:rPr>
      </w:pPr>
      <w:r>
        <w:rPr>
          <w:b/>
          <w:noProof/>
        </w:rPr>
        <w:t>Kríza spôsobená ochorením COVID-19 odhalila nadmerné spoliehanie sa Európy na dodávateľo</w:t>
      </w:r>
      <w:r>
        <w:rPr>
          <w:b/>
          <w:noProof/>
        </w:rPr>
        <w:t>v kritických surovín z krajín mimo EÚ</w:t>
      </w:r>
      <w:r>
        <w:rPr>
          <w:b/>
          <w:noProof/>
          <w:vertAlign w:val="superscript"/>
        </w:rPr>
        <w:footnoteReference w:id="80"/>
      </w:r>
      <w:r>
        <w:rPr>
          <w:b/>
          <w:noProof/>
        </w:rPr>
        <w:t xml:space="preserve"> a poukázala na to, ako môžu prerušenia dodávok ovplyvniť priemyselné ekosystémy a iné výrobné odvetvia</w:t>
      </w:r>
      <w:r>
        <w:rPr>
          <w:noProof/>
        </w:rPr>
        <w:t>. Hoci v prípade väčšiny výrobkov existujú alternatívne zdroje dodávok, Európa je čoraz viac závislá od obmedzeného</w:t>
      </w:r>
      <w:r>
        <w:rPr>
          <w:noProof/>
        </w:rPr>
        <w:t xml:space="preserve"> počtu externých dodávateľov niektorých kritických tovarov, komponentov a surovín</w:t>
      </w:r>
      <w:r>
        <w:rPr>
          <w:b/>
          <w:noProof/>
        </w:rPr>
        <w:t xml:space="preserve"> </w:t>
      </w:r>
      <w:r>
        <w:rPr>
          <w:noProof/>
        </w:rPr>
        <w:t>(</w:t>
      </w:r>
      <w:r>
        <w:rPr>
          <w:b/>
          <w:noProof/>
        </w:rPr>
        <w:t>rámček 3.1</w:t>
      </w:r>
      <w:r>
        <w:rPr>
          <w:noProof/>
        </w:rPr>
        <w:t>), ako aj poľnohospodárskych výrobkov. Zatváranie závodov v ohniskách nákazy ochorenia COVID-19 v Číne a severnom Taliansku viedlo k odstaveniu automobilových závo</w:t>
      </w:r>
      <w:r>
        <w:rPr>
          <w:noProof/>
        </w:rPr>
        <w:t>dov v celej Európe a to viedlo k strate na úrovni 12,5 % celkovej produkcie za rok 2019</w:t>
      </w:r>
      <w:r>
        <w:rPr>
          <w:noProof/>
          <w:vertAlign w:val="superscript"/>
        </w:rPr>
        <w:footnoteReference w:id="81"/>
      </w:r>
      <w:r>
        <w:rPr>
          <w:noProof/>
        </w:rPr>
        <w:t>. Podobný obraz sa objavuje aj v prípade liekov z Indie, čo viedlo k nedostatku generických liekov</w:t>
      </w:r>
      <w:r>
        <w:rPr>
          <w:noProof/>
          <w:vertAlign w:val="superscript"/>
        </w:rPr>
        <w:footnoteReference w:id="82"/>
      </w:r>
      <w:r>
        <w:rPr>
          <w:noProof/>
        </w:rPr>
        <w:t>. Európska priemyselná výroba klesla v apríli 2020 za 12 mesiacov o 2</w:t>
      </w:r>
      <w:r>
        <w:rPr>
          <w:noProof/>
        </w:rPr>
        <w:t>7 %</w:t>
      </w:r>
      <w:r>
        <w:rPr>
          <w:noProof/>
          <w:vertAlign w:val="superscript"/>
        </w:rPr>
        <w:footnoteReference w:id="83"/>
      </w:r>
      <w:r>
        <w:rPr>
          <w:noProof/>
        </w:rPr>
        <w:t>. Európa sa navyše vo veľkej miere spolieha na tretie krajiny, pokiaľ ide o špičkové komponenty na spracovanie údajov, najmä mikroprocesory, pričom EÚ pokrýva len asi 10 % ich globálnej produkcie</w:t>
      </w:r>
      <w:r>
        <w:rPr>
          <w:noProof/>
          <w:vertAlign w:val="superscript"/>
        </w:rPr>
        <w:footnoteReference w:id="84"/>
      </w:r>
      <w:r>
        <w:rPr>
          <w:noProof/>
        </w:rPr>
        <w:t>. Globálne napätie rastie, a európske dodávateľské reťaz</w:t>
      </w:r>
      <w:r>
        <w:rPr>
          <w:noProof/>
        </w:rPr>
        <w:t>ce sú tak čoraz zraniteľnejšie.</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47BB5">
        <w:tc>
          <w:tcPr>
            <w:tcW w:w="9360" w:type="dxa"/>
            <w:shd w:val="clear" w:color="auto" w:fill="auto"/>
          </w:tcPr>
          <w:p w:rsidR="00F47BB5" w:rsidRDefault="00A34992">
            <w:pPr>
              <w:widowControl w:val="0"/>
              <w:spacing w:after="120" w:line="276" w:lineRule="auto"/>
              <w:jc w:val="center"/>
              <w:rPr>
                <w:noProof/>
                <w:sz w:val="22"/>
                <w:szCs w:val="22"/>
              </w:rPr>
            </w:pPr>
            <w:r>
              <w:rPr>
                <w:b/>
                <w:bCs/>
                <w:noProof/>
                <w:sz w:val="22"/>
                <w:szCs w:val="22"/>
              </w:rPr>
              <w:t>Rámček 3.1: PRÍPADOVÁ ŠTÚDIA – Kritické suroviny</w:t>
            </w:r>
          </w:p>
          <w:p w:rsidR="00F47BB5" w:rsidRDefault="00A34992">
            <w:pPr>
              <w:widowControl w:val="0"/>
              <w:spacing w:after="120" w:line="276" w:lineRule="auto"/>
              <w:rPr>
                <w:noProof/>
                <w:sz w:val="22"/>
                <w:szCs w:val="22"/>
              </w:rPr>
            </w:pPr>
            <w:r>
              <w:rPr>
                <w:b/>
                <w:bCs/>
                <w:noProof/>
                <w:sz w:val="22"/>
                <w:szCs w:val="22"/>
              </w:rPr>
              <w:t>Aj bez ohľadu na prerušenia dodávok počas krízy spôsobenej ochorením COVID-19 je EÚ vo veľkej miere závislá od krajín mimo EÚ, pokiaľ ide o kritické suroviny, ktoré sú nevyhnu</w:t>
            </w:r>
            <w:r>
              <w:rPr>
                <w:b/>
                <w:bCs/>
                <w:noProof/>
                <w:sz w:val="22"/>
                <w:szCs w:val="22"/>
              </w:rPr>
              <w:t>tné na to, aby sme zostali na poprednom mieste celosvetovej hospodárskej súťaže – či už z hospodárskeho alebo obranného hľadiska</w:t>
            </w:r>
            <w:r>
              <w:rPr>
                <w:noProof/>
                <w:sz w:val="22"/>
                <w:szCs w:val="22"/>
              </w:rPr>
              <w:t xml:space="preserve"> </w:t>
            </w:r>
            <w:r>
              <w:rPr>
                <w:b/>
                <w:bCs/>
                <w:noProof/>
                <w:sz w:val="22"/>
              </w:rPr>
              <w:t>(obrázok 3.1</w:t>
            </w:r>
            <w:r>
              <w:rPr>
                <w:b/>
                <w:bCs/>
                <w:noProof/>
                <w:sz w:val="22"/>
                <w:szCs w:val="22"/>
              </w:rPr>
              <w:t>).</w:t>
            </w:r>
            <w:r>
              <w:rPr>
                <w:noProof/>
                <w:sz w:val="22"/>
                <w:szCs w:val="22"/>
              </w:rPr>
              <w:t xml:space="preserve"> Riešenie nadmernej závislosti od kritických surovín z krajín mimo EÚ</w:t>
            </w:r>
            <w:r>
              <w:rPr>
                <w:rStyle w:val="FootnoteReference"/>
                <w:noProof/>
                <w:sz w:val="22"/>
                <w:szCs w:val="22"/>
              </w:rPr>
              <w:footnoteReference w:id="85"/>
            </w:r>
            <w:r>
              <w:rPr>
                <w:noProof/>
                <w:sz w:val="22"/>
                <w:szCs w:val="22"/>
              </w:rPr>
              <w:t>, ako grafit, kobalt, lítium a prvky vzácny</w:t>
            </w:r>
            <w:r>
              <w:rPr>
                <w:noProof/>
                <w:sz w:val="22"/>
                <w:szCs w:val="22"/>
              </w:rPr>
              <w:t>ch zemín</w:t>
            </w:r>
            <w:r>
              <w:rPr>
                <w:rStyle w:val="FootnoteReference"/>
                <w:noProof/>
                <w:sz w:val="22"/>
                <w:szCs w:val="22"/>
              </w:rPr>
              <w:footnoteReference w:id="86"/>
            </w:r>
            <w:r>
              <w:rPr>
                <w:noProof/>
                <w:sz w:val="22"/>
                <w:szCs w:val="22"/>
              </w:rPr>
              <w:t>, je preto jedným z kľúčových prvkov posilnenia otvorenej strategickej autonómie Európy v kľúčových technológiách, ktoré sú potrebné na dosiahnutie uhlíkovo neutrálnej a digitálnej spoločnosti. Patria sem batérie, palivové články, slnečná a vetern</w:t>
            </w:r>
            <w:r>
              <w:rPr>
                <w:noProof/>
                <w:sz w:val="22"/>
                <w:szCs w:val="22"/>
              </w:rPr>
              <w:t>á energia, ako aj vodík. V nadväznosti na to, ako dochádza k využívaniu čoraz väčšieho počtu týchto technológií, EÚ riskuje, že svoju závislosť od fosílnych palív nahradí závislosťou od celého radu surovín, z ktorých mnohé pochádzajú zo zahraničia. Na zákl</w:t>
            </w:r>
            <w:r>
              <w:rPr>
                <w:noProof/>
                <w:sz w:val="22"/>
                <w:szCs w:val="22"/>
              </w:rPr>
              <w:t>ade scenára vysokého dopytu bude EÚ do roku 2030 potrebovať 18-krát viac lítia a do roku 2050 až 60-krát viac lítia</w:t>
            </w:r>
            <w:r>
              <w:rPr>
                <w:rStyle w:val="FootnoteReference"/>
                <w:noProof/>
                <w:sz w:val="22"/>
                <w:szCs w:val="22"/>
              </w:rPr>
              <w:footnoteReference w:id="87"/>
            </w:r>
            <w:r>
              <w:rPr>
                <w:noProof/>
                <w:sz w:val="22"/>
                <w:szCs w:val="22"/>
              </w:rPr>
              <w:t xml:space="preserve">. </w:t>
            </w:r>
            <w:r>
              <w:rPr>
                <w:b/>
                <w:noProof/>
                <w:sz w:val="22"/>
              </w:rPr>
              <w:t>Obrázok 3.2</w:t>
            </w:r>
            <w:r>
              <w:rPr>
                <w:noProof/>
                <w:sz w:val="22"/>
                <w:szCs w:val="22"/>
              </w:rPr>
              <w:t xml:space="preserve"> ukazuje, že globálna ťažba surovín vrátane kritických surovín sa podľa predpokladov do roku 2050 viac než zdvojnásobí.</w:t>
            </w:r>
          </w:p>
          <w:p w:rsidR="00F47BB5" w:rsidRDefault="00A34992">
            <w:pPr>
              <w:widowControl w:val="0"/>
              <w:spacing w:after="120" w:line="276" w:lineRule="auto"/>
              <w:rPr>
                <w:noProof/>
                <w:color w:val="000000"/>
                <w:sz w:val="22"/>
                <w:szCs w:val="22"/>
              </w:rPr>
            </w:pPr>
            <w:r>
              <w:rPr>
                <w:b/>
                <w:bCs/>
                <w:noProof/>
                <w:color w:val="000000"/>
                <w:sz w:val="22"/>
                <w:szCs w:val="22"/>
              </w:rPr>
              <w:t xml:space="preserve">Vysoká </w:t>
            </w:r>
            <w:r>
              <w:rPr>
                <w:b/>
                <w:bCs/>
                <w:noProof/>
                <w:color w:val="000000"/>
                <w:sz w:val="22"/>
                <w:szCs w:val="22"/>
              </w:rPr>
              <w:t>závislosť si vyžaduje väčšiu odolnosť a diverzifikáciu dodávok</w:t>
            </w:r>
            <w:r>
              <w:rPr>
                <w:noProof/>
                <w:color w:val="000000"/>
                <w:sz w:val="22"/>
                <w:szCs w:val="22"/>
              </w:rPr>
              <w:t xml:space="preserve">, a to najmä lepším využívaním domácich zdrojov EÚ, obehovosťou surovín alebo predlžovaním životnosti výrobkov so zameraním na ich opätovné použitie, opravu a recykláciu, ako aj prostredníctvom </w:t>
            </w:r>
            <w:r>
              <w:rPr>
                <w:noProof/>
                <w:color w:val="000000"/>
                <w:sz w:val="22"/>
                <w:szCs w:val="22"/>
              </w:rPr>
              <w:t>našej strategickej obchodnej politiky a diplomacie.</w:t>
            </w:r>
          </w:p>
          <w:p w:rsidR="00F47BB5" w:rsidRDefault="00A34992">
            <w:pPr>
              <w:widowControl w:val="0"/>
              <w:spacing w:after="120" w:line="276" w:lineRule="auto"/>
              <w:rPr>
                <w:noProof/>
                <w:sz w:val="22"/>
                <w:szCs w:val="22"/>
              </w:rPr>
            </w:pPr>
            <w:r>
              <w:rPr>
                <w:b/>
                <w:bCs/>
                <w:noProof/>
                <w:sz w:val="22"/>
                <w:szCs w:val="22"/>
              </w:rPr>
              <w:t xml:space="preserve">Využívanie </w:t>
            </w:r>
            <w:r>
              <w:rPr>
                <w:b/>
                <w:bCs/>
                <w:i/>
                <w:iCs/>
                <w:noProof/>
                <w:sz w:val="22"/>
                <w:szCs w:val="22"/>
              </w:rPr>
              <w:t>mestských baní</w:t>
            </w:r>
            <w:r>
              <w:rPr>
                <w:b/>
                <w:bCs/>
                <w:noProof/>
                <w:sz w:val="22"/>
                <w:szCs w:val="22"/>
              </w:rPr>
              <w:t>, to znamená získavanie surovín z komunálneho odpadu prostredníctvom recyklácie by mohlo potenciálne uspokojiť veľkú časť dopytu EÚ po kritických surovinách</w:t>
            </w:r>
            <w:r>
              <w:rPr>
                <w:b/>
                <w:noProof/>
                <w:sz w:val="22"/>
                <w:vertAlign w:val="superscript"/>
              </w:rPr>
              <w:footnoteReference w:id="88"/>
            </w:r>
            <w:r>
              <w:rPr>
                <w:b/>
                <w:bCs/>
                <w:noProof/>
                <w:sz w:val="22"/>
                <w:szCs w:val="22"/>
              </w:rPr>
              <w:t>.</w:t>
            </w:r>
            <w:r>
              <w:rPr>
                <w:noProof/>
                <w:sz w:val="22"/>
                <w:szCs w:val="22"/>
              </w:rPr>
              <w:t xml:space="preserve"> </w:t>
            </w:r>
            <w:r>
              <w:rPr>
                <w:noProof/>
                <w:sz w:val="22"/>
              </w:rPr>
              <w:t>Európa je svetovým l</w:t>
            </w:r>
            <w:r>
              <w:rPr>
                <w:noProof/>
                <w:sz w:val="22"/>
              </w:rPr>
              <w:t>ídrom, pokiaľ ide o infraštruktúru na recykláciu kovov, a európsky priemysel získava vyše polovicu svojich základných kovov z recyklovaných zdrojov, pričom vo zvyšku sveta je to len 19 %</w:t>
            </w:r>
            <w:r>
              <w:rPr>
                <w:noProof/>
                <w:sz w:val="22"/>
                <w:szCs w:val="22"/>
              </w:rPr>
              <w:t>. Treba však urobiť viac, ak si má EÚ zabezpečiť zdroje, ktoré potrebu</w:t>
            </w:r>
            <w:r>
              <w:rPr>
                <w:noProof/>
                <w:sz w:val="22"/>
                <w:szCs w:val="22"/>
              </w:rPr>
              <w:t>je na uskutočnenie zelenej a digitálnej transformácie.</w:t>
            </w:r>
          </w:p>
          <w:p w:rsidR="00F47BB5" w:rsidRDefault="00A34992">
            <w:pPr>
              <w:widowControl w:val="0"/>
              <w:spacing w:after="120" w:line="276" w:lineRule="auto"/>
              <w:rPr>
                <w:noProof/>
                <w:color w:val="000000"/>
                <w:sz w:val="22"/>
              </w:rPr>
            </w:pPr>
            <w:r>
              <w:rPr>
                <w:b/>
                <w:bCs/>
                <w:noProof/>
                <w:color w:val="000000"/>
                <w:sz w:val="22"/>
                <w:szCs w:val="22"/>
              </w:rPr>
              <w:t>Vlastné zdroje nerastných surovín v Európe sú nedostatočne využívané</w:t>
            </w:r>
            <w:r>
              <w:rPr>
                <w:b/>
                <w:bCs/>
                <w:noProof/>
                <w:sz w:val="22"/>
                <w:szCs w:val="22"/>
              </w:rPr>
              <w:t xml:space="preserve"> a EÚ trpí slabými miestami v oblasti spracovania, recyklácie, rafinácie a separácie</w:t>
            </w:r>
            <w:r>
              <w:rPr>
                <w:b/>
                <w:noProof/>
                <w:color w:val="000000"/>
                <w:sz w:val="22"/>
                <w:vertAlign w:val="superscript"/>
              </w:rPr>
              <w:footnoteReference w:id="89"/>
            </w:r>
            <w:r>
              <w:rPr>
                <w:b/>
                <w:bCs/>
                <w:noProof/>
                <w:sz w:val="22"/>
                <w:szCs w:val="22"/>
              </w:rPr>
              <w:t>.</w:t>
            </w:r>
            <w:r>
              <w:rPr>
                <w:i/>
                <w:iCs/>
                <w:noProof/>
                <w:sz w:val="22"/>
                <w:szCs w:val="22"/>
              </w:rPr>
              <w:t xml:space="preserve"> </w:t>
            </w:r>
            <w:r>
              <w:rPr>
                <w:noProof/>
                <w:color w:val="000000"/>
                <w:sz w:val="22"/>
                <w:szCs w:val="22"/>
              </w:rPr>
              <w:t>Je to spôsobené vysokými výrobnými nákladmi v </w:t>
            </w:r>
            <w:r>
              <w:rPr>
                <w:noProof/>
                <w:color w:val="000000"/>
                <w:sz w:val="22"/>
                <w:szCs w:val="22"/>
              </w:rPr>
              <w:t>porovnaní s globálnymi trhovými cenami, vysokými environmentálnymi normami a súčasnou nízkou úrovňou akceptácie verejnosťou. Investície do výroby prvotných a druhotných surovín by prospeli zamestnanosti vo všetkých výrobných odvetviach. Ťažba a rafinácia v</w:t>
            </w:r>
            <w:r>
              <w:rPr>
                <w:noProof/>
                <w:color w:val="000000"/>
                <w:sz w:val="22"/>
                <w:szCs w:val="22"/>
              </w:rPr>
              <w:t xml:space="preserve"> EÚ už zamestnávajú 3,4 milióna pracovníkov, zatiaľ čo súvisiaca výroba predstavuje ďalších 25 miliónov pracovných miest. Opravy a zhodnocovanie materiálov poskytujú zamestnanie 2,2 miliónom ľudí, pričom tento počet narastá. </w:t>
            </w:r>
            <w:r>
              <w:rPr>
                <w:noProof/>
                <w:sz w:val="22"/>
                <w:szCs w:val="22"/>
              </w:rPr>
              <w:t>Tieto investície by mohli pomôc</w:t>
            </w:r>
            <w:r>
              <w:rPr>
                <w:noProof/>
                <w:sz w:val="22"/>
                <w:szCs w:val="22"/>
              </w:rPr>
              <w:t>ť zachovať existujúce geologické a metalurgické technologické zručnosti a dokonca rozvinúť nové zručnosti</w:t>
            </w:r>
            <w:r>
              <w:rPr>
                <w:noProof/>
                <w:color w:val="000000"/>
                <w:sz w:val="22"/>
                <w:szCs w:val="22"/>
              </w:rPr>
              <w:t xml:space="preserve"> na posilnenie globálnej konkurencieschopnosti EÚ v sektore, ktorý v 21. storočí vykazuje solídny potenciál rastu. Investície do ťažobných kapacít EÚ b</w:t>
            </w:r>
            <w:r>
              <w:rPr>
                <w:noProof/>
                <w:color w:val="000000"/>
                <w:sz w:val="22"/>
                <w:szCs w:val="22"/>
              </w:rPr>
              <w:t>y však nemali byť na úkor environmentálnych štandardov.</w:t>
            </w:r>
          </w:p>
          <w:p w:rsidR="00F47BB5" w:rsidRDefault="00A34992">
            <w:pPr>
              <w:keepNext/>
              <w:spacing w:after="0" w:line="276" w:lineRule="auto"/>
              <w:jc w:val="center"/>
              <w:rPr>
                <w:noProof/>
              </w:rPr>
            </w:pPr>
            <w:r>
              <w:rPr>
                <w:b/>
                <w:bCs/>
                <w:noProof/>
                <w:sz w:val="22"/>
                <w:szCs w:val="22"/>
              </w:rPr>
              <w:t>Obrázok 3.</w:t>
            </w:r>
            <w:r>
              <w:rPr>
                <w:b/>
                <w:noProof/>
                <w:sz w:val="22"/>
              </w:rPr>
              <w:t>1</w:t>
            </w:r>
            <w:r>
              <w:rPr>
                <w:rStyle w:val="FootnoteReference"/>
                <w:b/>
                <w:noProof/>
                <w:sz w:val="22"/>
              </w:rPr>
              <w:footnoteReference w:id="90"/>
            </w:r>
            <w:r>
              <w:rPr>
                <w:b/>
                <w:noProof/>
                <w:sz w:val="22"/>
              </w:rPr>
              <w:t xml:space="preserve"> </w:t>
            </w:r>
            <w:r>
              <w:rPr>
                <w:b/>
                <w:bCs/>
                <w:noProof/>
                <w:sz w:val="22"/>
                <w:szCs w:val="22"/>
              </w:rPr>
              <w:t>Riziko ohrozujúce dodávky surovín pre kľúčové technológie</w:t>
            </w:r>
            <w:r>
              <w:rPr>
                <w:b/>
                <w:noProof/>
                <w:sz w:val="22"/>
                <w:vertAlign w:val="superscript"/>
              </w:rPr>
              <w:footnoteReference w:id="91"/>
            </w:r>
            <w:r>
              <w:rPr>
                <w:noProof/>
                <w:lang w:val="en-GB"/>
              </w:rPr>
              <w:drawing>
                <wp:inline distT="0" distB="0" distL="0" distR="0">
                  <wp:extent cx="3782990" cy="5432886"/>
                  <wp:effectExtent l="0" t="5715"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5400000">
                            <a:off x="0" y="0"/>
                            <a:ext cx="3788398" cy="5440652"/>
                          </a:xfrm>
                          <a:prstGeom prst="rect">
                            <a:avLst/>
                          </a:prstGeom>
                        </pic:spPr>
                      </pic:pic>
                    </a:graphicData>
                  </a:graphic>
                </wp:inline>
              </w:drawing>
            </w:r>
          </w:p>
          <w:p w:rsidR="00F47BB5" w:rsidRDefault="00A34992">
            <w:pPr>
              <w:spacing w:after="0" w:line="276" w:lineRule="auto"/>
              <w:jc w:val="center"/>
              <w:rPr>
                <w:b/>
                <w:bCs/>
                <w:noProof/>
                <w:sz w:val="22"/>
                <w:szCs w:val="22"/>
              </w:rPr>
            </w:pPr>
            <w:r>
              <w:rPr>
                <w:b/>
                <w:bCs/>
                <w:noProof/>
                <w:sz w:val="22"/>
                <w:szCs w:val="22"/>
              </w:rPr>
              <w:t>Obrázok 3.2 Globálna ťažba materiálov podľa druhu zdroja</w:t>
            </w:r>
            <w:r>
              <w:rPr>
                <w:b/>
                <w:noProof/>
                <w:sz w:val="22"/>
                <w:vertAlign w:val="superscript"/>
              </w:rPr>
              <w:footnoteReference w:id="92"/>
            </w:r>
          </w:p>
          <w:p w:rsidR="00F47BB5" w:rsidRDefault="00A34992">
            <w:pPr>
              <w:widowControl w:val="0"/>
              <w:spacing w:after="120" w:line="276" w:lineRule="auto"/>
              <w:rPr>
                <w:noProof/>
                <w:sz w:val="22"/>
              </w:rPr>
            </w:pPr>
            <w:r>
              <w:rPr>
                <w:noProof/>
                <w:lang w:val="en-GB"/>
              </w:rPr>
              <w:drawing>
                <wp:inline distT="0" distB="0" distL="0" distR="0">
                  <wp:extent cx="5806440" cy="178308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06440" cy="1783080"/>
                          </a:xfrm>
                          <a:prstGeom prst="rect">
                            <a:avLst/>
                          </a:prstGeom>
                        </pic:spPr>
                      </pic:pic>
                    </a:graphicData>
                  </a:graphic>
                </wp:inline>
              </w:drawing>
            </w:r>
          </w:p>
        </w:tc>
      </w:tr>
    </w:tbl>
    <w:p w:rsidR="00F47BB5" w:rsidRDefault="00F47BB5">
      <w:pPr>
        <w:spacing w:before="100" w:beforeAutospacing="1" w:after="100" w:afterAutospacing="1" w:line="276" w:lineRule="auto"/>
        <w:rPr>
          <w:b/>
          <w:noProof/>
        </w:rPr>
      </w:pPr>
    </w:p>
    <w:p w:rsidR="00F47BB5" w:rsidRDefault="00A34992">
      <w:pPr>
        <w:spacing w:before="100" w:beforeAutospacing="1" w:after="100" w:afterAutospacing="1" w:line="276" w:lineRule="auto"/>
        <w:rPr>
          <w:rFonts w:ascii="Calibri" w:eastAsia="Calibri" w:hAnsi="Calibri"/>
          <w:b/>
          <w:noProof/>
          <w:sz w:val="22"/>
        </w:rPr>
      </w:pPr>
      <w:r>
        <w:rPr>
          <w:b/>
          <w:noProof/>
        </w:rPr>
        <w:t xml:space="preserve">Obchod a investície prudko poklesli, a oslabili tak globálnu prosperitu and stabilitu. </w:t>
      </w:r>
      <w:r>
        <w:rPr>
          <w:noProof/>
        </w:rPr>
        <w:t>Podľa odhadov sa objem svetového obchodu v roku 2020 zníži o 9 % (MMF) až 32 % (WTO), zatiaľ čo priame zahraničné investície sa v prvom polroku 2020 oproti rovnakému obd</w:t>
      </w:r>
      <w:r>
        <w:rPr>
          <w:noProof/>
        </w:rPr>
        <w:t>obiu roku 2019 znížili o 28,2 %</w:t>
      </w:r>
      <w:r>
        <w:rPr>
          <w:rStyle w:val="FootnoteReference"/>
          <w:noProof/>
        </w:rPr>
        <w:footnoteReference w:id="93"/>
      </w:r>
      <w:r>
        <w:rPr>
          <w:noProof/>
        </w:rPr>
        <w:t>.</w:t>
      </w:r>
    </w:p>
    <w:p w:rsidR="00F47BB5" w:rsidRDefault="00A34992">
      <w:pPr>
        <w:spacing w:after="120" w:line="276" w:lineRule="auto"/>
        <w:rPr>
          <w:noProof/>
        </w:rPr>
      </w:pPr>
      <w:r>
        <w:rPr>
          <w:b/>
          <w:bCs/>
          <w:noProof/>
        </w:rPr>
        <w:t xml:space="preserve">Hospodárska suverenita Európy je ohrozená. </w:t>
      </w:r>
      <w:r>
        <w:rPr>
          <w:noProof/>
        </w:rPr>
        <w:t>Iné globálne mocnosti spájajú geopolitické a hospodárske záujmy s cieľom zvýšiť svoj vplyv vo svete. Zahŕňa to aj protekcionizmus, kontrolu vývozu a medzinárodnú úlohu jednotlivýc</w:t>
      </w:r>
      <w:r>
        <w:rPr>
          <w:noProof/>
        </w:rPr>
        <w:t xml:space="preserve">h mien. Hoci medzinárodná úloha eura rastie, stále nie je ani zďaleka na úrovni amerického dolára. Pandémia COVID-19 vyvinula na priemyselné a korporátne aktíva Európy značný tlak, z čoho vyplynula potreba chrániť si hospodársku suverenitu prostredníctvom </w:t>
      </w:r>
      <w:r>
        <w:rPr>
          <w:noProof/>
        </w:rPr>
        <w:t>integrovanej stratégie</w:t>
      </w:r>
      <w:r>
        <w:rPr>
          <w:rStyle w:val="FootnoteReference"/>
          <w:bCs/>
          <w:noProof/>
        </w:rPr>
        <w:footnoteReference w:id="94"/>
      </w:r>
      <w:r>
        <w:rPr>
          <w:noProof/>
        </w:rPr>
        <w:t>. Platobná neschopnosť spôsobená pandémiou vystavuje strategické odvetvia EÚ nepriateľským zahraničným akvizíciám. V dôsledku toho rastie pravdepodobnosť, že zahraniční investori sa pokúsia nadobudnúť strategické európske aktíva, a t</w:t>
      </w:r>
      <w:r>
        <w:rPr>
          <w:noProof/>
        </w:rPr>
        <w:t>o najmä v oblasti zdravotníctva, obrany a vesmírnych dodávateľských reťazcov</w:t>
      </w:r>
      <w:r>
        <w:rPr>
          <w:rStyle w:val="FootnoteReference"/>
          <w:noProof/>
        </w:rPr>
        <w:footnoteReference w:id="95"/>
      </w:r>
      <w:r>
        <w:rPr>
          <w:noProof/>
        </w:rPr>
        <w:t>, ako aj v prípade kritickej infraštruktúry. Ak chceme zachovať spoločnosti a kritické aktíva EÚ, je potrebné, aby otvorenosť EÚ voči zahraničným investíciám bola vyvážená primera</w:t>
      </w:r>
      <w:r>
        <w:rPr>
          <w:noProof/>
        </w:rPr>
        <w:t>nými nástrojmi</w:t>
      </w:r>
      <w:r>
        <w:rPr>
          <w:noProof/>
          <w:vertAlign w:val="superscript"/>
        </w:rPr>
        <w:footnoteReference w:id="96"/>
      </w:r>
      <w:r>
        <w:rPr>
          <w:noProof/>
        </w:rPr>
        <w:t>. Nariadenie o preverovaní priamych zahraničných investícií</w:t>
      </w:r>
      <w:r>
        <w:rPr>
          <w:rStyle w:val="FootnoteReference"/>
          <w:noProof/>
        </w:rPr>
        <w:footnoteReference w:id="97"/>
      </w:r>
      <w:r>
        <w:rPr>
          <w:noProof/>
        </w:rPr>
        <w:t xml:space="preserve"> pomôže chrániť bezpečnosť a verejný poriadok Európy prostredníctvom mechanizmu spolupráce medzi Komisiou a členskými štátmi, ktorý bude riešiť obavy týkajúce sa prichádzajúcich pri</w:t>
      </w:r>
      <w:r>
        <w:rPr>
          <w:noProof/>
        </w:rPr>
        <w:t>amych zahraničných investícií. Pozornosť by sa mala venovať aj zahraničným dotáciám, pretože môžu narušiť vnútorný trh EÚ a ohroziť rovnaké podmienky na ňom</w:t>
      </w:r>
      <w:r>
        <w:rPr>
          <w:noProof/>
          <w:vertAlign w:val="superscript"/>
        </w:rPr>
        <w:footnoteReference w:id="98"/>
      </w:r>
      <w:r>
        <w:rPr>
          <w:noProof/>
        </w:rPr>
        <w:t>.</w:t>
      </w:r>
    </w:p>
    <w:p w:rsidR="00F47BB5" w:rsidRDefault="00A34992">
      <w:pPr>
        <w:spacing w:after="120" w:line="276" w:lineRule="auto"/>
        <w:rPr>
          <w:noProof/>
        </w:rPr>
      </w:pPr>
      <w:r>
        <w:rPr>
          <w:b/>
          <w:noProof/>
        </w:rPr>
        <w:t>Kríza urýchlila útoky autoritárskych režimov na demokratické systémy využívaním zavádzajúcej réto</w:t>
      </w:r>
      <w:r>
        <w:rPr>
          <w:b/>
          <w:noProof/>
        </w:rPr>
        <w:t xml:space="preserve">riky. </w:t>
      </w:r>
      <w:r>
        <w:rPr>
          <w:noProof/>
        </w:rPr>
        <w:t>Šírenie mylných informácií, dezinformácií a konšpiračných teórií predstavuje hrozbu pre demokraciu</w:t>
      </w:r>
      <w:r>
        <w:rPr>
          <w:noProof/>
          <w:vertAlign w:val="superscript"/>
        </w:rPr>
        <w:footnoteReference w:id="99"/>
      </w:r>
      <w:r>
        <w:rPr>
          <w:noProof/>
        </w:rPr>
        <w:t>. Konšpiračné teórie o ochorení COVID-19 a šírenie všeobecnej nedôvery voči vakcínam naďalej ohrozujú životy ľudí</w:t>
      </w:r>
      <w:r>
        <w:rPr>
          <w:noProof/>
          <w:vertAlign w:val="superscript"/>
        </w:rPr>
        <w:footnoteReference w:id="100"/>
      </w:r>
      <w:r>
        <w:rPr>
          <w:noProof/>
        </w:rPr>
        <w:t>. Takéto „infodémie“</w:t>
      </w:r>
      <w:r>
        <w:rPr>
          <w:noProof/>
          <w:vertAlign w:val="superscript"/>
        </w:rPr>
        <w:footnoteReference w:id="101"/>
      </w:r>
      <w:r>
        <w:rPr>
          <w:noProof/>
        </w:rPr>
        <w:t xml:space="preserve"> sú príčinou i n</w:t>
      </w:r>
      <w:r>
        <w:rPr>
          <w:noProof/>
        </w:rPr>
        <w:t>ásledkom rastúcej nedôvery voči vládam a médiám</w:t>
      </w:r>
      <w:r>
        <w:rPr>
          <w:noProof/>
          <w:vertAlign w:val="superscript"/>
        </w:rPr>
        <w:footnoteReference w:id="102"/>
      </w:r>
      <w:r>
        <w:rPr>
          <w:noProof/>
        </w:rPr>
        <w:t>, v dôsledku čoho rastú tlaky na EÚ, aby energickejšie chránila hodnoty, na ktorých je postavená, a aby zintenzívnila úsilie o obranu demokracie a právneho štátu. Inštitúcie EÚ prispievajú k boju proti mylným</w:t>
      </w:r>
      <w:r>
        <w:rPr>
          <w:noProof/>
        </w:rPr>
        <w:t xml:space="preserve"> informáciám a dezinformáciám</w:t>
      </w:r>
      <w:r>
        <w:rPr>
          <w:noProof/>
          <w:vertAlign w:val="superscript"/>
        </w:rPr>
        <w:footnoteReference w:id="103"/>
      </w:r>
      <w:r>
        <w:rPr>
          <w:noProof/>
        </w:rPr>
        <w:t>, čím zvyšujú demokratickú odolnosť, na ktorú sa sústreďuje pozornosť nadchádzajúceho akčného plánu pre európsku demokraciu.</w:t>
      </w:r>
    </w:p>
    <w:p w:rsidR="00F47BB5" w:rsidRDefault="00A34992">
      <w:pPr>
        <w:spacing w:line="276" w:lineRule="auto"/>
        <w:rPr>
          <w:b/>
          <w:i/>
          <w:noProof/>
          <w:u w:val="single"/>
        </w:rPr>
      </w:pPr>
      <w:r>
        <w:rPr>
          <w:b/>
          <w:bCs/>
          <w:i/>
          <w:iCs/>
          <w:noProof/>
          <w:u w:val="single"/>
        </w:rPr>
        <w:t>Príležitosti</w:t>
      </w:r>
    </w:p>
    <w:p w:rsidR="00F47BB5" w:rsidRDefault="00A34992">
      <w:pPr>
        <w:spacing w:after="120" w:line="276" w:lineRule="auto"/>
        <w:rPr>
          <w:noProof/>
        </w:rPr>
      </w:pPr>
      <w:bookmarkStart w:id="826" w:name="_Toc45892534"/>
      <w:bookmarkStart w:id="827" w:name="_Toc46992669"/>
      <w:bookmarkStart w:id="828" w:name="_Toc47944129"/>
      <w:bookmarkStart w:id="829" w:name="_Toc47971934"/>
      <w:bookmarkStart w:id="830" w:name="_Toc47976571"/>
      <w:bookmarkStart w:id="831" w:name="_Toc47978146"/>
      <w:bookmarkStart w:id="832" w:name="_Toc47981404"/>
      <w:bookmarkStart w:id="833" w:name="_Toc45883754"/>
      <w:bookmarkStart w:id="834" w:name="_Toc45883849"/>
      <w:bookmarkStart w:id="835" w:name="_Toc45892535"/>
      <w:bookmarkStart w:id="836" w:name="_Toc45892874"/>
      <w:bookmarkStart w:id="837" w:name="_Toc45893024"/>
      <w:bookmarkEnd w:id="826"/>
      <w:bookmarkEnd w:id="827"/>
      <w:r>
        <w:rPr>
          <w:b/>
          <w:noProof/>
        </w:rPr>
        <w:t>Prechod na čoraz viac multipolárny svet ponúka Európe novú príležitosť posilniť svoju úl</w:t>
      </w:r>
      <w:r>
        <w:rPr>
          <w:b/>
          <w:noProof/>
        </w:rPr>
        <w:t xml:space="preserve">ohu v globálnom poriadku a viesť oživenie multilaterálnych štruktúr správy a riadenia. </w:t>
      </w:r>
      <w:r>
        <w:rPr>
          <w:noProof/>
        </w:rPr>
        <w:t xml:space="preserve">Proces globalizácie, ktorý sa dočasne spomalil, sa po skončení krízy pravdepodobne opäť rozbehne. Zároveň možno konštatovať, že </w:t>
      </w:r>
      <w:r>
        <w:rPr>
          <w:i/>
          <w:noProof/>
        </w:rPr>
        <w:t>glokalizácia</w:t>
      </w:r>
      <w:r>
        <w:rPr>
          <w:noProof/>
        </w:rPr>
        <w:t xml:space="preserve"> – kombinácia globálnych obch</w:t>
      </w:r>
      <w:r>
        <w:rPr>
          <w:noProof/>
        </w:rPr>
        <w:t>odných modelov s väčším ohľadom na lokalizáciu výroby, spotreby a zdaňovania – ponúka EÚ nové príležitosti, aby sa etablovala ako líder a vzorová mocnosť pre svet, ak na to budú tie správne podmienky (napr. zdaňovanie, dostupnosť financovania, štandardy).</w:t>
      </w:r>
    </w:p>
    <w:p w:rsidR="00F47BB5" w:rsidRDefault="00A34992">
      <w:pPr>
        <w:spacing w:after="120" w:line="276" w:lineRule="auto"/>
        <w:rPr>
          <w:noProof/>
        </w:rPr>
      </w:pPr>
      <w:r>
        <w:rPr>
          <w:b/>
          <w:noProof/>
        </w:rPr>
        <w:t xml:space="preserve">Čoraz dôležitejšia je v tejto súvislosti silná spolupráca s podobne zmýšľajúcimi demokraciami. </w:t>
      </w:r>
      <w:r>
        <w:rPr>
          <w:noProof/>
        </w:rPr>
        <w:t>EÚ musí chrániť otvorenosť a demokratický charakter svojho modelu a musí v tomto úsilí mobilizovať svojich partnerov a chrániť svoje základné hodnoty pred zahran</w:t>
      </w:r>
      <w:r>
        <w:rPr>
          <w:noProof/>
        </w:rPr>
        <w:t>ičným zasahovaním. Ochrana demokracie, ľudských práv a zásad právneho štátu sa musí začať na domácej pôde a mala by byť naďalej základnou zásadou vonkajších vzťahov EÚ, a to aj pokiaľ ide o digitálne technológie. Spolupráca založená na konkrétnych témach a</w:t>
      </w:r>
      <w:r>
        <w:rPr>
          <w:noProof/>
        </w:rPr>
        <w:t> partnerstvá s podobne zmýšľajúcimi krajinami a inými krajinami všade, kde je to možné, sú investíciou do multilaterálnej správy a riadenia a iniciatív. Vďaka svojej schopnosti povolať ostatných sa EÚ môže stať pre krajiny na celom svete partnerom prvej vo</w:t>
      </w:r>
      <w:r>
        <w:rPr>
          <w:noProof/>
        </w:rPr>
        <w:t>ľby.</w:t>
      </w:r>
    </w:p>
    <w:p w:rsidR="00F47BB5" w:rsidRDefault="00A34992">
      <w:pPr>
        <w:spacing w:after="120" w:line="276" w:lineRule="auto"/>
        <w:rPr>
          <w:noProof/>
        </w:rPr>
      </w:pPr>
      <w:r>
        <w:rPr>
          <w:b/>
          <w:bCs/>
          <w:noProof/>
        </w:rPr>
        <w:t>Posilnenie otvorenej strategickej autonómie Európy je nevyhnutným imperatívom</w:t>
      </w:r>
      <w:r>
        <w:rPr>
          <w:b/>
          <w:noProof/>
        </w:rPr>
        <w:t xml:space="preserve">. </w:t>
      </w:r>
      <w:r>
        <w:rPr>
          <w:noProof/>
        </w:rPr>
        <w:t>Kríza ponúka hospodársku, sociálnu a zelenú príležitosť posilniť odolnosť EÚ voči budúcim otrasom a zabezpečiť jej postavenie v globálnych hodnotových reťazcoch novej gener</w:t>
      </w:r>
      <w:r>
        <w:rPr>
          <w:noProof/>
        </w:rPr>
        <w:t>ácie. Ako sa uvádza v Pláne obnovy pre Európu, znamená to formovanie globálnej správy hospodárskych záležitostí, rozvoj vzájomne prospešných dvojstranných vzťahov a zároveň ochranu pred nekalými a zneužívajúcimi praktikami. Má to kľúčový význam, ak máme EÚ</w:t>
      </w:r>
      <w:r>
        <w:rPr>
          <w:noProof/>
        </w:rPr>
        <w:t xml:space="preserve"> pomôcť pri diverzifikácii a upevnení globálnych dodávateľských reťazcov v kritických odvetviach, zintenzívnení vzťahov s partnermi vrátane Afriky, v prípade potreby aj pri presmerovaní výroby, rozvoji náhradných riešení prostredníctvom inovácií a zvyšovan</w:t>
      </w:r>
      <w:r>
        <w:rPr>
          <w:noProof/>
        </w:rPr>
        <w:t>í našich strategických rezerv</w:t>
      </w:r>
      <w:r>
        <w:rPr>
          <w:noProof/>
          <w:vertAlign w:val="superscript"/>
        </w:rPr>
        <w:footnoteReference w:id="104"/>
      </w:r>
      <w:r>
        <w:rPr>
          <w:noProof/>
        </w:rPr>
        <w:t>.</w:t>
      </w:r>
    </w:p>
    <w:p w:rsidR="00F47BB5" w:rsidRDefault="00A34992">
      <w:pPr>
        <w:spacing w:after="120" w:line="276" w:lineRule="auto"/>
        <w:rPr>
          <w:noProof/>
        </w:rPr>
      </w:pPr>
      <w:r>
        <w:rPr>
          <w:b/>
          <w:noProof/>
        </w:rPr>
        <w:t>V celej EÚ zároveň treba zabezpečiť spoľahlivé dodávky potravín</w:t>
      </w:r>
      <w:r>
        <w:rPr>
          <w:noProof/>
        </w:rPr>
        <w:t xml:space="preserve">. Komisia bude preto naďalej monitorovať potravinovú bezpečnosť a konkurencieschopnosť. Bude ďalej posudzovať odolnosť potravinového systému a zintenzívni svoju </w:t>
      </w:r>
      <w:r>
        <w:rPr>
          <w:noProof/>
        </w:rPr>
        <w:t>koordináciu spoločnej európskej reakcie na krízy. Ako najväčší dovozca a vývozca agropotravinárskych výrobkov bude EÚ naďalej podporovať globálny prechod na udržateľné potravinové systémy.</w:t>
      </w:r>
    </w:p>
    <w:p w:rsidR="00F47BB5" w:rsidRDefault="00A34992">
      <w:pPr>
        <w:spacing w:after="120" w:line="276" w:lineRule="auto"/>
        <w:rPr>
          <w:noProof/>
        </w:rPr>
      </w:pPr>
      <w:r>
        <w:rPr>
          <w:b/>
          <w:bCs/>
          <w:noProof/>
        </w:rPr>
        <w:t xml:space="preserve">Strategickejšie vnímanie surovín má v tomto ohľade </w:t>
      </w:r>
      <w:r>
        <w:rPr>
          <w:b/>
          <w:noProof/>
        </w:rPr>
        <w:t>zásadný význam.</w:t>
      </w:r>
      <w:r>
        <w:rPr>
          <w:noProof/>
        </w:rPr>
        <w:t xml:space="preserve"> </w:t>
      </w:r>
      <w:r>
        <w:rPr>
          <w:noProof/>
        </w:rPr>
        <w:t>EÚ musí zabezpečiť udržateľné dodávky kritických surovín. To znamená budovanie diverzifikovaných hodnotových reťazcov, znižovanie závislosti, zvyšovanie obehovosti, podporu inovácií pre alternatívne riešenia a zabezpečenie zelenejších a sociálne zodpovedne</w:t>
      </w:r>
      <w:r>
        <w:rPr>
          <w:noProof/>
        </w:rPr>
        <w:t>jších rovnakých podmienok na jednotnom trhu aj mimo neho.</w:t>
      </w:r>
      <w:r>
        <w:rPr>
          <w:b/>
          <w:bCs/>
          <w:noProof/>
        </w:rPr>
        <w:t xml:space="preserve"> </w:t>
      </w:r>
      <w:r>
        <w:rPr>
          <w:noProof/>
        </w:rPr>
        <w:t>Medzi kľúčové príležitosti patrí nadchádzajúca Európska aliancia pre suroviny</w:t>
      </w:r>
      <w:r>
        <w:rPr>
          <w:noProof/>
          <w:vertAlign w:val="superscript"/>
        </w:rPr>
        <w:footnoteReference w:id="105"/>
      </w:r>
      <w:r>
        <w:rPr>
          <w:noProof/>
        </w:rPr>
        <w:t xml:space="preserve"> a spravodajská kapacita EÚ pre suroviny</w:t>
      </w:r>
      <w:r>
        <w:rPr>
          <w:noProof/>
          <w:vertAlign w:val="superscript"/>
        </w:rPr>
        <w:footnoteReference w:id="106"/>
      </w:r>
      <w:r>
        <w:rPr>
          <w:noProof/>
        </w:rPr>
        <w:t>, ktoré budú túto problematiku skúmať spolu so samotným odvetvím a ďalšími kľúč</w:t>
      </w:r>
      <w:r>
        <w:rPr>
          <w:noProof/>
        </w:rPr>
        <w:t>ovými zainteresovanými stranami.</w:t>
      </w:r>
    </w:p>
    <w:p w:rsidR="00F47BB5" w:rsidRDefault="00A34992">
      <w:pPr>
        <w:spacing w:after="120" w:line="276" w:lineRule="auto"/>
        <w:rPr>
          <w:b/>
          <w:noProof/>
        </w:rPr>
      </w:pPr>
      <w:r>
        <w:rPr>
          <w:b/>
          <w:bCs/>
          <w:noProof/>
        </w:rPr>
        <w:t>Kľúčovými cieľmi pre EÚ sú stabilný systém obchodovania založený na pravidlách a rovnaké podmienky pre všetkých</w:t>
      </w:r>
      <w:r>
        <w:rPr>
          <w:b/>
          <w:noProof/>
        </w:rPr>
        <w:t>.</w:t>
      </w:r>
      <w:r>
        <w:rPr>
          <w:noProof/>
        </w:rPr>
        <w:t xml:space="preserve"> Len silná obchodná a investičná politika môže podporiť obnovu hospodárstva po pandémii COVID-19, vytvoriť prac</w:t>
      </w:r>
      <w:r>
        <w:rPr>
          <w:noProof/>
        </w:rPr>
        <w:t>ovné miesta, ochrániť spoločnosti EÚ pred nekalými praktikami doma aj v zahraničí a zabezpečiť súlad so širšími prioritami v oblasti udržateľnosti, zmeny klímy, digitálneho hospodárstva a bezpečnosti</w:t>
      </w:r>
      <w:r>
        <w:rPr>
          <w:rStyle w:val="FootnoteReference"/>
          <w:noProof/>
        </w:rPr>
        <w:footnoteReference w:id="107"/>
      </w:r>
      <w:r>
        <w:rPr>
          <w:noProof/>
        </w:rPr>
        <w:t>. Súčasná kríza môže byť príležitosťou na podnietenie zm</w:t>
      </w:r>
      <w:r>
        <w:rPr>
          <w:noProof/>
        </w:rPr>
        <w:t>ysluplných reforiem Svetovej obchodnej organizácie (WTO) a vybudovanie konkurencieschopnejších, udržateľnejších a odolnejších hospodárstiev. EÚ už v rámci WTO spustila iniciatívu v oblasti zdravia s cieľom ďalej podporovať celosvetovú dostupnosť a poskytov</w:t>
      </w:r>
      <w:r>
        <w:rPr>
          <w:noProof/>
        </w:rPr>
        <w:t>anie základných zdravotníckych výrobkov. EÚ sa aktuálne nachádza v procese preskúmania svojej obchodnej politiky s cieľom posilniť svoju otvorenú strategickú autonómiu.</w:t>
      </w:r>
    </w:p>
    <w:p w:rsidR="00F47BB5" w:rsidRDefault="00A34992">
      <w:pPr>
        <w:spacing w:after="120" w:line="276" w:lineRule="auto"/>
        <w:rPr>
          <w:noProof/>
        </w:rPr>
      </w:pPr>
      <w:r>
        <w:rPr>
          <w:b/>
          <w:noProof/>
        </w:rPr>
        <w:t>Priekopníkmi tejto zmeny môžu byť priemyselné aliancie, ktoré združujú investorov, vere</w:t>
      </w:r>
      <w:r>
        <w:rPr>
          <w:b/>
          <w:noProof/>
        </w:rPr>
        <w:t>jné inštitúcie a priemyselných partnerov, ktoré budú pomáhať priemyslu rozvíjať strategické technológie.</w:t>
      </w:r>
      <w:r>
        <w:rPr>
          <w:noProof/>
        </w:rPr>
        <w:t xml:space="preserve"> Tento prístup už prináša výsledky v oblasti batérií a vodíkových technológií. V tejto súvislosti niekoľko súčasných a budúcich aliancií</w:t>
      </w:r>
      <w:r>
        <w:rPr>
          <w:rStyle w:val="FootnoteReference"/>
          <w:noProof/>
        </w:rPr>
        <w:footnoteReference w:id="108"/>
      </w:r>
      <w:r>
        <w:rPr>
          <w:noProof/>
        </w:rPr>
        <w:t xml:space="preserve"> pomôže Európe </w:t>
      </w:r>
      <w:r>
        <w:rPr>
          <w:noProof/>
        </w:rPr>
        <w:t>viesť zelenú a digitálnu transformáciu, udržať si vedúce postavenie svojho priemyslu a priniesť prospech európskym podnikom a celej spoločnosti, pričom sa súčasne posilní odolnosť Európy.</w:t>
      </w:r>
    </w:p>
    <w:p w:rsidR="00F47BB5" w:rsidRDefault="00A34992">
      <w:pPr>
        <w:spacing w:after="120" w:line="276" w:lineRule="auto"/>
        <w:rPr>
          <w:noProof/>
        </w:rPr>
      </w:pPr>
      <w:r>
        <w:rPr>
          <w:b/>
          <w:noProof/>
          <w:u w:val="single"/>
        </w:rPr>
        <w:t>Strategický výhľad sa môže použiť na identifikáciu možných scenárov,</w:t>
      </w:r>
      <w:r>
        <w:rPr>
          <w:b/>
          <w:noProof/>
          <w:u w:val="single"/>
        </w:rPr>
        <w:t xml:space="preserve"> aké miesto bude EÚ zastávať v budúcom globálnom poriadku a kade vedie najlepšia cesta k želanej budúcnosti</w:t>
      </w:r>
      <w:r>
        <w:rPr>
          <w:b/>
          <w:noProof/>
        </w:rPr>
        <w:t xml:space="preserve">. </w:t>
      </w:r>
      <w:r>
        <w:rPr>
          <w:noProof/>
        </w:rPr>
        <w:t>Môže pomôcť vypracovať prospektívnu analýzu toho, ako využívať vplyv EÚ na podporu jej stratégií v oblasti spolupráce a partnerstiev. Zároveň pomáh</w:t>
      </w:r>
      <w:r>
        <w:rPr>
          <w:noProof/>
        </w:rPr>
        <w:t>a identifikovať možné spojenectvá, analyzovať rozličné ekosystémy a posudzovať riziká, príležitosti a budúce potreby strategických odvetví. Strategický výhľad navyše pomáha zadefinovať strategické možnosti vytvoriť čo najlepšiu kombináciu prístupov k otvor</w:t>
      </w:r>
      <w:r>
        <w:rPr>
          <w:noProof/>
        </w:rPr>
        <w:t>enej strategickej autonómii, počínajúc diverzifikáciou obchodných partnerov a končiac posilňovaním vlastných kapacít EÚ.</w:t>
      </w:r>
    </w:p>
    <w:p w:rsidR="00F47BB5" w:rsidRDefault="00F47BB5">
      <w:pPr>
        <w:spacing w:after="120" w:line="276" w:lineRule="auto"/>
        <w:rPr>
          <w:noProof/>
        </w:rPr>
      </w:pPr>
    </w:p>
    <w:p w:rsidR="00F47BB5" w:rsidRDefault="00A34992">
      <w:pPr>
        <w:pStyle w:val="Heading2"/>
        <w:rPr>
          <w:noProof/>
        </w:rPr>
      </w:pPr>
      <w:bookmarkStart w:id="838" w:name="_Toc51067200"/>
      <w:bookmarkEnd w:id="828"/>
      <w:bookmarkEnd w:id="829"/>
      <w:bookmarkEnd w:id="830"/>
      <w:bookmarkEnd w:id="831"/>
      <w:bookmarkEnd w:id="832"/>
      <w:bookmarkEnd w:id="833"/>
      <w:bookmarkEnd w:id="834"/>
      <w:bookmarkEnd w:id="835"/>
      <w:bookmarkEnd w:id="836"/>
      <w:bookmarkEnd w:id="837"/>
      <w:r>
        <w:rPr>
          <w:noProof/>
        </w:rPr>
        <w:t>3.3.</w:t>
      </w:r>
      <w:r>
        <w:rPr>
          <w:noProof/>
        </w:rPr>
        <w:tab/>
        <w:t>Zelený rozmer</w:t>
      </w:r>
      <w:bookmarkEnd w:id="838"/>
    </w:p>
    <w:p w:rsidR="00F47BB5" w:rsidRDefault="00A34992">
      <w:pPr>
        <w:spacing w:after="120" w:line="276" w:lineRule="auto"/>
        <w:rPr>
          <w:noProof/>
        </w:rPr>
      </w:pPr>
      <w:r>
        <w:rPr>
          <w:b/>
          <w:noProof/>
        </w:rPr>
        <w:t>Zelená odolnosť znamená dosiahnuť klimatickú neutralitu do roku 2050 a zároveň zmierniť zmenu klímy a prispôsobiť s</w:t>
      </w:r>
      <w:r>
        <w:rPr>
          <w:b/>
          <w:noProof/>
        </w:rPr>
        <w:t>a jej, znížiť znečistenie a obnoviť schopnosť ekologických systémov, aby sme mohli naďalej uspokojivo žiť v rámci možností našej planéty.</w:t>
      </w:r>
      <w:r>
        <w:rPr>
          <w:noProof/>
        </w:rPr>
        <w:t xml:space="preserve"> To zahŕňa elimináciu našej závislosti od fosílnych palív, znižovanie nášho vplyvu na prírodné zdroje, zachovávanie bio</w:t>
      </w:r>
      <w:r>
        <w:rPr>
          <w:noProof/>
        </w:rPr>
        <w:t>diverzity, rozvoj čistého a obehového hospodárstva, dosiahnutie prostredia bez toxických vplyvov, zmenu životného štýlu, vzorcov výroby a spotreby, pripravenie infraštruktúry na zmenu klímy, vytváranie nových príležitostí pre zdravý život, zelené podnikani</w:t>
      </w:r>
      <w:r>
        <w:rPr>
          <w:noProof/>
        </w:rPr>
        <w:t>e a pracovné miesta, aktívne úsilie o obnovu ekosystémov, ako aj záchranu našich morí a oceánov.</w:t>
      </w:r>
    </w:p>
    <w:p w:rsidR="00F47BB5" w:rsidRDefault="00A34992">
      <w:pPr>
        <w:spacing w:line="276" w:lineRule="auto"/>
        <w:rPr>
          <w:b/>
          <w:bCs/>
          <w:noProof/>
        </w:rPr>
      </w:pPr>
      <w:r>
        <w:rPr>
          <w:b/>
          <w:bCs/>
          <w:i/>
          <w:iCs/>
          <w:noProof/>
          <w:u w:val="single"/>
        </w:rPr>
        <w:t>Kapacity</w:t>
      </w:r>
    </w:p>
    <w:p w:rsidR="00F47BB5" w:rsidRDefault="00A34992">
      <w:pPr>
        <w:spacing w:after="0" w:line="276" w:lineRule="auto"/>
        <w:rPr>
          <w:noProof/>
        </w:rPr>
      </w:pPr>
      <w:r>
        <w:rPr>
          <w:b/>
          <w:bCs/>
          <w:noProof/>
        </w:rPr>
        <w:t>Cieľom európskej zelenej dohody je dosiahnuť do roku 2050 klimaticky neutrálnu spoločnosť</w:t>
      </w:r>
      <w:r>
        <w:rPr>
          <w:noProof/>
        </w:rPr>
        <w:t xml:space="preserve"> a pritom presadzovať odolnosť v snahe zmierňovať vplyvy zmen</w:t>
      </w:r>
      <w:r>
        <w:rPr>
          <w:noProof/>
        </w:rPr>
        <w:t>y klímy, zhoršovanie životného prostredia a stratu biodiverzity a prispôsobiť sa im. Tvorí to neoddeliteľnú súčasť stratégie tejto Komisie, ako implementovať Agendu 2030 pre udržateľný rozvoj a ciele udržateľného rozvoja. Znamená to úplnú dekarbonizáciu od</w:t>
      </w:r>
      <w:r>
        <w:rPr>
          <w:noProof/>
        </w:rPr>
        <w:t>vetvia energetiky a podstatnú elektrifikáciu dopytu po energii. Emisie z využívania pôdy sa musia eliminovať a záchyt pôdy sa musí posilniť obnovou životného prostredia a prispôsobením poľnohospodárstva. Zároveň sa zvyšovanie kvality života pre všetkých v </w:t>
      </w:r>
      <w:r>
        <w:rPr>
          <w:noProof/>
        </w:rPr>
        <w:t>EÚ musí zabezpečovať nákladovo efektívnym spôsobom, aby hospodárstvo ďalej rástlo a aby Európa mohla pre zvyšok sveta pôsobiť ako žiarivý príklad transformácie. V záujme toho by sa mali posilniť kapacity EÚ, aby sme sa zotavili z krízy a investovali do dlh</w:t>
      </w:r>
      <w:r>
        <w:rPr>
          <w:noProof/>
        </w:rPr>
        <w:t>odobej udržateľnosti (</w:t>
      </w:r>
      <w:r>
        <w:rPr>
          <w:b/>
          <w:noProof/>
        </w:rPr>
        <w:t>Rámček 3.2</w:t>
      </w:r>
      <w:r>
        <w:rPr>
          <w:noProof/>
        </w:rPr>
        <w:t xml:space="preserve">). </w:t>
      </w:r>
      <w:r>
        <w:rPr>
          <w:noProof/>
        </w:rPr>
        <w:br w:type="page"/>
      </w:r>
    </w:p>
    <w:tbl>
      <w:tblPr>
        <w:tblStyle w:val="TableGrid"/>
        <w:tblW w:w="0" w:type="auto"/>
        <w:tblLook w:val="04A0" w:firstRow="1" w:lastRow="0" w:firstColumn="1" w:lastColumn="0" w:noHBand="0" w:noVBand="1"/>
      </w:tblPr>
      <w:tblGrid>
        <w:gridCol w:w="9016"/>
      </w:tblGrid>
      <w:tr w:rsidR="00F47BB5">
        <w:tc>
          <w:tcPr>
            <w:tcW w:w="9016" w:type="dxa"/>
          </w:tcPr>
          <w:p w:rsidR="00F47BB5" w:rsidRDefault="00A34992">
            <w:pPr>
              <w:spacing w:after="120" w:line="276" w:lineRule="auto"/>
              <w:jc w:val="center"/>
              <w:rPr>
                <w:rFonts w:ascii="Times New Roman" w:hAnsi="Times New Roman" w:cs="Times New Roman"/>
                <w:b/>
                <w:noProof/>
                <w:sz w:val="22"/>
                <w:szCs w:val="22"/>
              </w:rPr>
            </w:pPr>
            <w:r>
              <w:rPr>
                <w:rFonts w:ascii="Times New Roman" w:hAnsi="Times New Roman"/>
                <w:b/>
                <w:noProof/>
                <w:sz w:val="22"/>
                <w:szCs w:val="22"/>
              </w:rPr>
              <w:t>Rámček 3.2</w:t>
            </w:r>
            <w:r>
              <w:rPr>
                <w:rFonts w:ascii="Times New Roman" w:hAnsi="Times New Roman"/>
                <w:b/>
                <w:bCs/>
                <w:noProof/>
                <w:sz w:val="22"/>
                <w:szCs w:val="22"/>
              </w:rPr>
              <w:t>:</w:t>
            </w:r>
            <w:r>
              <w:rPr>
                <w:rFonts w:ascii="Times New Roman" w:hAnsi="Times New Roman"/>
                <w:noProof/>
                <w:sz w:val="22"/>
                <w:szCs w:val="22"/>
              </w:rPr>
              <w:t xml:space="preserve"> </w:t>
            </w:r>
            <w:r>
              <w:rPr>
                <w:rFonts w:ascii="Times New Roman" w:hAnsi="Times New Roman"/>
                <w:b/>
                <w:bCs/>
                <w:noProof/>
                <w:sz w:val="22"/>
                <w:szCs w:val="22"/>
              </w:rPr>
              <w:t>Scenáre výhľadu pre stratégiu EÚ v oblasti klímy do roku 2050 a ich význam pre zelenú dohodu</w:t>
            </w:r>
          </w:p>
          <w:p w:rsidR="00F47BB5" w:rsidRDefault="00A34992">
            <w:pPr>
              <w:spacing w:after="120" w:line="276" w:lineRule="auto"/>
              <w:rPr>
                <w:rFonts w:ascii="Times New Roman" w:hAnsi="Times New Roman" w:cs="Times New Roman"/>
                <w:noProof/>
                <w:sz w:val="22"/>
                <w:szCs w:val="22"/>
              </w:rPr>
            </w:pPr>
            <w:r>
              <w:rPr>
                <w:rFonts w:ascii="Times New Roman" w:hAnsi="Times New Roman"/>
                <w:noProof/>
                <w:sz w:val="22"/>
                <w:szCs w:val="22"/>
              </w:rPr>
              <w:t>V posledných dvoch desaťročiach sme zažili 18 z najteplejších zaznamenaných rokov.</w:t>
            </w:r>
            <w:r>
              <w:rPr>
                <w:rStyle w:val="FootnoteReference"/>
                <w:rFonts w:ascii="Times New Roman" w:hAnsi="Times New Roman" w:cs="Times New Roman"/>
                <w:noProof/>
                <w:color w:val="000000"/>
                <w:sz w:val="22"/>
              </w:rPr>
              <w:footnoteReference w:id="109"/>
            </w:r>
            <w:r>
              <w:rPr>
                <w:rFonts w:ascii="Times New Roman" w:hAnsi="Times New Roman"/>
                <w:noProof/>
                <w:sz w:val="22"/>
                <w:szCs w:val="22"/>
              </w:rPr>
              <w:t xml:space="preserve"> Ak sa bude teplota naďalej zvyšovať čo i len o 0,2 °C za desaťročie, ročné škody spôsobené riečnymi povodňami v Európe by sa mohli zvýšiť z 5 na 112 miliárd EUR a 16 % súčasnej stredomorskej klimatickej zóny by mohlo do konca storočia vyprahnúť a stratiť </w:t>
            </w:r>
            <w:r>
              <w:rPr>
                <w:rFonts w:ascii="Times New Roman" w:hAnsi="Times New Roman"/>
                <w:noProof/>
                <w:sz w:val="22"/>
                <w:szCs w:val="22"/>
              </w:rPr>
              <w:t>produktivitu. Do roku 2050 by zmena klímy, strata biodiverzity a záplavy pobrežných oblasti mohli prinútiť viac ako 140 miliónov ľudí z Afriky, južnej Ázie a Latinskej Ameriky, aby začali migrovať po svojom kontinente</w:t>
            </w:r>
            <w:r>
              <w:rPr>
                <w:rFonts w:ascii="Times New Roman" w:hAnsi="Times New Roman" w:cs="Times New Roman"/>
                <w:noProof/>
                <w:sz w:val="22"/>
                <w:szCs w:val="22"/>
                <w:vertAlign w:val="superscript"/>
              </w:rPr>
              <w:footnoteReference w:id="110"/>
            </w:r>
            <w:r>
              <w:rPr>
                <w:rFonts w:ascii="Times New Roman" w:hAnsi="Times New Roman"/>
                <w:noProof/>
                <w:sz w:val="22"/>
                <w:szCs w:val="22"/>
              </w:rPr>
              <w:t>.</w:t>
            </w:r>
          </w:p>
          <w:p w:rsidR="00F47BB5" w:rsidRDefault="00A34992">
            <w:pPr>
              <w:spacing w:after="120" w:line="276" w:lineRule="auto"/>
              <w:rPr>
                <w:rFonts w:ascii="Times New Roman" w:hAnsi="Times New Roman"/>
                <w:noProof/>
                <w:sz w:val="22"/>
                <w:szCs w:val="22"/>
              </w:rPr>
            </w:pPr>
            <w:r>
              <w:rPr>
                <w:rFonts w:ascii="Times New Roman" w:hAnsi="Times New Roman"/>
                <w:noProof/>
                <w:sz w:val="22"/>
                <w:szCs w:val="22"/>
              </w:rPr>
              <w:t>Do stratégie EÚ v oblasti znižovania</w:t>
            </w:r>
            <w:r>
              <w:rPr>
                <w:rFonts w:ascii="Times New Roman" w:hAnsi="Times New Roman"/>
                <w:noProof/>
                <w:sz w:val="22"/>
                <w:szCs w:val="22"/>
              </w:rPr>
              <w:t xml:space="preserve"> emisií skleníkových plynov, predloženej v súvislosti s Rámcovým dohovorom Organizácie Spojených národov o zmene klímy (UNFCCC)</w:t>
            </w:r>
            <w:r>
              <w:rPr>
                <w:rStyle w:val="FootnoteReference"/>
                <w:rFonts w:ascii="Times New Roman" w:hAnsi="Times New Roman" w:cs="Times New Roman"/>
                <w:noProof/>
                <w:sz w:val="22"/>
              </w:rPr>
              <w:footnoteReference w:id="111"/>
            </w:r>
            <w:r>
              <w:rPr>
                <w:rFonts w:ascii="Times New Roman" w:hAnsi="Times New Roman"/>
                <w:noProof/>
                <w:sz w:val="22"/>
                <w:szCs w:val="22"/>
              </w:rPr>
              <w:t xml:space="preserve">, sa premietlo </w:t>
            </w:r>
            <w:r>
              <w:rPr>
                <w:rFonts w:ascii="Times New Roman" w:hAnsi="Times New Roman"/>
                <w:b/>
                <w:noProof/>
                <w:sz w:val="22"/>
                <w:szCs w:val="22"/>
              </w:rPr>
              <w:t>osem scenárov pre jednotlivé rozmery výhľadu</w:t>
            </w:r>
            <w:r>
              <w:rPr>
                <w:rStyle w:val="FootnoteReference"/>
                <w:rFonts w:ascii="Times New Roman" w:hAnsi="Times New Roman" w:cs="Times New Roman"/>
                <w:noProof/>
                <w:sz w:val="22"/>
              </w:rPr>
              <w:footnoteReference w:id="112"/>
            </w:r>
            <w:r>
              <w:rPr>
                <w:rFonts w:ascii="Times New Roman" w:hAnsi="Times New Roman"/>
                <w:noProof/>
                <w:sz w:val="22"/>
                <w:szCs w:val="22"/>
              </w:rPr>
              <w:t>. Prvých päť scenárov sa orientuje na cieľ dosiahnuť oteplenie o </w:t>
            </w:r>
            <w:r>
              <w:rPr>
                <w:rFonts w:ascii="Times New Roman" w:hAnsi="Times New Roman"/>
                <w:i/>
                <w:noProof/>
                <w:sz w:val="22"/>
                <w:szCs w:val="22"/>
              </w:rPr>
              <w:t>výr</w:t>
            </w:r>
            <w:r>
              <w:rPr>
                <w:rFonts w:ascii="Times New Roman" w:hAnsi="Times New Roman"/>
                <w:i/>
                <w:noProof/>
                <w:sz w:val="22"/>
                <w:szCs w:val="22"/>
              </w:rPr>
              <w:t>azne menej ako 2</w:t>
            </w:r>
            <w:r>
              <w:rPr>
                <w:rFonts w:ascii="Times New Roman" w:hAnsi="Times New Roman"/>
                <w:i/>
                <w:noProof/>
                <w:sz w:val="22"/>
              </w:rPr>
              <w:t xml:space="preserve">° </w:t>
            </w:r>
            <w:r>
              <w:rPr>
                <w:rFonts w:ascii="Times New Roman" w:hAnsi="Times New Roman"/>
                <w:i/>
                <w:noProof/>
                <w:sz w:val="22"/>
                <w:szCs w:val="22"/>
              </w:rPr>
              <w:t>C a </w:t>
            </w:r>
            <w:r>
              <w:rPr>
                <w:rFonts w:ascii="Times New Roman" w:hAnsi="Times New Roman"/>
                <w:noProof/>
                <w:sz w:val="22"/>
                <w:szCs w:val="22"/>
              </w:rPr>
              <w:t>na zníženie úrovne emisií skleníkových plynov do roku 2050 v porovnaní s rokom 1990 o približne 80 %. Zvažovali sa v nich rôzne spektrá možností dekarbonizácie a identifikovali kompromisy: napríklad postupy zamerané viac na elektrifik</w:t>
            </w:r>
            <w:r>
              <w:rPr>
                <w:rFonts w:ascii="Times New Roman" w:hAnsi="Times New Roman"/>
                <w:noProof/>
                <w:sz w:val="22"/>
                <w:szCs w:val="22"/>
              </w:rPr>
              <w:t>áciu na konečné použitie si vyžadujú aj vysokú mieru rozmiestnenia skladov energie (šesťnásobok dnešnej úrovne), ktoré pokryjú rozdiely vo výrobe elektrickej energie, ale postupy zamerané na viac vodíka si vyžadujú viac elektrickej energie už na jeho výrob</w:t>
            </w:r>
            <w:r>
              <w:rPr>
                <w:rFonts w:ascii="Times New Roman" w:hAnsi="Times New Roman"/>
                <w:noProof/>
                <w:sz w:val="22"/>
                <w:szCs w:val="22"/>
              </w:rPr>
              <w:t>u</w:t>
            </w:r>
            <w:r>
              <w:rPr>
                <w:rStyle w:val="FootnoteReference"/>
                <w:rFonts w:ascii="Times New Roman" w:hAnsi="Times New Roman" w:cs="Times New Roman"/>
                <w:noProof/>
                <w:sz w:val="22"/>
              </w:rPr>
              <w:footnoteReference w:id="113"/>
            </w:r>
            <w:r>
              <w:rPr>
                <w:rFonts w:ascii="Times New Roman" w:hAnsi="Times New Roman"/>
                <w:noProof/>
                <w:sz w:val="22"/>
              </w:rPr>
              <w:t>.</w:t>
            </w:r>
            <w:r>
              <w:rPr>
                <w:rFonts w:ascii="Times New Roman" w:hAnsi="Times New Roman"/>
                <w:noProof/>
                <w:sz w:val="22"/>
                <w:szCs w:val="22"/>
              </w:rPr>
              <w:t xml:space="preserve"> V šiestom scenári (COMBO) prvej kategórie sú opatrenia a technológie z piatich scenárov skombinované. Výsledkom je čisté zníženie emisií skleníkových plynov v roku 2050 v porovnaní s rokom 1990 o takmer 90 %, pričom miera spoliehania sa na technológie </w:t>
            </w:r>
            <w:r>
              <w:rPr>
                <w:rFonts w:ascii="Times New Roman" w:hAnsi="Times New Roman"/>
                <w:noProof/>
                <w:sz w:val="22"/>
                <w:szCs w:val="22"/>
              </w:rPr>
              <w:t>s negatívnymi emisiami je nízka a nedochádza k zmenám preferencií spotrebiteľov.</w:t>
            </w:r>
          </w:p>
          <w:p w:rsidR="00F47BB5" w:rsidRDefault="00A34992">
            <w:pPr>
              <w:spacing w:after="120" w:line="276" w:lineRule="auto"/>
              <w:rPr>
                <w:rFonts w:ascii="Times New Roman" w:hAnsi="Times New Roman"/>
                <w:noProof/>
                <w:sz w:val="22"/>
                <w:szCs w:val="22"/>
              </w:rPr>
            </w:pPr>
            <w:r>
              <w:rPr>
                <w:rFonts w:ascii="Times New Roman" w:hAnsi="Times New Roman"/>
                <w:noProof/>
                <w:sz w:val="22"/>
                <w:szCs w:val="22"/>
              </w:rPr>
              <w:t>V ostatných dvoch scenároch sa napokon uvažovalo o tom, čo potrebuje EÚ, aby do roku 2050 dosiahla nulovú bilanciu emisií skleníkových plynov, a tak splnila svoj podiel na cel</w:t>
            </w:r>
            <w:r>
              <w:rPr>
                <w:rFonts w:ascii="Times New Roman" w:hAnsi="Times New Roman"/>
                <w:noProof/>
                <w:sz w:val="22"/>
                <w:szCs w:val="22"/>
              </w:rPr>
              <w:t>osvetovom úsilí o dosiahnutie cieľa Parížskej dohody, ktorým je obmedziť zvýšenie teploty na 1,5 °C v porovnaní s predindustriálnou úrovňou. Siedmy scenár sa zameriava na zachytávanie a ukladanie oxidu uhličitého a v ôsmom scenári sa predpokladá prechod na</w:t>
            </w:r>
            <w:r>
              <w:rPr>
                <w:rFonts w:ascii="Times New Roman" w:hAnsi="Times New Roman"/>
                <w:noProof/>
                <w:sz w:val="22"/>
                <w:szCs w:val="22"/>
              </w:rPr>
              <w:t xml:space="preserve"> intenzívnejšie obehové hospodárstvo prostredníctvom obchodných a spotrebiteľských modelov EÚ. Spotrebiteľské modely zahŕňajú pokračovanie trendu smerom k stravovaniu s nižšími emisiami uhlíka, hospodárstvu spoločného využívania zdrojov v doprave, využívan</w:t>
            </w:r>
            <w:r>
              <w:rPr>
                <w:rFonts w:ascii="Times New Roman" w:hAnsi="Times New Roman"/>
                <w:noProof/>
                <w:sz w:val="22"/>
                <w:szCs w:val="22"/>
              </w:rPr>
              <w:t>iu udržateľnejších druhov dopravy a racionálnejšiemu využívaniu energie na vykurovanie a chladenie.</w:t>
            </w:r>
          </w:p>
          <w:p w:rsidR="00F47BB5" w:rsidRDefault="00A34992">
            <w:pPr>
              <w:spacing w:after="120" w:line="276" w:lineRule="auto"/>
              <w:rPr>
                <w:rFonts w:ascii="Times New Roman" w:hAnsi="Times New Roman" w:cs="Times New Roman"/>
                <w:b/>
                <w:noProof/>
                <w:sz w:val="22"/>
                <w:szCs w:val="22"/>
              </w:rPr>
            </w:pPr>
            <w:r>
              <w:rPr>
                <w:rFonts w:ascii="Times New Roman" w:hAnsi="Times New Roman"/>
                <w:noProof/>
                <w:sz w:val="22"/>
                <w:szCs w:val="22"/>
              </w:rPr>
              <w:t xml:space="preserve">Tieto scenáre ukázali spektrum možností, ako možno zmobilizovať existujúce a nové technológie vo všetkých hospodárskych odvetviach, aby bola Európa do roku </w:t>
            </w:r>
            <w:r>
              <w:rPr>
                <w:rFonts w:ascii="Times New Roman" w:hAnsi="Times New Roman"/>
                <w:noProof/>
                <w:sz w:val="22"/>
                <w:szCs w:val="22"/>
              </w:rPr>
              <w:t xml:space="preserve">2050 klimaticky neutrálna. Kým sa vďaka práci na scenároch vyvíja politika v oblasti klímy, zelená transformácia si vyžaduje zapojenie všetkých kapacít. </w:t>
            </w:r>
            <w:r>
              <w:rPr>
                <w:rFonts w:ascii="Times New Roman" w:hAnsi="Times New Roman"/>
                <w:b/>
                <w:noProof/>
                <w:sz w:val="22"/>
                <w:szCs w:val="22"/>
              </w:rPr>
              <w:t>Európska zelená dohoda</w:t>
            </w:r>
            <w:r>
              <w:rPr>
                <w:rFonts w:ascii="Times New Roman" w:hAnsi="Times New Roman"/>
                <w:noProof/>
                <w:sz w:val="22"/>
                <w:szCs w:val="22"/>
              </w:rPr>
              <w:t xml:space="preserve">, verná záväzku začleniť udržateľnosť do všetkých politík EÚ, a najmä zabezpečiť </w:t>
            </w:r>
            <w:r>
              <w:rPr>
                <w:rFonts w:ascii="Times New Roman" w:hAnsi="Times New Roman"/>
                <w:noProof/>
                <w:sz w:val="22"/>
                <w:szCs w:val="22"/>
              </w:rPr>
              <w:t xml:space="preserve">spravodlivú transformáciu, preto </w:t>
            </w:r>
            <w:r>
              <w:rPr>
                <w:rFonts w:ascii="Times New Roman" w:hAnsi="Times New Roman"/>
                <w:b/>
                <w:bCs/>
                <w:noProof/>
                <w:sz w:val="22"/>
                <w:szCs w:val="22"/>
              </w:rPr>
              <w:t>nastolila transformačnú agendu postavenú na týchto prvkoch:</w:t>
            </w:r>
          </w:p>
          <w:p w:rsidR="00F47BB5" w:rsidRDefault="00A34992">
            <w:pPr>
              <w:pStyle w:val="ListParagraph"/>
              <w:numPr>
                <w:ilvl w:val="0"/>
                <w:numId w:val="37"/>
              </w:numPr>
              <w:spacing w:after="120" w:line="240" w:lineRule="auto"/>
              <w:jc w:val="both"/>
              <w:rPr>
                <w:rFonts w:ascii="Times New Roman" w:hAnsi="Times New Roman"/>
                <w:noProof/>
                <w:color w:val="000000"/>
                <w:sz w:val="22"/>
                <w:szCs w:val="22"/>
              </w:rPr>
            </w:pPr>
            <w:r>
              <w:rPr>
                <w:rFonts w:ascii="Times New Roman" w:hAnsi="Times New Roman"/>
                <w:noProof/>
                <w:color w:val="000000"/>
                <w:sz w:val="22"/>
                <w:szCs w:val="22"/>
              </w:rPr>
              <w:t>zvýšenie ambícií EÚ v oblasti klímy do roku 2030 a do roku 2050,</w:t>
            </w:r>
          </w:p>
          <w:p w:rsidR="00F47BB5" w:rsidRDefault="00A34992">
            <w:pPr>
              <w:pStyle w:val="ListParagraph"/>
              <w:numPr>
                <w:ilvl w:val="0"/>
                <w:numId w:val="37"/>
              </w:numPr>
              <w:spacing w:after="120" w:line="240" w:lineRule="auto"/>
              <w:jc w:val="both"/>
              <w:rPr>
                <w:rFonts w:ascii="Times New Roman" w:hAnsi="Times New Roman"/>
                <w:noProof/>
                <w:color w:val="000000"/>
                <w:sz w:val="22"/>
                <w:szCs w:val="22"/>
              </w:rPr>
            </w:pPr>
            <w:r>
              <w:rPr>
                <w:rFonts w:ascii="Times New Roman" w:hAnsi="Times New Roman"/>
                <w:noProof/>
                <w:color w:val="000000"/>
                <w:sz w:val="22"/>
                <w:szCs w:val="22"/>
              </w:rPr>
              <w:t>zásobovanie čistou, cenovo dostupnou a bezpečnou energiou,</w:t>
            </w:r>
          </w:p>
          <w:p w:rsidR="00F47BB5" w:rsidRDefault="00A34992">
            <w:pPr>
              <w:pStyle w:val="ListParagraph"/>
              <w:numPr>
                <w:ilvl w:val="0"/>
                <w:numId w:val="37"/>
              </w:numPr>
              <w:spacing w:after="120" w:line="240" w:lineRule="auto"/>
              <w:jc w:val="both"/>
              <w:rPr>
                <w:rFonts w:ascii="Times New Roman" w:hAnsi="Times New Roman"/>
                <w:noProof/>
                <w:color w:val="000000"/>
                <w:sz w:val="22"/>
                <w:szCs w:val="22"/>
              </w:rPr>
            </w:pPr>
            <w:r>
              <w:rPr>
                <w:rFonts w:ascii="Times New Roman" w:hAnsi="Times New Roman"/>
                <w:noProof/>
                <w:color w:val="000000"/>
                <w:sz w:val="22"/>
                <w:szCs w:val="22"/>
              </w:rPr>
              <w:t xml:space="preserve">mobilizácia priemyslu s cieľom </w:t>
            </w:r>
            <w:r>
              <w:rPr>
                <w:rFonts w:ascii="Times New Roman" w:hAnsi="Times New Roman"/>
                <w:noProof/>
                <w:color w:val="000000"/>
                <w:sz w:val="22"/>
                <w:szCs w:val="22"/>
              </w:rPr>
              <w:t>dosiahnuť čisté a obehové hospodárstvo,</w:t>
            </w:r>
          </w:p>
          <w:p w:rsidR="00F47BB5" w:rsidRDefault="00A34992">
            <w:pPr>
              <w:pStyle w:val="ListParagraph"/>
              <w:numPr>
                <w:ilvl w:val="0"/>
                <w:numId w:val="37"/>
              </w:numPr>
              <w:spacing w:after="120" w:line="240" w:lineRule="auto"/>
              <w:jc w:val="both"/>
              <w:rPr>
                <w:rFonts w:ascii="Times New Roman" w:hAnsi="Times New Roman"/>
                <w:noProof/>
                <w:color w:val="000000"/>
                <w:sz w:val="22"/>
                <w:szCs w:val="22"/>
              </w:rPr>
            </w:pPr>
            <w:r>
              <w:rPr>
                <w:rFonts w:ascii="Times New Roman" w:hAnsi="Times New Roman"/>
                <w:noProof/>
                <w:color w:val="000000"/>
                <w:sz w:val="22"/>
                <w:szCs w:val="22"/>
              </w:rPr>
              <w:t>energeticky a zdrojovo efektívna výstavba a renovácia,</w:t>
            </w:r>
          </w:p>
          <w:p w:rsidR="00F47BB5" w:rsidRDefault="00A34992">
            <w:pPr>
              <w:pStyle w:val="ListParagraph"/>
              <w:numPr>
                <w:ilvl w:val="0"/>
                <w:numId w:val="37"/>
              </w:numPr>
              <w:spacing w:after="120" w:line="240" w:lineRule="auto"/>
              <w:jc w:val="both"/>
              <w:rPr>
                <w:rFonts w:ascii="Times New Roman" w:eastAsia="Times New Roman" w:hAnsi="Times New Roman" w:cs="Times New Roman"/>
                <w:noProof/>
                <w:sz w:val="22"/>
                <w:szCs w:val="22"/>
              </w:rPr>
            </w:pPr>
            <w:r>
              <w:rPr>
                <w:rFonts w:ascii="Times New Roman" w:hAnsi="Times New Roman"/>
                <w:noProof/>
                <w:color w:val="000000"/>
                <w:sz w:val="22"/>
                <w:szCs w:val="22"/>
              </w:rPr>
              <w:t>urýchlenie prechodu na udržateľnú a inteligentnú mobilitu,</w:t>
            </w:r>
          </w:p>
          <w:p w:rsidR="00F47BB5" w:rsidRDefault="00A34992">
            <w:pPr>
              <w:pStyle w:val="ListParagraph"/>
              <w:numPr>
                <w:ilvl w:val="0"/>
                <w:numId w:val="37"/>
              </w:numPr>
              <w:spacing w:after="120" w:line="240" w:lineRule="auto"/>
              <w:jc w:val="both"/>
              <w:rPr>
                <w:rFonts w:ascii="Times New Roman" w:eastAsia="Times New Roman" w:hAnsi="Times New Roman" w:cs="Times New Roman"/>
                <w:noProof/>
                <w:sz w:val="22"/>
                <w:szCs w:val="22"/>
              </w:rPr>
            </w:pPr>
            <w:r>
              <w:rPr>
                <w:rFonts w:ascii="Times New Roman" w:hAnsi="Times New Roman"/>
                <w:noProof/>
                <w:color w:val="000000"/>
                <w:sz w:val="22"/>
                <w:szCs w:val="22"/>
              </w:rPr>
              <w:t>z „farmy na stôl“: spravodlivý a zdravý potravinový systém šetrný k životnému prostrediu,</w:t>
            </w:r>
          </w:p>
          <w:p w:rsidR="00F47BB5" w:rsidRDefault="00A34992">
            <w:pPr>
              <w:pStyle w:val="ListParagraph"/>
              <w:numPr>
                <w:ilvl w:val="0"/>
                <w:numId w:val="37"/>
              </w:numPr>
              <w:spacing w:after="120" w:line="240" w:lineRule="auto"/>
              <w:jc w:val="both"/>
              <w:rPr>
                <w:rFonts w:ascii="Times New Roman" w:eastAsia="Times New Roman" w:hAnsi="Times New Roman" w:cs="Times New Roman"/>
                <w:noProof/>
                <w:sz w:val="22"/>
                <w:szCs w:val="22"/>
              </w:rPr>
            </w:pPr>
            <w:r>
              <w:rPr>
                <w:rFonts w:ascii="Times New Roman" w:hAnsi="Times New Roman"/>
                <w:noProof/>
                <w:color w:val="000000"/>
                <w:sz w:val="22"/>
                <w:szCs w:val="22"/>
              </w:rPr>
              <w:t xml:space="preserve">ochrana </w:t>
            </w:r>
            <w:r>
              <w:rPr>
                <w:rFonts w:ascii="Times New Roman" w:hAnsi="Times New Roman"/>
                <w:noProof/>
                <w:color w:val="000000"/>
                <w:sz w:val="22"/>
                <w:szCs w:val="22"/>
              </w:rPr>
              <w:t>a obnova ekosystémov a biodiverzity,</w:t>
            </w:r>
          </w:p>
          <w:p w:rsidR="00F47BB5" w:rsidRDefault="00A34992">
            <w:pPr>
              <w:pStyle w:val="ListParagraph"/>
              <w:numPr>
                <w:ilvl w:val="0"/>
                <w:numId w:val="37"/>
              </w:numPr>
              <w:spacing w:after="120" w:line="240" w:lineRule="auto"/>
              <w:jc w:val="both"/>
              <w:rPr>
                <w:rFonts w:ascii="Times New Roman" w:eastAsia="Times New Roman" w:hAnsi="Times New Roman" w:cs="Times New Roman"/>
                <w:noProof/>
                <w:sz w:val="22"/>
                <w:szCs w:val="22"/>
              </w:rPr>
            </w:pPr>
            <w:r>
              <w:rPr>
                <w:rFonts w:ascii="Times New Roman" w:hAnsi="Times New Roman"/>
                <w:noProof/>
                <w:color w:val="000000"/>
                <w:sz w:val="22"/>
                <w:szCs w:val="22"/>
              </w:rPr>
              <w:t>cieľ nulového znečistenia v prospech životného prostredia bez toxických látok.</w:t>
            </w:r>
          </w:p>
        </w:tc>
      </w:tr>
    </w:tbl>
    <w:p w:rsidR="00F47BB5" w:rsidRDefault="00A34992">
      <w:pPr>
        <w:spacing w:after="120" w:line="276" w:lineRule="auto"/>
        <w:rPr>
          <w:noProof/>
          <w:szCs w:val="24"/>
        </w:rPr>
      </w:pPr>
      <w:r>
        <w:rPr>
          <w:b/>
          <w:noProof/>
        </w:rPr>
        <w:t>Regulačná právomoc EÚ, najmä v oblasti životného prostredia, môže viesť k tomu, že sa pri podpore konkurencieschopnej udržateľnosti budú do</w:t>
      </w:r>
      <w:r>
        <w:rPr>
          <w:b/>
          <w:noProof/>
        </w:rPr>
        <w:t xml:space="preserve">držiavať najvyššie normy. </w:t>
      </w:r>
      <w:r>
        <w:rPr>
          <w:noProof/>
        </w:rPr>
        <w:t>Opatrenia EÚ v posledných desaťročiach výrazne zlepšili nielen kvalitu životného prostredia v Európe, ale aj životy jej občanov. Environmentálne normy EÚ v mnohých oblastiach napodobňujú aj iné krajiny. EÚ bola prvým globálnym reg</w:t>
      </w:r>
      <w:r>
        <w:rPr>
          <w:noProof/>
        </w:rPr>
        <w:t>iónom, ktorý prijal záväzné právne predpisy s cieľom zakotviť ciele v oblasti klímy a energetiky a stať sa energeticky vysoko účinným a klimaticky neutrálnym hospodárstvom</w:t>
      </w:r>
      <w:r>
        <w:rPr>
          <w:rStyle w:val="FootnoteReference"/>
          <w:noProof/>
        </w:rPr>
        <w:footnoteReference w:id="114"/>
      </w:r>
      <w:r>
        <w:rPr>
          <w:noProof/>
        </w:rPr>
        <w:t>.</w:t>
      </w:r>
    </w:p>
    <w:p w:rsidR="00F47BB5" w:rsidRDefault="00A34992">
      <w:pPr>
        <w:spacing w:after="120" w:line="276" w:lineRule="auto"/>
        <w:rPr>
          <w:noProof/>
        </w:rPr>
      </w:pPr>
      <w:r>
        <w:rPr>
          <w:b/>
          <w:bCs/>
          <w:noProof/>
        </w:rPr>
        <w:t>EÚ je svetovým lídrom úsilia o prechod na čisté a obehové hospodárstvo.</w:t>
      </w:r>
      <w:r>
        <w:rPr>
          <w:noProof/>
        </w:rPr>
        <w:t xml:space="preserve"> Dôležitú ú</w:t>
      </w:r>
      <w:r>
        <w:rPr>
          <w:noProof/>
        </w:rPr>
        <w:t>lohu pri tom zohrávajú európski spotrebitelia. Podľa akčného plánu pre obehové hospodárstvo</w:t>
      </w:r>
      <w:r>
        <w:rPr>
          <w:noProof/>
          <w:vertAlign w:val="superscript"/>
        </w:rPr>
        <w:footnoteReference w:id="115"/>
      </w:r>
      <w:r>
        <w:rPr>
          <w:noProof/>
        </w:rPr>
        <w:t xml:space="preserve"> by sa mala podpora EÚ zameriavať na prioritné hodnotové reťazce a zároveň zohľadňovať odvetvia a obchodné modely, ktoré prinášajú príležitosti na tvorbu pracovných</w:t>
      </w:r>
      <w:r>
        <w:rPr>
          <w:noProof/>
        </w:rPr>
        <w:t xml:space="preserve"> miest</w:t>
      </w:r>
      <w:r>
        <w:rPr>
          <w:noProof/>
          <w:vertAlign w:val="superscript"/>
        </w:rPr>
        <w:footnoteReference w:id="116"/>
      </w:r>
      <w:r>
        <w:rPr>
          <w:noProof/>
        </w:rPr>
        <w:t>. Investície do obehového hospodárstva a nástroje tejto politiky (napr. ekodizajn</w:t>
      </w:r>
      <w:r>
        <w:rPr>
          <w:rStyle w:val="FootnoteReference"/>
          <w:noProof/>
          <w:szCs w:val="24"/>
        </w:rPr>
        <w:footnoteReference w:id="117"/>
      </w:r>
      <w:r>
        <w:rPr>
          <w:noProof/>
        </w:rPr>
        <w:t>, energetické označovanie, zelené verejné obstarávanie, digitálne obehové obchodné modely a schéma pre environmentálne manažérstvo a audit) pomôžu obmedziť celkovú env</w:t>
      </w:r>
      <w:r>
        <w:rPr>
          <w:noProof/>
        </w:rPr>
        <w:t>ironmentálnu a klimatickú stopu.</w:t>
      </w:r>
    </w:p>
    <w:p w:rsidR="00F47BB5" w:rsidRDefault="00A34992">
      <w:pPr>
        <w:spacing w:after="120" w:line="276" w:lineRule="auto"/>
        <w:rPr>
          <w:noProof/>
          <w:szCs w:val="24"/>
        </w:rPr>
      </w:pPr>
      <w:r>
        <w:rPr>
          <w:b/>
          <w:noProof/>
        </w:rPr>
        <w:t xml:space="preserve">Priemyselní priekopníci EÚ ukazujú, akou dôležitou hnacou silou konkurencieschopnosti a rastu je čistá, biologická a obehová výroba a služby. </w:t>
      </w:r>
      <w:r>
        <w:rPr>
          <w:noProof/>
        </w:rPr>
        <w:t>Zlepšenia v oblasti efektívneho využívania zdrojov, prevencia a kontrola znečisťo</w:t>
      </w:r>
      <w:r>
        <w:rPr>
          <w:noProof/>
        </w:rPr>
        <w:t>vania, ochrana vody, prijatie nových obehových obchodných modelov, čistejšia výroba, ekologické inovácie a rozvoj zelených trhov menia mnohé európske priemyselné odvetvia na svetových lídrov. Cieľom Komisie je zabezpečiť medzi politikami v oblasti životnéh</w:t>
      </w:r>
      <w:r>
        <w:rPr>
          <w:noProof/>
        </w:rPr>
        <w:t>o prostredia, klímy, energetiky a priemyslu konzistentnosť a synergie</w:t>
      </w:r>
      <w:r>
        <w:rPr>
          <w:noProof/>
          <w:vertAlign w:val="superscript"/>
        </w:rPr>
        <w:footnoteReference w:id="118"/>
      </w:r>
      <w:r>
        <w:rPr>
          <w:noProof/>
        </w:rPr>
        <w:t>. To znamená ísť nad rámec „trestania znečisťovateľov“ a poskytnúť rámec, ktorý prispeje k prevencii znečisťovania a zvýšeniu energetickej a materiálovej efektívnosti. Okrem toho EÚ sa p</w:t>
      </w:r>
      <w:r>
        <w:rPr>
          <w:noProof/>
        </w:rPr>
        <w:t>odporou udržateľného biohospodárstva usiluje o transformáciu európskej poľnohospodárskej a priemyselnej základne, a to vytvorením nových biologických hodnotových reťazcov, ako aj zelenších a nákladovo efektívnejších priemyselných procesov. Tým sa zároveň z</w:t>
      </w:r>
      <w:r>
        <w:rPr>
          <w:noProof/>
        </w:rPr>
        <w:t>lepšuje celkový stav našich prírodných zdrojov a ekosystémov. V priemyselných odvetviach využívajúcich biologické materiály by do roku 2030 mohol vzniknúť milión nových pracovných miest</w:t>
      </w:r>
      <w:r>
        <w:rPr>
          <w:rStyle w:val="FootnoteReference"/>
          <w:noProof/>
        </w:rPr>
        <w:footnoteReference w:id="119"/>
      </w:r>
      <w:r>
        <w:rPr>
          <w:noProof/>
        </w:rPr>
        <w:t>.</w:t>
      </w:r>
    </w:p>
    <w:p w:rsidR="00F47BB5" w:rsidRDefault="00A34992">
      <w:pPr>
        <w:spacing w:after="120" w:line="276" w:lineRule="auto"/>
        <w:rPr>
          <w:noProof/>
        </w:rPr>
      </w:pPr>
      <w:r>
        <w:rPr>
          <w:b/>
          <w:bCs/>
          <w:noProof/>
        </w:rPr>
        <w:t>Zelenú transformáciu posilnia rozsiahle investície na podporu obnovy</w:t>
      </w:r>
      <w:r>
        <w:rPr>
          <w:b/>
          <w:bCs/>
          <w:noProof/>
        </w:rPr>
        <w:t>.</w:t>
      </w:r>
      <w:r>
        <w:rPr>
          <w:noProof/>
        </w:rPr>
        <w:t xml:space="preserve"> V záujme prechodu na klimaticky neutrálnu spoločnosť a environmentálne udržateľné hospodárstvo je na všetkých úrovniach potrebné spojiť zdroje financovania. Cieľom rozpočtu EÚ a európskeho balíka na obnovu hospodárstva, ktorý okrem iného zahŕňa osobitné </w:t>
      </w:r>
      <w:r>
        <w:rPr>
          <w:noProof/>
        </w:rPr>
        <w:t>nástroje ako Investičný plán pre udržateľnú Európu</w:t>
      </w:r>
      <w:r>
        <w:rPr>
          <w:noProof/>
          <w:vertAlign w:val="superscript"/>
        </w:rPr>
        <w:footnoteReference w:id="120"/>
      </w:r>
      <w:r>
        <w:rPr>
          <w:noProof/>
        </w:rPr>
        <w:t xml:space="preserve"> a inovačný fond</w:t>
      </w:r>
      <w:r>
        <w:rPr>
          <w:rStyle w:val="FootnoteReference"/>
          <w:noProof/>
        </w:rPr>
        <w:footnoteReference w:id="121"/>
      </w:r>
      <w:r>
        <w:rPr>
          <w:noProof/>
        </w:rPr>
        <w:t>, je mobilizovať v nasledujúcom desaťročí súkromné a verejné zdroje, aby sa cielene investovali v spojení s udržateľnou transformáciou do klímy, životného prostredia a sociálnej oblasti</w:t>
      </w:r>
      <w:r>
        <w:rPr>
          <w:noProof/>
          <w:vertAlign w:val="superscript"/>
        </w:rPr>
        <w:footnoteReference w:id="122"/>
      </w:r>
      <w:r>
        <w:rPr>
          <w:noProof/>
        </w:rPr>
        <w:t>.</w:t>
      </w:r>
      <w:r>
        <w:rPr>
          <w:noProof/>
          <w:color w:val="113355"/>
        </w:rPr>
        <w:t xml:space="preserve"> </w:t>
      </w:r>
      <w:r>
        <w:rPr>
          <w:noProof/>
        </w:rPr>
        <w:t>Komisia zároveň pripravuje obnovenú stratégiu udržateľného financovania zameranú na vytvorenie udržateľných investičných príležitostí a podporu riadenia rizík súvisiacich s udržateľnosťou. Ako uviedla Európska rada, z dohodnutých 1,82 bilióna EUR viacročné</w:t>
      </w:r>
      <w:r>
        <w:rPr>
          <w:noProof/>
        </w:rPr>
        <w:t>ho finančného rámca na roky 2021 – 2027 a programu Next Generation EU sa 30 % použije na výdavky súvisiace s klímou</w:t>
      </w:r>
      <w:r>
        <w:rPr>
          <w:rStyle w:val="FootnoteReference"/>
          <w:noProof/>
        </w:rPr>
        <w:footnoteReference w:id="123"/>
      </w:r>
      <w:r>
        <w:rPr>
          <w:noProof/>
        </w:rPr>
        <w:t>. Financovanie musí vo všetkých oblastiach vychádzať zo zásady „neškodiť“</w:t>
      </w:r>
      <w:r>
        <w:rPr>
          <w:rStyle w:val="FootnoteReference"/>
          <w:noProof/>
        </w:rPr>
        <w:footnoteReference w:id="124"/>
      </w:r>
      <w:r>
        <w:rPr>
          <w:noProof/>
        </w:rPr>
        <w:t>. Členské štáty a regióny najviac postihnuté prechodom na klimatic</w:t>
      </w:r>
      <w:r>
        <w:rPr>
          <w:noProof/>
        </w:rPr>
        <w:t>kú neutralitu získajú podporu z Mechanizmu spravodlivej transformácie vrátane Fondu na spravodlivú transformáciu</w:t>
      </w:r>
      <w:r>
        <w:rPr>
          <w:rStyle w:val="FootnoteReference"/>
          <w:noProof/>
        </w:rPr>
        <w:footnoteReference w:id="125"/>
      </w:r>
      <w:r>
        <w:rPr>
          <w:noProof/>
        </w:rPr>
        <w:t>.</w:t>
      </w:r>
    </w:p>
    <w:p w:rsidR="00F47BB5" w:rsidRDefault="00A34992">
      <w:pPr>
        <w:spacing w:line="276" w:lineRule="auto"/>
        <w:rPr>
          <w:b/>
          <w:bCs/>
          <w:i/>
          <w:iCs/>
          <w:noProof/>
          <w:u w:val="single"/>
        </w:rPr>
      </w:pPr>
      <w:r>
        <w:rPr>
          <w:b/>
          <w:noProof/>
          <w:szCs w:val="24"/>
        </w:rPr>
        <w:t>K odolnosti Európy významne prispieva jej modrá ekonomika</w:t>
      </w:r>
      <w:r>
        <w:rPr>
          <w:noProof/>
        </w:rPr>
        <w:t xml:space="preserve">. Kľúčom k zabezpečeniu budúcnosti námorných hospodárskych odvetví je zachovanie </w:t>
      </w:r>
      <w:r>
        <w:rPr>
          <w:noProof/>
        </w:rPr>
        <w:t>morských ekosystémov. Európske oceány a moria okrem prírodných zdrojov pre hospodárstvo poskytujú biotop pre morský život, sekvestráciu uhlíka, energiu z obnoviteľných zdrojov a ochranu pobrežia pred zmenou klímy.</w:t>
      </w:r>
    </w:p>
    <w:p w:rsidR="00F47BB5" w:rsidRDefault="00A34992">
      <w:pPr>
        <w:spacing w:line="276" w:lineRule="auto"/>
        <w:rPr>
          <w:b/>
          <w:bCs/>
          <w:i/>
          <w:iCs/>
          <w:noProof/>
          <w:u w:val="single"/>
        </w:rPr>
      </w:pPr>
      <w:r>
        <w:rPr>
          <w:b/>
          <w:bCs/>
          <w:i/>
          <w:iCs/>
          <w:noProof/>
          <w:u w:val="single"/>
        </w:rPr>
        <w:t>Slabé miesta</w:t>
      </w:r>
    </w:p>
    <w:p w:rsidR="00F47BB5" w:rsidRDefault="00A34992">
      <w:pPr>
        <w:pStyle w:val="NormalWeb"/>
        <w:spacing w:before="0" w:beforeAutospacing="0" w:after="120" w:afterAutospacing="0" w:line="276" w:lineRule="auto"/>
        <w:jc w:val="both"/>
        <w:rPr>
          <w:noProof/>
        </w:rPr>
      </w:pPr>
      <w:r>
        <w:rPr>
          <w:b/>
          <w:noProof/>
        </w:rPr>
        <w:t>Zmena klímy zvyšuje frekvenci</w:t>
      </w:r>
      <w:r>
        <w:rPr>
          <w:b/>
          <w:noProof/>
        </w:rPr>
        <w:t>u a intenzitu extrémnych výkyvov počasia, a to aj v Európe</w:t>
      </w:r>
      <w:r>
        <w:rPr>
          <w:rStyle w:val="FootnoteReference"/>
          <w:noProof/>
        </w:rPr>
        <w:footnoteReference w:id="126"/>
      </w:r>
      <w:r>
        <w:rPr>
          <w:noProof/>
        </w:rPr>
        <w:t xml:space="preserve">. Za nárastom priemernej globálnej teploty sa skrývajú ešte extrémnejšie regionálne vplyvy. Ich účinky siahajú od bezprecedentných lesných požiarov a vĺn horúčav nad severným polárnym kruhom až po </w:t>
      </w:r>
      <w:r>
        <w:rPr>
          <w:noProof/>
        </w:rPr>
        <w:t>čoraz ničivejšie suchá v regióne Stredozemného mora a od čoraz rýchlejšej erózie na pobreží Atlantického oceánu až po devastujúce záplavy a spustošené lesy v strednej a východnej Európe. To všetko sa deje za obrovskú cenu – podľa nedávnej prognózy by vysta</w:t>
      </w:r>
      <w:r>
        <w:rPr>
          <w:noProof/>
        </w:rPr>
        <w:t>venie hospodárstva EÚ globálnemu otepleniu o 3 °C viedlo k ďalším ročným stratám vo výške najmenej 170 miliárd EUR (1,36 % HDP) a stálo by desiatky tisíc životov</w:t>
      </w:r>
      <w:r>
        <w:rPr>
          <w:rStyle w:val="FootnoteReference"/>
          <w:noProof/>
        </w:rPr>
        <w:footnoteReference w:id="127"/>
      </w:r>
      <w:r>
        <w:rPr>
          <w:noProof/>
        </w:rPr>
        <w:t>.</w:t>
      </w:r>
    </w:p>
    <w:p w:rsidR="00F47BB5" w:rsidRDefault="00A34992">
      <w:pPr>
        <w:pStyle w:val="NormalWeb"/>
        <w:spacing w:before="0" w:beforeAutospacing="0" w:after="120" w:afterAutospacing="0" w:line="276" w:lineRule="auto"/>
        <w:jc w:val="both"/>
        <w:rPr>
          <w:noProof/>
        </w:rPr>
      </w:pPr>
      <w:r>
        <w:rPr>
          <w:b/>
          <w:noProof/>
        </w:rPr>
        <w:t>Náš súčasný model výroby a spotreby</w:t>
      </w:r>
      <w:r>
        <w:rPr>
          <w:noProof/>
        </w:rPr>
        <w:t xml:space="preserve"> </w:t>
      </w:r>
      <w:r>
        <w:rPr>
          <w:b/>
          <w:noProof/>
        </w:rPr>
        <w:t>čoraz viac vystavuje ľudí a životné prostredie vplyvu ne</w:t>
      </w:r>
      <w:r>
        <w:rPr>
          <w:b/>
          <w:noProof/>
        </w:rPr>
        <w:t>bezpečných látok</w:t>
      </w:r>
      <w:r>
        <w:rPr>
          <w:noProof/>
        </w:rPr>
        <w:t>. Chemické znečistenie ovplyvňuje zdravie a protilátková odpoveď na očkovanie</w:t>
      </w:r>
      <w:r>
        <w:rPr>
          <w:rStyle w:val="FootnoteReference"/>
          <w:noProof/>
        </w:rPr>
        <w:footnoteReference w:id="128"/>
      </w:r>
      <w:r>
        <w:rPr>
          <w:noProof/>
        </w:rPr>
        <w:t>, čím sa zvyšuje chorobnosť a úmrtnosť v dôsledku prenosných ochorení</w:t>
      </w:r>
      <w:r>
        <w:rPr>
          <w:rStyle w:val="FootnoteReference"/>
          <w:noProof/>
        </w:rPr>
        <w:footnoteReference w:id="129"/>
      </w:r>
      <w:r>
        <w:rPr>
          <w:noProof/>
        </w:rPr>
        <w:t>. Svet neplní dohodnutý cieľ správneho nakladania s chemikáliami a odpadom</w:t>
      </w:r>
      <w:r>
        <w:rPr>
          <w:rStyle w:val="FootnoteReference"/>
          <w:noProof/>
        </w:rPr>
        <w:footnoteReference w:id="130"/>
      </w:r>
      <w:r>
        <w:rPr>
          <w:noProof/>
        </w:rPr>
        <w:t>; zároveň sa očak</w:t>
      </w:r>
      <w:r>
        <w:rPr>
          <w:noProof/>
        </w:rPr>
        <w:t>áva, že chemická výroba sa do roku 2030 celosvetovo zdvojnásobí</w:t>
      </w:r>
      <w:r>
        <w:rPr>
          <w:rStyle w:val="FootnoteReference"/>
          <w:noProof/>
        </w:rPr>
        <w:footnoteReference w:id="131"/>
      </w:r>
      <w:r>
        <w:rPr>
          <w:noProof/>
        </w:rPr>
        <w:t xml:space="preserve"> a jej vplyv na ľudí a životné prostredie sa bude bez primeraných politických opatrení ďalej zhoršovať. V európskej zelenej dohode sa Komisia zaviazala zbaviť životné prostredie toxických láto</w:t>
      </w:r>
      <w:r>
        <w:rPr>
          <w:noProof/>
        </w:rPr>
        <w:t>k. Tento významný cieľ si však bude vyžadovať spoločné úsilie všetkých aktérov v spoločnosti o skutočný prechod na bezpečné a udržateľné chemické látky, ako aj obnovu globálneho záväzku.</w:t>
      </w:r>
    </w:p>
    <w:p w:rsidR="00F47BB5" w:rsidRDefault="00A34992">
      <w:pPr>
        <w:pStyle w:val="NormalWeb"/>
        <w:spacing w:before="0" w:beforeAutospacing="0" w:after="120" w:afterAutospacing="0" w:line="276" w:lineRule="auto"/>
        <w:jc w:val="both"/>
        <w:rPr>
          <w:bCs/>
          <w:noProof/>
        </w:rPr>
      </w:pPr>
      <w:r>
        <w:rPr>
          <w:b/>
          <w:bCs/>
          <w:noProof/>
        </w:rPr>
        <w:t>Nižšie normy ochrany životného prostredia a súvisiace náklady v tretí</w:t>
      </w:r>
      <w:r>
        <w:rPr>
          <w:b/>
          <w:bCs/>
          <w:noProof/>
        </w:rPr>
        <w:t>ch krajinách môžu vytlačiť niektoré znečisťujúce činnosti a odpad mimo EÚ, kde hrozí vyššie riziko úniku uhlíka</w:t>
      </w:r>
      <w:r>
        <w:rPr>
          <w:rStyle w:val="FootnoteReference"/>
          <w:noProof/>
        </w:rPr>
        <w:footnoteReference w:id="132"/>
      </w:r>
      <w:r>
        <w:rPr>
          <w:noProof/>
        </w:rPr>
        <w:t>.</w:t>
      </w:r>
      <w:r>
        <w:rPr>
          <w:b/>
          <w:bCs/>
          <w:noProof/>
        </w:rPr>
        <w:t xml:space="preserve"> </w:t>
      </w:r>
      <w:r>
        <w:rPr>
          <w:noProof/>
        </w:rPr>
        <w:t>Okrem toho nie vždy existujú účinné opatrenia, ktoré by zabránili vývozu toxického a znečisťujúceho odpadu do krajín mimo EÚ</w:t>
      </w:r>
      <w:r>
        <w:rPr>
          <w:rStyle w:val="FootnoteReference"/>
          <w:noProof/>
        </w:rPr>
        <w:footnoteReference w:id="133"/>
      </w:r>
      <w:r>
        <w:rPr>
          <w:noProof/>
        </w:rPr>
        <w:t xml:space="preserve">. Zároveň hrozí, </w:t>
      </w:r>
      <w:r>
        <w:rPr>
          <w:noProof/>
        </w:rPr>
        <w:t xml:space="preserve">že hospodárska kríza spôsobená ochorením COVID-19 tieto praktiky zintenzívni, keďže krajiny sa usilujú za každú cenu zvýšiť svoj rast. EÚ musí svoje hodnoty a normy presadzovať na medzinárodnej úrovni – to je kľúčom k ochrane jej environmentálnych noriem, </w:t>
      </w:r>
      <w:r>
        <w:rPr>
          <w:noProof/>
        </w:rPr>
        <w:t>priemyselných odvetví, pracovníkov a spotrebiteľov. V opačnom prípade bude EÚ pravdepodobne ďalej strácať konkurencieschopnosť a nepodarí sa jej znížiť obchodný vývoz v znečisťujúcich odvetviach ani získať komparatívne výhody v menej znečisťujúcich odvetvi</w:t>
      </w:r>
      <w:r>
        <w:rPr>
          <w:noProof/>
        </w:rPr>
        <w:t>ach</w:t>
      </w:r>
      <w:r>
        <w:rPr>
          <w:rStyle w:val="FootnoteReference"/>
          <w:noProof/>
        </w:rPr>
        <w:footnoteReference w:id="134"/>
      </w:r>
      <w:r>
        <w:rPr>
          <w:noProof/>
        </w:rPr>
        <w:t>.</w:t>
      </w:r>
    </w:p>
    <w:p w:rsidR="00F47BB5" w:rsidRDefault="00A34992">
      <w:pPr>
        <w:pStyle w:val="NormalWeb"/>
        <w:spacing w:before="0" w:beforeAutospacing="0" w:after="120" w:afterAutospacing="0" w:line="276" w:lineRule="auto"/>
        <w:jc w:val="both"/>
        <w:rPr>
          <w:noProof/>
        </w:rPr>
      </w:pPr>
      <w:r>
        <w:rPr>
          <w:b/>
          <w:bCs/>
          <w:noProof/>
        </w:rPr>
        <w:t>Využívanie obnoviteľných a neobnoviteľných prírodných zdrojov sa zvyšuje neudržateľným tempom</w:t>
      </w:r>
      <w:r>
        <w:rPr>
          <w:noProof/>
        </w:rPr>
        <w:t xml:space="preserve"> a ohrozuje vyhliadky na budúci udržateľný rozvoj. Strata biodiverzity na súši a na mori, rastúce náklady na ťažbu nerastov, znečistenie pôdy, vody a ovzduši</w:t>
      </w:r>
      <w:r>
        <w:rPr>
          <w:noProof/>
        </w:rPr>
        <w:t>a</w:t>
      </w:r>
      <w:r>
        <w:rPr>
          <w:noProof/>
          <w:vertAlign w:val="superscript"/>
        </w:rPr>
        <w:footnoteReference w:id="135"/>
      </w:r>
      <w:r>
        <w:rPr>
          <w:noProof/>
        </w:rPr>
        <w:t>, ako aj neprestajné emisie skleníkových plynov v dôsledku neudržateľnej spotreby surovín, energie, vody, potravín a využívania pôdy ohrozujú dlhodobé živobytie miliónov ľudí, a to aj v Európe. Hoci s hospodárskym poklesom spôsobeným opatreniami na obmed</w:t>
      </w:r>
      <w:r>
        <w:rPr>
          <w:noProof/>
        </w:rPr>
        <w:t>zenie pohybu sa tlak na prírodu dočasne spomalil, v budúcnosti bude našou úlohou dlhodobo oddeliť rast a dobré životné podmienky od spotreby prírodných zdrojov a z nej vyplývajúcich vplyvov na životné prostredie.</w:t>
      </w:r>
    </w:p>
    <w:p w:rsidR="00F47BB5" w:rsidRDefault="00A34992">
      <w:pPr>
        <w:pStyle w:val="NormalWeb"/>
        <w:spacing w:before="0" w:beforeAutospacing="0" w:after="120" w:afterAutospacing="0" w:line="276" w:lineRule="auto"/>
        <w:jc w:val="both"/>
        <w:rPr>
          <w:noProof/>
        </w:rPr>
      </w:pPr>
      <w:r>
        <w:rPr>
          <w:b/>
          <w:bCs/>
          <w:noProof/>
        </w:rPr>
        <w:t>Zdá sa, že ochorenie COVID-19 sa rýchlejšie</w:t>
      </w:r>
      <w:r>
        <w:rPr>
          <w:b/>
          <w:bCs/>
          <w:noProof/>
        </w:rPr>
        <w:t xml:space="preserve"> rozšírilo v husto osídlených mestských oblastiach a chudobných štvrtiach. </w:t>
      </w:r>
      <w:r>
        <w:rPr>
          <w:noProof/>
        </w:rPr>
        <w:t>Viac ako 70 % európskeho obyvateľstva žije v mestách; očakáva sa, že tento počet sa do roku 2050 zvýši na viac ako 80 %</w:t>
      </w:r>
      <w:r>
        <w:rPr>
          <w:noProof/>
        </w:rPr>
        <w:footnoteReference w:id="136"/>
      </w:r>
      <w:r>
        <w:rPr>
          <w:noProof/>
        </w:rPr>
        <w:t>. To znamená 36 miliónov nových mestských obyvateľov, ktorí b</w:t>
      </w:r>
      <w:r>
        <w:rPr>
          <w:noProof/>
        </w:rPr>
        <w:t>udú potrebovať bývanie, zamestnanie a starostlivosť, a teda aj zvýšený tlak na mestskú infraštruktúru. Na jednej strane hustota obyvateľstva napomáha šírenie ochorení. Na druhej strane mestské oblasti majú kapacity, ktoré niektorým ich vidieckym náprotivko</w:t>
      </w:r>
      <w:r>
        <w:rPr>
          <w:noProof/>
        </w:rPr>
        <w:t>m stále chýbajú, napríklad blízkosť zdravotníckych zariadení a digitálna infraštruktúra.</w:t>
      </w:r>
    </w:p>
    <w:p w:rsidR="00F47BB5" w:rsidRDefault="00A34992">
      <w:pPr>
        <w:spacing w:after="120" w:line="276" w:lineRule="auto"/>
        <w:rPr>
          <w:rStyle w:val="normaltextrun"/>
          <w:noProof/>
          <w:shd w:val="clear" w:color="auto" w:fill="FFFFFF"/>
        </w:rPr>
      </w:pPr>
      <w:r>
        <w:rPr>
          <w:b/>
          <w:bCs/>
          <w:noProof/>
        </w:rPr>
        <w:t>COVID-19 poukazuje na úzke prepojenie medzi ľudským rozvojom a životným prostredím.</w:t>
      </w:r>
      <w:r>
        <w:rPr>
          <w:noProof/>
        </w:rPr>
        <w:t xml:space="preserve"> Dnešné pandémie ako COVID-19 aj tie minulé ako AIDS alebo ebola prepukli vinou zasa</w:t>
      </w:r>
      <w:r>
        <w:rPr>
          <w:noProof/>
        </w:rPr>
        <w:t>hovania ľudí do prirodzených biotopov voľne žijúcich organizmov a ničenia ekosystémov</w:t>
      </w:r>
      <w:r>
        <w:rPr>
          <w:rStyle w:val="FootnoteReference"/>
          <w:noProof/>
        </w:rPr>
        <w:footnoteReference w:id="137"/>
      </w:r>
      <w:r>
        <w:rPr>
          <w:noProof/>
        </w:rPr>
        <w:t>. K </w:t>
      </w:r>
      <w:r>
        <w:rPr>
          <w:rStyle w:val="normaltextrun"/>
          <w:noProof/>
          <w:shd w:val="clear" w:color="auto" w:fill="FFFFFF"/>
        </w:rPr>
        <w:t>tomu dochádza v dôsledku trestných činov proti životnému prostrediu (napr. ťažba dreva a obchod s exotickými druhmi), niektorých foriem poľnohospodárstva, baníctva a </w:t>
      </w:r>
      <w:r>
        <w:rPr>
          <w:rStyle w:val="normaltextrun"/>
          <w:noProof/>
          <w:shd w:val="clear" w:color="auto" w:fill="FFFFFF"/>
        </w:rPr>
        <w:t>urbanizácie, ktoré sú poháňané životným štýlom náročným na zdroje.</w:t>
      </w:r>
    </w:p>
    <w:p w:rsidR="00F47BB5" w:rsidRDefault="00A34992">
      <w:pPr>
        <w:spacing w:line="276" w:lineRule="auto"/>
        <w:rPr>
          <w:b/>
          <w:bCs/>
          <w:i/>
          <w:iCs/>
          <w:noProof/>
          <w:u w:val="single"/>
        </w:rPr>
      </w:pPr>
      <w:r>
        <w:rPr>
          <w:b/>
          <w:bCs/>
          <w:i/>
          <w:iCs/>
          <w:noProof/>
          <w:u w:val="single"/>
        </w:rPr>
        <w:t>Príležitosti</w:t>
      </w:r>
    </w:p>
    <w:p w:rsidR="00F47BB5" w:rsidRDefault="00A34992">
      <w:pPr>
        <w:spacing w:after="120" w:line="276" w:lineRule="auto"/>
        <w:rPr>
          <w:noProof/>
        </w:rPr>
      </w:pPr>
      <w:r>
        <w:rPr>
          <w:b/>
          <w:bCs/>
          <w:noProof/>
        </w:rPr>
        <w:t>S obmedzením pohybu došlo k rýchlemu zlepšeniu niektorých environmentálnych parametrov a ukázalo sa, aká vie byť príroda odolná.</w:t>
      </w:r>
      <w:r>
        <w:rPr>
          <w:noProof/>
        </w:rPr>
        <w:t xml:space="preserve"> K nákladovo efektívnemu zníženiu emisií skleník</w:t>
      </w:r>
      <w:r>
        <w:rPr>
          <w:noProof/>
        </w:rPr>
        <w:t>ových plynov, ku ktorému treba dospieť do roku 2030, môžu prispieť riešenia inšpirované prírodou</w:t>
      </w:r>
      <w:r>
        <w:rPr>
          <w:noProof/>
          <w:vertAlign w:val="superscript"/>
        </w:rPr>
        <w:footnoteReference w:id="138"/>
      </w:r>
      <w:r>
        <w:rPr>
          <w:noProof/>
        </w:rPr>
        <w:t>, ako sú iniciatívy vytvárania zelených priestorov a plány obnovy prírody. Budú mať aj mnoho ďalších prínosov, napríklad budú chrániť pred povodňami, chladiť p</w:t>
      </w:r>
      <w:r>
        <w:rPr>
          <w:noProof/>
        </w:rPr>
        <w:t>očas vĺn horúčav a umožňovať rekreáciu. Znižovanie znečistenia takisto výrazne zlepšuje ľudské zdravie</w:t>
      </w:r>
      <w:r>
        <w:rPr>
          <w:noProof/>
          <w:vertAlign w:val="superscript"/>
        </w:rPr>
        <w:footnoteReference w:id="139"/>
      </w:r>
      <w:r>
        <w:rPr>
          <w:noProof/>
        </w:rPr>
        <w:t xml:space="preserve">. Po prvýkrát od 70-tych rokov 20. storočia nadíde deň, kedy vo využívaní zdrojov planéty prekročíme celosvetovú mieru udržateľnosti, neskôr ako minulý </w:t>
      </w:r>
      <w:r>
        <w:rPr>
          <w:noProof/>
        </w:rPr>
        <w:t>rok</w:t>
      </w:r>
      <w:r>
        <w:rPr>
          <w:rStyle w:val="FootnoteReference"/>
          <w:noProof/>
        </w:rPr>
        <w:footnoteReference w:id="140"/>
      </w:r>
      <w:r>
        <w:rPr>
          <w:noProof/>
        </w:rPr>
        <w:t xml:space="preserve">. Hoci zníženie znečistenia spojené s obmedzením pohybu bude v mnohých prípadoch pravdepodobne krátkodobé, máme príležitosť zohľadniť ho v dlhodobejších, hospodársky udržateľných zelených transformáciách a udržateľnejších spotrebných modeloch v záujme </w:t>
      </w:r>
      <w:r>
        <w:rPr>
          <w:noProof/>
        </w:rPr>
        <w:t>prosperity a zdravia.</w:t>
      </w:r>
    </w:p>
    <w:p w:rsidR="00F47BB5" w:rsidRDefault="00A34992">
      <w:pPr>
        <w:spacing w:after="120" w:line="276" w:lineRule="auto"/>
        <w:rPr>
          <w:noProof/>
        </w:rPr>
      </w:pPr>
      <w:r>
        <w:rPr>
          <w:b/>
          <w:bCs/>
          <w:noProof/>
        </w:rPr>
        <w:t>Zníženie množstva primárnych zdrojov v obehovom hospodárstve má priaznivý vplyv na životné prostredie a hospodárstvo.</w:t>
      </w:r>
      <w:r>
        <w:rPr>
          <w:noProof/>
        </w:rPr>
        <w:t xml:space="preserve"> Súčasťou tohto úsilia sú opatrenia na efektívne využívanie zdrojov a udržateľné využívanie obnoviteľných zdrojov, ob</w:t>
      </w:r>
      <w:r>
        <w:rPr>
          <w:noProof/>
        </w:rPr>
        <w:t>ehové obchodné modely a produktovú politiku.</w:t>
      </w:r>
      <w:r>
        <w:rPr>
          <w:b/>
          <w:bCs/>
          <w:noProof/>
        </w:rPr>
        <w:t xml:space="preserve"> V </w:t>
      </w:r>
      <w:r>
        <w:rPr>
          <w:noProof/>
        </w:rPr>
        <w:t>novom akčnom pláne pre obehové hospodárstvo sa zdôrazňuje význam týchto faktorov pri plnení našich ambícií v oblasti klímy znižovaním environmentálnej stopy, emisií skleníkových plynov a iných škodlivých látok</w:t>
      </w:r>
      <w:r>
        <w:rPr>
          <w:noProof/>
        </w:rPr>
        <w:t xml:space="preserve"> a straty biodiverzity. Sú tiež kľúčom k vzniku obchodných príležitostí pre EÚ, uľahčovaniu prístupu na trh a znižovaniu našej surovinovej závislosti od krajín mimo EÚ</w:t>
      </w:r>
      <w:r>
        <w:rPr>
          <w:rStyle w:val="FootnoteReference"/>
          <w:noProof/>
        </w:rPr>
        <w:footnoteReference w:id="141"/>
      </w:r>
      <w:r>
        <w:rPr>
          <w:noProof/>
        </w:rPr>
        <w:t>.</w:t>
      </w:r>
    </w:p>
    <w:p w:rsidR="00F47BB5" w:rsidRDefault="00A34992">
      <w:pPr>
        <w:spacing w:after="120" w:line="276" w:lineRule="auto"/>
        <w:rPr>
          <w:noProof/>
        </w:rPr>
      </w:pPr>
      <w:r>
        <w:rPr>
          <w:b/>
          <w:bCs/>
          <w:noProof/>
        </w:rPr>
        <w:t>COVID-19 ukázal, aké dôležité je posilniť odolnosť mestských oblastí.</w:t>
      </w:r>
      <w:r>
        <w:rPr>
          <w:noProof/>
        </w:rPr>
        <w:t xml:space="preserve"> Predstavujú dôle</w:t>
      </w:r>
      <w:r>
        <w:rPr>
          <w:noProof/>
        </w:rPr>
        <w:t xml:space="preserve">žité centrá inovácií a kľúč k optimálnej zelenej transformácii, ktorá si vyžaduje posilniť participatívnu správu vecí verejných a kolektívnu angažovanosť v záujme spravodlivejšej a udržateľnejšej budúcnosti. Spolupráca medzi inštitúciami EÚ a mestami, ako </w:t>
      </w:r>
      <w:r>
        <w:rPr>
          <w:noProof/>
        </w:rPr>
        <w:t xml:space="preserve">aj partnerstvá miest na celom svete majú veľký potenciál urobiť z Európy celosvetovo referenčnú mocnosť pri určovaní, skúšaní a uplatňovaní riešení súčasných a budúcich mestských výziev vrátane tých, ktoré súvisia so zmenou klímy. </w:t>
      </w:r>
      <w:r>
        <w:rPr>
          <w:rStyle w:val="normaltextrun"/>
          <w:noProof/>
          <w:shd w:val="clear" w:color="auto" w:fill="FFFFFF"/>
        </w:rPr>
        <w:t>Napríklad zmena účelu pri</w:t>
      </w:r>
      <w:r>
        <w:rPr>
          <w:rStyle w:val="normaltextrun"/>
          <w:noProof/>
          <w:shd w:val="clear" w:color="auto" w:fill="FFFFFF"/>
        </w:rPr>
        <w:t>estorov, ako sú kancelárske budovy alebo opustené priemyselné pozemky, ponúka bohaté príležitosti na vrátenie prírody do miest a zlepšenie životných podmienok ľudí v mestskom prostredí</w:t>
      </w:r>
      <w:r>
        <w:rPr>
          <w:noProof/>
        </w:rPr>
        <w:t>, ktoré možno dosiahnuť aj prehodnotením mobility a spotrebiteľského spr</w:t>
      </w:r>
      <w:r>
        <w:rPr>
          <w:noProof/>
        </w:rPr>
        <w:t>ávania. Strategický výhľad možno použiť na analýzu a určenie potenciálnych oblastí vhodné pre inovácie zdola nahor a riešenie problémov miest, a tým umožniť spojenie priamo dotknutých osôb s inovátormi, investormi a startupmi</w:t>
      </w:r>
      <w:r>
        <w:rPr>
          <w:rStyle w:val="FootnoteReference"/>
          <w:noProof/>
        </w:rPr>
        <w:footnoteReference w:id="142"/>
      </w:r>
      <w:r>
        <w:rPr>
          <w:noProof/>
        </w:rPr>
        <w:t>.</w:t>
      </w:r>
    </w:p>
    <w:p w:rsidR="00F47BB5" w:rsidRDefault="00F47BB5">
      <w:pPr>
        <w:spacing w:after="120" w:line="276" w:lineRule="auto"/>
        <w:rPr>
          <w:b/>
          <w:noProof/>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47BB5">
        <w:tc>
          <w:tcPr>
            <w:tcW w:w="9360" w:type="dxa"/>
            <w:shd w:val="clear" w:color="auto" w:fill="auto"/>
            <w:tcMar>
              <w:top w:w="100" w:type="dxa"/>
              <w:left w:w="100" w:type="dxa"/>
              <w:bottom w:w="100" w:type="dxa"/>
              <w:right w:w="100" w:type="dxa"/>
            </w:tcMar>
          </w:tcPr>
          <w:p w:rsidR="00F47BB5" w:rsidRDefault="00A34992">
            <w:pPr>
              <w:spacing w:after="120" w:line="276" w:lineRule="auto"/>
              <w:jc w:val="center"/>
              <w:rPr>
                <w:b/>
                <w:bCs/>
                <w:noProof/>
                <w:sz w:val="22"/>
                <w:szCs w:val="22"/>
              </w:rPr>
            </w:pPr>
            <w:r>
              <w:rPr>
                <w:b/>
                <w:noProof/>
                <w:sz w:val="22"/>
              </w:rPr>
              <w:t>Rámček 3.3</w:t>
            </w:r>
            <w:r>
              <w:rPr>
                <w:b/>
                <w:bCs/>
                <w:noProof/>
                <w:sz w:val="22"/>
                <w:szCs w:val="22"/>
              </w:rPr>
              <w:t xml:space="preserve">: PRÍPADOVÁ </w:t>
            </w:r>
            <w:r>
              <w:rPr>
                <w:b/>
                <w:bCs/>
                <w:noProof/>
                <w:sz w:val="22"/>
                <w:szCs w:val="22"/>
              </w:rPr>
              <w:t>ŠTÚDIA – Zelené pracovné miesta</w:t>
            </w:r>
          </w:p>
          <w:p w:rsidR="00F47BB5" w:rsidRDefault="00A34992">
            <w:pPr>
              <w:shd w:val="clear" w:color="auto" w:fill="FFFFFF" w:themeFill="background1"/>
              <w:spacing w:after="120" w:line="276" w:lineRule="auto"/>
              <w:ind w:right="-40"/>
              <w:rPr>
                <w:noProof/>
                <w:sz w:val="22"/>
                <w:szCs w:val="22"/>
              </w:rPr>
            </w:pPr>
            <w:r>
              <w:rPr>
                <w:b/>
                <w:bCs/>
                <w:noProof/>
                <w:sz w:val="22"/>
                <w:szCs w:val="22"/>
              </w:rPr>
              <w:t>Zmyslom mnohých pracovných miest budúcnosti bude zachovanie alebo obnova kvality životného prostredia.</w:t>
            </w:r>
            <w:r>
              <w:rPr>
                <w:noProof/>
                <w:sz w:val="22"/>
                <w:szCs w:val="22"/>
              </w:rPr>
              <w:t xml:space="preserve"> Tieto pracovné miesta budú vznikať v poľnohospodárstve, v odvetví (opätovného) spracovania, v stavebníctve, vo výskume a </w:t>
            </w:r>
            <w:r>
              <w:rPr>
                <w:noProof/>
                <w:sz w:val="22"/>
                <w:szCs w:val="22"/>
              </w:rPr>
              <w:t>vývoji, v správe a službách. Budú okrem iného súvisieť s udržateľnou výrobou a distribúciou potravín</w:t>
            </w:r>
            <w:r>
              <w:rPr>
                <w:noProof/>
              </w:rPr>
              <w:t xml:space="preserve">, </w:t>
            </w:r>
            <w:r>
              <w:rPr>
                <w:noProof/>
                <w:sz w:val="22"/>
                <w:szCs w:val="22"/>
              </w:rPr>
              <w:t>zelenou a efektívnou výstavbou, kvalitou a obnovou vôd, zeleným dizajnom, lesným hospodárstvom, získavaním užitočných materiálov z komunálneho a skládkové</w:t>
            </w:r>
            <w:r>
              <w:rPr>
                <w:noProof/>
                <w:sz w:val="22"/>
                <w:szCs w:val="22"/>
              </w:rPr>
              <w:t xml:space="preserve">ho odpadu, opravou a recykláciou surovín, farmaceutikami, nízkoemisnou mobilitou a dopravou, energiou z obnoviteľných zdrojov, kyslosťou oceánov a riadením environmentálnej stopy. S obmedzením zdrojov a potrebou zvýšenej efektívnosti dôjde k zmene mnohých </w:t>
            </w:r>
            <w:r>
              <w:rPr>
                <w:noProof/>
                <w:sz w:val="22"/>
                <w:szCs w:val="22"/>
              </w:rPr>
              <w:t>povolaní, vzniknú nové obchodné modely a budú sa vyžadovať nové zručnosti.</w:t>
            </w:r>
          </w:p>
          <w:p w:rsidR="00F47BB5" w:rsidRDefault="00A34992">
            <w:pPr>
              <w:shd w:val="clear" w:color="auto" w:fill="FFFFFF" w:themeFill="background1"/>
              <w:spacing w:after="120" w:line="276" w:lineRule="auto"/>
              <w:ind w:right="-40"/>
              <w:rPr>
                <w:noProof/>
                <w:sz w:val="22"/>
                <w:szCs w:val="22"/>
              </w:rPr>
            </w:pPr>
            <w:r>
              <w:rPr>
                <w:b/>
                <w:bCs/>
                <w:noProof/>
                <w:sz w:val="22"/>
                <w:szCs w:val="22"/>
              </w:rPr>
              <w:t>Naše politiky v oblasti životného prostredia prispievajú k štrukturálnemu posunu na trhu práce.</w:t>
            </w:r>
            <w:r>
              <w:rPr>
                <w:noProof/>
                <w:sz w:val="22"/>
                <w:szCs w:val="22"/>
              </w:rPr>
              <w:t xml:space="preserve"> V niektorých analýzach sa odhaduje, že veľká časť pracovných miest v EÚ sa môže zmeni</w:t>
            </w:r>
            <w:r>
              <w:rPr>
                <w:noProof/>
                <w:sz w:val="22"/>
                <w:szCs w:val="22"/>
              </w:rPr>
              <w:t>ť tak, aby prispievali k znižovaniu emisií skleníkových plynov a riešeniu čoraz horšieho stavu životného prostredia. Pracovné miesta vo výrazne znečisťujúcich priemyselných odvetviach tvoria len zlomok zamestnanosti v EÚ</w:t>
            </w:r>
            <w:r>
              <w:rPr>
                <w:rStyle w:val="FootnoteReference"/>
                <w:noProof/>
                <w:sz w:val="22"/>
                <w:szCs w:val="22"/>
              </w:rPr>
              <w:footnoteReference w:id="143"/>
            </w:r>
            <w:r>
              <w:rPr>
                <w:noProof/>
                <w:sz w:val="22"/>
                <w:szCs w:val="22"/>
              </w:rPr>
              <w:t xml:space="preserve"> a znižovanie vplyvu týchto odvetví</w:t>
            </w:r>
            <w:r>
              <w:rPr>
                <w:noProof/>
                <w:sz w:val="22"/>
                <w:szCs w:val="22"/>
              </w:rPr>
              <w:t xml:space="preserve"> vytvára významné pracovné príležitosti</w:t>
            </w:r>
            <w:r>
              <w:rPr>
                <w:rStyle w:val="FootnoteReference"/>
                <w:noProof/>
                <w:sz w:val="22"/>
                <w:szCs w:val="22"/>
                <w:vertAlign w:val="baseline"/>
              </w:rPr>
              <w:t>.</w:t>
            </w:r>
            <w:r>
              <w:rPr>
                <w:noProof/>
                <w:sz w:val="22"/>
                <w:szCs w:val="22"/>
              </w:rPr>
              <w:t xml:space="preserve"> Dôležitým zdrojom nových pracovných miest sa stáva environmentálny priemysel, ktorý priamo zmierňuje environmentálne škody</w:t>
            </w:r>
            <w:r>
              <w:rPr>
                <w:noProof/>
                <w:sz w:val="22"/>
                <w:szCs w:val="22"/>
                <w:vertAlign w:val="superscript"/>
              </w:rPr>
              <w:footnoteReference w:id="144"/>
            </w:r>
            <w:r>
              <w:rPr>
                <w:noProof/>
                <w:sz w:val="22"/>
                <w:szCs w:val="22"/>
              </w:rPr>
              <w:t>. Okrem toho zvyšovanie materiálovej produktivity (t. j. efektívnosti využívania zdrojov) je</w:t>
            </w:r>
            <w:r>
              <w:rPr>
                <w:noProof/>
                <w:sz w:val="22"/>
                <w:szCs w:val="22"/>
              </w:rPr>
              <w:t xml:space="preserve"> hnacou silou rastu intenzity práce a výroby produktov s pridanou hodnotou, a teda zlepšuje pracovné príležitosti. Európa je už dnes v oblasti zlepšovania materiálovej produktivity lídrom inovácií, ale pretrvávajú nedostatky na úrovni podnikov a systémová </w:t>
            </w:r>
            <w:r>
              <w:rPr>
                <w:noProof/>
                <w:sz w:val="22"/>
                <w:szCs w:val="22"/>
              </w:rPr>
              <w:t>neefektívnosť.</w:t>
            </w:r>
          </w:p>
          <w:p w:rsidR="00F47BB5" w:rsidRDefault="00A34992">
            <w:pPr>
              <w:shd w:val="clear" w:color="auto" w:fill="FFFFFF" w:themeFill="background1"/>
              <w:spacing w:after="120" w:line="276" w:lineRule="auto"/>
              <w:ind w:right="-40"/>
              <w:rPr>
                <w:noProof/>
                <w:sz w:val="22"/>
                <w:szCs w:val="22"/>
              </w:rPr>
            </w:pPr>
            <w:r>
              <w:rPr>
                <w:b/>
                <w:bCs/>
                <w:noProof/>
                <w:sz w:val="22"/>
                <w:szCs w:val="22"/>
              </w:rPr>
              <w:t>Zelené odvetvie môže vytvoriť milióny pracovných miest.</w:t>
            </w:r>
            <w:r>
              <w:rPr>
                <w:noProof/>
                <w:sz w:val="22"/>
                <w:szCs w:val="22"/>
              </w:rPr>
              <w:t xml:space="preserve"> Environmentálny priemysel od roku 2000 narástol o 20 % a v Európe naň pripadá približne 4,2 milióna pracovných miest s obratom viac ako 700 miliárd EUR. Pokiaľ sa zavedú správne politik</w:t>
            </w:r>
            <w:r>
              <w:rPr>
                <w:noProof/>
                <w:sz w:val="22"/>
                <w:szCs w:val="22"/>
              </w:rPr>
              <w:t>y, podľa Medzinárodnej organizácie práce (MOP) by prechod na zelenšie hospodárstvo mohol do roku 2030 viesť k vzniku 24 miliónov nových pracovných miest na celom svete</w:t>
            </w:r>
            <w:r>
              <w:rPr>
                <w:noProof/>
                <w:sz w:val="22"/>
                <w:szCs w:val="22"/>
                <w:vertAlign w:val="superscript"/>
              </w:rPr>
              <w:footnoteReference w:id="145"/>
            </w:r>
            <w:r>
              <w:rPr>
                <w:noProof/>
                <w:sz w:val="22"/>
                <w:szCs w:val="22"/>
              </w:rPr>
              <w:t>. MOP takisto predpokladá, že v dôsledku teplotného stresu a zvýšenia teploty do roku 20</w:t>
            </w:r>
            <w:r>
              <w:rPr>
                <w:noProof/>
                <w:sz w:val="22"/>
                <w:szCs w:val="22"/>
              </w:rPr>
              <w:t>30 zanikne 72 miliónov pracovných miest na plný úväzok.</w:t>
            </w:r>
          </w:p>
          <w:p w:rsidR="00F47BB5" w:rsidRDefault="00A34992">
            <w:pPr>
              <w:shd w:val="clear" w:color="auto" w:fill="FFFFFF" w:themeFill="background1"/>
              <w:spacing w:after="120" w:line="276" w:lineRule="auto"/>
              <w:ind w:right="-40"/>
              <w:rPr>
                <w:noProof/>
                <w:sz w:val="22"/>
                <w:szCs w:val="22"/>
              </w:rPr>
            </w:pPr>
            <w:r>
              <w:rPr>
                <w:b/>
                <w:bCs/>
                <w:noProof/>
                <w:sz w:val="22"/>
                <w:szCs w:val="22"/>
              </w:rPr>
              <w:t>So zotavovaním sa z krízy spôsobenej ochorením COVID-19 sa ukazuje, že vplyv zelených politík práce by mohol byť podstatne výraznejší.</w:t>
            </w:r>
            <w:r>
              <w:rPr>
                <w:noProof/>
                <w:sz w:val="22"/>
                <w:szCs w:val="22"/>
              </w:rPr>
              <w:t xml:space="preserve"> Vzhľadom na počet ľudí bez práce by riadenie plánov obnovy smerom</w:t>
            </w:r>
            <w:r>
              <w:rPr>
                <w:noProof/>
                <w:sz w:val="22"/>
                <w:szCs w:val="22"/>
              </w:rPr>
              <w:t xml:space="preserve"> k zelenej transformácii mohlo viesť k vzniku oveľa väčšieho počtu ekologických pracovných miest, než sa pôvodne predpokladalo.</w:t>
            </w:r>
          </w:p>
          <w:p w:rsidR="00F47BB5" w:rsidRDefault="00A34992">
            <w:pPr>
              <w:spacing w:after="120" w:line="276" w:lineRule="auto"/>
              <w:ind w:right="-40"/>
              <w:rPr>
                <w:noProof/>
                <w:sz w:val="22"/>
                <w:szCs w:val="22"/>
              </w:rPr>
            </w:pPr>
            <w:r>
              <w:rPr>
                <w:b/>
                <w:bCs/>
                <w:noProof/>
                <w:sz w:val="22"/>
                <w:szCs w:val="22"/>
              </w:rPr>
              <w:t>Vytváranie pracovných miest súvisiace s politikami v oblasti klímy prispeje k rastu inkluzívnejších pracovných miest</w:t>
            </w:r>
            <w:r>
              <w:rPr>
                <w:noProof/>
                <w:sz w:val="22"/>
              </w:rPr>
              <w:t>, ako aj k </w:t>
            </w:r>
            <w:r>
              <w:rPr>
                <w:noProof/>
                <w:sz w:val="22"/>
                <w:szCs w:val="22"/>
              </w:rPr>
              <w:t>o</w:t>
            </w:r>
            <w:r>
              <w:rPr>
                <w:noProof/>
                <w:sz w:val="22"/>
                <w:szCs w:val="22"/>
              </w:rPr>
              <w:t>bmedzeniu negatívneho vplyvu trendov, ktoré môžu prehĺbiť nerovnosti na trhu práce, napr. automatizácia, robotika a umelá inteligencia. Keďže priemysel, doprava a iné služby sa budú čoraz viac elektrifikovať, predpokladá sa, že do roku 2050 sa zvýši zamest</w:t>
            </w:r>
            <w:r>
              <w:rPr>
                <w:noProof/>
                <w:sz w:val="22"/>
                <w:szCs w:val="22"/>
              </w:rPr>
              <w:t>nanosť v odvetví elektrickej energie o 25 %</w:t>
            </w:r>
            <w:r>
              <w:rPr>
                <w:rStyle w:val="FootnoteReference"/>
                <w:noProof/>
                <w:sz w:val="22"/>
                <w:szCs w:val="22"/>
              </w:rPr>
              <w:footnoteReference w:id="146"/>
            </w:r>
            <w:r>
              <w:rPr>
                <w:noProof/>
                <w:sz w:val="22"/>
                <w:szCs w:val="22"/>
              </w:rPr>
              <w:t>. Podľa očakávania pracovné miesta v oblasti energie z obnoviteľných zdrojov v EÚ zamestnajú do roku 2050 až 2,7 milióna ľudí, čiže pokryjú 1,3 % zamestnanosti v EÚ</w:t>
            </w:r>
            <w:r>
              <w:rPr>
                <w:rStyle w:val="FootnoteReference"/>
                <w:noProof/>
                <w:sz w:val="22"/>
                <w:szCs w:val="22"/>
              </w:rPr>
              <w:footnoteReference w:id="147"/>
            </w:r>
            <w:r>
              <w:rPr>
                <w:noProof/>
                <w:sz w:val="22"/>
                <w:szCs w:val="22"/>
              </w:rPr>
              <w:t>.</w:t>
            </w:r>
          </w:p>
          <w:p w:rsidR="00F47BB5" w:rsidRDefault="00A34992">
            <w:pPr>
              <w:spacing w:after="120" w:line="276" w:lineRule="auto"/>
              <w:ind w:right="-40"/>
              <w:rPr>
                <w:noProof/>
                <w:sz w:val="22"/>
                <w:szCs w:val="22"/>
              </w:rPr>
            </w:pPr>
            <w:r>
              <w:rPr>
                <w:b/>
                <w:bCs/>
                <w:noProof/>
                <w:sz w:val="22"/>
                <w:szCs w:val="22"/>
              </w:rPr>
              <w:t>Účinná zelená rekvalifikácia</w:t>
            </w:r>
            <w:r>
              <w:rPr>
                <w:b/>
                <w:noProof/>
                <w:sz w:val="22"/>
              </w:rPr>
              <w:t xml:space="preserve"> zameraná najmä na zastavané prostredie a služby môže chrániť pracovné miesta strednej triedy</w:t>
            </w:r>
            <w:r>
              <w:rPr>
                <w:bCs/>
                <w:noProof/>
                <w:sz w:val="22"/>
                <w:szCs w:val="22"/>
              </w:rPr>
              <w:t>.</w:t>
            </w:r>
            <w:r>
              <w:rPr>
                <w:noProof/>
                <w:sz w:val="22"/>
                <w:szCs w:val="22"/>
              </w:rPr>
              <w:t xml:space="preserve"> To isté platí aj pre opätovné spracovanie a využívanie, opravu a recykláciu. Výroba energie a energeticky náročné odvetvia, napríklad odvetvie ocele, cementu, au</w:t>
            </w:r>
            <w:r>
              <w:rPr>
                <w:noProof/>
                <w:sz w:val="22"/>
                <w:szCs w:val="22"/>
              </w:rPr>
              <w:t>tomobilovej výroby, strojov a chemických látok, budú musieť v rámci transformácie zároveň prejsť na nové výrobné procesy, ktoré si budú vyžadovať nové zručnosti.</w:t>
            </w:r>
          </w:p>
        </w:tc>
      </w:tr>
    </w:tbl>
    <w:p w:rsidR="00F47BB5" w:rsidRDefault="00F47BB5">
      <w:pPr>
        <w:spacing w:after="120" w:line="276" w:lineRule="auto"/>
        <w:rPr>
          <w:b/>
          <w:noProof/>
          <w:u w:val="single"/>
        </w:rPr>
      </w:pPr>
      <w:bookmarkStart w:id="839" w:name="_Toc45833742"/>
      <w:bookmarkStart w:id="840" w:name="_Toc45883755"/>
      <w:bookmarkStart w:id="841" w:name="_Toc45883850"/>
      <w:bookmarkStart w:id="842" w:name="_Toc45892536"/>
      <w:bookmarkStart w:id="843" w:name="_Toc45892875"/>
      <w:bookmarkStart w:id="844" w:name="_Toc45893025"/>
      <w:bookmarkStart w:id="845" w:name="_Toc47944130"/>
      <w:bookmarkStart w:id="846" w:name="_Toc47971935"/>
      <w:bookmarkStart w:id="847" w:name="_Toc47976572"/>
      <w:bookmarkStart w:id="848" w:name="_Toc47978147"/>
      <w:bookmarkStart w:id="849" w:name="_Toc47981405"/>
      <w:bookmarkStart w:id="850" w:name="_Toc48199518"/>
      <w:bookmarkStart w:id="851" w:name="_Toc48200744"/>
      <w:bookmarkStart w:id="852" w:name="_Toc48202349"/>
      <w:bookmarkStart w:id="853" w:name="_Toc48204994"/>
      <w:bookmarkStart w:id="854" w:name="_Toc48205733"/>
      <w:bookmarkStart w:id="855" w:name="_Toc48208892"/>
      <w:bookmarkStart w:id="856" w:name="_Toc48210086"/>
      <w:bookmarkStart w:id="857" w:name="_Toc48217726"/>
      <w:bookmarkStart w:id="858" w:name="_Toc48218464"/>
      <w:bookmarkStart w:id="859" w:name="_Toc48220110"/>
      <w:bookmarkStart w:id="860" w:name="_Toc48222643"/>
      <w:bookmarkStart w:id="861" w:name="_Toc48226255"/>
      <w:bookmarkStart w:id="862" w:name="_Toc48226789"/>
      <w:bookmarkStart w:id="863" w:name="_Toc48230234"/>
      <w:bookmarkStart w:id="864" w:name="_Toc48230581"/>
      <w:bookmarkStart w:id="865" w:name="_Toc48718102"/>
    </w:p>
    <w:p w:rsidR="00F47BB5" w:rsidRDefault="00A34992">
      <w:pPr>
        <w:spacing w:after="120" w:line="276" w:lineRule="auto"/>
        <w:rPr>
          <w:noProof/>
        </w:rPr>
      </w:pPr>
      <w:r>
        <w:rPr>
          <w:b/>
          <w:noProof/>
          <w:u w:val="single"/>
        </w:rPr>
        <w:t>Strategický výhľad môže pomôcť pri participatívnom skúmaní hnacích síl zmeny a individuálneh</w:t>
      </w:r>
      <w:r>
        <w:rPr>
          <w:b/>
          <w:noProof/>
          <w:u w:val="single"/>
        </w:rPr>
        <w:t>o aj kolektívneho správania a predstáv o budúcnosti</w:t>
      </w:r>
      <w:r>
        <w:rPr>
          <w:noProof/>
        </w:rPr>
        <w:t>. Už teraz nám však môže pomôcť pochopiť budúce štrukturálne posuny na trhu práce ako súčasť prechodu na klimaticky neutrálnu spoločnosť do roku 2050.</w:t>
      </w:r>
      <w:r>
        <w:rPr>
          <w:b/>
          <w:noProof/>
        </w:rPr>
        <w:t xml:space="preserve"> </w:t>
      </w:r>
      <w:r>
        <w:rPr>
          <w:noProof/>
        </w:rPr>
        <w:t>Tým prispeje k lepšiemu nasmerovaniu rekvalifikácie ľu</w:t>
      </w:r>
      <w:r>
        <w:rPr>
          <w:noProof/>
        </w:rPr>
        <w:t>dí, ktorí prišli o prácu počas krízy spôsobenej ochorením COVID-19 alebo ktorí o ňu pravdepodobne prídu v dôsledku urýchľovania technologických zmien a automatizácie. Výhľad takisto pomáha hľadať na horizonte nové vývojové trendy vrátane vznikajúcich techn</w:t>
      </w:r>
      <w:r>
        <w:rPr>
          <w:noProof/>
        </w:rPr>
        <w:t>ológií, ktoré by mohli buď urýchliť alebo narušiť ekologickú transformáciu. Európska zelená dohoda a spravodlivá transformácia si budú vyžadovať aktívnu a koordinovanú účasť celej spoločnosti.</w:t>
      </w:r>
    </w:p>
    <w:p w:rsidR="00F47BB5" w:rsidRDefault="00F47BB5">
      <w:pPr>
        <w:spacing w:after="120" w:line="276" w:lineRule="auto"/>
        <w:rPr>
          <w:noProof/>
        </w:rPr>
      </w:pPr>
    </w:p>
    <w:p w:rsidR="00F47BB5" w:rsidRDefault="00A34992">
      <w:pPr>
        <w:pStyle w:val="Heading2"/>
        <w:rPr>
          <w:noProof/>
        </w:rPr>
      </w:pPr>
      <w:bookmarkStart w:id="866" w:name="_Toc48797908"/>
      <w:bookmarkStart w:id="867" w:name="_120p4a8u35pe"/>
      <w:bookmarkStart w:id="868" w:name="_Toc51067201"/>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r>
        <w:rPr>
          <w:noProof/>
        </w:rPr>
        <w:t>3.4.</w:t>
      </w:r>
      <w:r>
        <w:rPr>
          <w:noProof/>
        </w:rPr>
        <w:tab/>
        <w:t>Digitálny rozmer</w:t>
      </w:r>
      <w:bookmarkEnd w:id="868"/>
    </w:p>
    <w:p w:rsidR="00F47BB5" w:rsidRDefault="00A34992">
      <w:pPr>
        <w:spacing w:after="120" w:line="276" w:lineRule="auto"/>
        <w:rPr>
          <w:noProof/>
        </w:rPr>
      </w:pPr>
      <w:r>
        <w:rPr>
          <w:b/>
          <w:bCs/>
          <w:noProof/>
        </w:rPr>
        <w:t>Digitálna odolnosť nám umožní zabezpečiť, aby spôsob, akým žijeme, pracujeme, učíme sa, komunikujeme a rozmýšľame v tomto digitálnom veku, chránil a posilňoval ľudskú dôstojnosť, slobodu, rovnosť, bezpečnosť, demokraciu a ďalšie európske základné práva a h</w:t>
      </w:r>
      <w:r>
        <w:rPr>
          <w:b/>
          <w:bCs/>
          <w:noProof/>
        </w:rPr>
        <w:t xml:space="preserve">odnoty. </w:t>
      </w:r>
      <w:bookmarkStart w:id="869" w:name="_txeiueozq118"/>
      <w:bookmarkEnd w:id="869"/>
      <w:r>
        <w:rPr>
          <w:noProof/>
        </w:rPr>
        <w:t>Jej význam stále stúpa, keďže prostredníctvom fyzicko-digitálnej integrácie, internetu vecí, inteligentných domácich technológií, využívania veľkých dát, rozšírenej a virtuálnej reality, strojového učenia a ďalších čoraz schopnejších technológií um</w:t>
      </w:r>
      <w:r>
        <w:rPr>
          <w:noProof/>
        </w:rPr>
        <w:t>elej inteligencie neustále napreduje hyperkonektivita. Digitálne technológie stierajú rozdiel medzi fyzickým a virtuálnym svetom aj medzi ľuďmi, strojmi a prírodou, čo má dôsledky pre nás samých aj pre rámce politík</w:t>
      </w:r>
      <w:r>
        <w:rPr>
          <w:noProof/>
          <w:vertAlign w:val="superscript"/>
        </w:rPr>
        <w:footnoteReference w:id="148"/>
      </w:r>
      <w:r>
        <w:rPr>
          <w:noProof/>
        </w:rPr>
        <w:t xml:space="preserve">. Počas pandémie zohrali pri udržiavaní </w:t>
      </w:r>
      <w:r>
        <w:rPr>
          <w:noProof/>
        </w:rPr>
        <w:t>fungovania našich hospodárstiev a spoločností kľúčovú úlohu.</w:t>
      </w:r>
    </w:p>
    <w:p w:rsidR="00F47BB5" w:rsidRDefault="00A34992">
      <w:pPr>
        <w:spacing w:after="120" w:line="276" w:lineRule="auto"/>
        <w:rPr>
          <w:b/>
          <w:i/>
          <w:noProof/>
          <w:u w:val="single"/>
        </w:rPr>
      </w:pPr>
      <w:r>
        <w:rPr>
          <w:b/>
          <w:bCs/>
          <w:i/>
          <w:iCs/>
          <w:noProof/>
          <w:u w:val="single"/>
        </w:rPr>
        <w:t>Kapacity</w:t>
      </w:r>
    </w:p>
    <w:p w:rsidR="00F47BB5" w:rsidRDefault="00A34992">
      <w:pPr>
        <w:spacing w:after="120" w:line="276" w:lineRule="auto"/>
        <w:rPr>
          <w:noProof/>
          <w:szCs w:val="24"/>
        </w:rPr>
      </w:pPr>
      <w:r>
        <w:rPr>
          <w:b/>
          <w:noProof/>
        </w:rPr>
        <w:t>Európa má dlhú a úspešnú históriu technologických a spoločenských inovácií a spolupráce.</w:t>
      </w:r>
      <w:r>
        <w:rPr>
          <w:noProof/>
        </w:rPr>
        <w:t xml:space="preserve"> EÚ je silnejšia, keď do spolupráce s členskými štátmi zapája regióny a obce, akademickú obec, obč</w:t>
      </w:r>
      <w:r>
        <w:rPr>
          <w:noProof/>
        </w:rPr>
        <w:t>iansku spoločnosť, finančné inštitúcie, podniky a sociálne podniky. Túto kapacitu znovu potvrdili nedávne dohody v oblastiach, ako je vysokovýkonná výpočtová technika</w:t>
      </w:r>
      <w:r>
        <w:rPr>
          <w:rStyle w:val="FootnoteReference"/>
          <w:noProof/>
        </w:rPr>
        <w:footnoteReference w:id="149"/>
      </w:r>
      <w:r>
        <w:rPr>
          <w:noProof/>
        </w:rPr>
        <w:t xml:space="preserve"> a mikroelektronika</w:t>
      </w:r>
      <w:r>
        <w:rPr>
          <w:rStyle w:val="FootnoteReference"/>
          <w:noProof/>
        </w:rPr>
        <w:footnoteReference w:id="150"/>
      </w:r>
      <w:r>
        <w:rPr>
          <w:noProof/>
        </w:rPr>
        <w:t>. Na podporu tohto procesu je tiež potrebné pokračovať v podpore digi</w:t>
      </w:r>
      <w:r>
        <w:rPr>
          <w:noProof/>
        </w:rPr>
        <w:t>tálnej transformácie verejnej správy a justičných systémov v celej Európe</w:t>
      </w:r>
      <w:r>
        <w:rPr>
          <w:noProof/>
          <w:vertAlign w:val="superscript"/>
        </w:rPr>
        <w:footnoteReference w:id="151"/>
      </w:r>
      <w:r>
        <w:rPr>
          <w:noProof/>
        </w:rPr>
        <w:t>.</w:t>
      </w:r>
    </w:p>
    <w:p w:rsidR="00F47BB5" w:rsidRDefault="00A34992">
      <w:pPr>
        <w:spacing w:line="276" w:lineRule="auto"/>
        <w:rPr>
          <w:noProof/>
        </w:rPr>
      </w:pPr>
      <w:r>
        <w:rPr>
          <w:b/>
          <w:noProof/>
        </w:rPr>
        <w:t>Európa má jedinečné kapacity formovať medzinárodné normy týkajúce sa súkromia a tokov údajov. V </w:t>
      </w:r>
      <w:r>
        <w:rPr>
          <w:noProof/>
        </w:rPr>
        <w:t>európskom všeobecnom nariadení o ochrane údajov (tzv. GDPR) sa stanovili pravidlá oc</w:t>
      </w:r>
      <w:r>
        <w:rPr>
          <w:noProof/>
        </w:rPr>
        <w:t>hrany údajov pre všetky spoločnosti a subjekty, ktoré spracúvajú údaje jednotlivcov v EÚ, čím sa ľuďom umožnilo získať väčšiu kontrolu nad svojimi osobnými údajmi a podniky môžu čerpať výhody vyplývajúce z rovnakých podmienok</w:t>
      </w:r>
      <w:r>
        <w:rPr>
          <w:rStyle w:val="FootnoteReference"/>
          <w:noProof/>
        </w:rPr>
        <w:footnoteReference w:id="152"/>
      </w:r>
      <w:r>
        <w:rPr>
          <w:noProof/>
        </w:rPr>
        <w:t>. Úloha EÚ ako tvorcu pravidie</w:t>
      </w:r>
      <w:r>
        <w:rPr>
          <w:noProof/>
        </w:rPr>
        <w:t>l v digitálnej sfére sa ďalej posilňuje spoluprácou s krajinami mimo EÚ, ktoré v súčasnosti prijímajú alebo modernizujú právne predpisy o ochrane údajov. India sa pri príprave návrhu zákona o ochrane osobných údajov riadila príkladom všeobecného nariadenia</w:t>
      </w:r>
      <w:r>
        <w:rPr>
          <w:noProof/>
        </w:rPr>
        <w:t xml:space="preserve"> EÚ o ochrane osobných údajov</w:t>
      </w:r>
      <w:r>
        <w:rPr>
          <w:noProof/>
          <w:vertAlign w:val="superscript"/>
        </w:rPr>
        <w:footnoteReference w:id="153"/>
      </w:r>
      <w:r>
        <w:rPr>
          <w:noProof/>
        </w:rPr>
        <w:t>. Podobným smerom sa uberal aj kalifornský zákon o ochrane spotrebiteľa</w:t>
      </w:r>
      <w:r>
        <w:rPr>
          <w:rStyle w:val="FootnoteReference"/>
          <w:noProof/>
        </w:rPr>
        <w:footnoteReference w:id="154"/>
      </w:r>
      <w:r>
        <w:rPr>
          <w:noProof/>
        </w:rPr>
        <w:t>. S cieľom napomôcť šírenie európskeho digitálneho modelu musí Európa ďalej budovať spojenectvá a maximalizovať svoju regulačnú silu, ako aj podporu štruk</w:t>
      </w:r>
      <w:r>
        <w:rPr>
          <w:noProof/>
        </w:rPr>
        <w:t>turálnych zlepšení, diplomacie a financovania</w:t>
      </w:r>
      <w:r>
        <w:rPr>
          <w:noProof/>
          <w:vertAlign w:val="superscript"/>
        </w:rPr>
        <w:footnoteReference w:id="155"/>
      </w:r>
      <w:r>
        <w:rPr>
          <w:noProof/>
        </w:rPr>
        <w:t>.</w:t>
      </w:r>
      <w:bookmarkStart w:id="870" w:name="_3j2qqm3"/>
      <w:bookmarkEnd w:id="870"/>
    </w:p>
    <w:p w:rsidR="00F47BB5" w:rsidRDefault="00A34992">
      <w:pPr>
        <w:spacing w:line="276" w:lineRule="auto"/>
        <w:rPr>
          <w:b/>
          <w:bCs/>
          <w:i/>
          <w:iCs/>
          <w:noProof/>
          <w:u w:val="single"/>
        </w:rPr>
      </w:pPr>
      <w:r>
        <w:rPr>
          <w:b/>
          <w:bCs/>
          <w:i/>
          <w:iCs/>
          <w:noProof/>
          <w:u w:val="single"/>
        </w:rPr>
        <w:t>Slabé miesta</w:t>
      </w:r>
    </w:p>
    <w:p w:rsidR="00F47BB5" w:rsidRDefault="00A34992">
      <w:pPr>
        <w:spacing w:after="120" w:line="276" w:lineRule="auto"/>
        <w:rPr>
          <w:noProof/>
        </w:rPr>
      </w:pPr>
      <w:r>
        <w:rPr>
          <w:b/>
          <w:noProof/>
        </w:rPr>
        <w:t>Našu kybernetickú bezpečnosť a demokraciu ohrozujú sofistikované hybridné útoky štátnych a neštátnych subjektov.</w:t>
      </w:r>
      <w:r>
        <w:rPr>
          <w:noProof/>
        </w:rPr>
        <w:t xml:space="preserve"> Kybernetické útoky a počítačová kriminalita sa zamerali na slabé miesta EÚ a viedli k poškodeniu kritickej infraštruktúry</w:t>
      </w:r>
      <w:r>
        <w:rPr>
          <w:noProof/>
          <w:vertAlign w:val="superscript"/>
        </w:rPr>
        <w:footnoteReference w:id="156"/>
      </w:r>
      <w:r>
        <w:rPr>
          <w:noProof/>
        </w:rPr>
        <w:t>. Výrazne sa zvýšil počet nahlásených kybernetických útokov proti superpočítačom, systémom zdravotnej starostlivosti a finančnej sprá</w:t>
      </w:r>
      <w:r>
        <w:rPr>
          <w:noProof/>
        </w:rPr>
        <w:t>vy</w:t>
      </w:r>
      <w:r>
        <w:rPr>
          <w:noProof/>
          <w:vertAlign w:val="superscript"/>
        </w:rPr>
        <w:footnoteReference w:id="157"/>
      </w:r>
      <w:r>
        <w:rPr>
          <w:noProof/>
        </w:rPr>
        <w:t xml:space="preserve"> – napríklad došlo k napadnutiu dôverného výskumu zdravotníckych organizácií a farmaceutických spoločností</w:t>
      </w:r>
      <w:r>
        <w:rPr>
          <w:noProof/>
          <w:vertAlign w:val="superscript"/>
        </w:rPr>
        <w:footnoteReference w:id="158"/>
      </w:r>
      <w:r>
        <w:rPr>
          <w:noProof/>
        </w:rPr>
        <w:t>. Hrozby IKT boli označené aj ako hlavný zdroj systémového rizika, ktorému sú vystavené volebné procesy a finančný systém EÚ</w:t>
      </w:r>
      <w:r>
        <w:rPr>
          <w:noProof/>
          <w:vertAlign w:val="superscript"/>
        </w:rPr>
        <w:footnoteReference w:id="159"/>
      </w:r>
      <w:r>
        <w:rPr>
          <w:noProof/>
        </w:rPr>
        <w:t>. Uvedené skutočnosti</w:t>
      </w:r>
      <w:r>
        <w:rPr>
          <w:noProof/>
        </w:rPr>
        <w:t xml:space="preserve"> poukazujú na znepokojujúco rýchly posun smerom k asymetrickej virtuálnej trestnej činnosti</w:t>
      </w:r>
      <w:r>
        <w:rPr>
          <w:rStyle w:val="FootnoteReference"/>
          <w:noProof/>
        </w:rPr>
        <w:footnoteReference w:id="160"/>
      </w:r>
      <w:r>
        <w:rPr>
          <w:noProof/>
        </w:rPr>
        <w:t>. Nebývalo vysokú mieru dosiahla aj počítačová kriminalita, napríklad šírenie materiálu zobrazujúceho sexuálne zneužívanie detí online</w:t>
      </w:r>
      <w:r>
        <w:rPr>
          <w:noProof/>
          <w:vertAlign w:val="superscript"/>
        </w:rPr>
        <w:footnoteReference w:id="161"/>
      </w:r>
      <w:r>
        <w:rPr>
          <w:noProof/>
        </w:rPr>
        <w:t>.</w:t>
      </w:r>
    </w:p>
    <w:p w:rsidR="00F47BB5" w:rsidRDefault="00A34992">
      <w:pPr>
        <w:spacing w:after="120" w:line="276" w:lineRule="auto"/>
        <w:rPr>
          <w:noProof/>
        </w:rPr>
      </w:pPr>
      <w:r>
        <w:rPr>
          <w:b/>
          <w:bCs/>
          <w:noProof/>
        </w:rPr>
        <w:t>Čoraz prudkejšia technologi</w:t>
      </w:r>
      <w:r>
        <w:rPr>
          <w:b/>
          <w:bCs/>
          <w:noProof/>
        </w:rPr>
        <w:t xml:space="preserve">cká konfrontácia medzi USA a Čínou narúša globálne digitálne dodávateľské reťazce. </w:t>
      </w:r>
      <w:r>
        <w:rPr>
          <w:noProof/>
        </w:rPr>
        <w:t>Bude mať priamy vplyv na jednotný trh a zvýši tlak na EÚ, aby pokračovala vo svojom agende technologickej suverenity a posilnila svoje kľúčové digitálne kapacity.</w:t>
      </w:r>
    </w:p>
    <w:p w:rsidR="00F47BB5" w:rsidRDefault="00A34992">
      <w:pPr>
        <w:spacing w:after="120" w:line="276" w:lineRule="auto"/>
        <w:rPr>
          <w:rFonts w:eastAsia="Arial"/>
          <w:noProof/>
        </w:rPr>
      </w:pPr>
      <w:r>
        <w:rPr>
          <w:b/>
          <w:bCs/>
          <w:noProof/>
        </w:rPr>
        <w:t>Medzi mest</w:t>
      </w:r>
      <w:r>
        <w:rPr>
          <w:b/>
          <w:bCs/>
          <w:noProof/>
        </w:rPr>
        <w:t>skými a vidieckymi oblasťami existuje digitálna priepasť, ktorá je dôvodom na znepokojenie. V </w:t>
      </w:r>
      <w:r>
        <w:rPr>
          <w:noProof/>
        </w:rPr>
        <w:t>roku 2019 sa pokrytie prístupovými sieťami novej generácie (NGA), ktoré sú schopné zabezpečiť rýchlosť sťahovania najmenej 30 Mbps, zvýšilo na 86 % domácností. Pe</w:t>
      </w:r>
      <w:r>
        <w:rPr>
          <w:noProof/>
        </w:rPr>
        <w:t>vné siete s veľmi vysokou kapacitou (VHCN), schopné poskytovať aspoň gigabitové pripojenie, boli k dispozícii pre 44 % domácností. Vo vidieckych oblastiach však siete NGA v roku 2019 pokrývali len 59 % domácností, zatiaľ čo na VHCN je pripojených len v 20 </w:t>
      </w:r>
      <w:r>
        <w:rPr>
          <w:noProof/>
        </w:rPr>
        <w:t>% domácností. Tým sa potvrdzuje, že odstránenie tohto rozdielu si vyžaduje viac investícií do vidieckych oblastí. Rozvoj digitálnych kapacít vo vidieckych oblastiach výrazne zvýši ich príťažlivosť.</w:t>
      </w:r>
    </w:p>
    <w:p w:rsidR="00F47BB5" w:rsidRDefault="00A34992">
      <w:pPr>
        <w:spacing w:after="120" w:line="276" w:lineRule="auto"/>
        <w:rPr>
          <w:noProof/>
          <w:szCs w:val="24"/>
        </w:rPr>
      </w:pPr>
      <w:r>
        <w:rPr>
          <w:b/>
          <w:bCs/>
          <w:noProof/>
        </w:rPr>
        <w:t>Kríza odhalila nedostatočnú pripravenosť dátového hospodár</w:t>
      </w:r>
      <w:r>
        <w:rPr>
          <w:b/>
          <w:bCs/>
          <w:noProof/>
        </w:rPr>
        <w:t>stva.</w:t>
      </w:r>
      <w:r>
        <w:rPr>
          <w:noProof/>
        </w:rPr>
        <w:t xml:space="preserve"> Výrazne chýbali takmer všetky typy údajov, na ktorých sa zakladajú modely (údaje o zamestnanosti, dôvere spotrebiteľov a výrobe), a pri zostavovaní údajov dochádzalo k oneskoreniam</w:t>
      </w:r>
      <w:r>
        <w:rPr>
          <w:noProof/>
          <w:vertAlign w:val="superscript"/>
        </w:rPr>
        <w:footnoteReference w:id="162"/>
      </w:r>
      <w:r>
        <w:rPr>
          <w:noProof/>
        </w:rPr>
        <w:t>. Chýbali údaje o zásobách, výrobnej kapacite a dopyte po kľúčových d</w:t>
      </w:r>
      <w:r>
        <w:rPr>
          <w:noProof/>
        </w:rPr>
        <w:t>odávkach napríklad osobných ochranných prostriedkov</w:t>
      </w:r>
      <w:r>
        <w:rPr>
          <w:rStyle w:val="FootnoteReference"/>
          <w:noProof/>
        </w:rPr>
        <w:footnoteReference w:id="163"/>
      </w:r>
      <w:r>
        <w:rPr>
          <w:noProof/>
        </w:rPr>
        <w:t xml:space="preserve"> a údaje o prípadoch infekcií COVID-19 sa v celej Európe zbierali odlišne. Ukázalo sa, že v oblasti zberu a správy údajov v záujme hospodárstva a spoločnosti potrebujeme urobiť výrazné kroky vpred. To si </w:t>
      </w:r>
      <w:r>
        <w:rPr>
          <w:noProof/>
        </w:rPr>
        <w:t>zas vyžaduje „európsky spôsob“ riadenia využívania údajov – v neposlednom rade aj preto, aby sa zabránilo monopolom na údaje</w:t>
      </w:r>
      <w:r>
        <w:rPr>
          <w:rStyle w:val="FootnoteReference"/>
          <w:noProof/>
        </w:rPr>
        <w:footnoteReference w:id="164"/>
      </w:r>
      <w:r>
        <w:rPr>
          <w:noProof/>
        </w:rPr>
        <w:t>.</w:t>
      </w:r>
    </w:p>
    <w:p w:rsidR="00F47BB5" w:rsidRDefault="00A34992">
      <w:pPr>
        <w:autoSpaceDE w:val="0"/>
        <w:autoSpaceDN w:val="0"/>
        <w:adjustRightInd w:val="0"/>
        <w:spacing w:after="120" w:line="276" w:lineRule="auto"/>
        <w:rPr>
          <w:noProof/>
        </w:rPr>
      </w:pPr>
      <w:r>
        <w:rPr>
          <w:b/>
          <w:bCs/>
          <w:noProof/>
        </w:rPr>
        <w:t>Digitálne technológie a súvisiace obchodné modely vrátane umelej inteligencie a platformového hospodárstva ovplyvnia trh práce.</w:t>
      </w:r>
      <w:r>
        <w:rPr>
          <w:noProof/>
        </w:rPr>
        <w:t xml:space="preserve"> H</w:t>
      </w:r>
      <w:r>
        <w:rPr>
          <w:noProof/>
        </w:rPr>
        <w:t>oci vzájomné pôsobenie medzi potenciálnym zastarávaním pracovných miest a vytváraním nových, ktoré prinesie umelá inteligencia a robotika, stále nie je jednoznačné</w:t>
      </w:r>
      <w:r>
        <w:rPr>
          <w:rStyle w:val="FootnoteReference"/>
          <w:noProof/>
          <w:lang w:bidi="he-IL"/>
        </w:rPr>
        <w:footnoteReference w:id="165"/>
      </w:r>
      <w:r>
        <w:rPr>
          <w:noProof/>
        </w:rPr>
        <w:t>, je zjavné, že tieto a iné digitálne technológie</w:t>
      </w:r>
      <w:r>
        <w:rPr>
          <w:rStyle w:val="FootnoteReference"/>
          <w:noProof/>
          <w:lang w:bidi="he-IL"/>
        </w:rPr>
        <w:footnoteReference w:id="166"/>
      </w:r>
      <w:r>
        <w:rPr>
          <w:noProof/>
        </w:rPr>
        <w:t xml:space="preserve">, ako aj súvisiace obchodné modely zmenia </w:t>
      </w:r>
      <w:r>
        <w:rPr>
          <w:noProof/>
        </w:rPr>
        <w:t>spôsob našej práce. Budú mať vplyv na zdravie, rovnováhu medzi pracovným a súkromným životom, bezpečnosť pri práci a ďalšie oblasti</w:t>
      </w:r>
      <w:r>
        <w:rPr>
          <w:rStyle w:val="FootnoteReference"/>
          <w:noProof/>
          <w:lang w:bidi="he-IL"/>
        </w:rPr>
        <w:footnoteReference w:id="167"/>
      </w:r>
      <w:r>
        <w:rPr>
          <w:noProof/>
        </w:rPr>
        <w:t>. Zvlášť naliehavý je dopyt po zručnostiach v nových technológiách, ako je umelá inteligencia, vysokovýkonná výpočtová techn</w:t>
      </w:r>
      <w:r>
        <w:rPr>
          <w:noProof/>
        </w:rPr>
        <w:t>ika a celospoločenská kybernetická bezpečnosť</w:t>
      </w:r>
      <w:r>
        <w:rPr>
          <w:rStyle w:val="FootnoteReference"/>
          <w:noProof/>
        </w:rPr>
        <w:footnoteReference w:id="168"/>
      </w:r>
      <w:r>
        <w:rPr>
          <w:noProof/>
        </w:rPr>
        <w:t>, a keďže ponuka na trhu zaostáva za dopytom, tento problém narastá. Okrem toho úroveň pripravenosti a informovanosti krajín EÚ je značne nerovnomerná.</w:t>
      </w:r>
    </w:p>
    <w:p w:rsidR="00F47BB5" w:rsidRDefault="00A34992">
      <w:pPr>
        <w:spacing w:line="276" w:lineRule="auto"/>
        <w:rPr>
          <w:b/>
          <w:i/>
          <w:noProof/>
          <w:u w:val="single"/>
        </w:rPr>
      </w:pPr>
      <w:r>
        <w:rPr>
          <w:b/>
          <w:bCs/>
          <w:i/>
          <w:iCs/>
          <w:noProof/>
          <w:u w:val="single"/>
        </w:rPr>
        <w:t>Príležitosti</w:t>
      </w:r>
    </w:p>
    <w:p w:rsidR="00F47BB5" w:rsidRDefault="00A34992">
      <w:pPr>
        <w:spacing w:after="120" w:line="276" w:lineRule="auto"/>
        <w:rPr>
          <w:noProof/>
        </w:rPr>
      </w:pPr>
      <w:r>
        <w:rPr>
          <w:b/>
          <w:noProof/>
        </w:rPr>
        <w:t>Pandémia spôsobená ochorením COVID-19 urýchli</w:t>
      </w:r>
      <w:r>
        <w:rPr>
          <w:b/>
          <w:noProof/>
        </w:rPr>
        <w:t>la hyperkonektivitu.</w:t>
      </w:r>
      <w:r>
        <w:rPr>
          <w:rStyle w:val="FootnoteReference"/>
          <w:noProof/>
        </w:rPr>
        <w:footnoteReference w:id="169"/>
      </w:r>
      <w:r>
        <w:rPr>
          <w:noProof/>
        </w:rPr>
        <w:t xml:space="preserve"> Máme príležitosť poučiť sa z týchto skúseností získaných v reálnom čase a nastoliť rovnováhu medzi fyzickými a digitálnymi prepojeniami v budúcnosti, ktorá splní očakávania verejnosti. Počas krízy spôsobenej ochorením COVID-19 viac ak</w:t>
      </w:r>
      <w:r>
        <w:rPr>
          <w:noProof/>
        </w:rPr>
        <w:t>o tretina pracovnej sily EÚ dočasne pracovala na diaľku</w:t>
      </w:r>
      <w:r>
        <w:rPr>
          <w:noProof/>
          <w:vertAlign w:val="superscript"/>
        </w:rPr>
        <w:footnoteReference w:id="170"/>
      </w:r>
      <w:r>
        <w:rPr>
          <w:noProof/>
        </w:rPr>
        <w:t>. Prepojenosť sa zvýšila vo všetkých oblastiach</w:t>
      </w:r>
      <w:r>
        <w:rPr>
          <w:noProof/>
          <w:vertAlign w:val="superscript"/>
        </w:rPr>
        <w:footnoteReference w:id="171"/>
      </w:r>
      <w:r>
        <w:rPr>
          <w:noProof/>
        </w:rPr>
        <w:t xml:space="preserve"> a pozoruhodný nárast internetovej prevádzky, ktorý sa celosvetovo odhaduje na 10 % až 30 %,</w:t>
      </w:r>
      <w:r>
        <w:rPr>
          <w:rStyle w:val="FootnoteReference"/>
          <w:noProof/>
        </w:rPr>
        <w:footnoteReference w:id="172"/>
      </w:r>
      <w:r>
        <w:rPr>
          <w:noProof/>
        </w:rPr>
        <w:t xml:space="preserve"> pretrval dokonca aj potom, ako krajiny zmiernili opatrenia</w:t>
      </w:r>
      <w:r>
        <w:rPr>
          <w:noProof/>
        </w:rPr>
        <w:t xml:space="preserve"> na obmedzenie pohybu. Odhaduje sa, že celkové množstvo údajov na svete sa do roku 2025 zvýši na približne 175 miliárd terabajtov.</w:t>
      </w:r>
    </w:p>
    <w:p w:rsidR="00F47BB5" w:rsidRDefault="00A34992">
      <w:pPr>
        <w:spacing w:after="120" w:line="276" w:lineRule="auto"/>
        <w:rPr>
          <w:noProof/>
        </w:rPr>
      </w:pPr>
      <w:r>
        <w:rPr>
          <w:b/>
          <w:noProof/>
        </w:rPr>
        <w:t>Digitálne technológie by mohli prispieť k ďalšiemu pokroku v zdravotnej starostlivosti.</w:t>
      </w:r>
      <w:r>
        <w:rPr>
          <w:noProof/>
        </w:rPr>
        <w:t xml:space="preserve"> Umelá inteligencia a vysokovýkonná vý</w:t>
      </w:r>
      <w:r>
        <w:rPr>
          <w:noProof/>
        </w:rPr>
        <w:t>počtová technika majú potenciál urýchliť vývoj liečebných postupov, vakcín a diagnostiky, predvídať šírenie chorôb a plánovať distribúciu zdravotníckych zdrojov</w:t>
      </w:r>
      <w:r>
        <w:rPr>
          <w:noProof/>
          <w:vertAlign w:val="superscript"/>
        </w:rPr>
        <w:footnoteReference w:id="173"/>
      </w:r>
      <w:r>
        <w:rPr>
          <w:noProof/>
        </w:rPr>
        <w:t>. Takéto inovácie by sa mohli použiť aj v preventívnej medicíne na analýzu jednotlivých zdravot</w:t>
      </w:r>
      <w:r>
        <w:rPr>
          <w:noProof/>
        </w:rPr>
        <w:t>ných rizík. Využívanie umelej inteligencie navyše poskytuje príležitosť posilniť našu obranu proti kybernetickým útokom, zameraným najmä na kritickú infraštruktúru ako nemocnice.</w:t>
      </w:r>
    </w:p>
    <w:p w:rsidR="00F47BB5" w:rsidRDefault="00A34992">
      <w:pPr>
        <w:spacing w:after="120" w:line="276" w:lineRule="auto"/>
        <w:rPr>
          <w:noProof/>
        </w:rPr>
      </w:pPr>
      <w:r>
        <w:rPr>
          <w:b/>
          <w:noProof/>
          <w:szCs w:val="24"/>
        </w:rPr>
        <w:t xml:space="preserve">Kým boli školy počas krízy zatvorené, digitálne technológie umožnili </w:t>
      </w:r>
      <w:r>
        <w:rPr>
          <w:b/>
          <w:noProof/>
          <w:szCs w:val="24"/>
        </w:rPr>
        <w:t>dosiahnuť v odbornej príprave a vzdelávaní určitú kontinuitu.</w:t>
      </w:r>
      <w:r>
        <w:rPr>
          <w:noProof/>
        </w:rPr>
        <w:t xml:space="preserve"> Ak sa digitálne technológie používajú správne, môžu zvýšiť účinnosť, efektívnosť a inkluzívnosť našich systémov vzdelávania a odbornej prípravy. Najdôležitejšie je posilniť digitálne kapacity sy</w:t>
      </w:r>
      <w:r>
        <w:rPr>
          <w:noProof/>
        </w:rPr>
        <w:t>stémov vzdelávania a odbornej prípravy a preklenúť digitálne medzery vo vybavení a prepojenosti.</w:t>
      </w:r>
    </w:p>
    <w:p w:rsidR="00F47BB5" w:rsidRDefault="00A34992">
      <w:pPr>
        <w:spacing w:after="120" w:line="276" w:lineRule="auto"/>
        <w:rPr>
          <w:noProof/>
        </w:rPr>
      </w:pPr>
      <w:r>
        <w:rPr>
          <w:b/>
          <w:bCs/>
          <w:noProof/>
        </w:rPr>
        <w:t xml:space="preserve">Európa získa riešením výziev spojených s vykonávaním dátovej stratégie EÚ rozsiahle príležitosti. </w:t>
      </w:r>
      <w:r>
        <w:rPr>
          <w:noProof/>
        </w:rPr>
        <w:t>Tie súvisia napríklad so šírením modelu EÚ na ochranu údajov,</w:t>
      </w:r>
      <w:r>
        <w:rPr>
          <w:noProof/>
        </w:rPr>
        <w:t xml:space="preserve"> možnosťou zlepšiť dostupnosť údajov, ich opätovným použitím, interoperabilitou a riadením, so schopnosťou vyhnúť sa neprimeraným dátovým infraštruktúram a mať primerané nástroje, ktoré môžu jednotlivcom umožniť uplatňovať svoje práva.</w:t>
      </w:r>
    </w:p>
    <w:p w:rsidR="00F47BB5" w:rsidRDefault="00A34992">
      <w:pPr>
        <w:spacing w:after="120" w:line="276" w:lineRule="auto"/>
        <w:rPr>
          <w:b/>
          <w:bCs/>
          <w:noProof/>
        </w:rPr>
      </w:pPr>
      <w:r>
        <w:rPr>
          <w:b/>
          <w:bCs/>
          <w:noProof/>
        </w:rPr>
        <w:t>Kľúčom k rozvoju eur</w:t>
      </w:r>
      <w:r>
        <w:rPr>
          <w:b/>
          <w:bCs/>
          <w:noProof/>
        </w:rPr>
        <w:t xml:space="preserve">ópskeho digitálneho hospodárstva je otvorená strategická autonómia. </w:t>
      </w:r>
      <w:r>
        <w:rPr>
          <w:noProof/>
        </w:rPr>
        <w:t>Pripojenie 5G v kombinácii s internetom vecí by mohlo urýchliť digitalizáciu služieb (napr. energetiky, dopravy, bankovníctva a zdravotníctva) a procesov, znížiť náklady a zvýšiť efektívno</w:t>
      </w:r>
      <w:r>
        <w:rPr>
          <w:noProof/>
        </w:rPr>
        <w:t>sť. Prvým krokom k čo najlepšiemu využívaniu údajov vytvorených v Európe by bolo zavedenie cloudovej infraštruktúry</w:t>
      </w:r>
      <w:r>
        <w:rPr>
          <w:noProof/>
          <w:vertAlign w:val="superscript"/>
        </w:rPr>
        <w:footnoteReference w:id="174"/>
      </w:r>
      <w:r>
        <w:rPr>
          <w:noProof/>
        </w:rPr>
        <w:t>. Zosúladenou legislatívnou a finančnou podporou vytvorenia jednotného trhu s údajmi, ktorý by sa zakladal na zavedení spoločných európskych</w:t>
      </w:r>
      <w:r>
        <w:rPr>
          <w:noProof/>
        </w:rPr>
        <w:t xml:space="preserve"> dátových priestorov, by sa zlepšil prístup k údajom aj prínos pre verejnosť a zvýšil by sa rast európskeho dátového hospodárstva</w:t>
      </w:r>
      <w:r>
        <w:rPr>
          <w:rStyle w:val="FootnoteReference"/>
          <w:noProof/>
        </w:rPr>
        <w:footnoteReference w:id="175"/>
      </w:r>
      <w:r>
        <w:rPr>
          <w:noProof/>
        </w:rPr>
        <w:t>.</w:t>
      </w:r>
    </w:p>
    <w:p w:rsidR="00F47BB5" w:rsidRDefault="00A34992">
      <w:pPr>
        <w:spacing w:after="120" w:line="276" w:lineRule="auto"/>
        <w:rPr>
          <w:noProof/>
        </w:rPr>
      </w:pPr>
      <w:bookmarkStart w:id="871" w:name="_Toc45883295"/>
      <w:r>
        <w:rPr>
          <w:b/>
          <w:bCs/>
          <w:noProof/>
        </w:rPr>
        <w:t xml:space="preserve">Digitálne technológie môžu prispieť k zelenej premene hospodárstva. </w:t>
      </w:r>
      <w:r>
        <w:rPr>
          <w:noProof/>
        </w:rPr>
        <w:t>Môžu optimalizovať prevádzku verejnoprospešných služieb,</w:t>
      </w:r>
      <w:r>
        <w:rPr>
          <w:noProof/>
        </w:rPr>
        <w:t xml:space="preserve"> mobility a dopravy, výrobkov, priemyselných procesov, budov a iných aktív, čo povedie k úsporám energie, zníženiu znečistenia a zvýšeniu efektívnosti využívania zdrojov a uľahčí to prechod na obehové hospodárstvo. Takisto môžu zlepšiť environmentálne riad</w:t>
      </w:r>
      <w:r>
        <w:rPr>
          <w:noProof/>
        </w:rPr>
        <w:t>enie a riadenie rizík, a to prostredníctvom systémov včasného varovania pred extrémnymi poveternostnými javmi, a to napríklad na základe údajov získaných pozorovaním Zeme a pomocou technológií veľkých dát. Pozornosť však treba venovať spotrebe energie dáto</w:t>
      </w:r>
      <w:r>
        <w:rPr>
          <w:noProof/>
        </w:rPr>
        <w:t>vých technológií a krátkej životnosti digitálnych zariadení, ktoré spôsobujú, že elektronický odpad vrátane kritických surovín sa stáva najrýchlejšie rastúcou kategóriou odpadu</w:t>
      </w:r>
      <w:r>
        <w:rPr>
          <w:rStyle w:val="FootnoteReference"/>
          <w:noProof/>
        </w:rPr>
        <w:footnoteReference w:id="176"/>
      </w:r>
      <w:r>
        <w:rPr>
          <w:noProof/>
        </w:rPr>
        <w:t xml:space="preserve">. Technológie </w:t>
      </w:r>
      <w:r>
        <w:rPr>
          <w:i/>
          <w:noProof/>
        </w:rPr>
        <w:t>edge</w:t>
      </w:r>
      <w:r>
        <w:rPr>
          <w:rStyle w:val="FootnoteReference"/>
          <w:noProof/>
        </w:rPr>
        <w:footnoteReference w:id="177"/>
      </w:r>
      <w:r>
        <w:rPr>
          <w:noProof/>
        </w:rPr>
        <w:t xml:space="preserve"> a </w:t>
      </w:r>
      <w:r>
        <w:rPr>
          <w:i/>
          <w:noProof/>
        </w:rPr>
        <w:t>fog computing</w:t>
      </w:r>
      <w:r>
        <w:rPr>
          <w:rStyle w:val="FootnoteReference"/>
          <w:noProof/>
        </w:rPr>
        <w:footnoteReference w:id="178"/>
      </w:r>
      <w:r>
        <w:rPr>
          <w:noProof/>
        </w:rPr>
        <w:t xml:space="preserve"> v kombinácii so zavádzaním a využívaním no</w:t>
      </w:r>
      <w:r>
        <w:rPr>
          <w:noProof/>
        </w:rPr>
        <w:t>vých technológií mobilnej generácie (napr. 5G a v budúcnosti 6G) a nízkoenergetických procesorov zásadne posúvajú vývoj k decentralizovaným dátovým systémom, ktoré môžu spracúvaním údajov bližšie k používateľom cez aplikácie internetu vecí a znižovaním sie</w:t>
      </w:r>
      <w:r>
        <w:rPr>
          <w:noProof/>
        </w:rPr>
        <w:t>ťového oneskorenia obmedziť rastúcu spotrebu energie digitálnych technológií.</w:t>
      </w:r>
    </w:p>
    <w:p w:rsidR="00F47BB5" w:rsidRDefault="00A34992">
      <w:pPr>
        <w:pStyle w:val="NoSpacing"/>
        <w:spacing w:line="276" w:lineRule="auto"/>
        <w:jc w:val="both"/>
        <w:rPr>
          <w:rFonts w:ascii="Times New Roman" w:hAnsi="Times New Roman" w:cs="Times New Roman"/>
          <w:noProof/>
          <w:sz w:val="24"/>
          <w:szCs w:val="24"/>
        </w:rPr>
      </w:pPr>
      <w:r>
        <w:rPr>
          <w:rFonts w:ascii="Times New Roman" w:hAnsi="Times New Roman"/>
          <w:b/>
          <w:noProof/>
          <w:sz w:val="24"/>
          <w:u w:val="single"/>
        </w:rPr>
        <w:t xml:space="preserve">Strategický výhľad </w:t>
      </w:r>
      <w:r>
        <w:rPr>
          <w:rFonts w:ascii="Times New Roman" w:hAnsi="Times New Roman"/>
          <w:b/>
          <w:noProof/>
          <w:sz w:val="24"/>
          <w:szCs w:val="24"/>
          <w:u w:val="single"/>
        </w:rPr>
        <w:t>môže</w:t>
      </w:r>
      <w:r>
        <w:rPr>
          <w:rFonts w:ascii="Times New Roman" w:hAnsi="Times New Roman"/>
          <w:b/>
          <w:noProof/>
          <w:sz w:val="24"/>
          <w:u w:val="single"/>
        </w:rPr>
        <w:t xml:space="preserve"> podporiť digitálne technológie v tom</w:t>
      </w:r>
      <w:r>
        <w:rPr>
          <w:rFonts w:ascii="Times New Roman" w:hAnsi="Times New Roman"/>
          <w:b/>
          <w:noProof/>
          <w:sz w:val="24"/>
          <w:szCs w:val="24"/>
          <w:u w:val="single"/>
        </w:rPr>
        <w:t>,</w:t>
      </w:r>
      <w:r>
        <w:rPr>
          <w:rFonts w:ascii="Times New Roman" w:hAnsi="Times New Roman"/>
          <w:b/>
          <w:noProof/>
          <w:sz w:val="24"/>
          <w:u w:val="single"/>
        </w:rPr>
        <w:t xml:space="preserve"> aby sa pri formovaní a osvojovaní sústreďovali na človeka a aby efektívnejšie zvyšovali celkovú udržateľnosť</w:t>
      </w:r>
      <w:r>
        <w:rPr>
          <w:rFonts w:ascii="Times New Roman" w:hAnsi="Times New Roman"/>
          <w:b/>
          <w:noProof/>
          <w:sz w:val="24"/>
          <w:szCs w:val="24"/>
        </w:rPr>
        <w:t xml:space="preserve">. </w:t>
      </w:r>
      <w:r>
        <w:rPr>
          <w:rFonts w:ascii="Times New Roman" w:hAnsi="Times New Roman"/>
          <w:noProof/>
          <w:sz w:val="24"/>
          <w:szCs w:val="24"/>
        </w:rPr>
        <w:t>Súčasť</w:t>
      </w:r>
      <w:r>
        <w:rPr>
          <w:rFonts w:ascii="Times New Roman" w:hAnsi="Times New Roman"/>
          <w:noProof/>
          <w:sz w:val="24"/>
          <w:szCs w:val="24"/>
        </w:rPr>
        <w:t>ou toho je predvídať, ako by sa technológie mohli vyvíjať, a nájsť spôsoby, ako využiť s tým spojené súčasné aj budúce príležitosti. Zároveň to znamená preskúmať, ako digitálne technológie ovplyvňujú jednotlivé sféry života, a s tým spojené nové výzvy, nap</w:t>
      </w:r>
      <w:r>
        <w:rPr>
          <w:rFonts w:ascii="Times New Roman" w:hAnsi="Times New Roman"/>
          <w:noProof/>
          <w:sz w:val="24"/>
          <w:szCs w:val="24"/>
        </w:rPr>
        <w:t>ríklad hľadať riešenie zvyšovania toku informácií a umelého získavania ľudskej pozornosti. Môže to pomôcť zistiť, ako môže EÚ formovať globálne digitálne normy a pravidlá v prospech ľudí a podnikov a zároveň napomáhať zelenú premenu hospodárstva. Ak chceme</w:t>
      </w:r>
      <w:r>
        <w:rPr>
          <w:rFonts w:ascii="Times New Roman" w:hAnsi="Times New Roman"/>
          <w:noProof/>
          <w:sz w:val="24"/>
          <w:szCs w:val="24"/>
        </w:rPr>
        <w:t xml:space="preserve"> pri zavádzaní technológií umelej inteligencie dodržiavať základné práva a hodnoty EÚ a vyvolávať v občanoch potrebnú dôveru, treba vytvoriť horizontálny rámec pre umelú inteligenciu. V rámci výhľadu a predvídania je možné skúmať, ako môžu digitálne techno</w:t>
      </w:r>
      <w:r>
        <w:rPr>
          <w:rFonts w:ascii="Times New Roman" w:hAnsi="Times New Roman"/>
          <w:noProof/>
          <w:sz w:val="24"/>
          <w:szCs w:val="24"/>
        </w:rPr>
        <w:t>lógie účinne umožniť štátnym správam, aby poskytovali univerzálny prístup ku kvalitným základným službám, a ako zabezpečiť plnú zodpovednosť inštitúcií. Zároveň možno skúmať spôsoby, ako zaviesť bezpečnú digitálnu infraštruktúru (vysokorýchlostné siete vrá</w:t>
      </w:r>
      <w:r>
        <w:rPr>
          <w:rFonts w:ascii="Times New Roman" w:hAnsi="Times New Roman"/>
          <w:noProof/>
          <w:sz w:val="24"/>
          <w:szCs w:val="24"/>
        </w:rPr>
        <w:t>tane budúcej siete 6G, cloudu a dátových sietí), aby sa zabránilo vzniku digitálnej priepasti medzi regiónmi a jednotlivcami.</w:t>
      </w:r>
    </w:p>
    <w:p w:rsidR="00F47BB5" w:rsidRDefault="00F47BB5">
      <w:pPr>
        <w:pStyle w:val="NoSpacing"/>
        <w:spacing w:line="276" w:lineRule="auto"/>
        <w:jc w:val="both"/>
        <w:rPr>
          <w:rFonts w:ascii="Times New Roman" w:hAnsi="Times New Roman" w:cs="Times New Roman"/>
          <w:noProof/>
          <w:sz w:val="24"/>
          <w:szCs w:val="24"/>
        </w:rPr>
      </w:pPr>
    </w:p>
    <w:p w:rsidR="00F47BB5" w:rsidRDefault="00F47BB5">
      <w:pPr>
        <w:pStyle w:val="NoSpacing"/>
        <w:spacing w:line="276" w:lineRule="auto"/>
        <w:jc w:val="both"/>
        <w:rPr>
          <w:rFonts w:ascii="Times New Roman" w:hAnsi="Times New Roman" w:cs="Times New Roman"/>
          <w:noProof/>
          <w:sz w:val="24"/>
          <w:szCs w:val="24"/>
        </w:rPr>
      </w:pPr>
    </w:p>
    <w:tbl>
      <w:tblPr>
        <w:tblW w:w="9360" w:type="dxa"/>
        <w:tblInd w:w="-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47BB5">
        <w:tc>
          <w:tcPr>
            <w:tcW w:w="9360" w:type="dxa"/>
            <w:shd w:val="clear" w:color="auto" w:fill="auto"/>
            <w:tcMar>
              <w:top w:w="100" w:type="dxa"/>
              <w:left w:w="100" w:type="dxa"/>
              <w:bottom w:w="100" w:type="dxa"/>
              <w:right w:w="100" w:type="dxa"/>
            </w:tcMar>
          </w:tcPr>
          <w:p w:rsidR="00F47BB5" w:rsidRDefault="00A34992">
            <w:pPr>
              <w:spacing w:after="120" w:line="276" w:lineRule="auto"/>
              <w:jc w:val="center"/>
              <w:rPr>
                <w:noProof/>
                <w:sz w:val="22"/>
                <w:szCs w:val="22"/>
              </w:rPr>
            </w:pPr>
            <w:r>
              <w:rPr>
                <w:b/>
                <w:noProof/>
                <w:sz w:val="22"/>
              </w:rPr>
              <w:t>Rámček 3.4</w:t>
            </w:r>
            <w:r>
              <w:rPr>
                <w:b/>
                <w:bCs/>
                <w:noProof/>
                <w:sz w:val="22"/>
                <w:szCs w:val="22"/>
              </w:rPr>
              <w:t>: PRÍPADOVÁ ŠTÚDIA – Zelené IKT</w:t>
            </w:r>
          </w:p>
          <w:p w:rsidR="00F47BB5" w:rsidRDefault="00A34992">
            <w:pPr>
              <w:spacing w:after="120" w:line="276" w:lineRule="auto"/>
              <w:rPr>
                <w:noProof/>
                <w:sz w:val="22"/>
                <w:szCs w:val="22"/>
              </w:rPr>
            </w:pPr>
            <w:r>
              <w:rPr>
                <w:b/>
                <w:bCs/>
                <w:noProof/>
                <w:sz w:val="22"/>
                <w:szCs w:val="22"/>
              </w:rPr>
              <w:t>Ekologické a digitálne ambície EÚ by sa mali vzájomne dopĺňať. Je to vždy tak?</w:t>
            </w:r>
            <w:r>
              <w:rPr>
                <w:noProof/>
                <w:sz w:val="22"/>
                <w:szCs w:val="22"/>
              </w:rPr>
              <w:t xml:space="preserve"> Informačné a komunikačné technológie (IKT) môžu stimulovať neudržateľnú spotrebu, ale v správnom politickom rámci by mohli výrazne znížiť spotrebu energie a optimalizovať využívanie zdrojov, výrobkov a aktív. Digitálne technológie by mohli priniesť inovat</w:t>
            </w:r>
            <w:r>
              <w:rPr>
                <w:noProof/>
                <w:sz w:val="22"/>
                <w:szCs w:val="22"/>
              </w:rPr>
              <w:t>ívne riešenia v rôznych oblastiach vrátane energetiky, výroby, poľnohospodárstva a využívania pôdy, budov, služieb, dopravy a riadenia dopravy a vďaka tomu znížiť globálne emisie až o 15 %.</w:t>
            </w:r>
            <w:r>
              <w:rPr>
                <w:noProof/>
                <w:sz w:val="22"/>
                <w:szCs w:val="22"/>
                <w:vertAlign w:val="superscript"/>
              </w:rPr>
              <w:footnoteReference w:id="179"/>
            </w:r>
            <w:r>
              <w:rPr>
                <w:noProof/>
                <w:sz w:val="22"/>
                <w:szCs w:val="22"/>
              </w:rPr>
              <w:t xml:space="preserve"> Napríklad prenos a uloženie jedného gigabajtu údajov cez internet využíva 3,1 kWh až 7 kWh namiesto 0,00005 kWh, ak k nemu dôjde lokálne</w:t>
            </w:r>
            <w:r>
              <w:rPr>
                <w:noProof/>
                <w:sz w:val="22"/>
                <w:szCs w:val="22"/>
                <w:vertAlign w:val="superscript"/>
              </w:rPr>
              <w:footnoteReference w:id="180"/>
            </w:r>
            <w:r>
              <w:rPr>
                <w:noProof/>
                <w:sz w:val="22"/>
                <w:szCs w:val="22"/>
              </w:rPr>
              <w:t>. To si vyžaduje vytvorenie interoperabilných európskych cloudových a edgových infraštruktúr, ktoré dokážu poňať rozsi</w:t>
            </w:r>
            <w:r>
              <w:rPr>
                <w:noProof/>
                <w:sz w:val="22"/>
                <w:szCs w:val="22"/>
              </w:rPr>
              <w:t>ahle digitálne riešenia v Európe a zároveň zabezpečiť technologickú suverenitu EÚ.</w:t>
            </w:r>
          </w:p>
          <w:p w:rsidR="00F47BB5" w:rsidRDefault="00A34992">
            <w:pPr>
              <w:spacing w:after="120" w:line="276" w:lineRule="auto"/>
              <w:rPr>
                <w:noProof/>
                <w:sz w:val="22"/>
                <w:szCs w:val="22"/>
              </w:rPr>
            </w:pPr>
            <w:r>
              <w:rPr>
                <w:b/>
                <w:noProof/>
                <w:sz w:val="22"/>
                <w:szCs w:val="22"/>
              </w:rPr>
              <w:t>Digitalizácia by však mohla</w:t>
            </w:r>
            <w:r>
              <w:rPr>
                <w:noProof/>
                <w:sz w:val="22"/>
                <w:szCs w:val="22"/>
              </w:rPr>
              <w:t xml:space="preserve"> viesť k zvýšeniu výroby, používania a likvidácie elektronických zariadení a dátových centier</w:t>
            </w:r>
            <w:r>
              <w:rPr>
                <w:noProof/>
                <w:sz w:val="22"/>
                <w:szCs w:val="22"/>
                <w:vertAlign w:val="superscript"/>
              </w:rPr>
              <w:footnoteReference w:id="181"/>
            </w:r>
            <w:r>
              <w:rPr>
                <w:noProof/>
                <w:sz w:val="22"/>
                <w:szCs w:val="22"/>
              </w:rPr>
              <w:t>, a tak</w:t>
            </w:r>
            <w:r>
              <w:rPr>
                <w:b/>
                <w:noProof/>
                <w:sz w:val="22"/>
                <w:szCs w:val="22"/>
              </w:rPr>
              <w:t xml:space="preserve"> negatívne ovplyvniť životné prostredie, klím</w:t>
            </w:r>
            <w:r>
              <w:rPr>
                <w:b/>
                <w:noProof/>
                <w:sz w:val="22"/>
                <w:szCs w:val="22"/>
              </w:rPr>
              <w:t>u a ľudské zdravie</w:t>
            </w:r>
            <w:r>
              <w:rPr>
                <w:noProof/>
                <w:sz w:val="22"/>
                <w:szCs w:val="22"/>
              </w:rPr>
              <w:t>. Odhaduje sa, že napríklad spotreba energie z ťažby bitcoinov zodpovedá za 0,3 % celosvetovej spotreby energie. To sa možno nezdá veľa, ale 68,11 TWh ročne je viac ako ročná spotreba Rakúska (64,60 TWh) či Česka (62,34 TWh)</w:t>
            </w:r>
            <w:r>
              <w:rPr>
                <w:noProof/>
                <w:sz w:val="22"/>
                <w:vertAlign w:val="superscript"/>
              </w:rPr>
              <w:footnoteReference w:id="182"/>
            </w:r>
            <w:r>
              <w:rPr>
                <w:noProof/>
                <w:sz w:val="22"/>
                <w:szCs w:val="22"/>
              </w:rPr>
              <w:t>.</w:t>
            </w:r>
          </w:p>
          <w:p w:rsidR="00F47BB5" w:rsidRDefault="00A34992">
            <w:pPr>
              <w:spacing w:after="120" w:line="276" w:lineRule="auto"/>
              <w:rPr>
                <w:noProof/>
                <w:color w:val="000000" w:themeColor="text1"/>
                <w:sz w:val="22"/>
                <w:szCs w:val="22"/>
              </w:rPr>
            </w:pPr>
            <w:r>
              <w:rPr>
                <w:b/>
                <w:bCs/>
                <w:noProof/>
                <w:color w:val="000000"/>
                <w:sz w:val="22"/>
                <w:szCs w:val="22"/>
              </w:rPr>
              <w:t>Dôležitou ú</w:t>
            </w:r>
            <w:r>
              <w:rPr>
                <w:b/>
                <w:bCs/>
                <w:noProof/>
                <w:color w:val="000000"/>
                <w:sz w:val="22"/>
                <w:szCs w:val="22"/>
              </w:rPr>
              <w:t>lohou, ktorej sa treba venovať, je materiálová efektívnosť.</w:t>
            </w:r>
            <w:r>
              <w:rPr>
                <w:bCs/>
                <w:noProof/>
                <w:color w:val="000000"/>
                <w:sz w:val="22"/>
                <w:szCs w:val="22"/>
              </w:rPr>
              <w:t xml:space="preserve"> Na rastúcu kopu elektronického odpadu sa každoročne vyhodí zlato, platina a iné vzácne kovy v hodnote 10 miliárd USD.</w:t>
            </w:r>
            <w:r>
              <w:rPr>
                <w:noProof/>
                <w:sz w:val="22"/>
              </w:rPr>
              <w:t xml:space="preserve"> </w:t>
            </w:r>
            <w:r>
              <w:rPr>
                <w:bCs/>
                <w:noProof/>
                <w:color w:val="000000"/>
                <w:sz w:val="22"/>
                <w:szCs w:val="22"/>
              </w:rPr>
              <w:t>Materiálová efektívnosť digitálnych technológií môže mať na životné prostredie</w:t>
            </w:r>
            <w:r>
              <w:rPr>
                <w:bCs/>
                <w:noProof/>
                <w:color w:val="000000"/>
                <w:sz w:val="22"/>
                <w:szCs w:val="22"/>
              </w:rPr>
              <w:t xml:space="preserve"> ešte väčší vplyv ako energetická efektívnosť.</w:t>
            </w:r>
          </w:p>
          <w:p w:rsidR="00F47BB5" w:rsidRDefault="00A34992">
            <w:pPr>
              <w:spacing w:after="120" w:line="276" w:lineRule="auto"/>
              <w:rPr>
                <w:noProof/>
                <w:color w:val="000000"/>
                <w:sz w:val="22"/>
                <w:szCs w:val="22"/>
              </w:rPr>
            </w:pPr>
            <w:r>
              <w:rPr>
                <w:b/>
                <w:bCs/>
                <w:noProof/>
                <w:color w:val="000000"/>
                <w:sz w:val="22"/>
                <w:szCs w:val="22"/>
              </w:rPr>
              <w:t>Energetická spotreba výpočtovej techniky rastie neudržateľným tempom.</w:t>
            </w:r>
            <w:r>
              <w:rPr>
                <w:noProof/>
                <w:color w:val="000000"/>
                <w:sz w:val="22"/>
                <w:szCs w:val="22"/>
              </w:rPr>
              <w:t xml:space="preserve"> Novšie generácie bezdrôtových technológií spotrebujú menej energie ako tie predošlé (napr. antény 5G budú oproti 4G úspornejšie</w:t>
            </w:r>
            <w:r>
              <w:rPr>
                <w:noProof/>
                <w:sz w:val="22"/>
                <w:szCs w:val="22"/>
                <w:vertAlign w:val="superscript"/>
              </w:rPr>
              <w:footnoteReference w:id="183"/>
            </w:r>
            <w:r>
              <w:rPr>
                <w:noProof/>
                <w:color w:val="000000"/>
                <w:sz w:val="22"/>
                <w:szCs w:val="22"/>
              </w:rPr>
              <w:t>). Na druhe</w:t>
            </w:r>
            <w:r>
              <w:rPr>
                <w:noProof/>
                <w:color w:val="000000"/>
                <w:sz w:val="22"/>
                <w:szCs w:val="22"/>
              </w:rPr>
              <w:t>j strane 5G prinesie hustejšie siete a zvýšený počet pripojených zariadení (napr. prepojené a autonómne jazdenie),</w:t>
            </w:r>
            <w:r>
              <w:rPr>
                <w:noProof/>
                <w:sz w:val="22"/>
                <w:vertAlign w:val="superscript"/>
              </w:rPr>
              <w:footnoteReference w:id="184"/>
            </w:r>
            <w:r>
              <w:rPr>
                <w:noProof/>
                <w:color w:val="000000"/>
                <w:sz w:val="22"/>
                <w:szCs w:val="22"/>
              </w:rPr>
              <w:t xml:space="preserve"> a teda môže viesť k celkovému zvýšeniu energetickej spotreby, prinajmenšom v prvých rokoch zavádzania. Odhadovaná globálna stopa odvetvia te</w:t>
            </w:r>
            <w:r>
              <w:rPr>
                <w:noProof/>
                <w:color w:val="000000"/>
                <w:sz w:val="22"/>
                <w:szCs w:val="22"/>
              </w:rPr>
              <w:t>chnológií v roku 2020 je porovnateľná s odvetvím letectva</w:t>
            </w:r>
            <w:r>
              <w:rPr>
                <w:noProof/>
                <w:sz w:val="22"/>
                <w:szCs w:val="22"/>
                <w:vertAlign w:val="superscript"/>
              </w:rPr>
              <w:footnoteReference w:id="185"/>
            </w:r>
            <w:r>
              <w:rPr>
                <w:noProof/>
                <w:color w:val="000000"/>
                <w:sz w:val="22"/>
                <w:szCs w:val="22"/>
              </w:rPr>
              <w:t>.</w:t>
            </w:r>
          </w:p>
          <w:p w:rsidR="00F47BB5" w:rsidRDefault="00A34992">
            <w:pPr>
              <w:spacing w:after="120" w:line="276" w:lineRule="auto"/>
              <w:rPr>
                <w:noProof/>
                <w:sz w:val="22"/>
                <w:szCs w:val="22"/>
              </w:rPr>
            </w:pPr>
            <w:r>
              <w:rPr>
                <w:b/>
                <w:noProof/>
                <w:sz w:val="22"/>
                <w:szCs w:val="22"/>
              </w:rPr>
              <w:t>Tým sa čoraz viac potvrdzuje, že v práci na zelenej premene IKT treba pokračovať.</w:t>
            </w:r>
            <w:r>
              <w:rPr>
                <w:noProof/>
                <w:sz w:val="22"/>
                <w:szCs w:val="22"/>
              </w:rPr>
              <w:t xml:space="preserve"> Preto musíme ďalej zvažovať spôsoby, ako v európskych digitálnych technológiách a infraštruktúrach rýchlo zvrátiť </w:t>
            </w:r>
            <w:r>
              <w:rPr>
                <w:noProof/>
                <w:sz w:val="22"/>
                <w:szCs w:val="22"/>
              </w:rPr>
              <w:t>rastúcu spotrebu energie a materiálnych zdrojov a zároveň zabezpečiť, aby boli dostupné na používanie v prospech klímy, zdravia, udržateľnosti a odolnosti.</w:t>
            </w:r>
          </w:p>
          <w:p w:rsidR="00F47BB5" w:rsidRDefault="00A34992">
            <w:pPr>
              <w:spacing w:after="120" w:line="276" w:lineRule="auto"/>
              <w:rPr>
                <w:noProof/>
                <w:sz w:val="22"/>
              </w:rPr>
            </w:pPr>
            <w:r>
              <w:rPr>
                <w:b/>
                <w:bCs/>
                <w:noProof/>
                <w:color w:val="000000"/>
                <w:sz w:val="22"/>
                <w:szCs w:val="22"/>
              </w:rPr>
              <w:t>Zelená premena IKT by sa mala uskutočňovať v rámci obehového hospodárstva</w:t>
            </w:r>
            <w:r>
              <w:rPr>
                <w:bCs/>
                <w:noProof/>
                <w:color w:val="000000"/>
                <w:sz w:val="22"/>
                <w:szCs w:val="22"/>
              </w:rPr>
              <w:t>, mala by zahŕňať</w:t>
            </w:r>
            <w:r>
              <w:rPr>
                <w:noProof/>
                <w:color w:val="000000"/>
                <w:sz w:val="22"/>
                <w:szCs w:val="22"/>
              </w:rPr>
              <w:t xml:space="preserve"> budovanie</w:t>
            </w:r>
            <w:r>
              <w:rPr>
                <w:noProof/>
                <w:color w:val="000000"/>
                <w:sz w:val="22"/>
                <w:szCs w:val="22"/>
              </w:rPr>
              <w:t xml:space="preserve"> systémov využívania miestnych materiálov a digitálnych ekosystémov a zároveň vytvárať podmienky pre inovačné dizajny výrobkov a obchodné modely.</w:t>
            </w:r>
          </w:p>
        </w:tc>
      </w:tr>
    </w:tbl>
    <w:p w:rsidR="00F47BB5" w:rsidRDefault="00F47BB5">
      <w:pPr>
        <w:pStyle w:val="Text1"/>
        <w:ind w:left="0"/>
        <w:rPr>
          <w:noProof/>
        </w:rPr>
      </w:pPr>
      <w:bookmarkStart w:id="872" w:name="_Toc48718103"/>
      <w:bookmarkStart w:id="873" w:name="_Toc49871061"/>
      <w:bookmarkStart w:id="874" w:name="_Toc49871749"/>
      <w:bookmarkStart w:id="875" w:name="_Toc49871803"/>
      <w:bookmarkStart w:id="876" w:name="_Toc49950876"/>
      <w:bookmarkStart w:id="877" w:name="_Toc45639298"/>
      <w:bookmarkStart w:id="878" w:name="_Toc45647512"/>
    </w:p>
    <w:p w:rsidR="00F47BB5" w:rsidRDefault="00A34992">
      <w:pPr>
        <w:pStyle w:val="Heading1"/>
        <w:tabs>
          <w:tab w:val="clear" w:pos="482"/>
        </w:tabs>
        <w:spacing w:line="276" w:lineRule="auto"/>
        <w:ind w:left="0" w:firstLine="0"/>
        <w:jc w:val="left"/>
        <w:rPr>
          <w:noProof/>
        </w:rPr>
      </w:pPr>
      <w:bookmarkStart w:id="879" w:name="_Toc50298922"/>
      <w:bookmarkStart w:id="880" w:name="_Toc51067202"/>
      <w:r>
        <w:rPr>
          <w:noProof/>
        </w:rPr>
        <w:t>4. Agenda strategického výhľadu</w:t>
      </w:r>
      <w:bookmarkEnd w:id="872"/>
      <w:bookmarkEnd w:id="873"/>
      <w:bookmarkEnd w:id="874"/>
      <w:bookmarkEnd w:id="875"/>
      <w:bookmarkEnd w:id="876"/>
      <w:bookmarkEnd w:id="879"/>
      <w:bookmarkEnd w:id="880"/>
    </w:p>
    <w:p w:rsidR="00F47BB5" w:rsidRDefault="00A34992">
      <w:pPr>
        <w:pStyle w:val="Heading2"/>
        <w:rPr>
          <w:noProof/>
        </w:rPr>
      </w:pPr>
      <w:bookmarkStart w:id="881" w:name="_Toc47974247"/>
      <w:bookmarkStart w:id="882" w:name="_Toc47974289"/>
      <w:bookmarkStart w:id="883" w:name="_Toc47974305"/>
      <w:bookmarkStart w:id="884" w:name="_Toc47974322"/>
      <w:bookmarkStart w:id="885" w:name="_Toc47974339"/>
      <w:bookmarkStart w:id="886" w:name="_Toc47974420"/>
      <w:bookmarkStart w:id="887" w:name="_Toc47974973"/>
      <w:bookmarkStart w:id="888" w:name="_Toc47975105"/>
      <w:bookmarkStart w:id="889" w:name="_Toc47975312"/>
      <w:bookmarkStart w:id="890" w:name="_Toc47975629"/>
      <w:bookmarkStart w:id="891" w:name="_Toc47975652"/>
      <w:bookmarkStart w:id="892" w:name="_Toc47975671"/>
      <w:bookmarkStart w:id="893" w:name="_Toc47975761"/>
      <w:bookmarkStart w:id="894" w:name="_Toc47975814"/>
      <w:bookmarkStart w:id="895" w:name="_Toc47976024"/>
      <w:bookmarkStart w:id="896" w:name="_Toc47976115"/>
      <w:bookmarkStart w:id="897" w:name="_Toc47976554"/>
      <w:bookmarkStart w:id="898" w:name="_Toc47976574"/>
      <w:bookmarkStart w:id="899" w:name="_Toc47976681"/>
      <w:bookmarkStart w:id="900" w:name="_Toc47977126"/>
      <w:bookmarkStart w:id="901" w:name="_Toc47977698"/>
      <w:bookmarkStart w:id="902" w:name="_Toc47977913"/>
      <w:bookmarkStart w:id="903" w:name="_Toc47977961"/>
      <w:bookmarkStart w:id="904" w:name="_Toc47978124"/>
      <w:bookmarkStart w:id="905" w:name="_Toc47978149"/>
      <w:bookmarkStart w:id="906" w:name="_Toc47978205"/>
      <w:bookmarkStart w:id="907" w:name="_Toc47978279"/>
      <w:bookmarkStart w:id="908" w:name="_Toc47978401"/>
      <w:bookmarkStart w:id="909" w:name="_Toc47978481"/>
      <w:bookmarkStart w:id="910" w:name="_Toc47978643"/>
      <w:bookmarkStart w:id="911" w:name="_Toc47978755"/>
      <w:bookmarkStart w:id="912" w:name="_Toc47978773"/>
      <w:bookmarkStart w:id="913" w:name="_Toc47979021"/>
      <w:bookmarkStart w:id="914" w:name="_Toc47979090"/>
      <w:bookmarkStart w:id="915" w:name="_Toc47979132"/>
      <w:bookmarkStart w:id="916" w:name="_Toc47979150"/>
      <w:bookmarkStart w:id="917" w:name="_Toc47979264"/>
      <w:bookmarkStart w:id="918" w:name="_Toc47979359"/>
      <w:bookmarkStart w:id="919" w:name="_Toc47979377"/>
      <w:bookmarkStart w:id="920" w:name="_Toc47979393"/>
      <w:bookmarkStart w:id="921" w:name="_Toc47979438"/>
      <w:bookmarkStart w:id="922" w:name="_Toc47981407"/>
      <w:bookmarkStart w:id="923" w:name="_Toc47981435"/>
      <w:bookmarkStart w:id="924" w:name="_Toc48043643"/>
      <w:bookmarkStart w:id="925" w:name="_Toc48160888"/>
      <w:bookmarkStart w:id="926" w:name="_Toc48718104"/>
      <w:bookmarkStart w:id="927" w:name="_Toc49871750"/>
      <w:bookmarkStart w:id="928" w:name="_Toc49871804"/>
      <w:bookmarkStart w:id="929" w:name="_Toc49950877"/>
      <w:bookmarkStart w:id="930" w:name="_Toc50298923"/>
      <w:bookmarkStart w:id="931" w:name="_Toc51067203"/>
      <w:bookmarkStart w:id="932" w:name="_Toc47972864"/>
      <w:bookmarkStart w:id="933" w:name="_Toc47973005"/>
      <w:bookmarkStart w:id="934" w:name="_Toc47944132"/>
      <w:bookmarkStart w:id="935" w:name="_Toc47971937"/>
      <w:bookmarkStart w:id="936" w:name="_Toc47976577"/>
      <w:bookmarkStart w:id="937" w:name="_Toc47978152"/>
      <w:bookmarkStart w:id="938" w:name="_Toc47981410"/>
      <w:bookmarkStart w:id="939" w:name="_Toc48199523"/>
      <w:bookmarkStart w:id="940" w:name="_Toc48200749"/>
      <w:bookmarkStart w:id="941" w:name="_Toc48202354"/>
      <w:bookmarkStart w:id="942" w:name="_Toc48204999"/>
      <w:bookmarkStart w:id="943" w:name="_Toc48205738"/>
      <w:bookmarkStart w:id="944" w:name="_Toc48208897"/>
      <w:bookmarkStart w:id="945" w:name="_Toc48210091"/>
      <w:bookmarkStart w:id="946" w:name="_Toc48217731"/>
      <w:bookmarkStart w:id="947" w:name="_Toc48218469"/>
      <w:bookmarkStart w:id="948" w:name="_Toc48220115"/>
      <w:bookmarkStart w:id="949" w:name="_Toc48222648"/>
      <w:bookmarkStart w:id="950" w:name="_Toc48226260"/>
      <w:bookmarkStart w:id="951" w:name="_Toc48226794"/>
      <w:bookmarkStart w:id="952" w:name="_Toc48230239"/>
      <w:bookmarkStart w:id="953" w:name="_Toc48230586"/>
      <w:bookmarkEnd w:id="877"/>
      <w:bookmarkEnd w:id="878"/>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r>
        <w:rPr>
          <w:noProof/>
        </w:rPr>
        <w:t>4.1. Monitorovanie odolnosti</w:t>
      </w:r>
      <w:bookmarkEnd w:id="926"/>
      <w:bookmarkEnd w:id="927"/>
      <w:bookmarkEnd w:id="928"/>
      <w:bookmarkEnd w:id="929"/>
      <w:bookmarkEnd w:id="930"/>
      <w:bookmarkEnd w:id="931"/>
    </w:p>
    <w:p w:rsidR="00F47BB5" w:rsidRDefault="00A34992">
      <w:pPr>
        <w:spacing w:after="120" w:line="276" w:lineRule="auto"/>
        <w:rPr>
          <w:noProof/>
        </w:rPr>
      </w:pPr>
      <w:r>
        <w:rPr>
          <w:b/>
          <w:bCs/>
          <w:noProof/>
        </w:rPr>
        <w:t>Keďže odolnosť sa stáva novým kompasom tvorby p</w:t>
      </w:r>
      <w:r>
        <w:rPr>
          <w:b/>
          <w:bCs/>
          <w:noProof/>
        </w:rPr>
        <w:t>olitík EÚ, potrebujeme náležité monitorovacie nástroje. V </w:t>
      </w:r>
      <w:r>
        <w:rPr>
          <w:noProof/>
        </w:rPr>
        <w:t xml:space="preserve">tomto oznámení sa navrhuje zaviesť </w:t>
      </w:r>
      <w:r>
        <w:rPr>
          <w:i/>
          <w:noProof/>
        </w:rPr>
        <w:t>prehľady odolnosti</w:t>
      </w:r>
      <w:r>
        <w:rPr>
          <w:noProof/>
        </w:rPr>
        <w:t xml:space="preserve">, ktoré sa budú spoluvytvárať v prieskumných diskusiách s členskými štátmi a kľúčovými zainteresovanými stranami. V tomto dokumente sú uvedené </w:t>
      </w:r>
      <w:r>
        <w:rPr>
          <w:noProof/>
        </w:rPr>
        <w:t>ich prototypy. Účelom týchto prototypov je na základe podrobnejšej analýzy zvýrazniť slabé miesta a kapacity odolnosti v EÚ a jej členských štátoch. Na týchto prehľadoch bude potrebné ďalej pracovať vychádzajúc zo známych súvislostí a kolektívnej inteligen</w:t>
      </w:r>
      <w:r>
        <w:rPr>
          <w:noProof/>
        </w:rPr>
        <w:t xml:space="preserve">cie. Zoznam ukazovateľov v prehľadoch bude dynamický a vyberaný na základe participatívneho procesu, do ktorého sa zapoja členské štáty a kľúčové zainteresované strany, pričom sa budú opierať o kvalitné a vzájomne porovnateľné údaje jednotlivých členských </w:t>
      </w:r>
      <w:r>
        <w:rPr>
          <w:noProof/>
        </w:rPr>
        <w:t>štátov za rôzne časové obdobia.</w:t>
      </w:r>
    </w:p>
    <w:p w:rsidR="00F47BB5" w:rsidRDefault="00A34992">
      <w:pPr>
        <w:spacing w:after="120" w:line="276" w:lineRule="auto"/>
        <w:rPr>
          <w:bCs/>
          <w:noProof/>
          <w:szCs w:val="24"/>
        </w:rPr>
      </w:pPr>
      <w:r>
        <w:rPr>
          <w:b/>
          <w:noProof/>
        </w:rPr>
        <w:t xml:space="preserve">Prehľady odolnosti budú plniť doplnkovú úlohu a pridávať hodnotu k iným monitorovacím nástrojom. </w:t>
      </w:r>
      <w:r>
        <w:rPr>
          <w:noProof/>
        </w:rPr>
        <w:t>Budú nadväzovať na existujúce odvetvové ukazovatele a monitorovacie nástroje, akým je v kontexte EÚ sociálny prehľad a monitoro</w:t>
      </w:r>
      <w:r>
        <w:rPr>
          <w:noProof/>
        </w:rPr>
        <w:t>vacia správa o pokroku pri dosahovaní cieľov udržateľného rozvoja</w:t>
      </w:r>
      <w:r>
        <w:rPr>
          <w:noProof/>
          <w:vertAlign w:val="superscript"/>
        </w:rPr>
        <w:footnoteReference w:id="186"/>
      </w:r>
      <w:r>
        <w:rPr>
          <w:noProof/>
        </w:rPr>
        <w:t>. Ich evidentná pridaná hodnota bude spočívať v týchto osobitých prvkoch: i) prehľady pomôžu na základe strategického výhľadu identifikovať vznikajúce problémy a výzvy a navrhnú nové výhľado</w:t>
      </w:r>
      <w:r>
        <w:rPr>
          <w:noProof/>
        </w:rPr>
        <w:t>vé ukazovatele slabých miest alebo kapacít odolnosti; ii) zatiaľ čo cieľom existujúcich nástrojov je posúdiť pokrok v EÚ a jej členských štátoch dosiahnutý napríklad z hľadiska transformácií alebo konkrétnych odvetvových politík, v prehľadoch sa bude posud</w:t>
      </w:r>
      <w:r>
        <w:rPr>
          <w:noProof/>
        </w:rPr>
        <w:t xml:space="preserve">zovať odolnosť, t. j. </w:t>
      </w:r>
      <w:r>
        <w:rPr>
          <w:bCs/>
          <w:i/>
          <w:noProof/>
          <w:szCs w:val="24"/>
        </w:rPr>
        <w:t>schopnosť</w:t>
      </w:r>
      <w:r>
        <w:rPr>
          <w:noProof/>
        </w:rPr>
        <w:t xml:space="preserve"> dosiahnuť pokrok a politické ciele; a iii) zatiaľ čo mnohé existujúce nástroje sú zvyčajne odvetvové alebo sa zameriavajú na konkrétne témy alebo politiky, prehľady sa budú zameriavať na viaceré rozmery odolnosti a ich vzájo</w:t>
      </w:r>
      <w:r>
        <w:rPr>
          <w:noProof/>
        </w:rPr>
        <w:t>mné prepojenie a poskytnú ucelený obraz.</w:t>
      </w:r>
    </w:p>
    <w:p w:rsidR="00F47BB5" w:rsidRDefault="00A34992">
      <w:pPr>
        <w:pStyle w:val="Heading3"/>
        <w:rPr>
          <w:noProof/>
        </w:rPr>
      </w:pPr>
      <w:bookmarkStart w:id="954" w:name="_Toc47981409"/>
      <w:bookmarkStart w:id="955" w:name="_Toc47976576"/>
      <w:bookmarkStart w:id="956" w:name="_Toc47978151"/>
      <w:bookmarkStart w:id="957" w:name="_Toc48199522"/>
      <w:bookmarkStart w:id="958" w:name="_Toc48200748"/>
      <w:bookmarkStart w:id="959" w:name="_Toc48202353"/>
      <w:bookmarkStart w:id="960" w:name="_Toc48204998"/>
      <w:bookmarkStart w:id="961" w:name="_Toc48205737"/>
      <w:bookmarkStart w:id="962" w:name="_Toc48208896"/>
      <w:bookmarkStart w:id="963" w:name="_Toc48210090"/>
      <w:bookmarkStart w:id="964" w:name="_Toc48217730"/>
      <w:bookmarkStart w:id="965" w:name="_Toc48218468"/>
      <w:bookmarkStart w:id="966" w:name="_Toc48220114"/>
      <w:bookmarkStart w:id="967" w:name="_Toc48222647"/>
      <w:bookmarkStart w:id="968" w:name="_Toc48226259"/>
      <w:bookmarkStart w:id="969" w:name="_Toc48226793"/>
      <w:bookmarkStart w:id="970" w:name="_Toc48230238"/>
      <w:bookmarkStart w:id="971" w:name="_Toc48230585"/>
      <w:bookmarkStart w:id="972" w:name="_Toc48718108"/>
      <w:bookmarkStart w:id="973" w:name="_Toc49871751"/>
      <w:bookmarkStart w:id="974" w:name="_Toc49871805"/>
      <w:bookmarkStart w:id="975" w:name="_Toc49950878"/>
      <w:bookmarkStart w:id="976" w:name="_Toc50298924"/>
      <w:bookmarkStart w:id="977" w:name="_Toc51067204"/>
      <w:r>
        <w:rPr>
          <w:noProof/>
        </w:rPr>
        <w:t>4.1.1. Prototypy prehľadu odolnosti</w:t>
      </w:r>
      <w:bookmarkStart w:id="978" w:name="_Toc48192583"/>
      <w:bookmarkStart w:id="979" w:name="_Toc48198484"/>
      <w:bookmarkStart w:id="980" w:name="_Toc48199481"/>
      <w:bookmarkStart w:id="981" w:name="_Toc48199520"/>
      <w:bookmarkStart w:id="982" w:name="_Toc48199843"/>
      <w:bookmarkStart w:id="983" w:name="_Toc48200730"/>
      <w:bookmarkStart w:id="984" w:name="_Toc48200746"/>
      <w:bookmarkStart w:id="985" w:name="_Toc48200767"/>
      <w:bookmarkStart w:id="986" w:name="_Toc48200973"/>
      <w:bookmarkStart w:id="987" w:name="_Toc48201036"/>
      <w:bookmarkStart w:id="988" w:name="_Toc48201120"/>
      <w:bookmarkStart w:id="989" w:name="_Toc48201136"/>
      <w:bookmarkStart w:id="990" w:name="_Toc48201155"/>
      <w:bookmarkStart w:id="991" w:name="_Toc48202014"/>
      <w:bookmarkStart w:id="992" w:name="_Toc48202035"/>
      <w:bookmarkStart w:id="993" w:name="_Toc48202064"/>
      <w:bookmarkStart w:id="994" w:name="_Toc48202080"/>
      <w:bookmarkStart w:id="995" w:name="_Toc48202212"/>
      <w:bookmarkStart w:id="996" w:name="_Toc48202257"/>
      <w:bookmarkStart w:id="997" w:name="_Toc48202335"/>
      <w:bookmarkStart w:id="998" w:name="_Toc48202351"/>
      <w:bookmarkStart w:id="999" w:name="_Toc48202377"/>
      <w:bookmarkStart w:id="1000" w:name="_Toc48202510"/>
      <w:bookmarkStart w:id="1001" w:name="_Toc48202528"/>
      <w:bookmarkStart w:id="1002" w:name="_Toc48202549"/>
      <w:bookmarkStart w:id="1003" w:name="_Toc48202575"/>
      <w:bookmarkStart w:id="1004" w:name="_Toc48202621"/>
      <w:bookmarkStart w:id="1005" w:name="_Toc48202651"/>
      <w:bookmarkStart w:id="1006" w:name="_Toc48202671"/>
      <w:bookmarkStart w:id="1007" w:name="_Toc48202690"/>
      <w:bookmarkStart w:id="1008" w:name="_Toc48203004"/>
      <w:bookmarkStart w:id="1009" w:name="_Toc48203168"/>
      <w:bookmarkStart w:id="1010" w:name="_Toc48203277"/>
      <w:bookmarkStart w:id="1011" w:name="_Toc48203309"/>
      <w:bookmarkStart w:id="1012" w:name="_Toc48203341"/>
      <w:bookmarkStart w:id="1013" w:name="_Toc48203357"/>
      <w:bookmarkStart w:id="1014" w:name="_Toc48203428"/>
      <w:bookmarkStart w:id="1015" w:name="_Toc48203514"/>
      <w:bookmarkStart w:id="1016" w:name="_Toc48203936"/>
      <w:bookmarkStart w:id="1017" w:name="_Toc48203987"/>
      <w:bookmarkStart w:id="1018" w:name="_Toc48204003"/>
      <w:bookmarkStart w:id="1019" w:name="_Toc48204043"/>
      <w:bookmarkStart w:id="1020" w:name="_Toc48204059"/>
      <w:bookmarkStart w:id="1021" w:name="_Toc48204133"/>
      <w:bookmarkStart w:id="1022" w:name="_Toc48204185"/>
      <w:bookmarkStart w:id="1023" w:name="_Toc48204201"/>
      <w:bookmarkStart w:id="1024" w:name="_Toc48204217"/>
      <w:bookmarkStart w:id="1025" w:name="_Toc48204321"/>
      <w:bookmarkStart w:id="1026" w:name="_Toc48204337"/>
      <w:bookmarkStart w:id="1027" w:name="_Toc48204240"/>
      <w:bookmarkStart w:id="1028" w:name="_Toc48204281"/>
      <w:bookmarkStart w:id="1029" w:name="_Toc48204377"/>
      <w:bookmarkStart w:id="1030" w:name="_Toc48204393"/>
      <w:bookmarkStart w:id="1031" w:name="_Toc48204719"/>
      <w:bookmarkStart w:id="1032" w:name="_Toc48204745"/>
      <w:bookmarkStart w:id="1033" w:name="_Toc48204964"/>
      <w:bookmarkStart w:id="1034" w:name="_Toc48204980"/>
      <w:bookmarkStart w:id="1035" w:name="_Toc48204996"/>
      <w:bookmarkStart w:id="1036" w:name="_Toc48205104"/>
      <w:bookmarkStart w:id="1037" w:name="_Toc48205250"/>
      <w:bookmarkStart w:id="1038" w:name="_Toc48205284"/>
      <w:bookmarkStart w:id="1039" w:name="_Toc48205643"/>
      <w:bookmarkStart w:id="1040" w:name="_Toc48205735"/>
      <w:bookmarkStart w:id="1041" w:name="_Toc48206204"/>
      <w:bookmarkStart w:id="1042" w:name="_Toc48206246"/>
      <w:bookmarkStart w:id="1043" w:name="_Toc48206266"/>
      <w:bookmarkStart w:id="1044" w:name="_Toc48206461"/>
      <w:bookmarkStart w:id="1045" w:name="_Toc48206479"/>
      <w:bookmarkStart w:id="1046" w:name="_Toc48206521"/>
      <w:bookmarkStart w:id="1047" w:name="_Toc48206552"/>
      <w:bookmarkStart w:id="1048" w:name="_Toc48206633"/>
      <w:bookmarkStart w:id="1049" w:name="_Toc48206680"/>
      <w:bookmarkStart w:id="1050" w:name="_Toc48206744"/>
      <w:bookmarkStart w:id="1051" w:name="_Toc48206760"/>
      <w:bookmarkStart w:id="1052" w:name="_Toc48206798"/>
      <w:bookmarkStart w:id="1053" w:name="_Toc48206826"/>
      <w:bookmarkStart w:id="1054" w:name="_Toc48206873"/>
      <w:bookmarkStart w:id="1055" w:name="_Toc48206889"/>
      <w:bookmarkStart w:id="1056" w:name="_Toc48206905"/>
      <w:bookmarkStart w:id="1057" w:name="_Toc48207016"/>
      <w:bookmarkStart w:id="1058" w:name="_Toc48207032"/>
      <w:bookmarkStart w:id="1059" w:name="_Toc48207112"/>
      <w:bookmarkStart w:id="1060" w:name="_Toc48207217"/>
      <w:bookmarkStart w:id="1061" w:name="_Toc48207293"/>
      <w:bookmarkStart w:id="1062" w:name="_Toc48207403"/>
      <w:bookmarkStart w:id="1063" w:name="_Toc48207659"/>
      <w:bookmarkStart w:id="1064" w:name="_Toc48207766"/>
      <w:bookmarkStart w:id="1065" w:name="_Toc48208029"/>
      <w:bookmarkStart w:id="1066" w:name="_Toc48208164"/>
      <w:bookmarkStart w:id="1067" w:name="_Toc48208239"/>
      <w:bookmarkStart w:id="1068" w:name="_Toc48208477"/>
      <w:bookmarkStart w:id="1069" w:name="_Toc48208789"/>
      <w:bookmarkStart w:id="1070" w:name="_Toc48208894"/>
      <w:bookmarkStart w:id="1071" w:name="_Toc48208929"/>
      <w:bookmarkStart w:id="1072" w:name="_Toc48209396"/>
      <w:bookmarkStart w:id="1073" w:name="_Toc48209512"/>
      <w:bookmarkStart w:id="1074" w:name="_Toc48209537"/>
      <w:bookmarkStart w:id="1075" w:name="_Toc48209585"/>
      <w:bookmarkStart w:id="1076" w:name="_Toc48209715"/>
      <w:bookmarkStart w:id="1077" w:name="_Toc48209738"/>
      <w:bookmarkStart w:id="1078" w:name="_Toc48209784"/>
      <w:bookmarkStart w:id="1079" w:name="_Toc48209845"/>
      <w:bookmarkStart w:id="1080" w:name="_Toc48209922"/>
      <w:bookmarkStart w:id="1081" w:name="_Toc48210088"/>
      <w:bookmarkStart w:id="1082" w:name="_Toc48210178"/>
      <w:bookmarkStart w:id="1083" w:name="_Toc48210382"/>
      <w:bookmarkStart w:id="1084" w:name="_Toc48211679"/>
      <w:bookmarkStart w:id="1085" w:name="_Toc48212920"/>
      <w:bookmarkStart w:id="1086" w:name="_Toc48213368"/>
      <w:bookmarkStart w:id="1087" w:name="_Toc48214034"/>
      <w:bookmarkStart w:id="1088" w:name="_Toc48214164"/>
      <w:bookmarkStart w:id="1089" w:name="_Toc48214745"/>
      <w:bookmarkStart w:id="1090" w:name="_Toc48214898"/>
      <w:bookmarkStart w:id="1091" w:name="_Toc48215020"/>
      <w:bookmarkStart w:id="1092" w:name="_Toc48215762"/>
      <w:bookmarkStart w:id="1093" w:name="_Toc48216230"/>
      <w:bookmarkStart w:id="1094" w:name="_Toc48216364"/>
      <w:bookmarkStart w:id="1095" w:name="_Toc48216557"/>
      <w:bookmarkStart w:id="1096" w:name="_Toc48217124"/>
      <w:bookmarkStart w:id="1097" w:name="_Toc48217561"/>
      <w:bookmarkStart w:id="1098" w:name="_Toc48217612"/>
      <w:bookmarkStart w:id="1099" w:name="_Toc48217728"/>
      <w:bookmarkStart w:id="1100" w:name="_Toc48217746"/>
      <w:bookmarkStart w:id="1101" w:name="_Toc48217823"/>
      <w:bookmarkStart w:id="1102" w:name="_Toc48218160"/>
      <w:bookmarkStart w:id="1103" w:name="_Toc48218331"/>
      <w:bookmarkStart w:id="1104" w:name="_Toc48218367"/>
      <w:bookmarkStart w:id="1105" w:name="_Toc48218353"/>
      <w:bookmarkStart w:id="1106" w:name="_Toc48218390"/>
      <w:bookmarkStart w:id="1107" w:name="_Toc48218434"/>
      <w:bookmarkStart w:id="1108" w:name="_Toc48218466"/>
      <w:bookmarkStart w:id="1109" w:name="_Toc48218643"/>
      <w:bookmarkStart w:id="1110" w:name="_Toc48218562"/>
      <w:bookmarkStart w:id="1111" w:name="_Toc48218605"/>
      <w:bookmarkStart w:id="1112" w:name="_Toc48218629"/>
      <w:bookmarkStart w:id="1113" w:name="_Toc48218665"/>
      <w:bookmarkStart w:id="1114" w:name="_Toc48218687"/>
      <w:bookmarkStart w:id="1115" w:name="_Toc48219010"/>
      <w:bookmarkStart w:id="1116" w:name="_Toc48219255"/>
      <w:bookmarkStart w:id="1117" w:name="_Toc48219509"/>
      <w:bookmarkStart w:id="1118" w:name="_Toc48219558"/>
      <w:bookmarkStart w:id="1119" w:name="_Toc48219690"/>
      <w:bookmarkStart w:id="1120" w:name="_Toc48219858"/>
      <w:bookmarkStart w:id="1121" w:name="_Toc48219916"/>
      <w:bookmarkStart w:id="1122" w:name="_Toc48219939"/>
      <w:bookmarkStart w:id="1123" w:name="_Toc48219963"/>
      <w:bookmarkStart w:id="1124" w:name="_Toc48220029"/>
      <w:bookmarkStart w:id="1125" w:name="_Toc48220045"/>
      <w:bookmarkStart w:id="1126" w:name="_Toc48220088"/>
      <w:bookmarkStart w:id="1127" w:name="_Toc48220061"/>
      <w:bookmarkStart w:id="1128" w:name="_Toc48220112"/>
      <w:bookmarkStart w:id="1129" w:name="_Toc48220157"/>
      <w:bookmarkStart w:id="1130" w:name="_Toc48220219"/>
      <w:bookmarkStart w:id="1131" w:name="_Toc48220235"/>
      <w:bookmarkStart w:id="1132" w:name="_Toc48220251"/>
      <w:bookmarkStart w:id="1133" w:name="_Toc48220285"/>
      <w:bookmarkStart w:id="1134" w:name="_Toc48220301"/>
      <w:bookmarkStart w:id="1135" w:name="_Toc48220329"/>
      <w:bookmarkStart w:id="1136" w:name="_Toc48220445"/>
      <w:bookmarkStart w:id="1137" w:name="_Toc48220488"/>
      <w:bookmarkStart w:id="1138" w:name="_Toc48220517"/>
      <w:bookmarkStart w:id="1139" w:name="_Toc48220549"/>
      <w:bookmarkStart w:id="1140" w:name="_Toc48220683"/>
      <w:bookmarkStart w:id="1141" w:name="_Toc48220756"/>
      <w:bookmarkStart w:id="1142" w:name="_Toc48220773"/>
      <w:bookmarkStart w:id="1143" w:name="_Toc48220793"/>
      <w:bookmarkStart w:id="1144" w:name="_Toc48220830"/>
      <w:bookmarkStart w:id="1145" w:name="_Toc48221135"/>
      <w:bookmarkStart w:id="1146" w:name="_Toc48221153"/>
      <w:bookmarkStart w:id="1147" w:name="_Toc48221236"/>
      <w:bookmarkStart w:id="1148" w:name="_Toc48221258"/>
      <w:bookmarkStart w:id="1149" w:name="_Toc48221384"/>
      <w:bookmarkStart w:id="1150" w:name="_Toc48221451"/>
      <w:bookmarkStart w:id="1151" w:name="_Toc48221507"/>
      <w:bookmarkStart w:id="1152" w:name="_Toc48221523"/>
      <w:bookmarkStart w:id="1153" w:name="_Toc48221712"/>
      <w:bookmarkStart w:id="1154" w:name="_Toc48221814"/>
      <w:bookmarkStart w:id="1155" w:name="_Toc48221742"/>
      <w:bookmarkStart w:id="1156" w:name="_Toc48221795"/>
      <w:bookmarkStart w:id="1157" w:name="_Toc48221830"/>
      <w:bookmarkStart w:id="1158" w:name="_Toc48221846"/>
      <w:bookmarkStart w:id="1159" w:name="_Toc48221889"/>
      <w:bookmarkStart w:id="1160" w:name="_Toc48221933"/>
      <w:bookmarkStart w:id="1161" w:name="_Toc48222010"/>
      <w:bookmarkStart w:id="1162" w:name="_Toc48222073"/>
      <w:bookmarkStart w:id="1163" w:name="_Toc48221773"/>
      <w:bookmarkStart w:id="1164" w:name="_Toc48222032"/>
      <w:bookmarkStart w:id="1165" w:name="_Toc48222117"/>
      <w:bookmarkStart w:id="1166" w:name="_Toc48222165"/>
      <w:bookmarkStart w:id="1167" w:name="_Toc48222338"/>
      <w:bookmarkStart w:id="1168" w:name="_Toc48222375"/>
      <w:bookmarkStart w:id="1169" w:name="_Toc48222562"/>
      <w:bookmarkStart w:id="1170" w:name="_Toc48222578"/>
      <w:bookmarkStart w:id="1171" w:name="_Toc48222645"/>
      <w:bookmarkStart w:id="1172" w:name="_Toc48222664"/>
      <w:bookmarkStart w:id="1173" w:name="_Toc48223066"/>
      <w:bookmarkStart w:id="1174" w:name="_Toc48223102"/>
      <w:bookmarkStart w:id="1175" w:name="_Toc48223118"/>
      <w:bookmarkStart w:id="1176" w:name="_Toc48223134"/>
      <w:bookmarkStart w:id="1177" w:name="_Toc48223153"/>
      <w:bookmarkStart w:id="1178" w:name="_Toc48223172"/>
      <w:bookmarkStart w:id="1179" w:name="_Toc48223243"/>
      <w:bookmarkStart w:id="1180" w:name="_Toc48223313"/>
      <w:bookmarkStart w:id="1181" w:name="_Toc48223404"/>
      <w:bookmarkStart w:id="1182" w:name="_Toc48223426"/>
      <w:bookmarkStart w:id="1183" w:name="_Toc48223442"/>
      <w:bookmarkStart w:id="1184" w:name="_Toc48223458"/>
      <w:bookmarkStart w:id="1185" w:name="_Toc48223835"/>
      <w:bookmarkStart w:id="1186" w:name="_Toc48223851"/>
      <w:bookmarkStart w:id="1187" w:name="_Toc48223967"/>
      <w:bookmarkStart w:id="1188" w:name="_Toc48223990"/>
      <w:bookmarkStart w:id="1189" w:name="_Toc48224018"/>
      <w:bookmarkStart w:id="1190" w:name="_Toc48224039"/>
      <w:bookmarkStart w:id="1191" w:name="_Toc48224061"/>
      <w:bookmarkStart w:id="1192" w:name="_Toc48224077"/>
      <w:bookmarkStart w:id="1193" w:name="_Toc48224133"/>
      <w:bookmarkStart w:id="1194" w:name="_Toc48224155"/>
      <w:bookmarkStart w:id="1195" w:name="_Toc48224214"/>
      <w:bookmarkStart w:id="1196" w:name="_Toc48224230"/>
      <w:bookmarkStart w:id="1197" w:name="_Toc48224246"/>
      <w:bookmarkStart w:id="1198" w:name="_Toc48224266"/>
      <w:bookmarkStart w:id="1199" w:name="_Toc48224289"/>
      <w:bookmarkStart w:id="1200" w:name="_Toc48224377"/>
      <w:bookmarkStart w:id="1201" w:name="_Toc48224393"/>
      <w:bookmarkStart w:id="1202" w:name="_Toc48224514"/>
      <w:bookmarkStart w:id="1203" w:name="_Toc48224530"/>
      <w:bookmarkStart w:id="1204" w:name="_Toc48224610"/>
      <w:bookmarkStart w:id="1205" w:name="_Toc48224626"/>
      <w:bookmarkStart w:id="1206" w:name="_Toc48224694"/>
      <w:bookmarkStart w:id="1207" w:name="_Toc48224710"/>
      <w:bookmarkStart w:id="1208" w:name="_Toc48224732"/>
      <w:bookmarkStart w:id="1209" w:name="_Toc48224716"/>
      <w:bookmarkStart w:id="1210" w:name="_Toc48224748"/>
      <w:bookmarkStart w:id="1211" w:name="_Toc48224910"/>
      <w:bookmarkStart w:id="1212" w:name="_Toc48224926"/>
      <w:bookmarkStart w:id="1213" w:name="_Toc48225015"/>
      <w:bookmarkStart w:id="1214" w:name="_Toc48225083"/>
      <w:bookmarkStart w:id="1215" w:name="_Toc48225171"/>
      <w:bookmarkStart w:id="1216" w:name="_Toc48225218"/>
      <w:bookmarkStart w:id="1217" w:name="_Toc48225248"/>
      <w:bookmarkStart w:id="1218" w:name="_Toc48225511"/>
      <w:bookmarkStart w:id="1219" w:name="_Toc48225527"/>
      <w:bookmarkStart w:id="1220" w:name="_Toc48225543"/>
      <w:bookmarkStart w:id="1221" w:name="_Toc48225560"/>
      <w:bookmarkStart w:id="1222" w:name="_Toc48225580"/>
      <w:bookmarkStart w:id="1223" w:name="_Toc48225681"/>
      <w:bookmarkStart w:id="1224" w:name="_Toc48225702"/>
      <w:bookmarkStart w:id="1225" w:name="_Toc48225721"/>
      <w:bookmarkStart w:id="1226" w:name="_Toc48225737"/>
      <w:bookmarkStart w:id="1227" w:name="_Toc48225961"/>
      <w:bookmarkStart w:id="1228" w:name="_Toc48225977"/>
      <w:bookmarkStart w:id="1229" w:name="_Toc48226042"/>
      <w:bookmarkStart w:id="1230" w:name="_Toc48226153"/>
      <w:bookmarkStart w:id="1231" w:name="_Toc48226179"/>
      <w:bookmarkStart w:id="1232" w:name="_Toc48226223"/>
      <w:bookmarkStart w:id="1233" w:name="_Toc48226257"/>
      <w:bookmarkStart w:id="1234" w:name="_Toc48226386"/>
      <w:bookmarkStart w:id="1235" w:name="_Toc48226730"/>
      <w:bookmarkStart w:id="1236" w:name="_Toc48226767"/>
      <w:bookmarkStart w:id="1237" w:name="_Toc48226791"/>
      <w:bookmarkStart w:id="1238" w:name="_Toc48226837"/>
      <w:bookmarkStart w:id="1239" w:name="_Toc48227796"/>
      <w:bookmarkStart w:id="1240" w:name="_Toc48228453"/>
      <w:bookmarkStart w:id="1241" w:name="_Toc48228531"/>
      <w:bookmarkStart w:id="1242" w:name="_Toc48228662"/>
      <w:bookmarkStart w:id="1243" w:name="_Toc48229050"/>
      <w:bookmarkStart w:id="1244" w:name="_Toc48229176"/>
      <w:bookmarkStart w:id="1245" w:name="_Toc48229200"/>
      <w:bookmarkStart w:id="1246" w:name="_Toc48229330"/>
      <w:bookmarkStart w:id="1247" w:name="_Toc48229381"/>
      <w:bookmarkStart w:id="1248" w:name="_Toc48229447"/>
      <w:bookmarkStart w:id="1249" w:name="_Toc48229510"/>
      <w:bookmarkStart w:id="1250" w:name="_Toc48229562"/>
      <w:bookmarkStart w:id="1251" w:name="_Toc48229581"/>
      <w:bookmarkStart w:id="1252" w:name="_Toc48229548"/>
      <w:bookmarkStart w:id="1253" w:name="_Toc48229596"/>
      <w:bookmarkStart w:id="1254" w:name="_Toc48229612"/>
      <w:bookmarkStart w:id="1255" w:name="_Toc48229628"/>
      <w:bookmarkStart w:id="1256" w:name="_Toc48229715"/>
      <w:bookmarkStart w:id="1257" w:name="_Toc48229749"/>
      <w:bookmarkStart w:id="1258" w:name="_Toc48229795"/>
      <w:bookmarkStart w:id="1259" w:name="_Toc48229813"/>
      <w:bookmarkStart w:id="1260" w:name="_Toc48229833"/>
      <w:bookmarkStart w:id="1261" w:name="_Toc48229932"/>
      <w:bookmarkStart w:id="1262" w:name="_Toc48229948"/>
      <w:bookmarkStart w:id="1263" w:name="_Toc48229973"/>
      <w:bookmarkStart w:id="1264" w:name="_Toc48230143"/>
      <w:bookmarkStart w:id="1265" w:name="_Toc48230159"/>
      <w:bookmarkStart w:id="1266" w:name="_Toc48230187"/>
      <w:bookmarkStart w:id="1267" w:name="_Toc48230203"/>
      <w:bookmarkStart w:id="1268" w:name="_Toc48230220"/>
      <w:bookmarkStart w:id="1269" w:name="_Toc48230236"/>
      <w:bookmarkStart w:id="1270" w:name="_Toc48230259"/>
      <w:bookmarkStart w:id="1271" w:name="_Toc48230312"/>
      <w:bookmarkStart w:id="1272" w:name="_Toc48230328"/>
      <w:bookmarkStart w:id="1273" w:name="_Toc48230395"/>
      <w:bookmarkStart w:id="1274" w:name="_Toc48230411"/>
      <w:bookmarkStart w:id="1275" w:name="_Toc48230434"/>
      <w:bookmarkStart w:id="1276" w:name="_Toc48230471"/>
      <w:bookmarkStart w:id="1277" w:name="_Toc48230546"/>
      <w:bookmarkStart w:id="1278" w:name="_Toc48230583"/>
      <w:bookmarkStart w:id="1279" w:name="_Toc48230599"/>
      <w:bookmarkStart w:id="1280" w:name="_Toc48295456"/>
      <w:bookmarkStart w:id="1281" w:name="_Toc48296037"/>
      <w:bookmarkStart w:id="1282" w:name="_Toc48297834"/>
      <w:bookmarkStart w:id="1283" w:name="_Toc48298914"/>
      <w:bookmarkStart w:id="1284" w:name="_Toc48302223"/>
      <w:bookmarkStart w:id="1285" w:name="_Toc48320179"/>
      <w:bookmarkStart w:id="1286" w:name="_Toc48321545"/>
      <w:bookmarkStart w:id="1287" w:name="_Toc48321613"/>
      <w:bookmarkStart w:id="1288" w:name="_Toc48714604"/>
      <w:bookmarkStart w:id="1289" w:name="_Toc48714742"/>
      <w:bookmarkStart w:id="1290" w:name="_Toc48718105"/>
      <w:bookmarkStart w:id="1291" w:name="_Toc48721397"/>
      <w:bookmarkStart w:id="1292" w:name="_Toc48753094"/>
      <w:bookmarkStart w:id="1293" w:name="_Toc48321614"/>
      <w:bookmarkStart w:id="1294" w:name="_Toc48714605"/>
      <w:bookmarkStart w:id="1295" w:name="_Toc48714743"/>
      <w:bookmarkStart w:id="1296" w:name="_Toc48718106"/>
      <w:bookmarkStart w:id="1297" w:name="_Toc48721398"/>
      <w:bookmarkStart w:id="1298" w:name="_Toc48753095"/>
      <w:bookmarkStart w:id="1299" w:name="_Toc48321615"/>
      <w:bookmarkStart w:id="1300" w:name="_Toc48714606"/>
      <w:bookmarkStart w:id="1301" w:name="_Toc48714744"/>
      <w:bookmarkStart w:id="1302" w:name="_Toc48718107"/>
      <w:bookmarkStart w:id="1303" w:name="_Toc48721399"/>
      <w:bookmarkStart w:id="1304" w:name="_Toc48753096"/>
      <w:bookmarkEnd w:id="932"/>
      <w:bookmarkEnd w:id="93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p>
    <w:bookmarkEnd w:id="819"/>
    <w:bookmarkEnd w:id="820"/>
    <w:bookmarkEnd w:id="821"/>
    <w:bookmarkEnd w:id="871"/>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p w:rsidR="00F47BB5" w:rsidRDefault="00A34992">
      <w:pPr>
        <w:spacing w:after="120" w:line="276" w:lineRule="auto"/>
        <w:rPr>
          <w:b/>
          <w:noProof/>
        </w:rPr>
      </w:pPr>
      <w:r>
        <w:rPr>
          <w:b/>
          <w:bCs/>
          <w:noProof/>
        </w:rPr>
        <w:t>V tomto oznámení sa navrhuje vyvinúť prototypy prehľadu sociálno-hospodárskeho, geopolitického, zeleného a digitálneho rozmeru odolnosti</w:t>
      </w:r>
      <w:r>
        <w:rPr>
          <w:b/>
          <w:noProof/>
        </w:rPr>
        <w:t>.</w:t>
      </w:r>
      <w:r>
        <w:rPr>
          <w:noProof/>
        </w:rPr>
        <w:t xml:space="preserve"> Ako príklad sa tu uvádza predbežný, nedok</w:t>
      </w:r>
      <w:r>
        <w:rPr>
          <w:noProof/>
        </w:rPr>
        <w:t xml:space="preserve">ončený súbor ukazovateľov </w:t>
      </w:r>
      <w:r>
        <w:rPr>
          <w:i/>
          <w:iCs/>
          <w:noProof/>
        </w:rPr>
        <w:t>slabých miest</w:t>
      </w:r>
      <w:r>
        <w:rPr>
          <w:noProof/>
        </w:rPr>
        <w:t xml:space="preserve"> a </w:t>
      </w:r>
      <w:r>
        <w:rPr>
          <w:i/>
          <w:iCs/>
          <w:noProof/>
        </w:rPr>
        <w:t>kapacít odolnosti</w:t>
      </w:r>
      <w:r>
        <w:rPr>
          <w:noProof/>
        </w:rPr>
        <w:t xml:space="preserve"> na úrovni EÚ a členských štátov vychádzajúci z verejne dostupných údajov</w:t>
      </w:r>
      <w:r>
        <w:rPr>
          <w:noProof/>
          <w:vertAlign w:val="superscript"/>
        </w:rPr>
        <w:footnoteReference w:id="187"/>
      </w:r>
      <w:r>
        <w:rPr>
          <w:noProof/>
        </w:rPr>
        <w:t xml:space="preserve">. </w:t>
      </w:r>
      <w:r>
        <w:rPr>
          <w:b/>
          <w:noProof/>
        </w:rPr>
        <w:t>Ilustračné prototypy sú príkladom, ako bude taký prehľad vyzerať a pôsobiť.</w:t>
      </w:r>
      <w:r>
        <w:rPr>
          <w:noProof/>
        </w:rPr>
        <w:t xml:space="preserve"> Pri každej premennej sa stupnicou troch farie</w:t>
      </w:r>
      <w:r>
        <w:rPr>
          <w:noProof/>
        </w:rPr>
        <w:t>b označuje relatívna situácia krajín v poslednom roku, za ktorý sú k dispozícii údaje, v porovnaní so spoločnými hodnotami dostupných údajov od roku 2007</w:t>
      </w:r>
      <w:r>
        <w:rPr>
          <w:noProof/>
          <w:vertAlign w:val="superscript"/>
        </w:rPr>
        <w:footnoteReference w:id="188"/>
      </w:r>
      <w:r>
        <w:rPr>
          <w:noProof/>
        </w:rPr>
        <w:t>. Farby sa priraďujú na základe vzdialenosti od priemeru základného rozdelenia</w:t>
      </w:r>
      <w:r>
        <w:rPr>
          <w:noProof/>
          <w:vertAlign w:val="superscript"/>
        </w:rPr>
        <w:footnoteReference w:id="189"/>
      </w:r>
      <w:r>
        <w:rPr>
          <w:noProof/>
        </w:rPr>
        <w:t>.</w:t>
      </w:r>
    </w:p>
    <w:p w:rsidR="00F47BB5" w:rsidRDefault="00A34992">
      <w:pPr>
        <w:spacing w:after="120" w:line="276" w:lineRule="auto"/>
        <w:rPr>
          <w:noProof/>
        </w:rPr>
      </w:pPr>
      <w:r>
        <w:rPr>
          <w:b/>
          <w:noProof/>
        </w:rPr>
        <w:t>Ilustračný prototyp p</w:t>
      </w:r>
      <w:r>
        <w:rPr>
          <w:b/>
          <w:noProof/>
        </w:rPr>
        <w:t>rehľadu sociálno-hospodárskej odolnosti sa zameriava na sociálne, hospodárske a zdravotné problémy súvisiace s ochorením COVID-19</w:t>
      </w:r>
      <w:r>
        <w:rPr>
          <w:noProof/>
        </w:rPr>
        <w:t xml:space="preserve">. </w:t>
      </w:r>
      <w:r>
        <w:rPr>
          <w:b/>
          <w:noProof/>
        </w:rPr>
        <w:t>Graf 4.1</w:t>
      </w:r>
      <w:r>
        <w:rPr>
          <w:noProof/>
          <w:vertAlign w:val="superscript"/>
        </w:rPr>
        <w:footnoteReference w:id="190"/>
      </w:r>
      <w:r>
        <w:rPr>
          <w:noProof/>
        </w:rPr>
        <w:t xml:space="preserve"> načrtáva relatívne slabé miesta, odolnosť a spoločné vzorce, ktoré sa prejavujú v EÚ a jej členských štátoch. V tom</w:t>
      </w:r>
      <w:r>
        <w:rPr>
          <w:noProof/>
        </w:rPr>
        <w:t>to predbežnom prototype sa napríklad starnutie obyvateľstva a rast cestovania v predkrízovom období javia ako spoločné slabé miesta.</w:t>
      </w:r>
    </w:p>
    <w:p w:rsidR="00F47BB5" w:rsidRDefault="00A34992">
      <w:pPr>
        <w:keepNext/>
        <w:spacing w:after="0" w:line="276" w:lineRule="auto"/>
        <w:ind w:left="-629"/>
        <w:jc w:val="center"/>
        <w:rPr>
          <w:b/>
          <w:bCs/>
          <w:noProof/>
          <w:sz w:val="22"/>
          <w:szCs w:val="22"/>
        </w:rPr>
      </w:pPr>
      <w:r>
        <w:rPr>
          <w:b/>
          <w:bCs/>
          <w:noProof/>
          <w:sz w:val="22"/>
          <w:szCs w:val="22"/>
        </w:rPr>
        <w:t>Graf 4.1</w:t>
      </w:r>
      <w:r>
        <w:rPr>
          <w:b/>
          <w:noProof/>
          <w:sz w:val="22"/>
          <w:szCs w:val="22"/>
        </w:rPr>
        <w:t xml:space="preserve"> – </w:t>
      </w:r>
      <w:r>
        <w:rPr>
          <w:b/>
          <w:bCs/>
          <w:noProof/>
          <w:sz w:val="22"/>
          <w:szCs w:val="22"/>
        </w:rPr>
        <w:t>Prototyp prehľadu sociálno-hospodárskej odolnosti v súvislosti s krízou spôsobenou ochorením COVID-19</w:t>
      </w:r>
    </w:p>
    <w:p w:rsidR="00F47BB5" w:rsidRDefault="00A34992">
      <w:pPr>
        <w:spacing w:after="0" w:line="276" w:lineRule="auto"/>
        <w:ind w:left="-630"/>
        <w:jc w:val="center"/>
        <w:rPr>
          <w:b/>
          <w:bCs/>
          <w:noProof/>
          <w:sz w:val="22"/>
          <w:szCs w:val="22"/>
        </w:rPr>
      </w:pPr>
      <w:r>
        <w:rPr>
          <w:noProof/>
          <w:snapToGrid w:val="0"/>
          <w:color w:val="000000"/>
          <w:sz w:val="0"/>
          <w:szCs w:val="0"/>
          <w:u w:color="000000"/>
          <w:bdr w:val="none" w:sz="0" w:space="0" w:color="000000"/>
          <w:shd w:val="clear" w:color="000000" w:fill="000000"/>
        </w:rPr>
        <w:t xml:space="preserve"> </w:t>
      </w:r>
      <w:r>
        <w:rPr>
          <w:noProof/>
          <w:lang w:val="en-GB"/>
        </w:rPr>
        <w:drawing>
          <wp:inline distT="0" distB="0" distL="0" distR="0">
            <wp:extent cx="5731510" cy="5085626"/>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5085626"/>
                    </a:xfrm>
                    <a:prstGeom prst="rect">
                      <a:avLst/>
                    </a:prstGeom>
                    <a:noFill/>
                    <a:ln>
                      <a:noFill/>
                    </a:ln>
                  </pic:spPr>
                </pic:pic>
              </a:graphicData>
            </a:graphic>
          </wp:inline>
        </w:drawing>
      </w:r>
      <w:r>
        <w:rPr>
          <w:noProof/>
          <w:lang w:val="en-GB"/>
        </w:rPr>
        <w:drawing>
          <wp:inline distT="0" distB="0" distL="0" distR="0">
            <wp:extent cx="5703923" cy="547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03923" cy="5472000"/>
                    </a:xfrm>
                    <a:prstGeom prst="rect">
                      <a:avLst/>
                    </a:prstGeom>
                  </pic:spPr>
                </pic:pic>
              </a:graphicData>
            </a:graphic>
          </wp:inline>
        </w:drawing>
      </w:r>
    </w:p>
    <w:p w:rsidR="00F47BB5" w:rsidRDefault="00F47BB5">
      <w:pPr>
        <w:spacing w:after="120" w:line="276" w:lineRule="auto"/>
        <w:rPr>
          <w:b/>
          <w:noProof/>
        </w:rPr>
      </w:pPr>
    </w:p>
    <w:p w:rsidR="00F47BB5" w:rsidRDefault="00A34992">
      <w:pPr>
        <w:spacing w:after="120" w:line="276" w:lineRule="auto"/>
        <w:rPr>
          <w:noProof/>
        </w:rPr>
      </w:pPr>
      <w:r>
        <w:rPr>
          <w:b/>
          <w:noProof/>
        </w:rPr>
        <w:t>Ilustračný prototyp prehľadu geopolitického rozmeru odolnosti sa zameriava na suroviny.</w:t>
      </w:r>
      <w:r>
        <w:rPr>
          <w:noProof/>
        </w:rPr>
        <w:t xml:space="preserve"> Predpokladom odolného hospodárstva sú bezpečné dodávky surovín. Prototyp prehľadu uvedený v hornom paneli </w:t>
      </w:r>
      <w:r>
        <w:rPr>
          <w:b/>
          <w:noProof/>
        </w:rPr>
        <w:t>grafu 4.2</w:t>
      </w:r>
      <w:r>
        <w:rPr>
          <w:noProof/>
          <w:vertAlign w:val="superscript"/>
        </w:rPr>
        <w:footnoteReference w:id="191"/>
      </w:r>
      <w:r>
        <w:rPr>
          <w:noProof/>
        </w:rPr>
        <w:t xml:space="preserve"> je určený na to, aby poskytol obraz o relatívnych slabých miestach a kapacitách členských štátov vo vzťahu k dodávkam surovín. V tejto fáze je tento prototyp významné obmedzený, keďže v ňom nemožno zohľadniť hospodársku štruktúru jednotlivých členských št</w:t>
      </w:r>
      <w:r>
        <w:rPr>
          <w:noProof/>
        </w:rPr>
        <w:t>átov. Napriek tomu z prehľadu napríklad vyplýva, že mnohé krajiny dosahujú v relatívnom vyjadrení dobré výsledky, pokiaľ ide o závislosť od dovozu základných kovov, ale sú na tom horšie, pokiaľ ide o závislosť od dovozu nekovových nerastov pre stavebníctvo</w:t>
      </w:r>
      <w:r>
        <w:rPr>
          <w:noProof/>
          <w:vertAlign w:val="superscript"/>
        </w:rPr>
        <w:footnoteReference w:id="192"/>
      </w:r>
      <w:r>
        <w:rPr>
          <w:noProof/>
        </w:rPr>
        <w:t>. Pokiaľ ide o kapacity, v mnohých krajinách patria k silným stránkam výdavky na inovácie v odvetviach materiálov.</w:t>
      </w:r>
    </w:p>
    <w:p w:rsidR="00F47BB5" w:rsidRDefault="00A34992">
      <w:pPr>
        <w:keepNext/>
        <w:spacing w:after="120" w:line="276" w:lineRule="auto"/>
        <w:ind w:left="-629"/>
        <w:jc w:val="center"/>
        <w:rPr>
          <w:b/>
          <w:bCs/>
          <w:noProof/>
          <w:sz w:val="22"/>
          <w:szCs w:val="22"/>
        </w:rPr>
      </w:pPr>
      <w:r>
        <w:rPr>
          <w:b/>
          <w:bCs/>
          <w:noProof/>
          <w:sz w:val="22"/>
          <w:szCs w:val="22"/>
        </w:rPr>
        <w:t>Graf 4.2</w:t>
      </w:r>
      <w:r>
        <w:rPr>
          <w:b/>
          <w:noProof/>
          <w:sz w:val="22"/>
          <w:szCs w:val="22"/>
        </w:rPr>
        <w:t xml:space="preserve"> – </w:t>
      </w:r>
      <w:r>
        <w:rPr>
          <w:b/>
          <w:bCs/>
          <w:noProof/>
          <w:sz w:val="22"/>
          <w:szCs w:val="22"/>
        </w:rPr>
        <w:t>Prototyp prehľadu geopolitického, zeleného a digitálneho rozmeru odolnosti</w:t>
      </w:r>
    </w:p>
    <w:p w:rsidR="00F47BB5" w:rsidRDefault="00A34992">
      <w:pPr>
        <w:spacing w:after="120" w:line="276" w:lineRule="auto"/>
        <w:ind w:left="-630"/>
        <w:jc w:val="center"/>
        <w:rPr>
          <w:b/>
          <w:bCs/>
          <w:noProof/>
          <w:sz w:val="22"/>
          <w:szCs w:val="22"/>
        </w:rPr>
      </w:pPr>
      <w:r>
        <w:rPr>
          <w:noProof/>
          <w:snapToGrid w:val="0"/>
          <w:color w:val="000000"/>
          <w:sz w:val="0"/>
          <w:szCs w:val="0"/>
          <w:u w:color="000000"/>
          <w:bdr w:val="none" w:sz="0" w:space="0" w:color="000000"/>
          <w:shd w:val="clear" w:color="000000" w:fill="000000"/>
        </w:rPr>
        <w:t xml:space="preserve"> </w:t>
      </w:r>
      <w:r>
        <w:rPr>
          <w:noProof/>
          <w:lang w:val="en-GB"/>
        </w:rPr>
        <w:drawing>
          <wp:inline distT="0" distB="0" distL="0" distR="0">
            <wp:extent cx="5618490" cy="51840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8490" cy="5184000"/>
                    </a:xfrm>
                    <a:prstGeom prst="rect">
                      <a:avLst/>
                    </a:prstGeom>
                  </pic:spPr>
                </pic:pic>
              </a:graphicData>
            </a:graphic>
          </wp:inline>
        </w:drawing>
      </w:r>
    </w:p>
    <w:p w:rsidR="00F47BB5" w:rsidRDefault="00A34992">
      <w:pPr>
        <w:spacing w:after="120" w:line="276" w:lineRule="auto"/>
        <w:rPr>
          <w:noProof/>
        </w:rPr>
      </w:pPr>
      <w:r>
        <w:rPr>
          <w:b/>
          <w:noProof/>
        </w:rPr>
        <w:t>Ilustračný prototyp prehľadu zeleného rozmeru odoln</w:t>
      </w:r>
      <w:r>
        <w:rPr>
          <w:b/>
          <w:noProof/>
        </w:rPr>
        <w:t>osti sa zameriava na zmenu klímy a životné prostredie</w:t>
      </w:r>
      <w:r>
        <w:rPr>
          <w:noProof/>
        </w:rPr>
        <w:t xml:space="preserve">. Je uvedený v strednom paneli </w:t>
      </w:r>
      <w:r>
        <w:rPr>
          <w:b/>
          <w:noProof/>
        </w:rPr>
        <w:t>grafu 4.2</w:t>
      </w:r>
      <w:r>
        <w:rPr>
          <w:noProof/>
          <w:vertAlign w:val="superscript"/>
        </w:rPr>
        <w:footnoteReference w:id="193"/>
      </w:r>
      <w:r>
        <w:rPr>
          <w:noProof/>
        </w:rPr>
        <w:t>. Na tomto ilustračnom príklade poskytujú ukazovatele ako podiel obyvateľstva, na ktoré sa vzťahuje Dohovor primátorov a starostov, a veľkosť chránených území sús</w:t>
      </w:r>
      <w:r>
        <w:rPr>
          <w:noProof/>
        </w:rPr>
        <w:t>tavy Natura 2000 pomerne pozitívny obraz o viacerých krajinách. Naopak, využívanie vody, strata biodiverzity, absorpcia skleníkových plynov ekosystémami, verejné výdavky na ochranu životného prostredia a frekvencia povodní, búrok a prírodných požiarov a ni</w:t>
      </w:r>
      <w:r>
        <w:rPr>
          <w:noProof/>
        </w:rPr>
        <w:t>mi spojená úmrtnosť poukazujú na možné slabé miesta.</w:t>
      </w:r>
    </w:p>
    <w:p w:rsidR="00F47BB5" w:rsidRDefault="00A34992">
      <w:pPr>
        <w:spacing w:after="120" w:line="276" w:lineRule="auto"/>
        <w:rPr>
          <w:noProof/>
        </w:rPr>
      </w:pPr>
      <w:r>
        <w:rPr>
          <w:b/>
          <w:noProof/>
        </w:rPr>
        <w:t>Prehľad digitálnej odolnosti by sa mohol ďalej rozvíjať v nadväznosti na index digitálnej ekonomiky a spoločnosti (DESI)</w:t>
      </w:r>
      <w:r>
        <w:rPr>
          <w:noProof/>
        </w:rPr>
        <w:t xml:space="preserve">. V dolnej časti </w:t>
      </w:r>
      <w:r>
        <w:rPr>
          <w:b/>
          <w:noProof/>
        </w:rPr>
        <w:t>grafu 4.2</w:t>
      </w:r>
      <w:r>
        <w:rPr>
          <w:noProof/>
        </w:rPr>
        <w:t xml:space="preserve"> je uvedený súbor ukazovateľov DESI týkajúcich sa kapacít</w:t>
      </w:r>
      <w:r>
        <w:rPr>
          <w:noProof/>
        </w:rPr>
        <w:t xml:space="preserve"> digitálnej odolnosti, ako je elektronická správa vecí verejných a digitálne zručnosti. Dopĺňajú ich ďalšie ukazovatele, ktorých význam zdôraznila kríza spôsobená ochorením COVID-19, ako práca na diaľku a elektronické zdravotníctvo. Podľa týchto ukazovateľ</w:t>
      </w:r>
      <w:r>
        <w:rPr>
          <w:noProof/>
        </w:rPr>
        <w:t>ov vykazujú mnohé krajiny veľké kapacity v oblasti elektronickej verejnej správy a celkového digitálneho hospodárstva, čo poukazuje na čoraz lepšie prenikanie a prijímanie nových technológií. Na druhej strane digitálne zručnosti, kapacity práce na diaľku a</w:t>
      </w:r>
      <w:r>
        <w:rPr>
          <w:noProof/>
        </w:rPr>
        <w:t> využívanie elektronického zdravotníctva sa vyznačujú väčšími výkyvmi.</w:t>
      </w:r>
    </w:p>
    <w:p w:rsidR="00F47BB5" w:rsidRDefault="00A34992">
      <w:pPr>
        <w:pStyle w:val="Heading3"/>
        <w:ind w:left="1202" w:firstLine="0"/>
        <w:rPr>
          <w:noProof/>
        </w:rPr>
      </w:pPr>
      <w:bookmarkStart w:id="1305" w:name="_Toc48718109"/>
      <w:bookmarkStart w:id="1306" w:name="_Toc49871752"/>
      <w:bookmarkStart w:id="1307" w:name="_Toc49871806"/>
      <w:bookmarkStart w:id="1308" w:name="_Toc49950879"/>
      <w:bookmarkStart w:id="1309" w:name="_Toc50298925"/>
      <w:bookmarkStart w:id="1310" w:name="_Toc51067205"/>
      <w:r>
        <w:rPr>
          <w:noProof/>
        </w:rPr>
        <w:t>4.1.2. Ďalší postup v oblasti monitorovania odolnosti</w:t>
      </w:r>
      <w:bookmarkEnd w:id="1305"/>
      <w:bookmarkEnd w:id="1306"/>
      <w:bookmarkEnd w:id="1307"/>
      <w:bookmarkEnd w:id="1308"/>
      <w:bookmarkEnd w:id="1309"/>
      <w:bookmarkEnd w:id="1310"/>
    </w:p>
    <w:p w:rsidR="00F47BB5" w:rsidRDefault="00A34992">
      <w:pPr>
        <w:spacing w:after="120" w:line="276" w:lineRule="auto"/>
        <w:rPr>
          <w:noProof/>
        </w:rPr>
      </w:pPr>
      <w:r>
        <w:rPr>
          <w:b/>
          <w:noProof/>
        </w:rPr>
        <w:t>Prototypy prehľadu slúžia ako príklad. Komisia v spolupráci s členskými štátmi a ďalšími kľúčovými zainteresovanými stranami bude p</w:t>
      </w:r>
      <w:r>
        <w:rPr>
          <w:b/>
          <w:noProof/>
        </w:rPr>
        <w:t>rehľady odolnosti ďalej dotvárať z hľadiska budúcej perspektívy.</w:t>
      </w:r>
      <w:r>
        <w:rPr>
          <w:noProof/>
        </w:rPr>
        <w:t xml:space="preserve"> Do prehľadov sa premietne strategický výhľad, ktorý môže pomôcť identifikovať vznikajúce výzvy a na posúdenie slabých miest či kapacít navrhnúť nové výhľadové ukazovatele. Keďže odolnosť sa m</w:t>
      </w:r>
      <w:r>
        <w:rPr>
          <w:noProof/>
        </w:rPr>
        <w:t>usí časom zvyšovať, toto úsilie sa bude zameriavať na strednodobý až dlhodobý horizont, aby sa vytvorili čo najlepšie podmienky na tvorbu výhľadových politík, ktoré budú riešiť slabé miesta a posilnia kapacity. Pri tom sa zohľadní vplyv megatrendov a očaká</w:t>
      </w:r>
      <w:r>
        <w:rPr>
          <w:noProof/>
        </w:rPr>
        <w:t>vané riziká. Napríklad prehľad sociálno-hospodárskej odolnosti by sa v úzkom prepojení so sociálnym prehľadom rozšíril nad rámec kontextu pandémie COVID-19. Okrem toho by sa mohlo zvážiť, či nezahrnúť do komplexnejšieho geopolitického prehľadu širšie otázk</w:t>
      </w:r>
      <w:r>
        <w:rPr>
          <w:noProof/>
        </w:rPr>
        <w:t xml:space="preserve">y, ako je obchod vrátane hodnotových reťazcov, bezpečnosť a ďalšie aspekty zahraničnej politiky, napríklad medzinárodná spolupráca. Pokiaľ ide o prehľad zelenej odolnosti, mohli by sa doň začleniť aj otázky nad rámec zmeny klímy, ako je ochrana prírodných </w:t>
      </w:r>
      <w:r>
        <w:rPr>
          <w:noProof/>
        </w:rPr>
        <w:t>zdrojov, vplyv znečistenia, kvalita vody a pôdy, úloha ekosystémových služieb či prerozdelenie pracovných miest a inovácie vyvolané zelenou transformáciou. Maximálna pozornosť sa bude venovať zabezpečeniu konzistentnosti a súdržnosti s už existujúcimi moni</w:t>
      </w:r>
      <w:r>
        <w:rPr>
          <w:noProof/>
        </w:rPr>
        <w:t>torovacími systémami EÚ, ktoré sa vyvíjajú v kontexte európskej zelenej dohody. Prehľad digitálnej odolnosti by sa mal používať na zisťovanie, v ktorých oblastiach digitálnych technológií je ohrozená strategická autonómia EÚ a kam by sa mali zamerať invest</w:t>
      </w:r>
      <w:r>
        <w:rPr>
          <w:noProof/>
        </w:rPr>
        <w:t>ície. Okrem toho by sa strategický výhľad mohol použiť pri úprave zoznamu ukazovateľov tak, aby zahŕňal potrebné zručnosti alebo slabé miesta spojené s rozšíreným využívaním budúcich technológií ako umelá inteligencia</w:t>
      </w:r>
      <w:r>
        <w:rPr>
          <w:noProof/>
          <w:vertAlign w:val="superscript"/>
        </w:rPr>
        <w:footnoteReference w:id="194"/>
      </w:r>
      <w:r>
        <w:rPr>
          <w:noProof/>
        </w:rPr>
        <w:t>, počet pracovných miest vystavených r</w:t>
      </w:r>
      <w:r>
        <w:rPr>
          <w:noProof/>
        </w:rPr>
        <w:t>iziku v dôsledku rastúcej automatizácie či nové pracovné miesta, ktoré by mohli vzniknúť vďaka predpokladanému posunu smerom k osobným službám.</w:t>
      </w:r>
    </w:p>
    <w:p w:rsidR="00F47BB5" w:rsidRDefault="00A34992">
      <w:pPr>
        <w:spacing w:after="120" w:line="276" w:lineRule="auto"/>
        <w:rPr>
          <w:noProof/>
          <w:szCs w:val="24"/>
        </w:rPr>
      </w:pPr>
      <w:r>
        <w:rPr>
          <w:b/>
          <w:noProof/>
        </w:rPr>
        <w:t>Dalo by sa uvažovať aj o súhrnných ukazovateľoch na úrovni EÚ a syntetickom indexe odolnosti. Z </w:t>
      </w:r>
      <w:r>
        <w:rPr>
          <w:noProof/>
        </w:rPr>
        <w:t>prehľadov odolno</w:t>
      </w:r>
      <w:r>
        <w:rPr>
          <w:noProof/>
        </w:rPr>
        <w:t>sti, ako aj existujúcich poznatkov a ukazovateľov budú čerpať budúce diskusie s kľúčovými zainteresovanými stranami zamerané na vývoj týchto ukazovateľov na úrovni EÚ a preskúmanie uskutočniteľnosti syntetického indexu odolnosti. Vychádzal by z podobnej lo</w:t>
      </w:r>
      <w:r>
        <w:rPr>
          <w:noProof/>
        </w:rPr>
        <w:t xml:space="preserve">giky ako práca na pripravovanom </w:t>
      </w:r>
      <w:r>
        <w:rPr>
          <w:i/>
          <w:noProof/>
        </w:rPr>
        <w:t>indexe transformačnej výkonnosti</w:t>
      </w:r>
      <w:r>
        <w:rPr>
          <w:rStyle w:val="FootnoteReference"/>
          <w:noProof/>
          <w:color w:val="000000"/>
          <w:sz w:val="22"/>
          <w:szCs w:val="22"/>
        </w:rPr>
        <w:footnoteReference w:id="195"/>
      </w:r>
      <w:r>
        <w:rPr>
          <w:noProof/>
        </w:rPr>
        <w:t>. Táto prieskumná práca by mohla mať participatívny priebeh. Spolu s obrazom získaným z indexu by celoeurópsky prístup slúžil na doplnenie komplexnejšieho pohľadu, ktorý poskytnú podkladové p</w:t>
      </w:r>
      <w:r>
        <w:rPr>
          <w:noProof/>
        </w:rPr>
        <w:t>rehľady odolnosti.</w:t>
      </w:r>
    </w:p>
    <w:p w:rsidR="00F47BB5" w:rsidRDefault="00A34992">
      <w:pPr>
        <w:spacing w:after="120" w:line="276" w:lineRule="auto"/>
        <w:rPr>
          <w:noProof/>
        </w:rPr>
      </w:pPr>
      <w:r>
        <w:rPr>
          <w:b/>
          <w:bCs/>
          <w:noProof/>
        </w:rPr>
        <w:t>Tento široký prístup k meraniu a monitorovaniu odolnosti by sa mal premietnuť do integrovaného prístupu k meraniu kvality životných podmienok ľudí.</w:t>
      </w:r>
      <w:r>
        <w:rPr>
          <w:noProof/>
        </w:rPr>
        <w:t xml:space="preserve"> Kríza spôsobená ochorením COVID-19 spochybnila naše poradie priorít a opätovne podnietila</w:t>
      </w:r>
      <w:r>
        <w:rPr>
          <w:noProof/>
        </w:rPr>
        <w:t xml:space="preserve"> verejnú diskusiu o význame viacerých aspektov kvality a udržateľnosti ľudského života, ako sú vzdelávanie, príjem, zamestnanosť a zdravie</w:t>
      </w:r>
      <w:r>
        <w:rPr>
          <w:rStyle w:val="FootnoteReference"/>
          <w:noProof/>
        </w:rPr>
        <w:footnoteReference w:id="196"/>
      </w:r>
      <w:r>
        <w:rPr>
          <w:noProof/>
        </w:rPr>
        <w:t>. Od istanbulskej deklarácie o meraní sociálneho pokroku z roku 2007 a od správy Komisie od autorov Stiglitza, Sena a</w:t>
      </w:r>
      <w:r>
        <w:rPr>
          <w:noProof/>
        </w:rPr>
        <w:t> Fitoussiho z roku 2009 sa v medzinárodnom spoločenstve dosiahol výrazný konsenzus o potrebe ísť nad rámec tradičných hospodárskych ukazovateľov, ako je hrubý domáci produkt (HDP), aby sa dobré životné podmienky stali politickým cieľom dnešnej aj budúcej g</w:t>
      </w:r>
      <w:r>
        <w:rPr>
          <w:noProof/>
        </w:rPr>
        <w:t>enerácie</w:t>
      </w:r>
      <w:r>
        <w:rPr>
          <w:noProof/>
          <w:vertAlign w:val="superscript"/>
        </w:rPr>
        <w:footnoteReference w:id="197"/>
      </w:r>
      <w:r>
        <w:rPr>
          <w:rStyle w:val="FootnoteReference"/>
          <w:noProof/>
        </w:rPr>
        <w:footnoteReference w:id="198"/>
      </w:r>
      <w:r>
        <w:rPr>
          <w:noProof/>
        </w:rPr>
        <w:t>. Iniciatíva „nad rámec HDP“ viedla k vytvoreniu významných medzinárodných rámcov merania</w:t>
      </w:r>
      <w:r>
        <w:rPr>
          <w:noProof/>
          <w:vertAlign w:val="superscript"/>
        </w:rPr>
        <w:footnoteReference w:id="199"/>
      </w:r>
      <w:r>
        <w:rPr>
          <w:noProof/>
        </w:rPr>
        <w:t xml:space="preserve"> a krajiny sa usilovali vytvoriť podobné, niekedy veľmi dômyselné systémy svojich štátnych zámerov, cieľov a systémov merania. Komisia podporuje túto zmenu </w:t>
      </w:r>
      <w:r>
        <w:rPr>
          <w:noProof/>
        </w:rPr>
        <w:t>paradigmy a uplatňuje podobne komplexný prístup, pričom rešpektuje spletité vzťahy medzi sociálnymi, hospodárskymi a environmentálnymi systémami, ktoré majú vplyv na odolnosť a ich význam pre meranie kvality životných podmienok a udržateľnosti</w:t>
      </w:r>
      <w:r>
        <w:rPr>
          <w:noProof/>
          <w:vertAlign w:val="superscript"/>
        </w:rPr>
        <w:footnoteReference w:id="200"/>
      </w:r>
      <w:r>
        <w:rPr>
          <w:noProof/>
        </w:rPr>
        <w:t>.</w:t>
      </w:r>
    </w:p>
    <w:p w:rsidR="00F47BB5" w:rsidRDefault="00A34992">
      <w:pPr>
        <w:pStyle w:val="Heading2"/>
        <w:rPr>
          <w:noProof/>
        </w:rPr>
      </w:pPr>
      <w:bookmarkStart w:id="1311" w:name="_Toc48718110"/>
      <w:bookmarkStart w:id="1312" w:name="_Toc49871753"/>
      <w:bookmarkStart w:id="1313" w:name="_Toc49871807"/>
      <w:bookmarkStart w:id="1314" w:name="_Toc49950880"/>
      <w:bookmarkStart w:id="1315" w:name="_Toc50298926"/>
      <w:bookmarkStart w:id="1316" w:name="_Toc51067206"/>
      <w:r>
        <w:rPr>
          <w:noProof/>
        </w:rPr>
        <w:t xml:space="preserve">4.2. </w:t>
      </w:r>
      <w:r>
        <w:rPr>
          <w:noProof/>
        </w:rPr>
        <w:t>Horizontálne činnosti výhľadu na podporu účinných transformačných politík EÚ</w:t>
      </w:r>
      <w:bookmarkEnd w:id="1311"/>
      <w:bookmarkEnd w:id="1312"/>
      <w:bookmarkEnd w:id="1313"/>
      <w:bookmarkEnd w:id="1314"/>
      <w:bookmarkEnd w:id="1315"/>
      <w:bookmarkEnd w:id="1316"/>
    </w:p>
    <w:p w:rsidR="00F47BB5" w:rsidRDefault="00A34992">
      <w:pPr>
        <w:spacing w:after="120" w:line="276" w:lineRule="auto"/>
        <w:rPr>
          <w:noProof/>
        </w:rPr>
      </w:pPr>
      <w:r>
        <w:rPr>
          <w:b/>
          <w:bCs/>
          <w:noProof/>
        </w:rPr>
        <w:t>Uplatnením strategického výhľadu</w:t>
      </w:r>
      <w:r>
        <w:rPr>
          <w:b/>
          <w:noProof/>
        </w:rPr>
        <w:t xml:space="preserve"> sa má </w:t>
      </w:r>
      <w:r>
        <w:rPr>
          <w:b/>
          <w:bCs/>
          <w:noProof/>
        </w:rPr>
        <w:t>získať dynamický a prospektívny pohľad na synergie a kompromisy medzi rôznymi politickými cieľmi a politikami EÚ, ktorý umožní zaujať kohere</w:t>
      </w:r>
      <w:r>
        <w:rPr>
          <w:b/>
          <w:bCs/>
          <w:noProof/>
        </w:rPr>
        <w:t>ntný strategický prístup</w:t>
      </w:r>
      <w:r>
        <w:rPr>
          <w:noProof/>
        </w:rPr>
        <w:t>.</w:t>
      </w:r>
      <w:r>
        <w:rPr>
          <w:b/>
          <w:bCs/>
          <w:noProof/>
        </w:rPr>
        <w:t xml:space="preserve"> </w:t>
      </w:r>
      <w:r>
        <w:rPr>
          <w:noProof/>
        </w:rPr>
        <w:t>To môže priniesť relevantné príspevky k procesom dohľadu a riadenia, najmä k tým multidisciplinárnym a pravidelným, akým je európsky semester a monitorovanie plnenia cieľov udržateľného rozvoja. Strategický výhľad môže napomáhať s</w:t>
      </w:r>
      <w:r>
        <w:rPr>
          <w:noProof/>
        </w:rPr>
        <w:t>ystematické pochopenie strategických cieľov vo všetkých oblastiach politík, a tak zohrať užitočnú úlohu pri dynamickej analýze ich vzájomných synergií a kompromisov v rôznych časových horizontoch. Strategický výhľad by mal prispievať k testovaniu a posilňo</w:t>
      </w:r>
      <w:r>
        <w:rPr>
          <w:noProof/>
        </w:rPr>
        <w:t>vaniu súdržnosti kapacít Komisie v oblasti monitorovania, prognózovania a modelovania. V súčasnosti sa v Komisii používajú rôzne ukazovatele a hodnotiace tabuľky, ktoré slúžia rôznym politickým cieľom. Komisia sa opiera aj o odborné prognózy a široké spekt</w:t>
      </w:r>
      <w:r>
        <w:rPr>
          <w:noProof/>
        </w:rPr>
        <w:t>rum modelov. Kde a ako zlepšiť súdržnosť možno zistiť po preskúmaní a posúdení existujúcich nástrojov monitorovania.</w:t>
      </w:r>
    </w:p>
    <w:p w:rsidR="00F47BB5" w:rsidRDefault="00A34992">
      <w:pPr>
        <w:spacing w:after="120" w:line="276" w:lineRule="auto"/>
        <w:rPr>
          <w:noProof/>
        </w:rPr>
      </w:pPr>
      <w:r>
        <w:rPr>
          <w:b/>
          <w:noProof/>
        </w:rPr>
        <w:t>Strategický výhľad pomôže zvýšiť odolnosť.</w:t>
      </w:r>
      <w:r>
        <w:rPr>
          <w:noProof/>
        </w:rPr>
        <w:t xml:space="preserve"> V tomto oznámení sa začína ukazovať, ako nám môže vplyv ochorenia COVID-19 na megatrendy poskytn</w:t>
      </w:r>
      <w:r>
        <w:rPr>
          <w:noProof/>
        </w:rPr>
        <w:t xml:space="preserve">úť novú dynamickú perspektívu na vývoj odolnosti Európy. V práci na tejto výhľadovej úlohe sa bude pokračovať. V rámci toho Komisia navrhuje vytvoriť solídny výhľadový rámec prostredníctvom súboru </w:t>
      </w:r>
      <w:r>
        <w:rPr>
          <w:b/>
          <w:bCs/>
          <w:noProof/>
          <w:szCs w:val="24"/>
        </w:rPr>
        <w:t>referenčných scenárov výhľadu</w:t>
      </w:r>
      <w:r>
        <w:rPr>
          <w:noProof/>
        </w:rPr>
        <w:t>. Tieto scenáre pomôžu nájsť m</w:t>
      </w:r>
      <w:r>
        <w:rPr>
          <w:noProof/>
        </w:rPr>
        <w:t>ožnosti napredovania dvojakej transformácie</w:t>
      </w:r>
      <w:r>
        <w:rPr>
          <w:noProof/>
          <w:color w:val="000000" w:themeColor="text1"/>
        </w:rPr>
        <w:t>. Ich úlohou</w:t>
      </w:r>
      <w:r>
        <w:rPr>
          <w:noProof/>
        </w:rPr>
        <w:t xml:space="preserve"> bude: i) poskytnúť základ na diskusiu lídrov o spoločných alebo alternatívnych predstavách o uprednostňovaných verziách budúcnosti; ii) pomôcť pri zabezpečovaní vzájomnej súdržnosti politík; a iii) vy</w:t>
      </w:r>
      <w:r>
        <w:rPr>
          <w:noProof/>
        </w:rPr>
        <w:t xml:space="preserve">tvoriť spoločný výhľadový rámec pre návrhy, ktoré politiky podrobia záťažovým testom, alebo na začatie posúdení vplyvu </w:t>
      </w:r>
      <w:r>
        <w:rPr>
          <w:i/>
          <w:noProof/>
        </w:rPr>
        <w:t>ex ante</w:t>
      </w:r>
      <w:r>
        <w:rPr>
          <w:noProof/>
        </w:rPr>
        <w:t>. Tento proces môže byť zároveň príspevkom ku Konferencii o budúcnosti Európy.</w:t>
      </w:r>
    </w:p>
    <w:p w:rsidR="00F47BB5" w:rsidRDefault="00A34992">
      <w:pPr>
        <w:pStyle w:val="Heading2"/>
        <w:rPr>
          <w:noProof/>
        </w:rPr>
      </w:pPr>
      <w:bookmarkStart w:id="1317" w:name="_Toc49871754"/>
      <w:bookmarkStart w:id="1318" w:name="_Toc49871808"/>
      <w:bookmarkStart w:id="1319" w:name="_Toc49950881"/>
      <w:bookmarkStart w:id="1320" w:name="_Toc50298927"/>
      <w:bookmarkStart w:id="1321" w:name="_Toc51067207"/>
      <w:bookmarkStart w:id="1322" w:name="_Toc48718112"/>
      <w:r>
        <w:rPr>
          <w:noProof/>
        </w:rPr>
        <w:t>4.3. Tematická agenda strategického výhľadu</w:t>
      </w:r>
      <w:bookmarkEnd w:id="1317"/>
      <w:bookmarkEnd w:id="1318"/>
      <w:bookmarkEnd w:id="1319"/>
      <w:bookmarkEnd w:id="1320"/>
      <w:bookmarkEnd w:id="1321"/>
    </w:p>
    <w:p w:rsidR="00F47BB5" w:rsidRDefault="00A34992">
      <w:pPr>
        <w:spacing w:after="120" w:line="276" w:lineRule="auto"/>
        <w:rPr>
          <w:noProof/>
        </w:rPr>
      </w:pPr>
      <w:bookmarkStart w:id="1323" w:name="_Toc47981438"/>
      <w:bookmarkStart w:id="1324" w:name="_Toc47981439"/>
      <w:bookmarkStart w:id="1325" w:name="_Toc47981440"/>
      <w:bookmarkStart w:id="1326" w:name="_Toc46992676"/>
      <w:bookmarkStart w:id="1327" w:name="_Toc45790752"/>
      <w:bookmarkStart w:id="1328" w:name="_Toc45791259"/>
      <w:bookmarkStart w:id="1329" w:name="_Toc45791975"/>
      <w:bookmarkStart w:id="1330" w:name="_Toc45792383"/>
      <w:bookmarkStart w:id="1331" w:name="_Toc45794734"/>
      <w:bookmarkStart w:id="1332" w:name="_Toc45794800"/>
      <w:bookmarkStart w:id="1333" w:name="_Toc45799978"/>
      <w:bookmarkStart w:id="1334" w:name="_Toc45790753"/>
      <w:bookmarkStart w:id="1335" w:name="_Toc45791260"/>
      <w:bookmarkStart w:id="1336" w:name="_Toc45792384"/>
      <w:bookmarkStart w:id="1337" w:name="_Toc45794735"/>
      <w:bookmarkStart w:id="1338" w:name="_Toc45794801"/>
      <w:bookmarkStart w:id="1339" w:name="_Toc45799979"/>
      <w:bookmarkStart w:id="1340" w:name="_Toc45790754"/>
      <w:bookmarkStart w:id="1341" w:name="_Toc45791261"/>
      <w:bookmarkStart w:id="1342" w:name="_Toc45792385"/>
      <w:bookmarkStart w:id="1343" w:name="_Toc45794736"/>
      <w:bookmarkStart w:id="1344" w:name="_Toc45794802"/>
      <w:bookmarkStart w:id="1345" w:name="_Toc45799980"/>
      <w:bookmarkStart w:id="1346" w:name="_Toc45790755"/>
      <w:bookmarkStart w:id="1347" w:name="_Toc45791262"/>
      <w:bookmarkStart w:id="1348" w:name="_Toc45792386"/>
      <w:bookmarkStart w:id="1349" w:name="_Toc45794737"/>
      <w:bookmarkStart w:id="1350" w:name="_Toc45794803"/>
      <w:bookmarkStart w:id="1351" w:name="_Toc45799981"/>
      <w:bookmarkStart w:id="1352" w:name="_Toc45790756"/>
      <w:bookmarkStart w:id="1353" w:name="_Toc45791263"/>
      <w:bookmarkStart w:id="1354" w:name="_Toc45792387"/>
      <w:bookmarkStart w:id="1355" w:name="_Toc45794738"/>
      <w:bookmarkStart w:id="1356" w:name="_Toc45794804"/>
      <w:bookmarkStart w:id="1357" w:name="_Toc45799982"/>
      <w:bookmarkStart w:id="1358" w:name="_Toc45790757"/>
      <w:bookmarkStart w:id="1359" w:name="_Toc45791264"/>
      <w:bookmarkStart w:id="1360" w:name="_Toc45792388"/>
      <w:bookmarkStart w:id="1361" w:name="_Toc45794739"/>
      <w:bookmarkStart w:id="1362" w:name="_Toc45794805"/>
      <w:bookmarkStart w:id="1363" w:name="_Toc45799983"/>
      <w:bookmarkStart w:id="1364" w:name="_Toc45790758"/>
      <w:bookmarkStart w:id="1365" w:name="_Toc45791265"/>
      <w:bookmarkStart w:id="1366" w:name="_Toc45792389"/>
      <w:bookmarkStart w:id="1367" w:name="_Toc45794740"/>
      <w:bookmarkStart w:id="1368" w:name="_Toc45794806"/>
      <w:bookmarkStart w:id="1369" w:name="_Toc45799984"/>
      <w:bookmarkStart w:id="1370" w:name="_Toc45790759"/>
      <w:bookmarkStart w:id="1371" w:name="_Toc45791266"/>
      <w:bookmarkStart w:id="1372" w:name="_Toc45792390"/>
      <w:bookmarkStart w:id="1373" w:name="_Toc45794741"/>
      <w:bookmarkStart w:id="1374" w:name="_Toc45794807"/>
      <w:bookmarkStart w:id="1375" w:name="_Toc45799985"/>
      <w:bookmarkStart w:id="1376" w:name="_Toc45790760"/>
      <w:bookmarkStart w:id="1377" w:name="_Toc45791267"/>
      <w:bookmarkStart w:id="1378" w:name="_Toc45792391"/>
      <w:bookmarkStart w:id="1379" w:name="_Toc45794742"/>
      <w:bookmarkStart w:id="1380" w:name="_Toc45794808"/>
      <w:bookmarkStart w:id="1381" w:name="_Toc45799986"/>
      <w:bookmarkStart w:id="1382" w:name="_Toc45790761"/>
      <w:bookmarkStart w:id="1383" w:name="_Toc45791268"/>
      <w:bookmarkStart w:id="1384" w:name="_Toc45792392"/>
      <w:bookmarkStart w:id="1385" w:name="_Toc45794743"/>
      <w:bookmarkStart w:id="1386" w:name="_Toc45794809"/>
      <w:bookmarkStart w:id="1387" w:name="_Toc45799987"/>
      <w:bookmarkStart w:id="1388" w:name="_Toc45790762"/>
      <w:bookmarkStart w:id="1389" w:name="_Toc45791269"/>
      <w:bookmarkStart w:id="1390" w:name="_Toc45792393"/>
      <w:bookmarkStart w:id="1391" w:name="_Toc45794744"/>
      <w:bookmarkStart w:id="1392" w:name="_Toc45794810"/>
      <w:bookmarkStart w:id="1393" w:name="_Toc45799988"/>
      <w:bookmarkStart w:id="1394" w:name="_Toc45790763"/>
      <w:bookmarkStart w:id="1395" w:name="_Toc45791270"/>
      <w:bookmarkStart w:id="1396" w:name="_Toc45792394"/>
      <w:bookmarkStart w:id="1397" w:name="_Toc45794745"/>
      <w:bookmarkStart w:id="1398" w:name="_Toc45794811"/>
      <w:bookmarkStart w:id="1399" w:name="_Toc45799989"/>
      <w:bookmarkStart w:id="1400" w:name="_Toc45790764"/>
      <w:bookmarkStart w:id="1401" w:name="_Toc45791271"/>
      <w:bookmarkStart w:id="1402" w:name="_Toc45792395"/>
      <w:bookmarkStart w:id="1403" w:name="_Toc45794746"/>
      <w:bookmarkStart w:id="1404" w:name="_Toc45794812"/>
      <w:bookmarkStart w:id="1405" w:name="_Toc45799990"/>
      <w:bookmarkStart w:id="1406" w:name="_Toc45790765"/>
      <w:bookmarkStart w:id="1407" w:name="_Toc45791272"/>
      <w:bookmarkStart w:id="1408" w:name="_Toc45792396"/>
      <w:bookmarkStart w:id="1409" w:name="_Toc45794747"/>
      <w:bookmarkStart w:id="1410" w:name="_Toc45794813"/>
      <w:bookmarkStart w:id="1411" w:name="_Toc45799991"/>
      <w:bookmarkStart w:id="1412" w:name="_Toc45790766"/>
      <w:bookmarkStart w:id="1413" w:name="_Toc45791273"/>
      <w:bookmarkStart w:id="1414" w:name="_Toc45792397"/>
      <w:bookmarkStart w:id="1415" w:name="_Toc45794748"/>
      <w:bookmarkStart w:id="1416" w:name="_Toc45794814"/>
      <w:bookmarkStart w:id="1417" w:name="_Toc45799992"/>
      <w:bookmarkStart w:id="1418" w:name="_Toc45790767"/>
      <w:bookmarkStart w:id="1419" w:name="_Toc45791274"/>
      <w:bookmarkStart w:id="1420" w:name="_Toc45791990"/>
      <w:bookmarkStart w:id="1421" w:name="_Toc45792398"/>
      <w:bookmarkStart w:id="1422" w:name="_Toc45794749"/>
      <w:bookmarkStart w:id="1423" w:name="_Toc45794815"/>
      <w:bookmarkStart w:id="1424" w:name="_Toc45799993"/>
      <w:bookmarkStart w:id="1425" w:name="_Toc45790768"/>
      <w:bookmarkStart w:id="1426" w:name="_Toc45791275"/>
      <w:bookmarkStart w:id="1427" w:name="_Toc45791991"/>
      <w:bookmarkStart w:id="1428" w:name="_Toc45792399"/>
      <w:bookmarkStart w:id="1429" w:name="_Toc45794750"/>
      <w:bookmarkStart w:id="1430" w:name="_Toc45794816"/>
      <w:bookmarkStart w:id="1431" w:name="_Toc45799994"/>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r>
        <w:rPr>
          <w:b/>
          <w:noProof/>
        </w:rPr>
        <w:t xml:space="preserve">Agenda </w:t>
      </w:r>
      <w:r>
        <w:rPr>
          <w:b/>
          <w:noProof/>
        </w:rPr>
        <w:t xml:space="preserve">strategického výhľadu EÚ sa zameria na prierezové témy, v ktorých môže strategický výhľad prehĺbiť naše chápanie, ako funguje dynamika vo všetkých oblastiach politík. </w:t>
      </w:r>
      <w:r>
        <w:rPr>
          <w:noProof/>
        </w:rPr>
        <w:t>Spomedzi rozhodujúcich tém sa bude Komisia najbližšie venovať týmto:</w:t>
      </w:r>
    </w:p>
    <w:p w:rsidR="00F47BB5" w:rsidRDefault="00A34992">
      <w:pPr>
        <w:pStyle w:val="ListParagraph"/>
        <w:numPr>
          <w:ilvl w:val="0"/>
          <w:numId w:val="42"/>
        </w:numPr>
        <w:spacing w:before="120" w:after="120" w:line="276" w:lineRule="auto"/>
        <w:ind w:left="357" w:hanging="357"/>
        <w:contextualSpacing w:val="0"/>
        <w:jc w:val="both"/>
        <w:rPr>
          <w:rFonts w:ascii="Times New Roman" w:hAnsi="Times New Roman" w:cs="Times New Roman"/>
          <w:b/>
          <w:i/>
          <w:noProof/>
          <w:sz w:val="24"/>
          <w:szCs w:val="24"/>
        </w:rPr>
      </w:pPr>
      <w:r>
        <w:rPr>
          <w:rFonts w:ascii="Times New Roman" w:hAnsi="Times New Roman"/>
          <w:b/>
          <w:bCs/>
          <w:noProof/>
          <w:sz w:val="24"/>
          <w:szCs w:val="24"/>
          <w:u w:val="single"/>
        </w:rPr>
        <w:t>Otvorená strategická</w:t>
      </w:r>
      <w:r>
        <w:rPr>
          <w:rFonts w:ascii="Times New Roman" w:hAnsi="Times New Roman"/>
          <w:b/>
          <w:bCs/>
          <w:noProof/>
          <w:sz w:val="24"/>
          <w:szCs w:val="24"/>
          <w:u w:val="single"/>
        </w:rPr>
        <w:t xml:space="preserve"> autonómia:</w:t>
      </w:r>
      <w:r>
        <w:rPr>
          <w:rFonts w:ascii="Times New Roman" w:hAnsi="Times New Roman"/>
          <w:noProof/>
          <w:sz w:val="24"/>
          <w:szCs w:val="24"/>
        </w:rPr>
        <w:t xml:space="preserve"> Strategický výhľad by mohol v prospech zabezpečenia konkurencieschopnosti Európy a jej vedúceho postavenia v celosvetovom meradle a posilnenia jej odolnosti pomôcť preskúmať scenáre nového globálneho poriadku a miesto EÚ v nich, ako aj kapacity</w:t>
      </w:r>
      <w:r>
        <w:rPr>
          <w:rFonts w:ascii="Times New Roman" w:hAnsi="Times New Roman"/>
          <w:noProof/>
          <w:sz w:val="24"/>
          <w:szCs w:val="24"/>
        </w:rPr>
        <w:t xml:space="preserve"> potrebné na splnenie jej ambícií. Mohlo by to zahŕňať vytýčenie ciest vedúcich k dvojakej transformácii a tempo, akým ich možno dosiahnuť, mapovanie kľúčových vznikajúcich technológií, odvetví a produktov, ako aj hľadanie možnosti nových priemyselných spo</w:t>
      </w:r>
      <w:r>
        <w:rPr>
          <w:rFonts w:ascii="Times New Roman" w:hAnsi="Times New Roman"/>
          <w:noProof/>
          <w:sz w:val="24"/>
          <w:szCs w:val="24"/>
        </w:rPr>
        <w:t>jenectiev a diverzifikácie obchodných partnerov.</w:t>
      </w:r>
      <w:r>
        <w:rPr>
          <w:noProof/>
        </w:rPr>
        <w:t xml:space="preserve"> V </w:t>
      </w:r>
      <w:r>
        <w:rPr>
          <w:rFonts w:ascii="Times New Roman" w:hAnsi="Times New Roman"/>
          <w:noProof/>
          <w:sz w:val="24"/>
          <w:szCs w:val="24"/>
        </w:rPr>
        <w:t>tejto súvislosti by prehľad mohol okrem iného umožniť, aby EÚ využívala ako strategickú páku prieskum horizontu, a to aj pokiaľ ide o medzinárodnú normalizáciu. Prípadnú budúcu prácu na tejto téme bude pot</w:t>
      </w:r>
      <w:r>
        <w:rPr>
          <w:rFonts w:ascii="Times New Roman" w:hAnsi="Times New Roman"/>
          <w:noProof/>
          <w:sz w:val="24"/>
          <w:szCs w:val="24"/>
        </w:rPr>
        <w:t>rebné vnímať aj v súvislosti s pripravovaným preskúmaním obchodnej politiky EÚ, v ktorom sa určí jej príspevok k otvorenej strategickej autonómii.</w:t>
      </w:r>
    </w:p>
    <w:p w:rsidR="00F47BB5" w:rsidRDefault="00A34992">
      <w:pPr>
        <w:pStyle w:val="ListParagraph"/>
        <w:numPr>
          <w:ilvl w:val="0"/>
          <w:numId w:val="42"/>
        </w:numPr>
        <w:spacing w:before="120" w:after="120" w:line="276" w:lineRule="auto"/>
        <w:ind w:left="357" w:hanging="357"/>
        <w:contextualSpacing w:val="0"/>
        <w:jc w:val="both"/>
        <w:rPr>
          <w:rFonts w:ascii="Times New Roman" w:hAnsi="Times New Roman" w:cs="Times New Roman"/>
          <w:noProof/>
          <w:sz w:val="24"/>
          <w:szCs w:val="24"/>
        </w:rPr>
      </w:pPr>
      <w:r>
        <w:rPr>
          <w:rFonts w:ascii="Times New Roman" w:hAnsi="Times New Roman"/>
          <w:b/>
          <w:bCs/>
          <w:noProof/>
          <w:sz w:val="24"/>
          <w:szCs w:val="24"/>
          <w:u w:val="single"/>
        </w:rPr>
        <w:t>Budúcnosť pracovných miest a zručností v prospech a v rámci zelenej transformácie</w:t>
      </w:r>
      <w:r>
        <w:rPr>
          <w:rFonts w:ascii="Times New Roman" w:hAnsi="Times New Roman"/>
          <w:bCs/>
          <w:noProof/>
          <w:sz w:val="24"/>
          <w:szCs w:val="24"/>
        </w:rPr>
        <w:t>: Ako sa konštatuje v európs</w:t>
      </w:r>
      <w:r>
        <w:rPr>
          <w:rFonts w:ascii="Times New Roman" w:hAnsi="Times New Roman"/>
          <w:bCs/>
          <w:noProof/>
          <w:sz w:val="24"/>
          <w:szCs w:val="24"/>
        </w:rPr>
        <w:t>kom programe v oblasti zručností, zelená transformácia si vyžaduje zásadnú zmenu a prerozdelenie pracovných miest a zručností v širokom spektre odvetví</w:t>
      </w:r>
      <w:r>
        <w:rPr>
          <w:noProof/>
        </w:rPr>
        <w:t xml:space="preserve"> a </w:t>
      </w:r>
      <w:r>
        <w:rPr>
          <w:rFonts w:ascii="Times New Roman" w:hAnsi="Times New Roman"/>
          <w:bCs/>
          <w:noProof/>
          <w:sz w:val="24"/>
          <w:szCs w:val="24"/>
        </w:rPr>
        <w:t>verejných služieb. Systémový pohľad na zmeny trhu práce, ktoré prinesie zelená transformácia, stále ch</w:t>
      </w:r>
      <w:r>
        <w:rPr>
          <w:rFonts w:ascii="Times New Roman" w:hAnsi="Times New Roman"/>
          <w:bCs/>
          <w:noProof/>
          <w:sz w:val="24"/>
          <w:szCs w:val="24"/>
        </w:rPr>
        <w:t>ýba. Vo výhľade by sa mohli preskúmať spôsoby, ako vypracovať takýto systémový pohľad, pričom by sa doň mohli začleniť aj poznatky, ktoré možno vyvodiť z predchádzajúcich priemyselných transformácií. Takýto pohľad</w:t>
      </w:r>
      <w:r>
        <w:rPr>
          <w:rFonts w:ascii="Times New Roman" w:hAnsi="Times New Roman"/>
          <w:noProof/>
          <w:sz w:val="24"/>
          <w:szCs w:val="24"/>
        </w:rPr>
        <w:t xml:space="preserve"> bude podkladom pre stratégie rekvalifikáci</w:t>
      </w:r>
      <w:r>
        <w:rPr>
          <w:rFonts w:ascii="Times New Roman" w:hAnsi="Times New Roman"/>
          <w:noProof/>
          <w:sz w:val="24"/>
          <w:szCs w:val="24"/>
        </w:rPr>
        <w:t>e a podpory ľudí, ktorých pracovné miesta sa v dôsledku priemyselnej transformácie menia alebo zanikajú. To je dôležité aj na usmernenie budúcich priorít EÚ vo vývoji vzdelávania, celoživotného vzdelávania a legálnej migrácie, ako aj na zabezpečenie spravo</w:t>
      </w:r>
      <w:r>
        <w:rPr>
          <w:rFonts w:ascii="Times New Roman" w:hAnsi="Times New Roman"/>
          <w:noProof/>
          <w:sz w:val="24"/>
          <w:szCs w:val="24"/>
        </w:rPr>
        <w:t>dlivej transformácie.</w:t>
      </w:r>
    </w:p>
    <w:p w:rsidR="00F47BB5" w:rsidRDefault="00A34992">
      <w:pPr>
        <w:pStyle w:val="ListParagraph"/>
        <w:numPr>
          <w:ilvl w:val="0"/>
          <w:numId w:val="42"/>
        </w:numPr>
        <w:spacing w:before="120" w:after="120" w:line="276" w:lineRule="auto"/>
        <w:ind w:left="357" w:hanging="357"/>
        <w:contextualSpacing w:val="0"/>
        <w:jc w:val="both"/>
        <w:rPr>
          <w:noProof/>
        </w:rPr>
      </w:pPr>
      <w:r>
        <w:rPr>
          <w:rFonts w:ascii="Times New Roman" w:hAnsi="Times New Roman"/>
          <w:b/>
          <w:noProof/>
          <w:sz w:val="24"/>
          <w:szCs w:val="24"/>
          <w:u w:val="single"/>
        </w:rPr>
        <w:t>Prehĺbenie vzájomnosti digitálnej a zelenej transformácie</w:t>
      </w:r>
      <w:r>
        <w:rPr>
          <w:rFonts w:ascii="Times New Roman" w:hAnsi="Times New Roman"/>
          <w:noProof/>
          <w:sz w:val="24"/>
          <w:szCs w:val="24"/>
        </w:rPr>
        <w:t>: digitalizácia našej spoločnosti a zelená transformácia prebiehajú súbežne a úzko súvisia. Ich vzájomné pôsobenie však treba lepšie pochopiť a využívať. Strategický výhľad bude</w:t>
      </w:r>
      <w:r>
        <w:rPr>
          <w:rFonts w:ascii="Times New Roman" w:hAnsi="Times New Roman"/>
          <w:noProof/>
          <w:sz w:val="24"/>
          <w:szCs w:val="24"/>
        </w:rPr>
        <w:t xml:space="preserve"> skúmať, ako môžu obe transformácie čo najlepšie využívať nové technológie, ako navzájom súvisia a ako by sa dal napríklad znížiť vplyv digitálnej transformácie na životné prostredie. Zároveň bude skúmať zručnosti potrebné na využívanie technológií budúcno</w:t>
      </w:r>
      <w:r>
        <w:rPr>
          <w:rFonts w:ascii="Times New Roman" w:hAnsi="Times New Roman"/>
          <w:noProof/>
          <w:sz w:val="24"/>
          <w:szCs w:val="24"/>
        </w:rPr>
        <w:t>sti, možnosti, ako zaviesť umelú inteligenciu, aby pomohla transformovať naše digitálne hospodárstvo a uľahčila zelenú transformáciu, ako aj súvisiace vplyvy na európske subjekty a hodnotové reťazce.</w:t>
      </w:r>
      <w:bookmarkStart w:id="1432" w:name="_heading=h.2xcytpi"/>
      <w:bookmarkEnd w:id="1432"/>
      <w:r>
        <w:rPr>
          <w:rFonts w:ascii="Times New Roman" w:hAnsi="Times New Roman"/>
          <w:noProof/>
          <w:sz w:val="24"/>
          <w:szCs w:val="24"/>
        </w:rPr>
        <w:t xml:space="preserve"> V rámci výhľadu sa okrem toho bude analyzovať, ako môže </w:t>
      </w:r>
      <w:r>
        <w:rPr>
          <w:rFonts w:ascii="Times New Roman" w:hAnsi="Times New Roman"/>
          <w:noProof/>
          <w:sz w:val="24"/>
          <w:szCs w:val="24"/>
        </w:rPr>
        <w:t>zelená a digitálna transformácia priaznivo vplývať na investície do strategických projektov, ktoré prichádzajú aj v súvislosti s obnovou hospodárstva.</w:t>
      </w:r>
    </w:p>
    <w:p w:rsidR="00F47BB5" w:rsidRDefault="00F47BB5">
      <w:pPr>
        <w:spacing w:line="276" w:lineRule="auto"/>
        <w:jc w:val="center"/>
        <w:rPr>
          <w:noProof/>
        </w:rPr>
      </w:pPr>
    </w:p>
    <w:sectPr w:rsidR="00F47BB5">
      <w:headerReference w:type="even" r:id="rId28"/>
      <w:headerReference w:type="default" r:id="rId29"/>
      <w:footerReference w:type="even" r:id="rId30"/>
      <w:footerReference w:type="default" r:id="rId31"/>
      <w:headerReference w:type="first" r:id="rId32"/>
      <w:footerReference w:type="first" r:id="rId33"/>
      <w:pgSz w:w="11906" w:h="16838" w:code="9"/>
      <w:pgMar w:top="1440" w:right="1440" w:bottom="1440" w:left="1440" w:header="567"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7BB5" w:rsidRDefault="00A34992">
      <w:pPr>
        <w:spacing w:after="0"/>
      </w:pPr>
      <w:r>
        <w:separator/>
      </w:r>
    </w:p>
  </w:endnote>
  <w:endnote w:type="continuationSeparator" w:id="0">
    <w:p w:rsidR="00F47BB5" w:rsidRDefault="00A34992">
      <w:pPr>
        <w:spacing w:after="0"/>
      </w:pPr>
      <w:r>
        <w:continuationSeparator/>
      </w:r>
    </w:p>
  </w:endnote>
  <w:endnote w:type="continuationNotice" w:id="1">
    <w:p w:rsidR="00F47BB5" w:rsidRDefault="00F47BB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EC Square Sans Pro Light">
    <w:panose1 w:val="020B0506000000020004"/>
    <w:charset w:val="00"/>
    <w:family w:val="swiss"/>
    <w:pitch w:val="variable"/>
    <w:sig w:usb0="A00002BF" w:usb1="5000E0FB" w:usb2="00000000" w:usb3="00000000" w:csb0="0000019F" w:csb1="00000000"/>
  </w:font>
  <w:font w:name="EC Square Sans Pro">
    <w:panose1 w:val="020B0506040000020004"/>
    <w:charset w:val="00"/>
    <w:family w:val="swiss"/>
    <w:pitch w:val="variable"/>
    <w:sig w:usb0="A00002BF" w:usb1="5000E0FB" w:usb2="00000000" w:usb3="00000000" w:csb0="0000019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4992" w:rsidRPr="00A34992" w:rsidRDefault="00A34992" w:rsidP="00A349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4992" w:rsidRPr="00A34992" w:rsidRDefault="00A34992" w:rsidP="00A34992">
    <w:pPr>
      <w:pStyle w:val="FooterCoverPage"/>
      <w:rPr>
        <w:rFonts w:ascii="Arial" w:hAnsi="Arial" w:cs="Arial"/>
        <w:b/>
        <w:sz w:val="48"/>
      </w:rPr>
    </w:pPr>
    <w:r w:rsidRPr="00A34992">
      <w:rPr>
        <w:rFonts w:ascii="Arial" w:hAnsi="Arial" w:cs="Arial"/>
        <w:b/>
        <w:sz w:val="48"/>
      </w:rPr>
      <w:t>SK</w:t>
    </w:r>
    <w:r w:rsidRPr="00A34992">
      <w:rPr>
        <w:rFonts w:ascii="Arial" w:hAnsi="Arial" w:cs="Arial"/>
        <w:b/>
        <w:sz w:val="48"/>
      </w:rPr>
      <w:tab/>
    </w:r>
    <w:r w:rsidRPr="00A34992">
      <w:rPr>
        <w:rFonts w:ascii="Arial" w:hAnsi="Arial" w:cs="Arial"/>
        <w:b/>
        <w:sz w:val="48"/>
      </w:rPr>
      <w:tab/>
    </w:r>
    <w:r w:rsidRPr="00A34992">
      <w:tab/>
    </w:r>
    <w:r w:rsidRPr="00A34992">
      <w:rPr>
        <w:rFonts w:ascii="Arial" w:hAnsi="Arial" w:cs="Arial"/>
        <w:b/>
        <w:sz w:val="48"/>
      </w:rPr>
      <w:t>SK</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4992" w:rsidRPr="00A34992" w:rsidRDefault="00A34992" w:rsidP="00A34992">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BB5" w:rsidRDefault="00A34992">
    <w:pPr>
      <w:pStyle w:val="FooterLine"/>
      <w:jc w:val="center"/>
    </w:pPr>
    <w:r>
      <w:fldChar w:fldCharType="begin"/>
    </w:r>
    <w:r>
      <w:instrText>PAGE   \* MERGEFORMAT</w:instrText>
    </w:r>
    <w:r>
      <w:fldChar w:fldCharType="separate"/>
    </w:r>
    <w: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BB5" w:rsidRDefault="00A34992">
    <w:pPr>
      <w:pStyle w:val="FooterLine"/>
      <w:jc w:val="center"/>
      <w:rPr>
        <w:sz w:val="22"/>
      </w:rPr>
    </w:pPr>
    <w:r>
      <w:rPr>
        <w:sz w:val="22"/>
      </w:rPr>
      <w:fldChar w:fldCharType="begin"/>
    </w:r>
    <w:r>
      <w:rPr>
        <w:sz w:val="22"/>
      </w:rPr>
      <w:instrText>PAGE   \* MERGEFORMAT</w:instrText>
    </w:r>
    <w:r>
      <w:rPr>
        <w:sz w:val="22"/>
      </w:rPr>
      <w:fldChar w:fldCharType="separate"/>
    </w:r>
    <w:r>
      <w:rPr>
        <w:noProof/>
        <w:sz w:val="22"/>
      </w:rPr>
      <w:t>2</w:t>
    </w:r>
    <w:r>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BB5" w:rsidRDefault="00F47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7BB5" w:rsidRDefault="00A34992">
      <w:pPr>
        <w:spacing w:after="0"/>
      </w:pPr>
      <w:r>
        <w:separator/>
      </w:r>
    </w:p>
  </w:footnote>
  <w:footnote w:type="continuationSeparator" w:id="0">
    <w:p w:rsidR="00F47BB5" w:rsidRDefault="00A34992">
      <w:pPr>
        <w:spacing w:after="0"/>
      </w:pPr>
      <w:r>
        <w:continuationSeparator/>
      </w:r>
    </w:p>
  </w:footnote>
  <w:footnote w:type="continuationNotice" w:id="1">
    <w:p w:rsidR="00F47BB5" w:rsidRDefault="00F47BB5">
      <w:pPr>
        <w:spacing w:after="0"/>
      </w:pPr>
    </w:p>
  </w:footnote>
  <w:footnote w:id="2">
    <w:p w:rsidR="00F47BB5" w:rsidRDefault="00A34992">
      <w:pPr>
        <w:pBdr>
          <w:top w:val="nil"/>
          <w:left w:val="nil"/>
          <w:bottom w:val="nil"/>
          <w:right w:val="nil"/>
          <w:between w:val="nil"/>
        </w:pBdr>
        <w:spacing w:after="0"/>
        <w:rPr>
          <w:color w:val="000000" w:themeColor="text1"/>
          <w:sz w:val="16"/>
          <w:szCs w:val="16"/>
        </w:rPr>
      </w:pPr>
      <w:r>
        <w:rPr>
          <w:rStyle w:val="FootnoteReference"/>
          <w:sz w:val="16"/>
          <w:szCs w:val="16"/>
        </w:rPr>
        <w:footnoteRef/>
      </w:r>
      <w:r>
        <w:rPr>
          <w:color w:val="000000"/>
          <w:sz w:val="16"/>
          <w:szCs w:val="16"/>
        </w:rPr>
        <w:t xml:space="preserve"> Ambicióznejšia Únia. Politické usmernenia pre budúcu Európsku komisiu 2019 – 2024.</w:t>
      </w:r>
    </w:p>
  </w:footnote>
  <w:footnote w:id="3">
    <w:p w:rsidR="00F47BB5" w:rsidRDefault="00A34992">
      <w:pPr>
        <w:pBdr>
          <w:top w:val="nil"/>
          <w:left w:val="nil"/>
          <w:bottom w:val="nil"/>
          <w:right w:val="nil"/>
          <w:between w:val="nil"/>
        </w:pBdr>
        <w:tabs>
          <w:tab w:val="left" w:pos="7551"/>
        </w:tabs>
        <w:spacing w:after="0"/>
        <w:rPr>
          <w:color w:val="000000" w:themeColor="text1"/>
          <w:sz w:val="16"/>
          <w:szCs w:val="16"/>
        </w:rPr>
      </w:pPr>
      <w:r>
        <w:rPr>
          <w:rStyle w:val="FootnoteReference"/>
          <w:sz w:val="16"/>
          <w:szCs w:val="16"/>
        </w:rPr>
        <w:footnoteRef/>
      </w:r>
      <w:r>
        <w:rPr>
          <w:color w:val="000000"/>
          <w:sz w:val="16"/>
          <w:szCs w:val="16"/>
        </w:rPr>
        <w:t xml:space="preserve"> Európska komisia, Európska hospodárska prognóza, jar 2020.</w:t>
      </w:r>
      <w:r>
        <w:tab/>
      </w:r>
    </w:p>
  </w:footnote>
  <w:footnote w:id="4">
    <w:p w:rsidR="00F47BB5" w:rsidRDefault="00A34992">
      <w:pPr>
        <w:pBdr>
          <w:top w:val="nil"/>
          <w:left w:val="nil"/>
          <w:bottom w:val="nil"/>
          <w:right w:val="nil"/>
          <w:between w:val="nil"/>
        </w:pBdr>
        <w:spacing w:after="0"/>
        <w:rPr>
          <w:color w:val="000000" w:themeColor="text1"/>
          <w:sz w:val="16"/>
          <w:szCs w:val="16"/>
        </w:rPr>
      </w:pPr>
      <w:r>
        <w:rPr>
          <w:rStyle w:val="FootnoteReference"/>
          <w:sz w:val="16"/>
          <w:szCs w:val="16"/>
        </w:rPr>
        <w:footnoteRef/>
      </w:r>
      <w:r>
        <w:rPr>
          <w:color w:val="000000"/>
          <w:sz w:val="16"/>
          <w:szCs w:val="16"/>
        </w:rPr>
        <w:t xml:space="preserve"> COM(2020) 456 final, Správny čas pre Európu: náprava škôd a príprava budúcnosti pre ďalšie generácie</w:t>
      </w:r>
      <w:r>
        <w:rPr>
          <w:i/>
          <w:iCs/>
          <w:color w:val="000000"/>
          <w:sz w:val="16"/>
          <w:szCs w:val="16"/>
        </w:rPr>
        <w:t>.</w:t>
      </w:r>
    </w:p>
  </w:footnote>
  <w:footnote w:id="5">
    <w:p w:rsidR="00F47BB5" w:rsidRDefault="00A34992">
      <w:pPr>
        <w:pBdr>
          <w:top w:val="nil"/>
          <w:left w:val="nil"/>
          <w:bottom w:val="nil"/>
          <w:right w:val="nil"/>
          <w:between w:val="nil"/>
        </w:pBdr>
        <w:spacing w:after="0"/>
        <w:rPr>
          <w:color w:val="000000"/>
          <w:sz w:val="16"/>
          <w:szCs w:val="16"/>
        </w:rPr>
      </w:pPr>
      <w:r>
        <w:rPr>
          <w:rStyle w:val="FootnoteReference"/>
          <w:sz w:val="16"/>
          <w:szCs w:val="16"/>
        </w:rPr>
        <w:footnoteRef/>
      </w:r>
      <w:r>
        <w:rPr>
          <w:color w:val="000000"/>
          <w:sz w:val="16"/>
          <w:szCs w:val="16"/>
        </w:rPr>
        <w:t xml:space="preserve"> </w:t>
      </w:r>
      <w:hyperlink r:id="rId1">
        <w:r>
          <w:rPr>
            <w:color w:val="0563C1"/>
            <w:sz w:val="16"/>
            <w:szCs w:val="16"/>
            <w:u w:val="single"/>
          </w:rPr>
          <w:t>https://ec.europa.eu/commission/sites/beta-political/files/mission-letter-maros-sefcovic-2019_en.pdf</w:t>
        </w:r>
      </w:hyperlink>
      <w:r>
        <w:rPr>
          <w:color w:val="000000"/>
          <w:sz w:val="16"/>
          <w:szCs w:val="16"/>
        </w:rPr>
        <w:t xml:space="preserve"> </w:t>
      </w:r>
    </w:p>
  </w:footnote>
  <w:footnote w:id="6">
    <w:p w:rsidR="00F47BB5" w:rsidRDefault="00A34992">
      <w:pPr>
        <w:pStyle w:val="FootnoteText"/>
        <w:spacing w:after="0"/>
        <w:ind w:left="0" w:firstLine="0"/>
        <w:rPr>
          <w:rStyle w:val="Hyperlink"/>
          <w:i/>
          <w:color w:val="auto"/>
          <w:sz w:val="16"/>
          <w:szCs w:val="16"/>
          <w:u w:val="none"/>
        </w:rPr>
      </w:pPr>
      <w:r>
        <w:rPr>
          <w:rStyle w:val="FootnoteReference"/>
          <w:sz w:val="16"/>
          <w:szCs w:val="16"/>
        </w:rPr>
        <w:footnoteRef/>
      </w:r>
      <w:r>
        <w:rPr>
          <w:sz w:val="16"/>
          <w:szCs w:val="16"/>
        </w:rPr>
        <w:t xml:space="preserve"> </w:t>
      </w:r>
      <w:r>
        <w:rPr>
          <w:i/>
          <w:iCs/>
          <w:color w:val="000000"/>
          <w:sz w:val="16"/>
          <w:szCs w:val="16"/>
        </w:rPr>
        <w:t>Strategic foresight</w:t>
      </w:r>
      <w:r>
        <w:rPr>
          <w:color w:val="000000"/>
          <w:sz w:val="16"/>
          <w:szCs w:val="16"/>
        </w:rPr>
        <w:t xml:space="preserve"> draws useful i</w:t>
      </w:r>
      <w:r>
        <w:rPr>
          <w:color w:val="000000"/>
          <w:sz w:val="16"/>
          <w:szCs w:val="16"/>
        </w:rPr>
        <w:t>nsights for strategic planning, policymaking and preparedness (</w:t>
      </w:r>
      <w:r>
        <w:rPr>
          <w:i/>
          <w:iCs/>
          <w:color w:val="000000"/>
          <w:sz w:val="16"/>
          <w:szCs w:val="16"/>
        </w:rPr>
        <w:t>Strategický výhľad poskytuje užitočný náhľad na strategické plánovanie, tvorbu politík a pripravenosť</w:t>
      </w:r>
      <w:r>
        <w:rPr>
          <w:color w:val="000000"/>
          <w:sz w:val="16"/>
          <w:szCs w:val="16"/>
        </w:rPr>
        <w:t>), Európska komisia, 2017</w:t>
      </w:r>
      <w:r>
        <w:rPr>
          <w:sz w:val="16"/>
          <w:szCs w:val="16"/>
        </w:rPr>
        <w:fldChar w:fldCharType="begin"/>
      </w:r>
      <w:r>
        <w:rPr>
          <w:sz w:val="16"/>
          <w:szCs w:val="16"/>
        </w:rPr>
        <w:instrText xml:space="preserve"> HYPERLINK "https://espas.secure.europarl.europa.eu/orbis/sites/def</w:instrText>
      </w:r>
      <w:r>
        <w:rPr>
          <w:sz w:val="16"/>
          <w:szCs w:val="16"/>
        </w:rPr>
        <w:instrText xml:space="preserve">ault/files/generated/document/en/epsc_-_strategic_foresight_primer.pdf" </w:instrText>
      </w:r>
      <w:r>
        <w:rPr>
          <w:sz w:val="16"/>
          <w:szCs w:val="16"/>
        </w:rPr>
        <w:fldChar w:fldCharType="separate"/>
      </w:r>
      <w:r>
        <w:rPr>
          <w:rStyle w:val="Hyperlink"/>
          <w:i/>
          <w:iCs/>
          <w:color w:val="auto"/>
          <w:sz w:val="16"/>
          <w:szCs w:val="16"/>
          <w:u w:val="none"/>
        </w:rPr>
        <w:t xml:space="preserve">Strategic </w:t>
      </w:r>
    </w:p>
    <w:p w:rsidR="00F47BB5" w:rsidRDefault="00A34992">
      <w:pPr>
        <w:pStyle w:val="FootnoteText"/>
        <w:ind w:left="0" w:firstLine="0"/>
        <w:rPr>
          <w:color w:val="000000"/>
          <w:sz w:val="16"/>
          <w:szCs w:val="16"/>
        </w:rPr>
      </w:pPr>
      <w:r>
        <w:rPr>
          <w:rStyle w:val="Hyperlink"/>
          <w:i/>
          <w:iCs/>
          <w:color w:val="auto"/>
          <w:sz w:val="16"/>
          <w:szCs w:val="16"/>
          <w:u w:val="none"/>
        </w:rPr>
        <w:t>Foresight Primer (Základy strategického výhľadu)</w:t>
      </w:r>
      <w:r>
        <w:rPr>
          <w:sz w:val="16"/>
          <w:szCs w:val="16"/>
        </w:rPr>
        <w:fldChar w:fldCharType="end"/>
      </w:r>
      <w:r>
        <w:rPr>
          <w:sz w:val="16"/>
          <w:szCs w:val="16"/>
        </w:rPr>
        <w:t xml:space="preserve">. Nejde tu o predvídanie budúcnosti, ale o skúmanie rozličných realistických verzií budúcnosti, ku ktorým by mohlo dôjsť, </w:t>
      </w:r>
      <w:r>
        <w:rPr>
          <w:sz w:val="16"/>
          <w:szCs w:val="16"/>
        </w:rPr>
        <w:t xml:space="preserve">a príležitostí a výziev, ktoré by mohli priniesť. Súčasťou toho je identifikovať trendy a vznikajúce problémy a využívať ich pri vytváraní vízií a súvisiacich postupov, ktoré nám umožnia lepšími rozhodnutiam a konaním v súčasnosti formovať budúcnosť podľa </w:t>
      </w:r>
      <w:r>
        <w:rPr>
          <w:sz w:val="16"/>
          <w:szCs w:val="16"/>
        </w:rPr>
        <w:t>našich predstáv.</w:t>
      </w:r>
    </w:p>
    <w:p w:rsidR="00F47BB5" w:rsidRDefault="00A34992">
      <w:pPr>
        <w:pStyle w:val="FootnoteText"/>
        <w:spacing w:after="0"/>
        <w:ind w:left="0" w:firstLine="0"/>
        <w:rPr>
          <w:sz w:val="16"/>
          <w:szCs w:val="16"/>
        </w:rPr>
      </w:pPr>
      <w:r>
        <w:rPr>
          <w:sz w:val="16"/>
          <w:szCs w:val="16"/>
        </w:rPr>
        <w:t>(</w:t>
      </w:r>
      <w:hyperlink r:id="rId2" w:history="1">
        <w:r>
          <w:rPr>
            <w:rStyle w:val="Hyperlink"/>
            <w:sz w:val="16"/>
            <w:szCs w:val="16"/>
          </w:rPr>
          <w:t>https://www.sciencedirect.com/book/9780128225967/science-for-policy-handbook</w:t>
        </w:r>
      </w:hyperlink>
      <w:r>
        <w:rPr>
          <w:sz w:val="16"/>
          <w:szCs w:val="16"/>
        </w:rPr>
        <w:t>).</w:t>
      </w:r>
    </w:p>
  </w:footnote>
  <w:footnote w:id="7">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w:t>
      </w:r>
      <w:r>
        <w:rPr>
          <w:i/>
          <w:iCs/>
          <w:sz w:val="16"/>
          <w:szCs w:val="16"/>
        </w:rPr>
        <w:t>Prieskum horizontu</w:t>
      </w:r>
      <w:r>
        <w:rPr>
          <w:sz w:val="16"/>
          <w:szCs w:val="16"/>
        </w:rPr>
        <w:t xml:space="preserve"> je súčasťou analýzy trendov a obvykle sa používa na doplnenie kontextu do prognostických činností. Môže fungovať ako fórum na skúmanie a výmenu informácií o budúcom vývoji, poskytovanie orientácie a identifikáciu príležitostí a zároveň slúžiť ako systém v</w:t>
      </w:r>
      <w:r>
        <w:rPr>
          <w:sz w:val="16"/>
          <w:szCs w:val="16"/>
        </w:rPr>
        <w:t>časného varovania.</w:t>
      </w:r>
    </w:p>
  </w:footnote>
  <w:footnote w:id="8">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Modelovanie využíva historické údaje ako podklad pre vypracúvanie informovaných odhadov o smerovaní budúcich trendov. Strategický výhľad a modelovanie sú komplementárne prístupy k tvorbe predvídavých politík založenej na faktoch.</w:t>
      </w:r>
    </w:p>
  </w:footnote>
  <w:footnote w:id="9">
    <w:p w:rsidR="00F47BB5" w:rsidRDefault="00A34992">
      <w:pPr>
        <w:pBdr>
          <w:top w:val="nil"/>
          <w:left w:val="nil"/>
          <w:bottom w:val="nil"/>
          <w:right w:val="nil"/>
          <w:between w:val="nil"/>
        </w:pBdr>
        <w:spacing w:after="0"/>
        <w:rPr>
          <w:color w:val="000000"/>
          <w:sz w:val="16"/>
          <w:szCs w:val="16"/>
        </w:rPr>
      </w:pPr>
      <w:r>
        <w:rPr>
          <w:rStyle w:val="FootnoteReference"/>
          <w:sz w:val="16"/>
          <w:szCs w:val="16"/>
        </w:rPr>
        <w:footnoteRef/>
      </w:r>
      <w:r>
        <w:rPr>
          <w:sz w:val="16"/>
          <w:szCs w:val="16"/>
        </w:rPr>
        <w:t xml:space="preserve"> </w:t>
      </w:r>
      <w:r>
        <w:rPr>
          <w:color w:val="000000"/>
          <w:sz w:val="16"/>
          <w:szCs w:val="16"/>
        </w:rPr>
        <w:t>Eur</w:t>
      </w:r>
      <w:r>
        <w:rPr>
          <w:color w:val="000000"/>
          <w:sz w:val="16"/>
          <w:szCs w:val="16"/>
        </w:rPr>
        <w:t>ópska komisia, 2020, Kritické suroviny pre strategické technológie a sektory – výhľadová štúdia (doi: 10.2873/58081),</w:t>
      </w:r>
      <w:r>
        <w:rPr>
          <w:sz w:val="16"/>
          <w:szCs w:val="16"/>
        </w:rPr>
        <w:t xml:space="preserve"> </w:t>
      </w:r>
      <w:r>
        <w:rPr>
          <w:color w:val="000000"/>
          <w:sz w:val="16"/>
          <w:szCs w:val="16"/>
        </w:rPr>
        <w:t>sprievodný dokument k oznámeniu COM(2020) 474 final – Odolnosť v oblasti kritických surovín: zmapovanie cesty k väčšej bezpečnosti a udrža</w:t>
      </w:r>
      <w:r>
        <w:rPr>
          <w:color w:val="000000"/>
          <w:sz w:val="16"/>
          <w:szCs w:val="16"/>
        </w:rPr>
        <w:t>teľnosti.</w:t>
      </w:r>
    </w:p>
  </w:footnote>
  <w:footnote w:id="10">
    <w:p w:rsidR="00F47BB5" w:rsidRDefault="00A34992">
      <w:pPr>
        <w:spacing w:after="0"/>
        <w:rPr>
          <w:sz w:val="16"/>
          <w:szCs w:val="16"/>
        </w:rPr>
      </w:pPr>
      <w:r>
        <w:rPr>
          <w:sz w:val="16"/>
          <w:szCs w:val="16"/>
          <w:vertAlign w:val="superscript"/>
        </w:rPr>
        <w:footnoteRef/>
      </w:r>
      <w:r>
        <w:rPr>
          <w:sz w:val="16"/>
          <w:szCs w:val="16"/>
          <w:vertAlign w:val="superscript"/>
        </w:rPr>
        <w:t xml:space="preserve"> </w:t>
      </w:r>
      <w:hyperlink r:id="rId3" w:history="1">
        <w:r>
          <w:rPr>
            <w:rStyle w:val="Hyperlink"/>
            <w:sz w:val="16"/>
            <w:szCs w:val="16"/>
          </w:rPr>
          <w:t>https://www.routledge.com/Transforming-the-Future-Open-Access-Anticipation-in-the-21st-Century/Miller/p/b</w:t>
        </w:r>
        <w:r>
          <w:rPr>
            <w:rStyle w:val="Hyperlink"/>
            <w:sz w:val="16"/>
            <w:szCs w:val="16"/>
          </w:rPr>
          <w:t>ook/9781138485877</w:t>
        </w:r>
      </w:hyperlink>
      <w:r>
        <w:rPr>
          <w:sz w:val="16"/>
          <w:szCs w:val="16"/>
        </w:rPr>
        <w:t>.</w:t>
      </w:r>
    </w:p>
  </w:footnote>
  <w:footnote w:id="11">
    <w:p w:rsidR="00F47BB5" w:rsidRDefault="00A34992">
      <w:pPr>
        <w:pBdr>
          <w:top w:val="nil"/>
          <w:left w:val="nil"/>
          <w:bottom w:val="nil"/>
          <w:right w:val="nil"/>
          <w:between w:val="nil"/>
        </w:pBdr>
        <w:spacing w:after="0"/>
        <w:rPr>
          <w:color w:val="000000"/>
          <w:sz w:val="16"/>
          <w:szCs w:val="16"/>
        </w:rPr>
      </w:pPr>
      <w:r>
        <w:rPr>
          <w:rStyle w:val="FootnoteReference"/>
          <w:sz w:val="16"/>
          <w:szCs w:val="16"/>
        </w:rPr>
        <w:footnoteRef/>
      </w:r>
      <w:r>
        <w:rPr>
          <w:sz w:val="16"/>
          <w:szCs w:val="16"/>
        </w:rPr>
        <w:t xml:space="preserve"> </w:t>
      </w:r>
      <w:hyperlink r:id="rId4" w:history="1">
        <w:r>
          <w:rPr>
            <w:rStyle w:val="Hyperlink"/>
            <w:sz w:val="16"/>
            <w:szCs w:val="16"/>
          </w:rPr>
          <w:t>https://ec.europa.eu/info/law/law-making-process/evaluating-and-improving-existing-laws</w:t>
        </w:r>
        <w:r>
          <w:rPr>
            <w:rStyle w:val="Hyperlink"/>
            <w:sz w:val="16"/>
            <w:szCs w:val="16"/>
          </w:rPr>
          <w:t>/refit-making-eu-law-simpler-and-less-costly</w:t>
        </w:r>
      </w:hyperlink>
      <w:r>
        <w:rPr>
          <w:sz w:val="16"/>
          <w:szCs w:val="16"/>
        </w:rPr>
        <w:t>.</w:t>
      </w:r>
    </w:p>
  </w:footnote>
  <w:footnote w:id="12">
    <w:p w:rsidR="00F47BB5" w:rsidRDefault="00A34992">
      <w:pPr>
        <w:pStyle w:val="FootnoteText"/>
        <w:spacing w:after="0"/>
        <w:rPr>
          <w:color w:val="000000"/>
          <w:sz w:val="16"/>
          <w:szCs w:val="16"/>
        </w:rPr>
      </w:pPr>
      <w:r>
        <w:rPr>
          <w:rStyle w:val="FootnoteReference"/>
          <w:sz w:val="16"/>
          <w:szCs w:val="16"/>
        </w:rPr>
        <w:footnoteRef/>
      </w:r>
      <w:r>
        <w:rPr>
          <w:sz w:val="16"/>
          <w:szCs w:val="16"/>
        </w:rPr>
        <w:t xml:space="preserve"> </w:t>
      </w:r>
      <w:r>
        <w:rPr>
          <w:color w:val="000000"/>
          <w:sz w:val="16"/>
          <w:szCs w:val="16"/>
        </w:rPr>
        <w:t>Strategický výhľad môže napríklad pomôcť uplatňovať zásadu inovácie pri navrhovaní a preskúmavaní európskych právnych predpisov</w:t>
      </w:r>
    </w:p>
    <w:p w:rsidR="00F47BB5" w:rsidRDefault="00A34992">
      <w:pPr>
        <w:pStyle w:val="FootnoteText"/>
        <w:spacing w:after="0"/>
        <w:rPr>
          <w:color w:val="0563C1" w:themeColor="hyperlink"/>
          <w:sz w:val="16"/>
          <w:szCs w:val="16"/>
          <w:u w:val="single"/>
        </w:rPr>
      </w:pPr>
      <w:r>
        <w:rPr>
          <w:color w:val="000000"/>
          <w:sz w:val="16"/>
          <w:szCs w:val="16"/>
        </w:rPr>
        <w:t>(</w:t>
      </w:r>
      <w:r>
        <w:rPr>
          <w:rStyle w:val="Hyperlink"/>
          <w:sz w:val="16"/>
          <w:szCs w:val="16"/>
        </w:rPr>
        <w:t>https://ec.europa.eu/info/news/innovation-principle-makes-eu-laws-smarter-and-f</w:t>
      </w:r>
      <w:r>
        <w:rPr>
          <w:rStyle w:val="Hyperlink"/>
          <w:sz w:val="16"/>
          <w:szCs w:val="16"/>
        </w:rPr>
        <w:t>uture-oriented-experts-say-2019-nov-25_en</w:t>
      </w:r>
      <w:r>
        <w:rPr>
          <w:color w:val="000000"/>
          <w:sz w:val="16"/>
          <w:szCs w:val="16"/>
        </w:rPr>
        <w:t>).</w:t>
      </w:r>
    </w:p>
  </w:footnote>
  <w:footnote w:id="13">
    <w:p w:rsidR="00F47BB5" w:rsidRDefault="00A34992">
      <w:pPr>
        <w:pStyle w:val="FootnoteText"/>
        <w:spacing w:after="0"/>
        <w:ind w:left="0" w:firstLine="0"/>
        <w:rPr>
          <w:color w:val="000000"/>
          <w:sz w:val="16"/>
          <w:szCs w:val="16"/>
        </w:rPr>
      </w:pPr>
      <w:r>
        <w:rPr>
          <w:rStyle w:val="FootnoteReference"/>
          <w:sz w:val="16"/>
          <w:szCs w:val="16"/>
        </w:rPr>
        <w:footnoteRef/>
      </w:r>
      <w:r>
        <w:rPr>
          <w:sz w:val="16"/>
          <w:szCs w:val="16"/>
        </w:rPr>
        <w:t xml:space="preserve"> Dokončenie </w:t>
      </w:r>
      <w:r>
        <w:rPr>
          <w:i/>
          <w:iCs/>
          <w:color w:val="000000"/>
          <w:sz w:val="16"/>
          <w:szCs w:val="16"/>
        </w:rPr>
        <w:t>prognostického cyklu</w:t>
      </w:r>
      <w:r>
        <w:rPr>
          <w:color w:val="000000"/>
          <w:sz w:val="16"/>
          <w:szCs w:val="16"/>
        </w:rPr>
        <w:t xml:space="preserve"> môže trvať až jeden rok a zahŕňa: diagnózu toho, ako minulý vývoj viedol k súčasnej situácii, pravdepodobný budúci vývoj založený na trendoch a vynárajúcich sa otázkach, ak sa ne</w:t>
      </w:r>
      <w:r>
        <w:rPr>
          <w:color w:val="000000"/>
          <w:sz w:val="16"/>
          <w:szCs w:val="16"/>
        </w:rPr>
        <w:t>prijmú žiadne opatrenia, a alternatívne možnosti do budúcnosti; kolektívne vízie; alternatívne plány a harmonogram ich implementácie; výber prístupov a súvisiacich stratégií, opatrení a partnerstiev; a vymedzenie primeraných ukazovateľov na monitorovanie t</w:t>
      </w:r>
      <w:r>
        <w:rPr>
          <w:color w:val="000000"/>
          <w:sz w:val="16"/>
          <w:szCs w:val="16"/>
        </w:rPr>
        <w:t xml:space="preserve">ak, aby sa opatrenia mohli priebežne prispôsobovať. </w:t>
      </w:r>
      <w:r>
        <w:rPr>
          <w:i/>
          <w:iCs/>
          <w:color w:val="000000"/>
          <w:sz w:val="16"/>
          <w:szCs w:val="16"/>
        </w:rPr>
        <w:t>Externý rozmer</w:t>
      </w:r>
      <w:r>
        <w:rPr>
          <w:color w:val="000000"/>
          <w:sz w:val="16"/>
          <w:szCs w:val="16"/>
        </w:rPr>
        <w:t xml:space="preserve"> prognostických cyklov zahŕňa</w:t>
      </w:r>
      <w:r>
        <w:rPr>
          <w:sz w:val="16"/>
          <w:szCs w:val="16"/>
        </w:rPr>
        <w:t xml:space="preserve"> </w:t>
      </w:r>
      <w:r>
        <w:rPr>
          <w:color w:val="000000"/>
          <w:sz w:val="16"/>
          <w:szCs w:val="16"/>
        </w:rPr>
        <w:t>systematické zapájanie sa do strategických diskusií s členskými štátmi, európskymi inštitúciami, občanmi, občianskou spoločnosťou a kľúčovými zainteresovanými s</w:t>
      </w:r>
      <w:r>
        <w:rPr>
          <w:color w:val="000000"/>
          <w:sz w:val="16"/>
          <w:szCs w:val="16"/>
        </w:rPr>
        <w:t xml:space="preserve">tranami. </w:t>
      </w:r>
      <w:r>
        <w:rPr>
          <w:i/>
          <w:iCs/>
          <w:color w:val="000000"/>
          <w:sz w:val="16"/>
          <w:szCs w:val="16"/>
        </w:rPr>
        <w:t>Interný rozmer</w:t>
      </w:r>
      <w:r>
        <w:rPr>
          <w:color w:val="000000"/>
          <w:sz w:val="16"/>
          <w:szCs w:val="16"/>
        </w:rPr>
        <w:t xml:space="preserve"> zahŕňa začlenenie strategického výhľadu do hlavného prúdu tvorby politík a rozhodovania, a to napríklad prostredníctvom posudzovania vplyvu, plánovania a testovania alternatívnych scenárov a výmeny informácií s cieľom vybudovať kole</w:t>
      </w:r>
      <w:r>
        <w:rPr>
          <w:color w:val="000000"/>
          <w:sz w:val="16"/>
          <w:szCs w:val="16"/>
        </w:rPr>
        <w:t>ktívnu inteligenciu.</w:t>
      </w:r>
    </w:p>
  </w:footnote>
  <w:footnote w:id="14">
    <w:p w:rsidR="00F47BB5" w:rsidRDefault="00A34992">
      <w:pPr>
        <w:pBdr>
          <w:top w:val="nil"/>
          <w:left w:val="nil"/>
          <w:bottom w:val="nil"/>
          <w:right w:val="nil"/>
          <w:between w:val="nil"/>
        </w:pBdr>
        <w:spacing w:after="0"/>
        <w:rPr>
          <w:color w:val="000000"/>
          <w:sz w:val="16"/>
          <w:szCs w:val="16"/>
        </w:rPr>
      </w:pPr>
      <w:r>
        <w:rPr>
          <w:rStyle w:val="FootnoteReference"/>
          <w:sz w:val="16"/>
          <w:szCs w:val="16"/>
        </w:rPr>
        <w:footnoteRef/>
      </w:r>
      <w:r>
        <w:rPr>
          <w:color w:val="000000"/>
          <w:sz w:val="16"/>
          <w:szCs w:val="16"/>
        </w:rPr>
        <w:t xml:space="preserve"> Prognostické kapacity Komisie zahŕňajú </w:t>
      </w:r>
      <w:r>
        <w:rPr>
          <w:i/>
          <w:iCs/>
          <w:color w:val="000000"/>
          <w:sz w:val="16"/>
          <w:szCs w:val="16"/>
        </w:rPr>
        <w:t>Kompetenčné prognostické centrum</w:t>
      </w:r>
      <w:r>
        <w:rPr>
          <w:color w:val="000000"/>
          <w:sz w:val="16"/>
          <w:szCs w:val="16"/>
        </w:rPr>
        <w:t xml:space="preserve"> Spoločného výskumného centra a sieť Komisie pre strategický výhľad, ktorú koordinuje generálny sekretariát.</w:t>
      </w:r>
    </w:p>
  </w:footnote>
  <w:footnote w:id="15">
    <w:p w:rsidR="00F47BB5" w:rsidRDefault="00A34992">
      <w:pPr>
        <w:pBdr>
          <w:top w:val="nil"/>
          <w:left w:val="nil"/>
          <w:bottom w:val="nil"/>
          <w:right w:val="nil"/>
          <w:between w:val="nil"/>
        </w:pBdr>
        <w:spacing w:after="0"/>
        <w:rPr>
          <w:color w:val="000000"/>
          <w:sz w:val="16"/>
          <w:szCs w:val="16"/>
        </w:rPr>
      </w:pPr>
      <w:r>
        <w:rPr>
          <w:rStyle w:val="FootnoteReference"/>
          <w:sz w:val="16"/>
          <w:szCs w:val="16"/>
        </w:rPr>
        <w:footnoteRef/>
      </w:r>
      <w:r>
        <w:rPr>
          <w:color w:val="000000"/>
          <w:sz w:val="16"/>
          <w:szCs w:val="16"/>
        </w:rPr>
        <w:t xml:space="preserve">Súčasťou rozhodovacieho procesu je situačné </w:t>
      </w:r>
      <w:r>
        <w:rPr>
          <w:color w:val="000000"/>
          <w:sz w:val="16"/>
          <w:szCs w:val="16"/>
        </w:rPr>
        <w:t>povedomie zamerané na časové a priestorové vnímanie prvkov a udalostí v okolitom prostredí s cieľom pochopiť, čo znamenajú, a projektovať ich budúci stav.</w:t>
      </w:r>
    </w:p>
  </w:footnote>
  <w:footnote w:id="16">
    <w:p w:rsidR="00F47BB5" w:rsidRDefault="00A34992">
      <w:pPr>
        <w:pStyle w:val="FootnoteText"/>
        <w:spacing w:after="0"/>
        <w:ind w:left="0" w:firstLine="0"/>
        <w:rPr>
          <w:sz w:val="16"/>
          <w:szCs w:val="16"/>
        </w:rPr>
      </w:pPr>
      <w:r>
        <w:rPr>
          <w:rStyle w:val="FootnoteReference"/>
          <w:sz w:val="16"/>
          <w:szCs w:val="16"/>
        </w:rPr>
        <w:footnoteRef/>
      </w:r>
      <w:r>
        <w:rPr>
          <w:color w:val="000000"/>
          <w:sz w:val="16"/>
          <w:szCs w:val="16"/>
        </w:rPr>
        <w:t xml:space="preserve"> </w:t>
      </w:r>
      <w:hyperlink r:id="rId5" w:history="1">
        <w:r>
          <w:rPr>
            <w:rStyle w:val="Hyperlink"/>
            <w:sz w:val="16"/>
            <w:szCs w:val="16"/>
          </w:rPr>
          <w:t>https://espas.secure.europarl.europa.eu/orbis/espas2018about</w:t>
        </w:r>
      </w:hyperlink>
      <w:r>
        <w:rPr>
          <w:sz w:val="16"/>
          <w:szCs w:val="16"/>
        </w:rPr>
        <w:t>.</w:t>
      </w:r>
    </w:p>
  </w:footnote>
  <w:footnote w:id="17">
    <w:p w:rsidR="00F47BB5" w:rsidRDefault="00A34992">
      <w:pPr>
        <w:spacing w:after="0"/>
        <w:rPr>
          <w:sz w:val="16"/>
          <w:szCs w:val="16"/>
        </w:rPr>
      </w:pPr>
      <w:r>
        <w:rPr>
          <w:rStyle w:val="FootnoteReference"/>
          <w:sz w:val="16"/>
          <w:szCs w:val="16"/>
        </w:rPr>
        <w:footnoteRef/>
      </w:r>
      <w:r>
        <w:rPr>
          <w:sz w:val="16"/>
          <w:szCs w:val="16"/>
        </w:rPr>
        <w:t> Spoločnosť Formlabs vyrobila každodenne pomocou 250 tlačiarní 150 000 výterových sád. Podobne aj pracovníci parížskych nemocníc v snahe predísť nedostatku vybavenia skenovali ventily, injekčné</w:t>
      </w:r>
      <w:r>
        <w:rPr>
          <w:sz w:val="16"/>
          <w:szCs w:val="16"/>
        </w:rPr>
        <w:t xml:space="preserve"> pumpy a medicínske konektory a pomocou šesťdesiatich 3D tlačiarní vyrábali potrebný zdravotnícky materiál. </w:t>
      </w:r>
    </w:p>
  </w:footnote>
  <w:footnote w:id="18">
    <w:p w:rsidR="00F47BB5" w:rsidRDefault="00A34992">
      <w:pPr>
        <w:spacing w:after="0"/>
        <w:rPr>
          <w:sz w:val="16"/>
          <w:szCs w:val="16"/>
        </w:rPr>
      </w:pPr>
      <w:r>
        <w:rPr>
          <w:rStyle w:val="FootnoteReference"/>
          <w:sz w:val="16"/>
          <w:szCs w:val="16"/>
        </w:rPr>
        <w:footnoteRef/>
      </w:r>
      <w:r>
        <w:rPr>
          <w:sz w:val="16"/>
          <w:szCs w:val="16"/>
        </w:rPr>
        <w:t xml:space="preserve"> </w:t>
      </w:r>
      <w:hyperlink r:id="rId6" w:anchor="euindustrystepsintoprotecteuropeancitizens" w:history="1">
        <w:r>
          <w:rPr>
            <w:rStyle w:val="Hyperlink"/>
            <w:sz w:val="16"/>
            <w:szCs w:val="16"/>
          </w:rPr>
          <w:t>https://ec.europa.eu/info/live-work-travel-eu/health/coronavirus-response/coronavirus-european-solidarity-action_en#euindustrystepsintoprotecteuropeancitizens</w:t>
        </w:r>
      </w:hyperlink>
      <w:r>
        <w:rPr>
          <w:sz w:val="16"/>
          <w:szCs w:val="16"/>
        </w:rPr>
        <w:t xml:space="preserve"> </w:t>
      </w:r>
    </w:p>
  </w:footnote>
  <w:footnote w:id="19">
    <w:p w:rsidR="00F47BB5" w:rsidRDefault="00A34992">
      <w:pPr>
        <w:spacing w:after="0"/>
        <w:rPr>
          <w:sz w:val="16"/>
          <w:szCs w:val="16"/>
        </w:rPr>
      </w:pPr>
      <w:r>
        <w:rPr>
          <w:rStyle w:val="FootnoteReference"/>
          <w:sz w:val="16"/>
          <w:szCs w:val="16"/>
        </w:rPr>
        <w:footnoteRef/>
      </w:r>
      <w:r>
        <w:rPr>
          <w:sz w:val="16"/>
          <w:szCs w:val="16"/>
        </w:rPr>
        <w:t xml:space="preserve"> C(2020) 1897 final, Oznámenie Komisie o uplatňovaní „zelený</w:t>
      </w:r>
      <w:r>
        <w:rPr>
          <w:sz w:val="16"/>
          <w:szCs w:val="16"/>
        </w:rPr>
        <w:t>ch jazdných pruhov“ v rámci usmernení pre opatrenia v oblasti riadenia hraníc na ochranu zdravia a zabezpečenie dostupnosti tovaru a základných služieb.</w:t>
      </w:r>
    </w:p>
  </w:footnote>
  <w:footnote w:id="20">
    <w:p w:rsidR="00F47BB5" w:rsidRDefault="00A34992">
      <w:pPr>
        <w:pStyle w:val="FootnoteText"/>
        <w:spacing w:after="0"/>
        <w:ind w:left="0" w:firstLine="0"/>
        <w:rPr>
          <w:sz w:val="16"/>
          <w:szCs w:val="16"/>
        </w:rPr>
      </w:pPr>
      <w:r>
        <w:rPr>
          <w:rStyle w:val="FootnoteReference"/>
          <w:sz w:val="16"/>
          <w:szCs w:val="16"/>
        </w:rPr>
        <w:footnoteRef/>
      </w:r>
      <w:r>
        <w:rPr>
          <w:sz w:val="16"/>
        </w:rPr>
        <w:t xml:space="preserve"> </w:t>
      </w:r>
      <w:hyperlink r:id="rId7" w:anchor="economic-measures" w:history="1">
        <w:r>
          <w:rPr>
            <w:rStyle w:val="Hyperlink"/>
            <w:sz w:val="16"/>
            <w:szCs w:val="16"/>
          </w:rPr>
          <w:t>https://ec.europa.eu/info/live-work-travel-eu/health/coronavirus-response/overview-commissions-response_en#economic-measures</w:t>
        </w:r>
      </w:hyperlink>
      <w:r>
        <w:rPr>
          <w:sz w:val="16"/>
          <w:szCs w:val="16"/>
        </w:rPr>
        <w:t xml:space="preserve"> </w:t>
      </w:r>
    </w:p>
  </w:footnote>
  <w:footnote w:id="21">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w:t>
      </w:r>
      <w:hyperlink r:id="rId8" w:history="1">
        <w:r>
          <w:rPr>
            <w:rStyle w:val="Hyperlink"/>
            <w:sz w:val="16"/>
            <w:szCs w:val="16"/>
          </w:rPr>
          <w:t>https://ec.europa.eu/info/publications/2020-european-semester-country-specific-recommendations-commission-recommendations_en</w:t>
        </w:r>
      </w:hyperlink>
      <w:r>
        <w:rPr>
          <w:sz w:val="16"/>
          <w:szCs w:val="16"/>
        </w:rPr>
        <w:t xml:space="preserve"> </w:t>
      </w:r>
    </w:p>
  </w:footnote>
  <w:footnote w:id="22">
    <w:p w:rsidR="00F47BB5" w:rsidRDefault="00A34992">
      <w:pPr>
        <w:pBdr>
          <w:top w:val="nil"/>
          <w:left w:val="nil"/>
          <w:bottom w:val="nil"/>
          <w:right w:val="nil"/>
          <w:between w:val="nil"/>
        </w:pBdr>
        <w:spacing w:after="0"/>
        <w:rPr>
          <w:color w:val="000000" w:themeColor="text1"/>
          <w:sz w:val="16"/>
          <w:szCs w:val="16"/>
        </w:rPr>
      </w:pPr>
      <w:r>
        <w:rPr>
          <w:rStyle w:val="FootnoteReference"/>
          <w:sz w:val="16"/>
          <w:szCs w:val="16"/>
        </w:rPr>
        <w:footnoteRef/>
      </w:r>
      <w:r>
        <w:rPr>
          <w:color w:val="000000"/>
          <w:sz w:val="16"/>
          <w:szCs w:val="16"/>
        </w:rPr>
        <w:t xml:space="preserve"> COM(2020) 456 final, Správny čas pre Európu: náprava škôd a príprava b</w:t>
      </w:r>
      <w:r>
        <w:rPr>
          <w:color w:val="000000"/>
          <w:sz w:val="16"/>
          <w:szCs w:val="16"/>
        </w:rPr>
        <w:t>udúcnosti pre ďalšie generácie.</w:t>
      </w:r>
    </w:p>
  </w:footnote>
  <w:footnote w:id="23">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Manca, A. R., Benczur, P. a Giovannini, E., 2017, </w:t>
      </w:r>
      <w:r>
        <w:rPr>
          <w:i/>
          <w:iCs/>
          <w:sz w:val="16"/>
          <w:szCs w:val="16"/>
        </w:rPr>
        <w:t>Building a scientific narrative towards a more resilient EU society</w:t>
      </w:r>
      <w:r>
        <w:rPr>
          <w:sz w:val="16"/>
          <w:szCs w:val="16"/>
        </w:rPr>
        <w:t xml:space="preserve"> (Presvedčivým vysvetľovaním vedy k odolnejšej spoločnosti v EÚ).</w:t>
      </w:r>
    </w:p>
  </w:footnote>
  <w:footnote w:id="24">
    <w:p w:rsidR="00F47BB5" w:rsidRDefault="00A34992">
      <w:pPr>
        <w:pBdr>
          <w:top w:val="nil"/>
          <w:left w:val="nil"/>
          <w:bottom w:val="nil"/>
          <w:right w:val="nil"/>
          <w:between w:val="nil"/>
        </w:pBdr>
        <w:spacing w:after="0"/>
        <w:rPr>
          <w:color w:val="000000"/>
          <w:sz w:val="16"/>
          <w:szCs w:val="16"/>
        </w:rPr>
      </w:pPr>
      <w:r>
        <w:rPr>
          <w:rStyle w:val="FootnoteReference"/>
          <w:sz w:val="16"/>
          <w:szCs w:val="16"/>
        </w:rPr>
        <w:footnoteRef/>
      </w:r>
      <w:r>
        <w:rPr>
          <w:color w:val="000000"/>
          <w:sz w:val="16"/>
        </w:rPr>
        <w:t> Giovannini, E., Benczur, P., Campolon</w:t>
      </w:r>
      <w:r>
        <w:rPr>
          <w:color w:val="000000"/>
          <w:sz w:val="16"/>
        </w:rPr>
        <w:t xml:space="preserve">go, F., Cariboni, J., Manca, A. R, 2020. </w:t>
      </w:r>
      <w:r>
        <w:rPr>
          <w:i/>
          <w:color w:val="000000"/>
          <w:sz w:val="16"/>
          <w:szCs w:val="16"/>
        </w:rPr>
        <w:t>Time for transformative resilience: the COVID-19 emergency</w:t>
      </w:r>
      <w:r>
        <w:rPr>
          <w:color w:val="000000"/>
          <w:sz w:val="16"/>
          <w:szCs w:val="16"/>
        </w:rPr>
        <w:t xml:space="preserve"> (Čas pre transformatívnu odolnosť: núdzový stav spôsobený ochorením COVID-19), Úrad pre vydávanie publikácií Európskej únie, Luxemburg.</w:t>
      </w:r>
    </w:p>
  </w:footnote>
  <w:footnote w:id="25">
    <w:p w:rsidR="00F47BB5" w:rsidRDefault="00A34992">
      <w:pPr>
        <w:pBdr>
          <w:top w:val="nil"/>
          <w:left w:val="nil"/>
          <w:bottom w:val="nil"/>
          <w:right w:val="nil"/>
          <w:between w:val="nil"/>
        </w:pBdr>
        <w:spacing w:after="0"/>
        <w:rPr>
          <w:color w:val="000000" w:themeColor="text1"/>
          <w:sz w:val="16"/>
          <w:szCs w:val="16"/>
        </w:rPr>
      </w:pPr>
      <w:r>
        <w:rPr>
          <w:rStyle w:val="FootnoteReference"/>
          <w:sz w:val="16"/>
          <w:szCs w:val="16"/>
        </w:rPr>
        <w:footnoteRef/>
      </w:r>
      <w:r>
        <w:rPr>
          <w:color w:val="000000"/>
          <w:sz w:val="16"/>
          <w:szCs w:val="16"/>
        </w:rPr>
        <w:t> Tieto dlhodobé hyb</w:t>
      </w:r>
      <w:r>
        <w:rPr>
          <w:color w:val="000000"/>
          <w:sz w:val="16"/>
          <w:szCs w:val="16"/>
        </w:rPr>
        <w:t>né sily identifikuje a monitoruje Spoločné výskumné centrum Komisie (JRC). Experti JRC ich neustále preskúmavajú s cieľom zohľadniť aktualizácie a súvisiace trendy, ktoré sú relevantné alebo zaujímavé pre útvary Európskej komisie. Vymedzenia týchto 14 mega</w:t>
      </w:r>
      <w:r>
        <w:rPr>
          <w:color w:val="000000"/>
          <w:sz w:val="16"/>
          <w:szCs w:val="16"/>
        </w:rPr>
        <w:t xml:space="preserve">trendov sú k dispozícii na adrese: </w:t>
      </w:r>
      <w:hyperlink r:id="rId9" w:history="1">
        <w:r>
          <w:rPr>
            <w:rStyle w:val="Hyperlink"/>
            <w:sz w:val="16"/>
            <w:szCs w:val="16"/>
          </w:rPr>
          <w:t>https://ec.europa.eu/knowledge4policy/foresight/tool/megatrends-hub_en</w:t>
        </w:r>
      </w:hyperlink>
      <w:r>
        <w:rPr>
          <w:color w:val="000000"/>
          <w:sz w:val="16"/>
          <w:szCs w:val="16"/>
        </w:rPr>
        <w:t>.</w:t>
      </w:r>
      <w:r>
        <w:rPr>
          <w:sz w:val="16"/>
          <w:szCs w:val="16"/>
        </w:rPr>
        <w:t xml:space="preserve"> </w:t>
      </w:r>
      <w:r>
        <w:rPr>
          <w:color w:val="000000"/>
          <w:sz w:val="16"/>
          <w:szCs w:val="16"/>
        </w:rPr>
        <w:t xml:space="preserve">Pozri aj </w:t>
      </w:r>
      <w:r>
        <w:rPr>
          <w:color w:val="000000"/>
          <w:sz w:val="16"/>
        </w:rPr>
        <w:t>ESPAS Report 2019: Global Trends to 2030 (</w:t>
      </w:r>
      <w:r>
        <w:rPr>
          <w:i/>
          <w:iCs/>
          <w:color w:val="000000"/>
          <w:sz w:val="16"/>
        </w:rPr>
        <w:t>Správa ESPA</w:t>
      </w:r>
      <w:r>
        <w:rPr>
          <w:i/>
          <w:iCs/>
          <w:color w:val="000000"/>
          <w:sz w:val="16"/>
        </w:rPr>
        <w:t>S 2019: Globálne trendy do roku 2030</w:t>
      </w:r>
      <w:r>
        <w:rPr>
          <w:color w:val="000000"/>
          <w:sz w:val="16"/>
        </w:rPr>
        <w:t>)</w:t>
      </w:r>
      <w:r>
        <w:rPr>
          <w:color w:val="000000"/>
          <w:sz w:val="16"/>
          <w:szCs w:val="16"/>
        </w:rPr>
        <w:t xml:space="preserve"> (</w:t>
      </w:r>
      <w:hyperlink r:id="rId10" w:history="1">
        <w:r>
          <w:rPr>
            <w:rStyle w:val="Hyperlink"/>
            <w:sz w:val="16"/>
            <w:szCs w:val="16"/>
          </w:rPr>
          <w:t>https://ec.europa.eu/knowledge4policy/publication/espas-report-2019-global-trends-2030_en</w:t>
        </w:r>
      </w:hyperlink>
      <w:r>
        <w:rPr>
          <w:color w:val="000000"/>
          <w:sz w:val="16"/>
          <w:szCs w:val="16"/>
        </w:rPr>
        <w:t>).</w:t>
      </w:r>
    </w:p>
  </w:footnote>
  <w:footnote w:id="26">
    <w:p w:rsidR="00F47BB5" w:rsidRDefault="00A34992">
      <w:pPr>
        <w:pStyle w:val="NoSpacing"/>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sz w:val="16"/>
          <w:szCs w:val="16"/>
        </w:rPr>
        <w:t xml:space="preserve"> Výskumná služba Európskeho parlamentu, 2020, </w:t>
      </w:r>
      <w:r>
        <w:rPr>
          <w:rFonts w:ascii="Times New Roman" w:hAnsi="Times New Roman"/>
          <w:i/>
          <w:iCs/>
          <w:sz w:val="16"/>
          <w:szCs w:val="16"/>
        </w:rPr>
        <w:t>Towards a more resilient Europe post-coronavirus.</w:t>
      </w:r>
      <w:r>
        <w:rPr>
          <w:rFonts w:ascii="Times New Roman" w:hAnsi="Times New Roman"/>
          <w:sz w:val="16"/>
          <w:szCs w:val="16"/>
        </w:rPr>
        <w:t xml:space="preserve"> </w:t>
      </w:r>
      <w:r>
        <w:rPr>
          <w:rFonts w:ascii="Times New Roman" w:hAnsi="Times New Roman"/>
          <w:i/>
          <w:iCs/>
          <w:sz w:val="16"/>
          <w:szCs w:val="16"/>
        </w:rPr>
        <w:t>An initial mapping of structural risks facing the EU</w:t>
      </w:r>
      <w:r>
        <w:rPr>
          <w:rFonts w:ascii="Times New Roman" w:hAnsi="Times New Roman"/>
          <w:sz w:val="16"/>
          <w:szCs w:val="16"/>
        </w:rPr>
        <w:t xml:space="preserve"> (Smerom k odolnejšej Európe po koronavíruse. Prvotné mapovanie štrukturálnych rizík, ktoré má EÚ pred sebou</w:t>
      </w:r>
      <w:r>
        <w:rPr>
          <w:rFonts w:ascii="Times New Roman" w:hAnsi="Times New Roman"/>
          <w:sz w:val="16"/>
          <w:szCs w:val="16"/>
        </w:rPr>
        <w:t>).</w:t>
      </w:r>
    </w:p>
  </w:footnote>
  <w:footnote w:id="27">
    <w:p w:rsidR="00F47BB5" w:rsidRDefault="00A34992">
      <w:pPr>
        <w:spacing w:after="0"/>
        <w:rPr>
          <w:sz w:val="16"/>
          <w:szCs w:val="16"/>
        </w:rPr>
      </w:pPr>
      <w:r>
        <w:rPr>
          <w:sz w:val="16"/>
          <w:szCs w:val="16"/>
          <w:vertAlign w:val="superscript"/>
        </w:rPr>
        <w:footnoteRef/>
      </w:r>
      <w:r>
        <w:rPr>
          <w:sz w:val="16"/>
          <w:szCs w:val="16"/>
        </w:rPr>
        <w:t xml:space="preserve"> </w:t>
      </w:r>
      <w:hyperlink r:id="rId11">
        <w:r>
          <w:rPr>
            <w:color w:val="1155CC"/>
            <w:sz w:val="16"/>
            <w:szCs w:val="16"/>
            <w:u w:val="single"/>
          </w:rPr>
          <w:t>https://esip.eu/new/details/2/82-COVID-19 %20?social_security</w:t>
        </w:r>
      </w:hyperlink>
      <w:r>
        <w:rPr>
          <w:color w:val="1155CC"/>
          <w:sz w:val="16"/>
          <w:szCs w:val="16"/>
          <w:u w:val="single"/>
        </w:rPr>
        <w:t>=</w:t>
      </w:r>
      <w:r>
        <w:rPr>
          <w:sz w:val="16"/>
          <w:szCs w:val="16"/>
        </w:rPr>
        <w:t xml:space="preserve"> </w:t>
      </w:r>
    </w:p>
  </w:footnote>
  <w:footnote w:id="28">
    <w:p w:rsidR="00F47BB5" w:rsidRDefault="00A34992">
      <w:pPr>
        <w:spacing w:after="0"/>
        <w:rPr>
          <w:sz w:val="16"/>
          <w:szCs w:val="16"/>
          <w:u w:val="single"/>
        </w:rPr>
      </w:pPr>
      <w:r>
        <w:rPr>
          <w:sz w:val="16"/>
          <w:szCs w:val="16"/>
          <w:vertAlign w:val="superscript"/>
        </w:rPr>
        <w:footnoteRef/>
      </w:r>
      <w:r>
        <w:rPr>
          <w:sz w:val="16"/>
          <w:szCs w:val="16"/>
        </w:rPr>
        <w:t xml:space="preserve"> </w:t>
      </w:r>
      <w:hyperlink r:id="rId12">
        <w:r>
          <w:rPr>
            <w:rStyle w:val="Hyperlink"/>
            <w:color w:val="1155CC"/>
            <w:sz w:val="16"/>
            <w:szCs w:val="16"/>
          </w:rPr>
          <w:t>https://ec.europa.eu/newsroom/ecfin/item</w:t>
        </w:r>
        <w:r>
          <w:rPr>
            <w:rStyle w:val="Hyperlink"/>
            <w:color w:val="1A73E8"/>
            <w:sz w:val="16"/>
            <w:szCs w:val="16"/>
            <w:shd w:val="clear" w:color="auto" w:fill="FFFFFF"/>
          </w:rPr>
          <w:t>-</w:t>
        </w:r>
        <w:r>
          <w:rPr>
            <w:rStyle w:val="Hyperlink"/>
            <w:color w:val="1155CC"/>
            <w:sz w:val="16"/>
            <w:szCs w:val="16"/>
          </w:rPr>
          <w:t>detail.cfm?item_id=675083&amp;utm_source=ecfin_newsroom&amp;ut</w:t>
        </w:r>
        <w:r>
          <w:rPr>
            <w:rStyle w:val="Hyperlink"/>
            <w:color w:val="1155CC"/>
            <w:sz w:val="16"/>
            <w:szCs w:val="16"/>
          </w:rPr>
          <w:t>m_medium=Website&amp;utm_campaign=ecfin&amp;utm_content=EU%20leaders%20approve%20 %20billion%20package%20of%20safety%20nets%20and%20task%20Commission%20&amp;lang=en</w:t>
        </w:r>
      </w:hyperlink>
      <w:r>
        <w:rPr>
          <w:sz w:val="16"/>
          <w:szCs w:val="16"/>
        </w:rPr>
        <w:t>.</w:t>
      </w:r>
    </w:p>
  </w:footnote>
  <w:footnote w:id="29">
    <w:p w:rsidR="00F47BB5" w:rsidRDefault="00A34992">
      <w:pPr>
        <w:pStyle w:val="FootnoteText"/>
        <w:spacing w:after="0"/>
        <w:ind w:left="0" w:firstLine="0"/>
        <w:rPr>
          <w:sz w:val="16"/>
          <w:szCs w:val="16"/>
        </w:rPr>
      </w:pPr>
      <w:r>
        <w:rPr>
          <w:rStyle w:val="FootnoteReference"/>
          <w:sz w:val="16"/>
          <w:szCs w:val="16"/>
        </w:rPr>
        <w:footnoteRef/>
      </w:r>
      <w:r>
        <w:rPr>
          <w:sz w:val="16"/>
          <w:szCs w:val="16"/>
        </w:rPr>
        <w:t> Jednotný trh EÚ predstavuje 450 miliónov spotrebiteľov a 22,5 milióna malých a stredných podnikov (M</w:t>
      </w:r>
      <w:r>
        <w:rPr>
          <w:sz w:val="16"/>
          <w:szCs w:val="16"/>
        </w:rPr>
        <w:t>SP).</w:t>
      </w:r>
    </w:p>
  </w:footnote>
  <w:footnote w:id="30">
    <w:p w:rsidR="00F47BB5" w:rsidRDefault="00A34992">
      <w:pPr>
        <w:pStyle w:val="FootnoteText"/>
        <w:spacing w:after="0"/>
        <w:ind w:left="0" w:firstLine="0"/>
        <w:rPr>
          <w:sz w:val="16"/>
          <w:szCs w:val="16"/>
        </w:rPr>
      </w:pPr>
      <w:r>
        <w:rPr>
          <w:rStyle w:val="FootnoteReference"/>
          <w:sz w:val="16"/>
          <w:szCs w:val="16"/>
        </w:rPr>
        <w:footnoteRef/>
      </w:r>
      <w:r>
        <w:rPr>
          <w:sz w:val="16"/>
          <w:szCs w:val="16"/>
        </w:rPr>
        <w:t> Analýza ECB ukazuje, že bankový sektor eurozóny je odolný voči stresu spôsobenému koronavírusom:</w:t>
      </w:r>
    </w:p>
    <w:p w:rsidR="00F47BB5" w:rsidRDefault="00A34992">
      <w:pPr>
        <w:pStyle w:val="FootnoteText"/>
        <w:spacing w:after="0"/>
        <w:ind w:left="0" w:firstLine="0"/>
        <w:rPr>
          <w:sz w:val="16"/>
          <w:szCs w:val="16"/>
        </w:rPr>
      </w:pPr>
      <w:hyperlink r:id="rId13" w:history="1">
        <w:r>
          <w:rPr>
            <w:rStyle w:val="Hyperlink"/>
            <w:sz w:val="16"/>
            <w:szCs w:val="16"/>
          </w:rPr>
          <w:t>https://www.bankingsupervision.europa.eu/press/pr/date/2020/html/ssm.pr200728~7df9502348.en.html</w:t>
        </w:r>
      </w:hyperlink>
      <w:r>
        <w:rPr>
          <w:sz w:val="16"/>
          <w:szCs w:val="16"/>
        </w:rPr>
        <w:t>.</w:t>
      </w:r>
    </w:p>
  </w:footnote>
  <w:footnote w:id="31">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Počas krízy spôsobenej ochorením COVID-19 napríklad </w:t>
      </w:r>
      <w:r>
        <w:rPr>
          <w:rStyle w:val="websearch-marked"/>
          <w:sz w:val="16"/>
          <w:szCs w:val="16"/>
        </w:rPr>
        <w:t xml:space="preserve">organizácie ako </w:t>
      </w:r>
      <w:r>
        <w:rPr>
          <w:rStyle w:val="websearch-marked"/>
          <w:i/>
          <w:iCs/>
          <w:sz w:val="16"/>
          <w:szCs w:val="16"/>
        </w:rPr>
        <w:t>SOS Médecins</w:t>
      </w:r>
      <w:r>
        <w:rPr>
          <w:rStyle w:val="websearch-marked"/>
          <w:sz w:val="16"/>
          <w:szCs w:val="16"/>
        </w:rPr>
        <w:t xml:space="preserve"> vo Francúzsku zmierňovali tlak na zdravotné služby a nemocnice tak, že ich </w:t>
      </w:r>
      <w:r>
        <w:rPr>
          <w:rStyle w:val="websearch-marked"/>
          <w:sz w:val="16"/>
          <w:szCs w:val="16"/>
        </w:rPr>
        <w:t>lekári uskutočňovali u osôb, ktoré to potrebovali, domáce návštevy. V Spojenom kráľovstve vyše 30 % domácej opatery poskytovali sociálne podniky (</w:t>
      </w:r>
      <w:hyperlink r:id="rId14" w:anchor=":~:text=The%20COVID%2D19%20crisis%20has%20allowed%20the%20social%20economy%20to,to%20provide%20goods%20and%20services" w:history="1">
        <w:r>
          <w:rPr>
            <w:rStyle w:val="Hyperlink"/>
            <w:sz w:val="16"/>
            <w:szCs w:val="16"/>
          </w:rPr>
          <w:t>http://www.oecd.org/coronavirus/policy-responses/social-economy-and-the-covid-19-crisis-current-and-futu</w:t>
        </w:r>
        <w:r>
          <w:rPr>
            <w:rStyle w:val="Hyperlink"/>
            <w:sz w:val="16"/>
            <w:szCs w:val="16"/>
          </w:rPr>
          <w:t>re-roles-f904b89f/#:~:text=The%20COVID%2D19 %20crisis%20has%20allowed%20the%20social%20economy%20to,to%20provide%20goods%20and%20services</w:t>
        </w:r>
      </w:hyperlink>
      <w:r>
        <w:rPr>
          <w:rStyle w:val="websearch-marked"/>
          <w:sz w:val="16"/>
          <w:szCs w:val="16"/>
        </w:rPr>
        <w:t>)</w:t>
      </w:r>
      <w:r>
        <w:rPr>
          <w:sz w:val="16"/>
          <w:szCs w:val="16"/>
        </w:rPr>
        <w:t>.</w:t>
      </w:r>
    </w:p>
  </w:footnote>
  <w:footnote w:id="32">
    <w:p w:rsidR="00F47BB5" w:rsidRDefault="00A34992">
      <w:pPr>
        <w:spacing w:after="0"/>
        <w:rPr>
          <w:sz w:val="16"/>
          <w:szCs w:val="16"/>
          <w:u w:val="single"/>
        </w:rPr>
      </w:pPr>
      <w:r>
        <w:rPr>
          <w:sz w:val="16"/>
          <w:szCs w:val="16"/>
          <w:vertAlign w:val="superscript"/>
        </w:rPr>
        <w:footnoteRef/>
      </w:r>
      <w:r>
        <w:rPr>
          <w:sz w:val="16"/>
          <w:szCs w:val="16"/>
        </w:rPr>
        <w:t xml:space="preserve"> V Európe existujú dva milióny sociálnych podnikov, čo predstavuje 10 % všetkých podnikov v EÚ. V sociálnych podnik</w:t>
      </w:r>
      <w:r>
        <w:rPr>
          <w:sz w:val="16"/>
          <w:szCs w:val="16"/>
        </w:rPr>
        <w:t xml:space="preserve">och pracuje vyše 11 miliónov ľudí, teda približne 6 % zamestnancov EÚ: </w:t>
      </w:r>
      <w:hyperlink r:id="rId15" w:history="1">
        <w:r>
          <w:rPr>
            <w:color w:val="1155CC"/>
            <w:sz w:val="16"/>
            <w:szCs w:val="16"/>
            <w:u w:val="single"/>
          </w:rPr>
          <w:t>https://ec.europa.eu/growth/sectors/social-economy_en</w:t>
        </w:r>
      </w:hyperlink>
      <w:r>
        <w:rPr>
          <w:sz w:val="16"/>
        </w:rPr>
        <w:t>.</w:t>
      </w:r>
    </w:p>
  </w:footnote>
  <w:footnote w:id="33">
    <w:p w:rsidR="00F47BB5" w:rsidRDefault="00A34992">
      <w:pPr>
        <w:pStyle w:val="FootnoteText"/>
        <w:spacing w:after="0"/>
        <w:ind w:left="0" w:firstLine="0"/>
        <w:rPr>
          <w:sz w:val="16"/>
          <w:szCs w:val="16"/>
        </w:rPr>
      </w:pPr>
      <w:r>
        <w:rPr>
          <w:rStyle w:val="FootnoteReference"/>
          <w:sz w:val="16"/>
          <w:szCs w:val="16"/>
        </w:rPr>
        <w:footnoteRef/>
      </w:r>
      <w:r>
        <w:rPr>
          <w:sz w:val="16"/>
          <w:szCs w:val="16"/>
        </w:rPr>
        <w:t> Komisia v apríli 2020 predložila dva balíky opatrení na mo</w:t>
      </w:r>
      <w:r>
        <w:rPr>
          <w:sz w:val="16"/>
          <w:szCs w:val="16"/>
        </w:rPr>
        <w:t xml:space="preserve">bilizáciu podpory proti COVID-19: </w:t>
      </w:r>
      <w:hyperlink r:id="rId16" w:history="1">
        <w:r>
          <w:rPr>
            <w:rStyle w:val="Hyperlink"/>
            <w:sz w:val="16"/>
            <w:szCs w:val="16"/>
          </w:rPr>
          <w:t>Investičná iniciatíva v reakcii n</w:t>
        </w:r>
        <w:r>
          <w:rPr>
            <w:rStyle w:val="Hyperlink"/>
            <w:sz w:val="16"/>
            <w:szCs w:val="16"/>
          </w:rPr>
          <w:t>a koronavírus</w:t>
        </w:r>
      </w:hyperlink>
      <w:r>
        <w:rPr>
          <w:sz w:val="16"/>
          <w:szCs w:val="16"/>
        </w:rPr>
        <w:t xml:space="preserve"> (CRII) a </w:t>
      </w:r>
      <w:hyperlink r:id="rId17" w:history="1">
        <w:r>
          <w:rPr>
            <w:rStyle w:val="Hyperlink"/>
            <w:sz w:val="16"/>
            <w:szCs w:val="16"/>
          </w:rPr>
          <w:t>Investičná iniciatíva v reakcii na k</w:t>
        </w:r>
        <w:r>
          <w:rPr>
            <w:rStyle w:val="Hyperlink"/>
            <w:sz w:val="16"/>
            <w:szCs w:val="16"/>
          </w:rPr>
          <w:t xml:space="preserve">oronavírus Plus </w:t>
        </w:r>
        <w:r>
          <w:rPr>
            <w:rStyle w:val="Hyperlink"/>
            <w:color w:val="auto"/>
            <w:sz w:val="16"/>
            <w:szCs w:val="16"/>
            <w:u w:val="none"/>
          </w:rPr>
          <w:t>(CRII+)</w:t>
        </w:r>
      </w:hyperlink>
      <w:r>
        <w:rPr>
          <w:sz w:val="16"/>
          <w:szCs w:val="16"/>
        </w:rPr>
        <w:t>, ktoré Európsky parlament a Európska rada urýchlene schválili.</w:t>
      </w:r>
    </w:p>
  </w:footnote>
  <w:footnote w:id="34">
    <w:p w:rsidR="00F47BB5" w:rsidRDefault="00A34992">
      <w:pPr>
        <w:pStyle w:val="FootnoteText"/>
        <w:spacing w:after="0"/>
        <w:ind w:left="0" w:firstLine="0"/>
        <w:rPr>
          <w:sz w:val="16"/>
          <w:szCs w:val="16"/>
        </w:rPr>
      </w:pPr>
      <w:r>
        <w:rPr>
          <w:sz w:val="16"/>
          <w:szCs w:val="16"/>
          <w:vertAlign w:val="superscript"/>
        </w:rPr>
        <w:footnoteRef/>
      </w:r>
      <w:r>
        <w:rPr>
          <w:sz w:val="16"/>
          <w:szCs w:val="16"/>
        </w:rPr>
        <w:t xml:space="preserve"> </w:t>
      </w:r>
      <w:hyperlink r:id="rId18" w:history="1">
        <w:r>
          <w:rPr>
            <w:rStyle w:val="Hyperlink"/>
            <w:sz w:val="16"/>
            <w:szCs w:val="16"/>
          </w:rPr>
          <w:t>https://ec.europa.eu/info/live-work-travel-eu/health/coronavirus-response/emergency-support-instrument_en</w:t>
        </w:r>
      </w:hyperlink>
      <w:r>
        <w:rPr>
          <w:sz w:val="16"/>
          <w:szCs w:val="16"/>
        </w:rPr>
        <w:t>.</w:t>
      </w:r>
    </w:p>
  </w:footnote>
  <w:footnote w:id="35">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w:t>
      </w:r>
      <w:r>
        <w:rPr>
          <w:color w:val="1155CC"/>
          <w:sz w:val="16"/>
          <w:szCs w:val="16"/>
          <w:u w:val="single"/>
        </w:rPr>
        <w:t>https://www.mckinsey.com/featured-insights/europe/well-being-in-europe-addressing-the-high-cost-of-covid-19-on-life-satisfaction#</w:t>
      </w:r>
    </w:p>
  </w:footnote>
  <w:footnote w:id="36">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Megatrend „meni</w:t>
      </w:r>
      <w:r>
        <w:rPr>
          <w:sz w:val="16"/>
          <w:szCs w:val="16"/>
        </w:rPr>
        <w:t>ace sa výzvy v oblasti zdravia“ (</w:t>
      </w:r>
      <w:hyperlink r:id="rId19" w:history="1">
        <w:r>
          <w:rPr>
            <w:rStyle w:val="Hyperlink"/>
            <w:sz w:val="16"/>
            <w:szCs w:val="16"/>
          </w:rPr>
          <w:t>https://ec.europa.eu/knowledge4policy/shifting-health-challenges_en</w:t>
        </w:r>
      </w:hyperlink>
      <w:r>
        <w:rPr>
          <w:sz w:val="16"/>
          <w:szCs w:val="16"/>
        </w:rPr>
        <w:t>) sa zrýchľuje.</w:t>
      </w:r>
    </w:p>
  </w:footnote>
  <w:footnote w:id="37">
    <w:p w:rsidR="00F47BB5" w:rsidRDefault="00A34992">
      <w:pPr>
        <w:pStyle w:val="FootnoteText"/>
        <w:spacing w:after="0"/>
        <w:ind w:left="0" w:firstLine="0"/>
        <w:rPr>
          <w:sz w:val="16"/>
          <w:szCs w:val="16"/>
        </w:rPr>
      </w:pPr>
      <w:r>
        <w:rPr>
          <w:rStyle w:val="FootnoteReference"/>
          <w:sz w:val="16"/>
          <w:szCs w:val="16"/>
        </w:rPr>
        <w:footnoteRef/>
      </w:r>
      <w:r>
        <w:rPr>
          <w:sz w:val="16"/>
          <w:szCs w:val="16"/>
        </w:rPr>
        <w:t> Megatrend „diverzifikácia nerovností“ (</w:t>
      </w:r>
      <w:hyperlink r:id="rId20" w:history="1">
        <w:r>
          <w:rPr>
            <w:rStyle w:val="Hyperlink"/>
            <w:sz w:val="16"/>
            <w:szCs w:val="16"/>
          </w:rPr>
          <w:t>https://ec.europa.eu/knowledge4policy/diversifying-inequalities_en</w:t>
        </w:r>
      </w:hyperlink>
      <w:r>
        <w:rPr>
          <w:sz w:val="16"/>
          <w:szCs w:val="16"/>
        </w:rPr>
        <w:t>) sa zrýchľuje.</w:t>
      </w:r>
    </w:p>
  </w:footnote>
  <w:footnote w:id="38">
    <w:p w:rsidR="00F47BB5" w:rsidRDefault="00A34992">
      <w:pPr>
        <w:spacing w:after="0"/>
        <w:rPr>
          <w:sz w:val="16"/>
          <w:szCs w:val="16"/>
        </w:rPr>
      </w:pPr>
      <w:r>
        <w:rPr>
          <w:sz w:val="16"/>
          <w:szCs w:val="16"/>
          <w:vertAlign w:val="superscript"/>
        </w:rPr>
        <w:footnoteRef/>
      </w:r>
      <w:r>
        <w:rPr>
          <w:sz w:val="16"/>
        </w:rPr>
        <w:t xml:space="preserve"> </w:t>
      </w:r>
      <w:r>
        <w:rPr>
          <w:sz w:val="16"/>
          <w:szCs w:val="16"/>
        </w:rPr>
        <w:t>Vychádzajúc z predpokladov hospodárskej prognózy Komisie z jari 2020 sa očakáva, že miera „</w:t>
      </w:r>
      <w:r>
        <w:rPr>
          <w:sz w:val="16"/>
          <w:szCs w:val="16"/>
        </w:rPr>
        <w:t>rizika chudoby“ vzrastie o 4,8 percentuálneho bodu. Dodatočné politiky, ktoré členské štáty zaviedli počas krízy, môžu tento nárast zmierniť (na 1,7 percentuálneho bodu). Almeida, V., Barrios, S., Christl, M., De-Poli, S., Tumino, A., van der Wielen, W., 2</w:t>
      </w:r>
      <w:r>
        <w:rPr>
          <w:sz w:val="16"/>
          <w:szCs w:val="16"/>
        </w:rPr>
        <w:t xml:space="preserve">020, </w:t>
      </w:r>
      <w:r>
        <w:rPr>
          <w:sz w:val="16"/>
        </w:rPr>
        <w:t>Households’ income and the cushioning effect of fiscal policy measures in the Great Lockdown</w:t>
      </w:r>
      <w:r>
        <w:rPr>
          <w:sz w:val="16"/>
          <w:szCs w:val="16"/>
        </w:rPr>
        <w:t xml:space="preserve"> (</w:t>
      </w:r>
      <w:r>
        <w:rPr>
          <w:i/>
          <w:iCs/>
          <w:sz w:val="16"/>
          <w:szCs w:val="16"/>
        </w:rPr>
        <w:t>Príjem domácností a zmierňujúci účinok opatrení fiškálnej politiky počas veľkého lockdownu</w:t>
      </w:r>
      <w:r>
        <w:rPr>
          <w:sz w:val="16"/>
          <w:szCs w:val="16"/>
        </w:rPr>
        <w:t>). JRC Working Papers on Taxation and Structural Reforms, č. 06/202</w:t>
      </w:r>
      <w:r>
        <w:rPr>
          <w:sz w:val="16"/>
          <w:szCs w:val="16"/>
        </w:rPr>
        <w:t xml:space="preserve">0, Európska komisia, Spoločné výskumné centrum, Sevilla. JRC121598. Podobné zistenia boli prezentované tu: </w:t>
      </w:r>
      <w:hyperlink r:id="rId21" w:history="1">
        <w:r>
          <w:rPr>
            <w:rStyle w:val="Hyperlink"/>
            <w:sz w:val="16"/>
            <w:szCs w:val="16"/>
          </w:rPr>
          <w:t>https://voxeu.org/article/inequality-and-poverty-effects-loc</w:t>
        </w:r>
        <w:r>
          <w:rPr>
            <w:rStyle w:val="Hyperlink"/>
            <w:sz w:val="16"/>
            <w:szCs w:val="16"/>
          </w:rPr>
          <w:t>kdown-europe</w:t>
        </w:r>
      </w:hyperlink>
      <w:r>
        <w:rPr>
          <w:sz w:val="16"/>
        </w:rPr>
        <w:t>.</w:t>
      </w:r>
      <w:r>
        <w:rPr>
          <w:sz w:val="16"/>
          <w:szCs w:val="16"/>
        </w:rPr>
        <w:t xml:space="preserve"> </w:t>
      </w:r>
    </w:p>
  </w:footnote>
  <w:footnote w:id="39">
    <w:p w:rsidR="00F47BB5" w:rsidRDefault="00A34992">
      <w:pPr>
        <w:pStyle w:val="FootnoteText"/>
        <w:spacing w:after="0"/>
        <w:ind w:left="0" w:firstLine="0"/>
        <w:rPr>
          <w:sz w:val="16"/>
          <w:szCs w:val="16"/>
        </w:rPr>
      </w:pPr>
      <w:r>
        <w:rPr>
          <w:rStyle w:val="FootnoteReference"/>
          <w:sz w:val="16"/>
          <w:szCs w:val="16"/>
        </w:rPr>
        <w:footnoteRef/>
      </w:r>
      <w:r>
        <w:rPr>
          <w:sz w:val="16"/>
          <w:szCs w:val="16"/>
        </w:rPr>
        <w:t> Potravinové banky zaznamenali exponenciálny nárast celosvetového dopytu (</w:t>
      </w:r>
      <w:hyperlink r:id="rId22" w:history="1">
        <w:r>
          <w:rPr>
            <w:rStyle w:val="Hyperlink"/>
            <w:sz w:val="16"/>
            <w:szCs w:val="16"/>
          </w:rPr>
          <w:t>http://www.fao.org/food-loss-reduction/news/detail/en/c/1271024/</w:t>
        </w:r>
      </w:hyperlink>
      <w:r>
        <w:rPr>
          <w:sz w:val="16"/>
          <w:szCs w:val="16"/>
        </w:rPr>
        <w:t xml:space="preserve">). </w:t>
      </w:r>
    </w:p>
  </w:footnote>
  <w:footnote w:id="40">
    <w:p w:rsidR="00F47BB5" w:rsidRDefault="00A34992">
      <w:pPr>
        <w:pStyle w:val="FootnoteText"/>
        <w:spacing w:after="0"/>
        <w:rPr>
          <w:sz w:val="16"/>
          <w:szCs w:val="16"/>
        </w:rPr>
      </w:pPr>
      <w:r>
        <w:rPr>
          <w:rStyle w:val="FootnoteReference"/>
          <w:sz w:val="16"/>
          <w:szCs w:val="16"/>
        </w:rPr>
        <w:footnoteRef/>
      </w:r>
      <w:r>
        <w:rPr>
          <w:sz w:val="16"/>
          <w:szCs w:val="16"/>
        </w:rPr>
        <w:t xml:space="preserve"> </w:t>
      </w:r>
      <w:hyperlink r:id="rId23" w:history="1">
        <w:r>
          <w:rPr>
            <w:rStyle w:val="Hyperlink"/>
            <w:sz w:val="16"/>
            <w:szCs w:val="16"/>
          </w:rPr>
          <w:t>https://www.enar-eu.org/Evidence-of-the-impact-of-Covid-19-on-racialised-communities-exposes-need-to</w:t>
        </w:r>
      </w:hyperlink>
      <w:r>
        <w:rPr>
          <w:sz w:val="16"/>
          <w:szCs w:val="16"/>
        </w:rPr>
        <w:t>.</w:t>
      </w:r>
    </w:p>
  </w:footnote>
  <w:footnote w:id="41">
    <w:p w:rsidR="00F47BB5" w:rsidRDefault="00A34992">
      <w:pPr>
        <w:spacing w:after="0"/>
        <w:rPr>
          <w:sz w:val="16"/>
          <w:szCs w:val="16"/>
        </w:rPr>
      </w:pPr>
      <w:r>
        <w:rPr>
          <w:sz w:val="16"/>
          <w:szCs w:val="16"/>
          <w:vertAlign w:val="superscript"/>
        </w:rPr>
        <w:footnoteRef/>
      </w:r>
      <w:r>
        <w:rPr>
          <w:sz w:val="16"/>
          <w:szCs w:val="16"/>
        </w:rPr>
        <w:t xml:space="preserve"> S vplyvom najmä na ženy, deti a komunity LGBTI+ (</w:t>
      </w:r>
      <w:hyperlink r:id="rId24">
        <w:r>
          <w:rPr>
            <w:color w:val="0563C1"/>
            <w:sz w:val="16"/>
            <w:szCs w:val="16"/>
            <w:u w:val="single"/>
          </w:rPr>
          <w:t>https://unric.org/en/who-warns-of-surge-of-domestic-violence-as-covid-19-cases-decrease-in-europe/</w:t>
        </w:r>
      </w:hyperlink>
      <w:r>
        <w:rPr>
          <w:sz w:val="16"/>
          <w:szCs w:val="16"/>
        </w:rPr>
        <w:t>).</w:t>
      </w:r>
    </w:p>
  </w:footnote>
  <w:footnote w:id="42">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w:t>
      </w:r>
      <w:hyperlink r:id="rId25" w:history="1">
        <w:r>
          <w:rPr>
            <w:rStyle w:val="Hyperlink"/>
            <w:sz w:val="16"/>
            <w:szCs w:val="16"/>
          </w:rPr>
          <w:t>https://publications.jrc.ec.europa.eu/repository/handle/JRC120730</w:t>
        </w:r>
      </w:hyperlink>
      <w:r>
        <w:rPr>
          <w:sz w:val="16"/>
          <w:szCs w:val="16"/>
        </w:rPr>
        <w:t>.</w:t>
      </w:r>
    </w:p>
  </w:footnote>
  <w:footnote w:id="43">
    <w:p w:rsidR="00F47BB5" w:rsidRDefault="00A34992">
      <w:pPr>
        <w:pStyle w:val="FootnoteText"/>
        <w:spacing w:after="0"/>
        <w:rPr>
          <w:sz w:val="16"/>
          <w:szCs w:val="16"/>
        </w:rPr>
      </w:pPr>
      <w:r>
        <w:rPr>
          <w:rStyle w:val="FootnoteReference"/>
          <w:sz w:val="16"/>
          <w:szCs w:val="16"/>
        </w:rPr>
        <w:footnoteRef/>
      </w:r>
      <w:r>
        <w:rPr>
          <w:sz w:val="16"/>
          <w:szCs w:val="16"/>
        </w:rPr>
        <w:t xml:space="preserve"> </w:t>
      </w:r>
      <w:hyperlink r:id="rId26" w:history="1">
        <w:r>
          <w:rPr>
            <w:rStyle w:val="Hyperlink"/>
            <w:sz w:val="16"/>
            <w:szCs w:val="16"/>
          </w:rPr>
          <w:t>https://ec.europa.eu/knowledge4policy/s</w:t>
        </w:r>
        <w:r>
          <w:rPr>
            <w:rStyle w:val="Hyperlink"/>
            <w:sz w:val="16"/>
            <w:szCs w:val="16"/>
          </w:rPr>
          <w:t>ites/know4pol/files/key_workers_covid_0423.pdf</w:t>
        </w:r>
      </w:hyperlink>
      <w:r>
        <w:rPr>
          <w:sz w:val="16"/>
          <w:szCs w:val="16"/>
        </w:rPr>
        <w:t>.</w:t>
      </w:r>
    </w:p>
  </w:footnote>
  <w:footnote w:id="44">
    <w:p w:rsidR="00F47BB5" w:rsidRDefault="00A34992">
      <w:pPr>
        <w:pStyle w:val="FootnoteText"/>
        <w:spacing w:after="0"/>
        <w:rPr>
          <w:sz w:val="16"/>
          <w:szCs w:val="16"/>
        </w:rPr>
      </w:pPr>
      <w:r>
        <w:rPr>
          <w:rStyle w:val="FootnoteReference"/>
          <w:sz w:val="16"/>
          <w:szCs w:val="16"/>
        </w:rPr>
        <w:footnoteRef/>
      </w:r>
      <w:r>
        <w:rPr>
          <w:sz w:val="16"/>
          <w:szCs w:val="16"/>
        </w:rPr>
        <w:t xml:space="preserve"> </w:t>
      </w:r>
      <w:hyperlink r:id="rId27" w:history="1">
        <w:r>
          <w:rPr>
            <w:rStyle w:val="Hyperlink"/>
            <w:sz w:val="16"/>
            <w:szCs w:val="16"/>
          </w:rPr>
          <w:t>https://eucrim.eu/news/europol-how-covid-19-shapes-serious-and-organised-crime-landscape-eu/</w:t>
        </w:r>
      </w:hyperlink>
      <w:r>
        <w:rPr>
          <w:sz w:val="16"/>
          <w:szCs w:val="16"/>
        </w:rPr>
        <w:t>.</w:t>
      </w:r>
    </w:p>
  </w:footnote>
  <w:footnote w:id="45">
    <w:p w:rsidR="00F47BB5" w:rsidRDefault="00A34992">
      <w:pPr>
        <w:spacing w:after="0"/>
        <w:rPr>
          <w:rStyle w:val="Hyperlink"/>
          <w:color w:val="1A73E8"/>
          <w:sz w:val="16"/>
          <w:szCs w:val="16"/>
          <w:shd w:val="clear" w:color="auto" w:fill="FFFFFF"/>
        </w:rPr>
      </w:pPr>
      <w:r>
        <w:rPr>
          <w:sz w:val="16"/>
          <w:szCs w:val="16"/>
          <w:vertAlign w:val="superscript"/>
        </w:rPr>
        <w:footnoteRef/>
      </w:r>
      <w:r>
        <w:rPr>
          <w:sz w:val="16"/>
          <w:szCs w:val="16"/>
        </w:rPr>
        <w:t xml:space="preserve"> </w:t>
      </w:r>
      <w:hyperlink r:id="rId28" w:history="1">
        <w:r>
          <w:rPr>
            <w:rStyle w:val="Hyperlink"/>
            <w:sz w:val="16"/>
            <w:szCs w:val="16"/>
          </w:rPr>
          <w:t>https://ec.europa.eu/eurostat/documents/2995521/11156775/2-31072020-BP-EN.pdf/cbe7522c-ebfa-ef08-be60-b1c9d1bd385b</w:t>
        </w:r>
      </w:hyperlink>
      <w:r>
        <w:rPr>
          <w:sz w:val="16"/>
          <w:szCs w:val="16"/>
        </w:rPr>
        <w:t>.</w:t>
      </w:r>
    </w:p>
  </w:footnote>
  <w:footnote w:id="46">
    <w:p w:rsidR="00F47BB5" w:rsidRDefault="00A34992">
      <w:pPr>
        <w:spacing w:after="0"/>
        <w:rPr>
          <w:sz w:val="16"/>
          <w:szCs w:val="16"/>
        </w:rPr>
      </w:pPr>
      <w:r>
        <w:rPr>
          <w:rStyle w:val="FootnoteReference"/>
          <w:sz w:val="16"/>
          <w:szCs w:val="16"/>
        </w:rPr>
        <w:footnoteRef/>
      </w:r>
      <w:r>
        <w:rPr>
          <w:sz w:val="16"/>
          <w:szCs w:val="16"/>
        </w:rPr>
        <w:t xml:space="preserve"> </w:t>
      </w:r>
      <w:hyperlink r:id="rId29" w:history="1">
        <w:r>
          <w:rPr>
            <w:rStyle w:val="Hyperlink"/>
            <w:sz w:val="16"/>
            <w:szCs w:val="16"/>
          </w:rPr>
          <w:t>https://voxeu.org/article/eu-firms-post-covid-19-environment</w:t>
        </w:r>
      </w:hyperlink>
      <w:r>
        <w:rPr>
          <w:sz w:val="16"/>
          <w:szCs w:val="16"/>
        </w:rPr>
        <w:t>.</w:t>
      </w:r>
    </w:p>
  </w:footnote>
  <w:footnote w:id="47">
    <w:p w:rsidR="00F47BB5" w:rsidRDefault="00A34992">
      <w:pPr>
        <w:spacing w:after="0"/>
        <w:rPr>
          <w:sz w:val="16"/>
          <w:szCs w:val="16"/>
        </w:rPr>
      </w:pPr>
      <w:r>
        <w:rPr>
          <w:sz w:val="16"/>
          <w:szCs w:val="16"/>
          <w:vertAlign w:val="superscript"/>
        </w:rPr>
        <w:footnoteRef/>
      </w:r>
      <w:r>
        <w:rPr>
          <w:sz w:val="16"/>
          <w:szCs w:val="16"/>
        </w:rPr>
        <w:t xml:space="preserve"> Oneskorenia platieb v obchodných transakciách vo Francúzsku sa v marci 2020 v porovnaní s rovnakým obdobím v roku 2019 stro</w:t>
      </w:r>
      <w:r>
        <w:rPr>
          <w:sz w:val="16"/>
          <w:szCs w:val="16"/>
        </w:rPr>
        <w:t>jnásobili. V Španielsku 70 % MSP uviedlo, že ich dlžníci jednostranne predĺžili platobné podmienky. V Taliansku sa oneskorené platby pre MSP v prvom štvrťroku 2020 odhadovali na viac než 15 miliárd EUR.</w:t>
      </w:r>
    </w:p>
  </w:footnote>
  <w:footnote w:id="48">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w:t>
      </w:r>
      <w:hyperlink r:id="rId30" w:history="1">
        <w:r>
          <w:rPr>
            <w:rStyle w:val="Hyperlink"/>
            <w:sz w:val="16"/>
            <w:szCs w:val="16"/>
          </w:rPr>
          <w:t>http://www.oecd.org/coronavirus/policy-responses/coronavirus-covid-19-sme-policy-responses-04440101/</w:t>
        </w:r>
      </w:hyperlink>
      <w:r>
        <w:rPr>
          <w:sz w:val="16"/>
          <w:szCs w:val="16"/>
        </w:rPr>
        <w:t>.</w:t>
      </w:r>
    </w:p>
  </w:footnote>
  <w:footnote w:id="49">
    <w:p w:rsidR="00F47BB5" w:rsidRDefault="00A34992">
      <w:pPr>
        <w:spacing w:after="0"/>
        <w:rPr>
          <w:sz w:val="16"/>
          <w:szCs w:val="16"/>
        </w:rPr>
      </w:pPr>
      <w:r>
        <w:rPr>
          <w:sz w:val="16"/>
          <w:szCs w:val="16"/>
          <w:vertAlign w:val="superscript"/>
        </w:rPr>
        <w:footnoteRef/>
      </w:r>
      <w:r>
        <w:rPr>
          <w:color w:val="1A73E8"/>
          <w:sz w:val="16"/>
          <w:szCs w:val="16"/>
          <w:highlight w:val="white"/>
        </w:rPr>
        <w:t xml:space="preserve"> </w:t>
      </w:r>
      <w:r>
        <w:rPr>
          <w:sz w:val="16"/>
          <w:szCs w:val="16"/>
        </w:rPr>
        <w:t>COM(2020) 112 final, Koordinovaná hospodárska reakcia na vypuknutie nákazy COVID-19.</w:t>
      </w:r>
    </w:p>
  </w:footnote>
  <w:footnote w:id="50">
    <w:p w:rsidR="00F47BB5" w:rsidRDefault="00A34992">
      <w:pPr>
        <w:spacing w:after="0"/>
        <w:rPr>
          <w:sz w:val="16"/>
          <w:szCs w:val="16"/>
        </w:rPr>
      </w:pPr>
      <w:r>
        <w:rPr>
          <w:sz w:val="16"/>
          <w:szCs w:val="16"/>
          <w:vertAlign w:val="superscript"/>
        </w:rPr>
        <w:footnoteRef/>
      </w:r>
      <w:r>
        <w:rPr>
          <w:sz w:val="16"/>
          <w:szCs w:val="16"/>
        </w:rPr>
        <w:t xml:space="preserve"> Obzvlášť výrazne boli zasiahnuté pohostinské služby, letecká doprava, cestovný ruch a kultúra. Určité oblasti, ako je doručovanie zásielok a zdravotná starostlivosť, zaznamenali nárast počtu pracovných miest, no tieto miesta sú do veľkej miery nestále. Zr</w:t>
      </w:r>
      <w:r>
        <w:rPr>
          <w:sz w:val="16"/>
          <w:szCs w:val="16"/>
        </w:rPr>
        <w:t>ušené kultúrne podujatia, zatvorené kultúrne centrá, pozastavené produkcie a súvisiaci vplyv na príjmy spôsobili, že situácia v kultúrnom a kreatívnom sektore je mimoriadne chúlostivá. Ťažko zasiahnuté je aj odvetvie médií, ktoré je pre demokraciu kľúčové.</w:t>
      </w:r>
      <w:r>
        <w:rPr>
          <w:sz w:val="16"/>
          <w:szCs w:val="16"/>
        </w:rPr>
        <w:t xml:space="preserve"> V odhadoch Komisie z mája 2020 sa predpokladal pokles obratu v roku 2020 o viac než 50 %, a to sa ešte nezohľadňovali ďalšie obdobia obmedzenia pohybu. Pozri: SWD(2020) 98 final, Identifying Europe's recovery needs (</w:t>
      </w:r>
      <w:r>
        <w:rPr>
          <w:i/>
          <w:iCs/>
          <w:sz w:val="16"/>
          <w:szCs w:val="16"/>
        </w:rPr>
        <w:t>Identifikácia potrieb pre obnovu Európy</w:t>
      </w:r>
      <w:r>
        <w:rPr>
          <w:sz w:val="16"/>
          <w:szCs w:val="16"/>
        </w:rPr>
        <w:t>); Eurofound, 2020, COVID-19: Policy responses across Europe (</w:t>
      </w:r>
      <w:r>
        <w:rPr>
          <w:i/>
          <w:iCs/>
          <w:sz w:val="16"/>
          <w:szCs w:val="16"/>
        </w:rPr>
        <w:t>COVID-19: Politické reakcie naprieč Európou</w:t>
      </w:r>
      <w:r>
        <w:rPr>
          <w:sz w:val="16"/>
          <w:szCs w:val="16"/>
        </w:rPr>
        <w:t xml:space="preserve">), Úrad pre vydávanie publikácií Európskej únie, Luxemburg. </w:t>
      </w:r>
    </w:p>
  </w:footnote>
  <w:footnote w:id="51">
    <w:p w:rsidR="00F47BB5" w:rsidRDefault="00A34992">
      <w:pPr>
        <w:spacing w:after="0"/>
        <w:rPr>
          <w:sz w:val="16"/>
          <w:szCs w:val="16"/>
        </w:rPr>
      </w:pPr>
      <w:r>
        <w:rPr>
          <w:sz w:val="16"/>
          <w:szCs w:val="16"/>
          <w:vertAlign w:val="superscript"/>
        </w:rPr>
        <w:footnoteRef/>
      </w:r>
      <w:r>
        <w:rPr>
          <w:sz w:val="16"/>
          <w:szCs w:val="16"/>
        </w:rPr>
        <w:t xml:space="preserve"> </w:t>
      </w:r>
      <w:hyperlink r:id="rId31" w:history="1">
        <w:r>
          <w:rPr>
            <w:rStyle w:val="Hyperlink"/>
            <w:sz w:val="16"/>
            <w:szCs w:val="16"/>
          </w:rPr>
          <w:t>https://www.ilo.org/global/about-the-ilo/newsroom/news/WCMS_740893/lang--en/index.htm</w:t>
        </w:r>
      </w:hyperlink>
      <w:r>
        <w:rPr>
          <w:sz w:val="16"/>
          <w:szCs w:val="16"/>
        </w:rPr>
        <w:t>.</w:t>
      </w:r>
    </w:p>
  </w:footnote>
  <w:footnote w:id="52">
    <w:p w:rsidR="00F47BB5" w:rsidRDefault="00A34992">
      <w:pPr>
        <w:spacing w:after="0"/>
        <w:rPr>
          <w:sz w:val="16"/>
          <w:szCs w:val="16"/>
        </w:rPr>
      </w:pPr>
      <w:r>
        <w:rPr>
          <w:sz w:val="16"/>
          <w:szCs w:val="16"/>
          <w:vertAlign w:val="superscript"/>
        </w:rPr>
        <w:footnoteRef/>
      </w:r>
      <w:r>
        <w:rPr>
          <w:sz w:val="16"/>
          <w:szCs w:val="16"/>
        </w:rPr>
        <w:t xml:space="preserve"> Digital Economy and Society Index 2020 (</w:t>
      </w:r>
      <w:r>
        <w:rPr>
          <w:i/>
          <w:iCs/>
          <w:sz w:val="16"/>
          <w:szCs w:val="16"/>
        </w:rPr>
        <w:t>Index digitálnej ekonomiky a spoločnosti 2020</w:t>
      </w:r>
      <w:r>
        <w:rPr>
          <w:sz w:val="16"/>
          <w:szCs w:val="16"/>
        </w:rPr>
        <w:t>) (</w:t>
      </w:r>
      <w:hyperlink r:id="rId32" w:history="1">
        <w:r>
          <w:rPr>
            <w:rStyle w:val="Hyperlink"/>
            <w:sz w:val="16"/>
            <w:szCs w:val="16"/>
          </w:rPr>
          <w:t>https://ec.europa.eu/digital-single-market/en/desi</w:t>
        </w:r>
      </w:hyperlink>
      <w:r>
        <w:rPr>
          <w:sz w:val="16"/>
          <w:szCs w:val="16"/>
        </w:rPr>
        <w:t>).</w:t>
      </w:r>
    </w:p>
  </w:footnote>
  <w:footnote w:id="53">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Hospodárska prognóza Európskej komisie z jari 2020.</w:t>
      </w:r>
    </w:p>
  </w:footnote>
  <w:footnote w:id="54">
    <w:p w:rsidR="00F47BB5" w:rsidRDefault="00A34992">
      <w:pPr>
        <w:spacing w:after="0"/>
        <w:rPr>
          <w:sz w:val="16"/>
          <w:szCs w:val="16"/>
        </w:rPr>
      </w:pPr>
      <w:r>
        <w:rPr>
          <w:sz w:val="16"/>
          <w:szCs w:val="16"/>
          <w:vertAlign w:val="superscript"/>
        </w:rPr>
        <w:footnoteRef/>
      </w:r>
      <w:r>
        <w:rPr>
          <w:sz w:val="16"/>
          <w:szCs w:val="16"/>
        </w:rPr>
        <w:t xml:space="preserve"> Eurofound, 2020, Addressing household over-indebtedness (</w:t>
      </w:r>
      <w:r>
        <w:rPr>
          <w:i/>
          <w:iCs/>
          <w:sz w:val="16"/>
          <w:szCs w:val="16"/>
        </w:rPr>
        <w:t>Riešenie nadmerného zadlženia domácností</w:t>
      </w:r>
      <w:r>
        <w:rPr>
          <w:sz w:val="16"/>
          <w:szCs w:val="16"/>
        </w:rPr>
        <w:t>), Úrad pre vydávanie publikácií Európskej únie,</w:t>
      </w:r>
      <w:r>
        <w:rPr>
          <w:sz w:val="16"/>
          <w:szCs w:val="16"/>
        </w:rPr>
        <w:t xml:space="preserve"> Luxemburg. </w:t>
      </w:r>
    </w:p>
  </w:footnote>
  <w:footnote w:id="55">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Megatrend „„zvyšovanie demografických nerovnováh“ (</w:t>
      </w:r>
      <w:hyperlink r:id="rId33" w:history="1">
        <w:r>
          <w:rPr>
            <w:rStyle w:val="Hyperlink"/>
            <w:sz w:val="16"/>
            <w:szCs w:val="16"/>
          </w:rPr>
          <w:t>https://ec.europa.eu/knowledge4policy/increasing-demographic-imbalances_en</w:t>
        </w:r>
      </w:hyperlink>
      <w:r>
        <w:rPr>
          <w:sz w:val="16"/>
          <w:szCs w:val="16"/>
        </w:rPr>
        <w:t>) sa zrýchľuje.</w:t>
      </w:r>
    </w:p>
  </w:footnote>
  <w:footnote w:id="56">
    <w:p w:rsidR="00F47BB5" w:rsidRDefault="00A34992">
      <w:pPr>
        <w:spacing w:after="0"/>
        <w:rPr>
          <w:rStyle w:val="Hyperlink"/>
          <w:color w:val="1A73E8"/>
          <w:sz w:val="16"/>
          <w:szCs w:val="16"/>
        </w:rPr>
      </w:pPr>
      <w:r>
        <w:rPr>
          <w:sz w:val="16"/>
          <w:szCs w:val="16"/>
          <w:vertAlign w:val="superscript"/>
        </w:rPr>
        <w:footnoteRef/>
      </w:r>
      <w:r>
        <w:rPr>
          <w:sz w:val="16"/>
          <w:szCs w:val="16"/>
        </w:rPr>
        <w:t xml:space="preserve"> </w:t>
      </w:r>
      <w:hyperlink r:id="rId34">
        <w:r>
          <w:rPr>
            <w:rStyle w:val="Hyperlink"/>
            <w:color w:val="1A73E8"/>
            <w:sz w:val="16"/>
            <w:szCs w:val="16"/>
            <w:shd w:val="clear" w:color="auto" w:fill="FFFFFF"/>
          </w:rPr>
          <w:t>https://population-europe.eu/policy-brief/demography-and-coronavirus-pandemic</w:t>
        </w:r>
      </w:hyperlink>
      <w:r>
        <w:rPr>
          <w:sz w:val="16"/>
          <w:szCs w:val="16"/>
        </w:rPr>
        <w:t>.</w:t>
      </w:r>
    </w:p>
  </w:footnote>
  <w:footnote w:id="57">
    <w:p w:rsidR="00F47BB5" w:rsidRDefault="00A34992">
      <w:pPr>
        <w:spacing w:after="0"/>
        <w:rPr>
          <w:rStyle w:val="Hyperlink"/>
          <w:color w:val="1A73E8"/>
          <w:sz w:val="16"/>
          <w:szCs w:val="16"/>
        </w:rPr>
      </w:pPr>
      <w:r>
        <w:rPr>
          <w:sz w:val="16"/>
          <w:szCs w:val="16"/>
          <w:vertAlign w:val="superscript"/>
        </w:rPr>
        <w:footnoteRef/>
      </w:r>
      <w:r>
        <w:rPr>
          <w:sz w:val="16"/>
          <w:szCs w:val="16"/>
        </w:rPr>
        <w:t xml:space="preserve"> </w:t>
      </w:r>
      <w:hyperlink r:id="rId35">
        <w:r>
          <w:rPr>
            <w:rStyle w:val="Hyperlink"/>
            <w:color w:val="1A73E8"/>
            <w:sz w:val="16"/>
            <w:szCs w:val="16"/>
            <w:shd w:val="clear" w:color="auto" w:fill="FFFFFF"/>
          </w:rPr>
          <w:t>https://ec.europa.eu/info/sites/info/files/demography_report_2020_n.pdf</w:t>
        </w:r>
      </w:hyperlink>
      <w:r>
        <w:rPr>
          <w:sz w:val="16"/>
          <w:szCs w:val="16"/>
        </w:rPr>
        <w:t>.</w:t>
      </w:r>
    </w:p>
  </w:footnote>
  <w:footnote w:id="58">
    <w:p w:rsidR="00F47BB5" w:rsidRDefault="00A34992">
      <w:pPr>
        <w:spacing w:after="0"/>
        <w:rPr>
          <w:color w:val="1155CC"/>
          <w:sz w:val="16"/>
          <w:szCs w:val="16"/>
          <w:u w:val="single"/>
        </w:rPr>
      </w:pPr>
      <w:r>
        <w:rPr>
          <w:sz w:val="16"/>
          <w:szCs w:val="16"/>
          <w:vertAlign w:val="superscript"/>
        </w:rPr>
        <w:footnoteRef/>
      </w:r>
      <w:r>
        <w:rPr>
          <w:sz w:val="16"/>
          <w:szCs w:val="16"/>
        </w:rPr>
        <w:t xml:space="preserve"> </w:t>
      </w:r>
      <w:hyperlink r:id="rId36">
        <w:r>
          <w:rPr>
            <w:rStyle w:val="Hyperlink"/>
            <w:color w:val="1A73E8"/>
            <w:sz w:val="16"/>
            <w:szCs w:val="16"/>
            <w:shd w:val="clear" w:color="auto" w:fill="FFFFFF"/>
          </w:rPr>
          <w:t>https://www.un.org/en/development/desa/policy/wess/wess_dev_issues</w:t>
        </w:r>
        <w:r>
          <w:rPr>
            <w:rStyle w:val="Hyperlink"/>
            <w:color w:val="1A73E8"/>
            <w:sz w:val="16"/>
            <w:szCs w:val="16"/>
            <w:shd w:val="clear" w:color="auto" w:fill="FFFFFF"/>
          </w:rPr>
          <w:t>/dsp_policy_01.pdf</w:t>
        </w:r>
      </w:hyperlink>
      <w:r>
        <w:rPr>
          <w:rStyle w:val="Hyperlink"/>
          <w:color w:val="1A73E8"/>
          <w:sz w:val="16"/>
          <w:szCs w:val="16"/>
          <w:shd w:val="clear" w:color="auto" w:fill="FFFFFF"/>
        </w:rPr>
        <w:t xml:space="preserve"> </w:t>
      </w:r>
      <w:r>
        <w:rPr>
          <w:sz w:val="16"/>
          <w:szCs w:val="16"/>
        </w:rPr>
        <w:t>a</w:t>
      </w:r>
    </w:p>
    <w:p w:rsidR="00F47BB5" w:rsidRDefault="00A34992">
      <w:pPr>
        <w:spacing w:after="0"/>
        <w:rPr>
          <w:rStyle w:val="Hyperlink"/>
          <w:color w:val="1A73E8"/>
          <w:sz w:val="16"/>
          <w:szCs w:val="16"/>
          <w:shd w:val="clear" w:color="auto" w:fill="FFFFFF"/>
        </w:rPr>
      </w:pPr>
      <w:hyperlink r:id="rId37">
        <w:r>
          <w:rPr>
            <w:rStyle w:val="Hyperlink"/>
            <w:color w:val="1A73E8"/>
            <w:sz w:val="16"/>
            <w:szCs w:val="16"/>
            <w:shd w:val="clear" w:color="auto" w:fill="FFFFFF"/>
          </w:rPr>
          <w:t>https://www.brookings.edu/blog/future-development/2020/05/18/which-jobs-are-most-at-risk-because-of-covid-</w:t>
        </w:r>
        <w:r>
          <w:rPr>
            <w:rStyle w:val="Hyperlink"/>
            <w:color w:val="1A73E8"/>
            <w:sz w:val="16"/>
            <w:szCs w:val="16"/>
            <w:shd w:val="clear" w:color="auto" w:fill="FFFFFF"/>
          </w:rPr>
          <w:t>19/</w:t>
        </w:r>
      </w:hyperlink>
      <w:r>
        <w:rPr>
          <w:sz w:val="16"/>
          <w:szCs w:val="16"/>
        </w:rPr>
        <w:t>.</w:t>
      </w:r>
    </w:p>
  </w:footnote>
  <w:footnote w:id="59">
    <w:p w:rsidR="00F47BB5" w:rsidRDefault="00A34992">
      <w:pPr>
        <w:pStyle w:val="FootnoteText"/>
        <w:spacing w:after="0"/>
        <w:ind w:left="0" w:firstLine="0"/>
        <w:rPr>
          <w:sz w:val="16"/>
          <w:szCs w:val="16"/>
        </w:rPr>
      </w:pPr>
      <w:r>
        <w:rPr>
          <w:rStyle w:val="FootnoteReference"/>
          <w:sz w:val="16"/>
          <w:szCs w:val="16"/>
        </w:rPr>
        <w:footnoteRef/>
      </w:r>
      <w:r>
        <w:rPr>
          <w:sz w:val="16"/>
          <w:szCs w:val="16"/>
        </w:rPr>
        <w:t> Megatrend „meniaca sa povaha práce“ (</w:t>
      </w:r>
      <w:hyperlink r:id="rId38" w:history="1">
        <w:r>
          <w:rPr>
            <w:rStyle w:val="Hyperlink"/>
            <w:sz w:val="16"/>
            <w:szCs w:val="16"/>
          </w:rPr>
          <w:t>https://ec.europa.eu/knowledge4policy/foresight/changing-nature-work_en</w:t>
        </w:r>
      </w:hyperlink>
      <w:r>
        <w:rPr>
          <w:sz w:val="16"/>
          <w:szCs w:val="16"/>
        </w:rPr>
        <w:t xml:space="preserve">) sa zrýchľuje. </w:t>
      </w:r>
    </w:p>
  </w:footnote>
  <w:footnote w:id="60">
    <w:p w:rsidR="00F47BB5" w:rsidRDefault="00A34992">
      <w:pPr>
        <w:spacing w:after="0"/>
        <w:rPr>
          <w:sz w:val="16"/>
          <w:szCs w:val="16"/>
        </w:rPr>
      </w:pPr>
      <w:r>
        <w:rPr>
          <w:sz w:val="16"/>
          <w:szCs w:val="16"/>
          <w:vertAlign w:val="superscript"/>
        </w:rPr>
        <w:footnoteRef/>
      </w:r>
      <w:r>
        <w:rPr>
          <w:sz w:val="16"/>
          <w:szCs w:val="16"/>
        </w:rPr>
        <w:t xml:space="preserve"> </w:t>
      </w:r>
      <w:hyperlink r:id="rId39" w:history="1">
        <w:r>
          <w:rPr>
            <w:rStyle w:val="Hyperlink"/>
            <w:sz w:val="16"/>
            <w:szCs w:val="16"/>
          </w:rPr>
          <w:t>https://www2.deloitte.com/be/en/pages/covid-19/articles/workforce/workforce-strategy.html</w:t>
        </w:r>
      </w:hyperlink>
      <w:r>
        <w:rPr>
          <w:sz w:val="16"/>
          <w:szCs w:val="16"/>
        </w:rPr>
        <w:t xml:space="preserve"> </w:t>
      </w:r>
    </w:p>
  </w:footnote>
  <w:footnote w:id="61">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Megatrend „diverzifikácia vzdelávania a učenia“ (</w:t>
      </w:r>
      <w:hyperlink r:id="rId40" w:history="1">
        <w:r>
          <w:rPr>
            <w:rStyle w:val="Hyperlink"/>
            <w:sz w:val="16"/>
            <w:szCs w:val="16"/>
          </w:rPr>
          <w:t>https://ec.europa.eu/knowledge4policy/diversification-education-learning_en</w:t>
        </w:r>
      </w:hyperlink>
      <w:r>
        <w:rPr>
          <w:sz w:val="16"/>
          <w:szCs w:val="16"/>
        </w:rPr>
        <w:t>) sa zrýchľuje.</w:t>
      </w:r>
    </w:p>
  </w:footnote>
  <w:footnote w:id="62">
    <w:p w:rsidR="00F47BB5" w:rsidRDefault="00A34992">
      <w:pPr>
        <w:spacing w:after="0"/>
        <w:rPr>
          <w:sz w:val="16"/>
          <w:szCs w:val="16"/>
        </w:rPr>
      </w:pPr>
      <w:r>
        <w:rPr>
          <w:sz w:val="16"/>
          <w:szCs w:val="16"/>
          <w:vertAlign w:val="superscript"/>
        </w:rPr>
        <w:footnoteRef/>
      </w:r>
      <w:r>
        <w:rPr>
          <w:sz w:val="16"/>
          <w:szCs w:val="16"/>
        </w:rPr>
        <w:t xml:space="preserve"> </w:t>
      </w:r>
      <w:hyperlink r:id="rId41" w:history="1">
        <w:r>
          <w:rPr>
            <w:rStyle w:val="Hyperlink"/>
            <w:sz w:val="16"/>
            <w:szCs w:val="16"/>
          </w:rPr>
          <w:t>https://ec.europa.eu/info/publications/2020-european-semester-annual-sustainable-growth-strategy_en</w:t>
        </w:r>
      </w:hyperlink>
      <w:r>
        <w:rPr>
          <w:sz w:val="16"/>
          <w:szCs w:val="16"/>
        </w:rPr>
        <w:t>.</w:t>
      </w:r>
    </w:p>
  </w:footnote>
  <w:footnote w:id="63">
    <w:p w:rsidR="00F47BB5" w:rsidRDefault="00A34992">
      <w:pPr>
        <w:pStyle w:val="FootnoteText"/>
        <w:spacing w:after="0"/>
        <w:ind w:left="0" w:firstLine="0"/>
        <w:rPr>
          <w:sz w:val="16"/>
          <w:szCs w:val="16"/>
        </w:rPr>
      </w:pPr>
      <w:r>
        <w:rPr>
          <w:rStyle w:val="FootnoteReference"/>
          <w:sz w:val="16"/>
          <w:szCs w:val="16"/>
        </w:rPr>
        <w:footnoteRef/>
      </w:r>
      <w:r>
        <w:rPr>
          <w:sz w:val="16"/>
          <w:szCs w:val="16"/>
        </w:rPr>
        <w:t> Ciele udržateľného rozvoja (</w:t>
      </w:r>
      <w:hyperlink r:id="rId42" w:history="1">
        <w:r>
          <w:rPr>
            <w:rStyle w:val="Hyperlink"/>
            <w:sz w:val="16"/>
            <w:szCs w:val="16"/>
          </w:rPr>
          <w:t>https://www.un.org/sustainabledevelopment/sustainable-development-goals/</w:t>
        </w:r>
      </w:hyperlink>
      <w:r>
        <w:rPr>
          <w:sz w:val="16"/>
          <w:szCs w:val="16"/>
        </w:rPr>
        <w:t xml:space="preserve">) sú dlhodobý plán pre ľudstvo zahŕňajúci takmer každý aspekt dobrých životných podmienok ľudí a planéty. </w:t>
      </w:r>
      <w:r>
        <w:rPr>
          <w:sz w:val="16"/>
          <w:szCs w:val="16"/>
        </w:rPr>
        <w:t>Sú kľúčovým nástrojom na opätovné naštartovanie rastovej stratégie Európy smerom ku konkurencieschopnej udržateľnosti, pričom sa zabezpečí, aby hospodárstvo fungovalo pre všetkých a aby bol rast udržateľný. V snahe podporiť ústrednú úlohu cieľov udržateľné</w:t>
      </w:r>
      <w:r>
        <w:rPr>
          <w:sz w:val="16"/>
          <w:szCs w:val="16"/>
        </w:rPr>
        <w:t xml:space="preserve">ho rozvoja pri tvorbe hospodárskej politiky – a najmä v rámci európskeho semestra – Eurostat uverejňuje </w:t>
      </w:r>
      <w:hyperlink r:id="rId43" w:history="1">
        <w:r>
          <w:rPr>
            <w:rStyle w:val="Hyperlink"/>
            <w:sz w:val="16"/>
            <w:szCs w:val="16"/>
          </w:rPr>
          <w:t>výročnú monitorovaci</w:t>
        </w:r>
        <w:r>
          <w:rPr>
            <w:rStyle w:val="Hyperlink"/>
            <w:sz w:val="16"/>
            <w:szCs w:val="16"/>
          </w:rPr>
          <w:t>u správu</w:t>
        </w:r>
      </w:hyperlink>
      <w:r>
        <w:rPr>
          <w:sz w:val="16"/>
          <w:szCs w:val="16"/>
        </w:rPr>
        <w:t>.</w:t>
      </w:r>
    </w:p>
  </w:footnote>
  <w:footnote w:id="64">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Otvorená strategická autonómia je vymedzená ako záväzok EÚ k otvorenému a spravodlivému obchodu, ktorý zachováva výhody otvoreného hospodárstva a podporuje partnerov na celom svete s cieľom viesť obnovenú a oživenú formu multilateralizmu, ktorý</w:t>
      </w:r>
      <w:r>
        <w:rPr>
          <w:sz w:val="16"/>
          <w:szCs w:val="16"/>
        </w:rPr>
        <w:t xml:space="preserve"> svet potrebuje. EÚ si zároveň uvedomuje potrebu znížiť svoju závislosť a posilniť bezpečnosť dodávok všetkých kľúčových technológií a hodnotových reťazcov [COM(2020) 456 final, </w:t>
      </w:r>
      <w:r>
        <w:rPr>
          <w:color w:val="000000"/>
          <w:sz w:val="16"/>
          <w:szCs w:val="16"/>
        </w:rPr>
        <w:t>Správny čas pre Európu: náprava škôd a príprava budúcnosti pre ďalšie generáci</w:t>
      </w:r>
      <w:r>
        <w:rPr>
          <w:color w:val="000000"/>
          <w:sz w:val="16"/>
          <w:szCs w:val="16"/>
        </w:rPr>
        <w:t>e</w:t>
      </w:r>
      <w:r>
        <w:rPr>
          <w:sz w:val="16"/>
          <w:szCs w:val="16"/>
        </w:rPr>
        <w:t>].</w:t>
      </w:r>
    </w:p>
  </w:footnote>
  <w:footnote w:id="65">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w:t>
      </w:r>
      <w:r>
        <w:rPr>
          <w:rStyle w:val="Hyperlink"/>
          <w:sz w:val="16"/>
          <w:szCs w:val="16"/>
        </w:rPr>
        <w:t>https://www.cfr.org/conference-calls/after-covid-19-chinas-role-world-and-us-china-relations</w:t>
      </w:r>
      <w:r>
        <w:rPr>
          <w:sz w:val="16"/>
          <w:szCs w:val="16"/>
        </w:rPr>
        <w:t>.</w:t>
      </w:r>
    </w:p>
  </w:footnote>
  <w:footnote w:id="66">
    <w:p w:rsidR="00F47BB5" w:rsidRDefault="00A34992">
      <w:pPr>
        <w:spacing w:after="0"/>
        <w:rPr>
          <w:sz w:val="16"/>
          <w:szCs w:val="16"/>
        </w:rPr>
      </w:pPr>
      <w:r>
        <w:rPr>
          <w:sz w:val="16"/>
          <w:szCs w:val="16"/>
          <w:vertAlign w:val="superscript"/>
        </w:rPr>
        <w:footnoteRef/>
      </w:r>
      <w:r>
        <w:rPr>
          <w:sz w:val="16"/>
          <w:szCs w:val="16"/>
        </w:rPr>
        <w:t xml:space="preserve"> Cieľom prístupu „Tím Európa“ je kombinovať zdroje od inštitúcií EÚ, členských štátov a finančných inštitúcií, najmä Európskej investičnej banky a Európske</w:t>
      </w:r>
      <w:r>
        <w:rPr>
          <w:sz w:val="16"/>
          <w:szCs w:val="16"/>
        </w:rPr>
        <w:t>j banky pre obnovu a rozvoj.</w:t>
      </w:r>
    </w:p>
  </w:footnote>
  <w:footnote w:id="67">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Článok 42 ods. 6 a článok 46 ZEÚ a Protokol č. 10. </w:t>
      </w:r>
    </w:p>
  </w:footnote>
  <w:footnote w:id="68">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w:t>
      </w:r>
      <w:r>
        <w:rPr>
          <w:rStyle w:val="Hyperlink"/>
          <w:color w:val="1A73E8"/>
          <w:sz w:val="16"/>
          <w:szCs w:val="16"/>
          <w:shd w:val="clear" w:color="auto" w:fill="FFFFFF"/>
        </w:rPr>
        <w:t>https://ecipe.org/blog/how-survive-trade-apocalypse/</w:t>
      </w:r>
      <w:r>
        <w:rPr>
          <w:sz w:val="16"/>
          <w:szCs w:val="16"/>
        </w:rPr>
        <w:t>.</w:t>
      </w:r>
    </w:p>
  </w:footnote>
  <w:footnote w:id="69">
    <w:p w:rsidR="00F47BB5" w:rsidRDefault="00A34992">
      <w:pPr>
        <w:spacing w:after="0"/>
        <w:rPr>
          <w:sz w:val="16"/>
          <w:szCs w:val="16"/>
        </w:rPr>
      </w:pPr>
      <w:r>
        <w:rPr>
          <w:rStyle w:val="FootnoteReference"/>
          <w:sz w:val="16"/>
          <w:szCs w:val="16"/>
        </w:rPr>
        <w:footnoteRef/>
      </w:r>
      <w:r>
        <w:rPr>
          <w:sz w:val="16"/>
          <w:szCs w:val="16"/>
        </w:rPr>
        <w:t xml:space="preserve"> Napríklad satelitná navigácia, pozorovanie Zeme, telekomunikácie pre verejnú regulovanú službu Galileo.</w:t>
      </w:r>
    </w:p>
  </w:footnote>
  <w:footnote w:id="70">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Konferenc</w:t>
      </w:r>
      <w:r>
        <w:rPr>
          <w:sz w:val="16"/>
          <w:szCs w:val="16"/>
        </w:rPr>
        <w:t>ia Organizácie Spojených národov pre obchod a rozvoj (UNCTAD), Medzinárodná telekomunikačná únia (ITU) a </w:t>
      </w:r>
    </w:p>
    <w:p w:rsidR="00F47BB5" w:rsidRDefault="00A34992">
      <w:pPr>
        <w:pStyle w:val="FootnoteText"/>
        <w:spacing w:after="0"/>
        <w:ind w:left="0" w:firstLine="0"/>
        <w:rPr>
          <w:sz w:val="16"/>
          <w:szCs w:val="16"/>
        </w:rPr>
      </w:pPr>
      <w:r>
        <w:rPr>
          <w:sz w:val="16"/>
          <w:szCs w:val="16"/>
        </w:rPr>
        <w:t>Svetová organizácia duševného vlastníctva (WIPO). Aj so skupinami G7 a G20, OECD, Radou Európy, Internetovou korporáciou pre prideľovanie mien a čísel</w:t>
      </w:r>
      <w:r>
        <w:rPr>
          <w:sz w:val="16"/>
          <w:szCs w:val="16"/>
        </w:rPr>
        <w:t xml:space="preserve"> (ICANN), Svetovou obchodnou organizáciou (WTO), ASEAN a ASEM. </w:t>
      </w:r>
    </w:p>
  </w:footnote>
  <w:footnote w:id="71">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COM(2020) 102 final, Nová priemyselná stratégia pre Európu; SWD(2020) 98 final, Identifying Europe's recovery needs (</w:t>
      </w:r>
      <w:r>
        <w:rPr>
          <w:i/>
          <w:iCs/>
          <w:sz w:val="16"/>
          <w:szCs w:val="16"/>
        </w:rPr>
        <w:t>Identifikácia potrieb pre obnovu Európy</w:t>
      </w:r>
      <w:r>
        <w:rPr>
          <w:sz w:val="16"/>
          <w:szCs w:val="16"/>
        </w:rPr>
        <w:t>).</w:t>
      </w:r>
    </w:p>
  </w:footnote>
  <w:footnote w:id="72">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w:t>
      </w:r>
      <w:hyperlink r:id="rId44" w:history="1">
        <w:r>
          <w:rPr>
            <w:rStyle w:val="Hyperlink"/>
            <w:sz w:val="16"/>
            <w:szCs w:val="16"/>
          </w:rPr>
          <w:t>https://ec.europa.eu/research/social-sciences/pdf/policy_reviews/global-europe-2050-report_en.pdf</w:t>
        </w:r>
      </w:hyperlink>
      <w:r>
        <w:rPr>
          <w:sz w:val="16"/>
          <w:szCs w:val="16"/>
        </w:rPr>
        <w:t>.</w:t>
      </w:r>
    </w:p>
  </w:footnote>
  <w:footnote w:id="73">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COM(2020) 605 final,</w:t>
      </w:r>
      <w:r>
        <w:rPr>
          <w:i/>
          <w:sz w:val="16"/>
          <w:szCs w:val="16"/>
        </w:rPr>
        <w:t xml:space="preserve"> </w:t>
      </w:r>
      <w:r>
        <w:rPr>
          <w:sz w:val="16"/>
          <w:szCs w:val="16"/>
        </w:rPr>
        <w:t>Stratégia EÚ pre bezpečnostnú úniu.</w:t>
      </w:r>
    </w:p>
  </w:footnote>
  <w:footnote w:id="74">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w:t>
      </w:r>
      <w:r>
        <w:rPr>
          <w:i/>
          <w:sz w:val="16"/>
          <w:szCs w:val="16"/>
        </w:rPr>
        <w:t>Tamtiež.</w:t>
      </w:r>
    </w:p>
  </w:footnote>
  <w:footnote w:id="75">
    <w:p w:rsidR="00F47BB5" w:rsidRDefault="00A34992">
      <w:pPr>
        <w:pStyle w:val="FootnoteText"/>
        <w:spacing w:after="0"/>
        <w:ind w:left="0" w:firstLine="0"/>
        <w:rPr>
          <w:sz w:val="16"/>
          <w:szCs w:val="16"/>
        </w:rPr>
      </w:pPr>
      <w:r>
        <w:rPr>
          <w:rStyle w:val="FootnoteReference"/>
          <w:sz w:val="16"/>
        </w:rPr>
        <w:footnoteRef/>
      </w:r>
      <w:r>
        <w:rPr>
          <w:sz w:val="16"/>
          <w:szCs w:val="16"/>
        </w:rPr>
        <w:t xml:space="preserve"> D. Fiott, 2020, Uncharted territory? Towards a common threat analysis and a strategic compass for EU security and defence (</w:t>
      </w:r>
      <w:r>
        <w:rPr>
          <w:i/>
          <w:iCs/>
          <w:sz w:val="16"/>
          <w:szCs w:val="16"/>
        </w:rPr>
        <w:t>Neprebádané územie? Smerom k spoločnej analýze hrozieb a strategickému kompasu pre bezpečnosť a obranu EÚ</w:t>
      </w:r>
      <w:r>
        <w:rPr>
          <w:sz w:val="16"/>
          <w:szCs w:val="16"/>
        </w:rPr>
        <w:t xml:space="preserve">), Inštitút Európskej únie </w:t>
      </w:r>
      <w:r>
        <w:rPr>
          <w:sz w:val="16"/>
          <w:szCs w:val="16"/>
        </w:rPr>
        <w:t>pre bezpečnostné štúdie.</w:t>
      </w:r>
    </w:p>
  </w:footnote>
  <w:footnote w:id="76">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Svetová banka odhaduje, že do roku 2050 by zmena klímy mohla prinútiť viac než 140 miliónov ľudí k vnútornej migrácii v rámci Afriky, južnej Ázie a Latinskej Ameriky (</w:t>
      </w:r>
      <w:hyperlink r:id="rId45" w:history="1">
        <w:r>
          <w:rPr>
            <w:rStyle w:val="Hyperlink"/>
            <w:sz w:val="16"/>
            <w:szCs w:val="16"/>
          </w:rPr>
          <w:t>https://www.worldbank.org/en/news/press-release/2018/03/19/climate-change-could-force-over-140-million-to-migrate-within-countries-by-2050-world-</w:t>
        </w:r>
        <w:r>
          <w:rPr>
            <w:rStyle w:val="Hyperlink"/>
            <w:sz w:val="16"/>
            <w:szCs w:val="16"/>
          </w:rPr>
          <w:t>bank-report</w:t>
        </w:r>
      </w:hyperlink>
      <w:r>
        <w:rPr>
          <w:sz w:val="16"/>
          <w:szCs w:val="16"/>
        </w:rPr>
        <w:t>).</w:t>
      </w:r>
    </w:p>
  </w:footnote>
  <w:footnote w:id="77">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To si vyžaduje aj ďalšie dôkazy a výskum, analýzu zložitosti dlhodobo prepojených faktorov, ktoré musia tvoriť súčasť prístupu strategického výhľadu, ako ho vypracovalo </w:t>
      </w:r>
      <w:hyperlink r:id="rId46" w:history="1">
        <w:r>
          <w:rPr>
            <w:sz w:val="16"/>
            <w:szCs w:val="16"/>
          </w:rPr>
          <w:t>Vedomostné centrum pre demografiu</w:t>
        </w:r>
      </w:hyperlink>
      <w:r>
        <w:rPr>
          <w:sz w:val="16"/>
          <w:szCs w:val="16"/>
        </w:rPr>
        <w:t xml:space="preserve"> (</w:t>
      </w:r>
      <w:hyperlink r:id="rId47" w:history="1">
        <w:r>
          <w:rPr>
            <w:rStyle w:val="Hyperlink"/>
            <w:sz w:val="16"/>
            <w:szCs w:val="16"/>
          </w:rPr>
          <w:t>https://ec.europa.eu/knowledge4policy/migration-demography_en</w:t>
        </w:r>
      </w:hyperlink>
      <w:r>
        <w:rPr>
          <w:sz w:val="16"/>
          <w:szCs w:val="16"/>
        </w:rPr>
        <w:t>).</w:t>
      </w:r>
    </w:p>
  </w:footnote>
  <w:footnote w:id="78">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COM(2020) 605 final, Stratégia EÚ pre bezpečnostnú úniu.</w:t>
      </w:r>
    </w:p>
  </w:footnote>
  <w:footnote w:id="79">
    <w:p w:rsidR="00F47BB5" w:rsidRDefault="00A34992">
      <w:pPr>
        <w:pStyle w:val="FootnoteText"/>
        <w:spacing w:after="0"/>
        <w:rPr>
          <w:sz w:val="16"/>
          <w:szCs w:val="16"/>
        </w:rPr>
      </w:pPr>
      <w:r>
        <w:rPr>
          <w:rStyle w:val="FootnoteReference"/>
          <w:sz w:val="16"/>
          <w:szCs w:val="16"/>
        </w:rPr>
        <w:footnoteRef/>
      </w:r>
      <w:r>
        <w:rPr>
          <w:sz w:val="16"/>
          <w:szCs w:val="16"/>
        </w:rPr>
        <w:t xml:space="preserve"> Riešenia sa</w:t>
      </w:r>
      <w:r>
        <w:rPr>
          <w:sz w:val="16"/>
          <w:szCs w:val="16"/>
        </w:rPr>
        <w:t xml:space="preserve"> predložia prostredníctvom legislatívnych a nelegislatívnych iniciatív v rámci nového paktu o migrácii a azyle.</w:t>
      </w:r>
    </w:p>
  </w:footnote>
  <w:footnote w:id="80">
    <w:p w:rsidR="00F47BB5" w:rsidRDefault="00A34992">
      <w:pPr>
        <w:spacing w:after="0"/>
        <w:rPr>
          <w:sz w:val="16"/>
          <w:szCs w:val="16"/>
        </w:rPr>
      </w:pPr>
      <w:r>
        <w:rPr>
          <w:sz w:val="16"/>
          <w:szCs w:val="16"/>
          <w:vertAlign w:val="superscript"/>
        </w:rPr>
        <w:footnoteRef/>
      </w:r>
      <w:r>
        <w:rPr>
          <w:sz w:val="16"/>
          <w:szCs w:val="16"/>
        </w:rPr>
        <w:t xml:space="preserve"> Globálne dodávateľské reťazce sú veľmi zložité. Na nadnárodné spoločnosti pripadajú dve tretiny medzinárodného obchodu s vysokou mierou fragme</w:t>
      </w:r>
      <w:r>
        <w:rPr>
          <w:sz w:val="16"/>
          <w:szCs w:val="16"/>
        </w:rPr>
        <w:t>ntácie výroby polotovarov prepravovaných medzi rozličnými výrobnými lokalitami</w:t>
      </w:r>
      <w:hyperlink r:id="rId48">
        <w:r>
          <w:rPr>
            <w:sz w:val="16"/>
            <w:szCs w:val="16"/>
          </w:rPr>
          <w:t xml:space="preserve"> </w:t>
        </w:r>
      </w:hyperlink>
      <w:r>
        <w:rPr>
          <w:sz w:val="16"/>
          <w:szCs w:val="16"/>
        </w:rPr>
        <w:t>(</w:t>
      </w:r>
      <w:hyperlink r:id="rId49">
        <w:r>
          <w:rPr>
            <w:rStyle w:val="Hyperlink"/>
            <w:color w:val="1A73E8"/>
            <w:sz w:val="16"/>
            <w:szCs w:val="16"/>
            <w:shd w:val="clear" w:color="auto" w:fill="FFFFFF"/>
          </w:rPr>
          <w:t>https://iap.unido.org/articles/lessons-past-disruptions-global-value-chains</w:t>
        </w:r>
      </w:hyperlink>
      <w:r>
        <w:rPr>
          <w:rStyle w:val="Hyperlink"/>
          <w:color w:val="1A73E8"/>
          <w:sz w:val="16"/>
          <w:szCs w:val="16"/>
          <w:shd w:val="clear" w:color="auto" w:fill="FFFFFF"/>
        </w:rPr>
        <w:t>;</w:t>
      </w:r>
      <w:hyperlink r:id="rId50">
        <w:r>
          <w:rPr>
            <w:rStyle w:val="Hyperlink"/>
            <w:color w:val="1A73E8"/>
            <w:sz w:val="16"/>
            <w:szCs w:val="16"/>
            <w:shd w:val="clear" w:color="auto" w:fill="FFFFFF"/>
          </w:rPr>
          <w:t xml:space="preserve"> </w:t>
        </w:r>
      </w:hyperlink>
      <w:hyperlink r:id="rId51">
        <w:r>
          <w:rPr>
            <w:rStyle w:val="Hyperlink"/>
            <w:color w:val="1A73E8"/>
            <w:sz w:val="16"/>
            <w:szCs w:val="16"/>
            <w:shd w:val="clear" w:color="auto" w:fill="FFFFFF"/>
          </w:rPr>
          <w:t>https://www.entrepreneur.com/article/34</w:t>
        </w:r>
        <w:r>
          <w:rPr>
            <w:rStyle w:val="Hyperlink"/>
            <w:color w:val="1A73E8"/>
            <w:sz w:val="16"/>
            <w:szCs w:val="16"/>
            <w:shd w:val="clear" w:color="auto" w:fill="FFFFFF"/>
          </w:rPr>
          <w:t>9229</w:t>
        </w:r>
      </w:hyperlink>
      <w:r>
        <w:rPr>
          <w:sz w:val="16"/>
          <w:szCs w:val="16"/>
        </w:rPr>
        <w:t>).</w:t>
      </w:r>
    </w:p>
  </w:footnote>
  <w:footnote w:id="81">
    <w:p w:rsidR="00F47BB5" w:rsidRDefault="00A34992">
      <w:pPr>
        <w:spacing w:after="0"/>
        <w:rPr>
          <w:sz w:val="16"/>
          <w:szCs w:val="16"/>
        </w:rPr>
      </w:pPr>
      <w:r>
        <w:rPr>
          <w:sz w:val="16"/>
          <w:szCs w:val="16"/>
          <w:vertAlign w:val="superscript"/>
        </w:rPr>
        <w:footnoteRef/>
      </w:r>
      <w:r>
        <w:rPr>
          <w:sz w:val="16"/>
          <w:szCs w:val="16"/>
        </w:rPr>
        <w:t xml:space="preserve"> </w:t>
      </w:r>
      <w:hyperlink r:id="rId52" w:history="1">
        <w:r>
          <w:rPr>
            <w:rStyle w:val="Hyperlink"/>
            <w:color w:val="1A73E8"/>
            <w:sz w:val="16"/>
            <w:szCs w:val="16"/>
            <w:shd w:val="clear" w:color="auto" w:fill="FFFFFF"/>
          </w:rPr>
          <w:t>https://www.acea.be/press-releases/article/298-automobile-factories-operating-across-europe-new-data-shows</w:t>
        </w:r>
      </w:hyperlink>
      <w:r>
        <w:rPr>
          <w:sz w:val="16"/>
          <w:szCs w:val="16"/>
        </w:rPr>
        <w:t>.</w:t>
      </w:r>
    </w:p>
  </w:footnote>
  <w:footnote w:id="82">
    <w:p w:rsidR="00F47BB5" w:rsidRDefault="00A34992">
      <w:pPr>
        <w:pStyle w:val="FootnoteText"/>
        <w:spacing w:after="0"/>
        <w:ind w:left="0" w:firstLine="0"/>
        <w:rPr>
          <w:rStyle w:val="Hyperlink"/>
          <w:color w:val="1A73E8"/>
          <w:sz w:val="16"/>
          <w:szCs w:val="16"/>
        </w:rPr>
      </w:pPr>
      <w:r>
        <w:rPr>
          <w:rStyle w:val="FootnoteReference"/>
          <w:sz w:val="16"/>
          <w:szCs w:val="16"/>
        </w:rPr>
        <w:footnoteRef/>
      </w:r>
      <w:r>
        <w:rPr>
          <w:sz w:val="16"/>
          <w:szCs w:val="16"/>
        </w:rPr>
        <w:t xml:space="preserve"> </w:t>
      </w:r>
      <w:hyperlink r:id="rId53">
        <w:r>
          <w:rPr>
            <w:rStyle w:val="Hyperlink"/>
            <w:color w:val="1A73E8"/>
            <w:sz w:val="16"/>
            <w:szCs w:val="16"/>
            <w:shd w:val="clear" w:color="auto" w:fill="FFFFFF"/>
          </w:rPr>
          <w:t>https://www.wto.org/english/tratop_e/covid19_e/trade_related_goods_measure_e.htm</w:t>
        </w:r>
      </w:hyperlink>
      <w:r>
        <w:rPr>
          <w:sz w:val="16"/>
          <w:szCs w:val="16"/>
        </w:rPr>
        <w:t>.</w:t>
      </w:r>
    </w:p>
  </w:footnote>
  <w:footnote w:id="83">
    <w:p w:rsidR="00F47BB5" w:rsidRDefault="00A34992">
      <w:pPr>
        <w:spacing w:after="0"/>
        <w:rPr>
          <w:sz w:val="16"/>
          <w:szCs w:val="16"/>
        </w:rPr>
      </w:pPr>
      <w:r>
        <w:rPr>
          <w:sz w:val="16"/>
          <w:szCs w:val="16"/>
          <w:vertAlign w:val="superscript"/>
        </w:rPr>
        <w:footnoteRef/>
      </w:r>
      <w:r>
        <w:rPr>
          <w:sz w:val="16"/>
          <w:szCs w:val="16"/>
        </w:rPr>
        <w:t xml:space="preserve"> </w:t>
      </w:r>
      <w:hyperlink r:id="rId54">
        <w:r>
          <w:rPr>
            <w:rStyle w:val="Hyperlink"/>
            <w:color w:val="1A73E8"/>
            <w:sz w:val="16"/>
            <w:szCs w:val="16"/>
            <w:shd w:val="clear" w:color="auto" w:fill="FFFFFF"/>
          </w:rPr>
          <w:t>https://ec.europa.eu/eurostat/documents/2995521/10294900/4-12062020-AP-EN.pdf/93c51a4c-e401-a66d-3ab3-6ecd51a1651f</w:t>
        </w:r>
      </w:hyperlink>
      <w:r>
        <w:rPr>
          <w:sz w:val="16"/>
          <w:szCs w:val="16"/>
        </w:rPr>
        <w:t xml:space="preserve"> </w:t>
      </w:r>
    </w:p>
  </w:footnote>
  <w:footnote w:id="84">
    <w:p w:rsidR="00F47BB5" w:rsidRDefault="00A34992">
      <w:pPr>
        <w:spacing w:after="0"/>
        <w:rPr>
          <w:sz w:val="16"/>
          <w:szCs w:val="16"/>
        </w:rPr>
      </w:pPr>
      <w:r>
        <w:rPr>
          <w:sz w:val="16"/>
          <w:szCs w:val="16"/>
          <w:vertAlign w:val="superscript"/>
        </w:rPr>
        <w:footnoteRef/>
      </w:r>
      <w:r>
        <w:rPr>
          <w:sz w:val="16"/>
          <w:szCs w:val="16"/>
        </w:rPr>
        <w:t xml:space="preserve"> </w:t>
      </w:r>
      <w:hyperlink r:id="rId55" w:history="1">
        <w:r>
          <w:rPr>
            <w:rStyle w:val="Hyperlink"/>
            <w:sz w:val="16"/>
            <w:szCs w:val="16"/>
          </w:rPr>
          <w:t>https://www.economist.com/leaders/2018/12/01/chip-wars-china-america-and-silicon-supremacy</w:t>
        </w:r>
      </w:hyperlink>
      <w:r>
        <w:rPr>
          <w:sz w:val="16"/>
          <w:szCs w:val="16"/>
        </w:rPr>
        <w:t>.</w:t>
      </w:r>
    </w:p>
  </w:footnote>
  <w:footnote w:id="85">
    <w:p w:rsidR="00F47BB5" w:rsidRDefault="00A34992">
      <w:pPr>
        <w:pStyle w:val="FootnoteText"/>
        <w:spacing w:after="0"/>
        <w:ind w:left="0" w:firstLine="0"/>
        <w:rPr>
          <w:rStyle w:val="FootnoteReference"/>
          <w:sz w:val="16"/>
        </w:rPr>
      </w:pPr>
      <w:r>
        <w:rPr>
          <w:rStyle w:val="FootnoteReference"/>
          <w:sz w:val="16"/>
          <w:szCs w:val="16"/>
        </w:rPr>
        <w:footnoteRef/>
      </w:r>
      <w:r>
        <w:rPr>
          <w:sz w:val="16"/>
          <w:szCs w:val="16"/>
        </w:rPr>
        <w:t xml:space="preserve"> </w:t>
      </w:r>
      <w:r>
        <w:rPr>
          <w:rStyle w:val="FootnoteReference"/>
          <w:sz w:val="16"/>
          <w:vertAlign w:val="baseline"/>
        </w:rPr>
        <w:t>Stratégie na prekonanie závislostí zahŕňajú diverzifikáciu zdrojov, vývoj náhradných</w:t>
      </w:r>
      <w:r>
        <w:rPr>
          <w:sz w:val="16"/>
        </w:rPr>
        <w:t xml:space="preserve"> </w:t>
      </w:r>
      <w:r>
        <w:rPr>
          <w:rStyle w:val="FootnoteReference"/>
          <w:sz w:val="16"/>
          <w:vertAlign w:val="baseline"/>
        </w:rPr>
        <w:t>zdrojov alebo predlžovanie životnosti príslušnýc</w:t>
      </w:r>
      <w:r>
        <w:rPr>
          <w:rStyle w:val="FootnoteReference"/>
          <w:sz w:val="16"/>
          <w:vertAlign w:val="baseline"/>
        </w:rPr>
        <w:t>h výrobkov.</w:t>
      </w:r>
    </w:p>
  </w:footnote>
  <w:footnote w:id="86">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Európsky priemysel, najmä výroba batérií, motorov a veterných generátorov, závisí od dovozu grafitu (48 % pochádza z Číny), kobaltu (68 % pochádza z Konžskej demokratickej republiky), lítia (78 % pochádza z Čile) a prvkov vzácnych zemín (takmer 100 % poch</w:t>
      </w:r>
      <w:r>
        <w:rPr>
          <w:sz w:val="16"/>
          <w:szCs w:val="16"/>
        </w:rPr>
        <w:t>ádza z Číny).</w:t>
      </w:r>
    </w:p>
  </w:footnote>
  <w:footnote w:id="87">
    <w:p w:rsidR="00F47BB5" w:rsidRDefault="00A34992">
      <w:pPr>
        <w:widowControl w:val="0"/>
        <w:autoSpaceDE w:val="0"/>
        <w:autoSpaceDN w:val="0"/>
        <w:adjustRightInd w:val="0"/>
        <w:spacing w:after="0"/>
        <w:rPr>
          <w:sz w:val="16"/>
          <w:szCs w:val="16"/>
        </w:rPr>
      </w:pPr>
      <w:r>
        <w:rPr>
          <w:rStyle w:val="FootnoteReference"/>
          <w:sz w:val="16"/>
          <w:szCs w:val="16"/>
        </w:rPr>
        <w:footnoteRef/>
      </w:r>
      <w:r>
        <w:rPr>
          <w:sz w:val="16"/>
          <w:szCs w:val="16"/>
        </w:rPr>
        <w:t xml:space="preserve"> Európska komisia, </w:t>
      </w:r>
      <w:r>
        <w:rPr>
          <w:i/>
          <w:sz w:val="16"/>
          <w:szCs w:val="16"/>
        </w:rPr>
        <w:t>Kritické suroviny pre strategické technológie a sektory – výhľadová štúdia</w:t>
      </w:r>
      <w:r>
        <w:rPr>
          <w:sz w:val="16"/>
          <w:szCs w:val="16"/>
        </w:rPr>
        <w:t>, 2020 (doi: 10.2873/58081).</w:t>
      </w:r>
    </w:p>
  </w:footnote>
  <w:footnote w:id="88">
    <w:p w:rsidR="00F47BB5" w:rsidRDefault="00A34992">
      <w:pPr>
        <w:spacing w:after="0"/>
        <w:rPr>
          <w:sz w:val="16"/>
          <w:szCs w:val="16"/>
        </w:rPr>
      </w:pPr>
      <w:r>
        <w:rPr>
          <w:sz w:val="16"/>
          <w:szCs w:val="16"/>
          <w:vertAlign w:val="superscript"/>
        </w:rPr>
        <w:footnoteRef/>
      </w:r>
      <w:r>
        <w:rPr>
          <w:sz w:val="16"/>
          <w:szCs w:val="16"/>
        </w:rPr>
        <w:t xml:space="preserve"> </w:t>
      </w:r>
      <w:hyperlink r:id="rId56" w:history="1">
        <w:r>
          <w:rPr>
            <w:rStyle w:val="Hyperlink"/>
            <w:sz w:val="16"/>
            <w:szCs w:val="16"/>
          </w:rPr>
          <w:t>www.prosumproject.eu</w:t>
        </w:r>
      </w:hyperlink>
      <w:r>
        <w:rPr>
          <w:sz w:val="16"/>
          <w:szCs w:val="16"/>
        </w:rPr>
        <w:t>.</w:t>
      </w:r>
    </w:p>
  </w:footnote>
  <w:footnote w:id="89">
    <w:p w:rsidR="00F47BB5" w:rsidRDefault="00A34992">
      <w:pPr>
        <w:spacing w:after="0"/>
        <w:rPr>
          <w:sz w:val="16"/>
          <w:szCs w:val="16"/>
        </w:rPr>
      </w:pPr>
      <w:r>
        <w:rPr>
          <w:sz w:val="16"/>
          <w:szCs w:val="16"/>
          <w:vertAlign w:val="superscript"/>
        </w:rPr>
        <w:footnoteRef/>
      </w:r>
      <w:r>
        <w:rPr>
          <w:sz w:val="16"/>
          <w:szCs w:val="16"/>
        </w:rPr>
        <w:t xml:space="preserve"> </w:t>
      </w:r>
      <w:hyperlink r:id="rId57" w:history="1">
        <w:r>
          <w:rPr>
            <w:rStyle w:val="Hyperlink"/>
            <w:sz w:val="16"/>
            <w:szCs w:val="16"/>
          </w:rPr>
          <w:t>https://m</w:t>
        </w:r>
        <w:r>
          <w:rPr>
            <w:rStyle w:val="Hyperlink"/>
            <w:sz w:val="16"/>
            <w:szCs w:val="16"/>
          </w:rPr>
          <w:t>inatura2020.eu</w:t>
        </w:r>
      </w:hyperlink>
      <w:r>
        <w:rPr>
          <w:sz w:val="16"/>
          <w:szCs w:val="16"/>
        </w:rPr>
        <w:t>.</w:t>
      </w:r>
    </w:p>
  </w:footnote>
  <w:footnote w:id="90">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Obrázok 3.1 znázorňuje riziká ohrozujúce dodávky surovín (na stupnici od 1 do 6), kľúčové technológie, v ktorých sa používajú, a ich geografické zdroje.</w:t>
      </w:r>
    </w:p>
  </w:footnote>
  <w:footnote w:id="91">
    <w:p w:rsidR="00F47BB5" w:rsidRDefault="00A34992">
      <w:pPr>
        <w:spacing w:after="0"/>
        <w:rPr>
          <w:sz w:val="16"/>
          <w:szCs w:val="16"/>
        </w:rPr>
      </w:pPr>
      <w:r>
        <w:rPr>
          <w:sz w:val="16"/>
          <w:szCs w:val="16"/>
          <w:vertAlign w:val="superscript"/>
        </w:rPr>
        <w:footnoteRef/>
      </w:r>
      <w:r>
        <w:rPr>
          <w:sz w:val="16"/>
          <w:szCs w:val="16"/>
        </w:rPr>
        <w:t xml:space="preserve"> Európska komisia, 2020, Kritické suroviny pre strategické technológie a sektory – v</w:t>
      </w:r>
      <w:r>
        <w:rPr>
          <w:sz w:val="16"/>
          <w:szCs w:val="16"/>
        </w:rPr>
        <w:t>ýhľadová štúdia (doi: 10.2873/58081).</w:t>
      </w:r>
    </w:p>
  </w:footnote>
  <w:footnote w:id="92">
    <w:p w:rsidR="00F47BB5" w:rsidRDefault="00A34992">
      <w:pPr>
        <w:spacing w:after="0"/>
        <w:rPr>
          <w:sz w:val="16"/>
          <w:szCs w:val="16"/>
        </w:rPr>
      </w:pPr>
      <w:r>
        <w:rPr>
          <w:sz w:val="16"/>
          <w:szCs w:val="16"/>
          <w:vertAlign w:val="superscript"/>
        </w:rPr>
        <w:footnoteRef/>
      </w:r>
      <w:r>
        <w:rPr>
          <w:sz w:val="16"/>
          <w:szCs w:val="16"/>
        </w:rPr>
        <w:t xml:space="preserve"> OECD (2019), Global Material Resources Outlook to 2060: Economic Drivers and Environmental Consequences (</w:t>
      </w:r>
      <w:r>
        <w:rPr>
          <w:i/>
          <w:iCs/>
          <w:sz w:val="16"/>
          <w:szCs w:val="16"/>
        </w:rPr>
        <w:t>Globálny výhľad v oblasti zdrojov materiálov do roku 2060: Hospodárske faktory a environmentálne dôsledky</w:t>
      </w:r>
      <w:r>
        <w:rPr>
          <w:sz w:val="16"/>
          <w:szCs w:val="16"/>
        </w:rPr>
        <w:t xml:space="preserve">), </w:t>
      </w:r>
      <w:r>
        <w:rPr>
          <w:sz w:val="16"/>
          <w:szCs w:val="16"/>
        </w:rPr>
        <w:t>OECD publishing, Paríž...</w:t>
      </w:r>
    </w:p>
  </w:footnote>
  <w:footnote w:id="93">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Tento pokles sa týka počtu obchodov týkajúcich sa nadobudnutia podielov na vlastnom imaní vo výške aspoň 10 % celkového kapitálu v období od januára do júna 2020 v porovnaní s rokom 2019. Pokles je o –33,5 % v prípade cezhraničn</w:t>
      </w:r>
      <w:r>
        <w:rPr>
          <w:sz w:val="16"/>
          <w:szCs w:val="16"/>
        </w:rPr>
        <w:t>ých investícií v rámci EÚ a o –23 % v prípade neeurópskych investícií v Európe. Zdroj: JRC Foreign Investment Bulletin, júl 2020, JRC 121392.</w:t>
      </w:r>
    </w:p>
  </w:footnote>
  <w:footnote w:id="94">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w:t>
      </w:r>
      <w:hyperlink r:id="rId58" w:history="1">
        <w:r>
          <w:rPr>
            <w:rStyle w:val="Hyperlink"/>
            <w:sz w:val="16"/>
            <w:szCs w:val="16"/>
          </w:rPr>
          <w:t>https://ec.europa.eu/commission/</w:t>
        </w:r>
        <w:r>
          <w:rPr>
            <w:rStyle w:val="Hyperlink"/>
            <w:sz w:val="16"/>
            <w:szCs w:val="16"/>
          </w:rPr>
          <w:t>presscorner/detail/en/ip_20_528</w:t>
        </w:r>
      </w:hyperlink>
      <w:r>
        <w:rPr>
          <w:sz w:val="16"/>
          <w:szCs w:val="16"/>
        </w:rPr>
        <w:t>,</w:t>
      </w:r>
      <w:hyperlink r:id="rId59" w:history="1">
        <w:r>
          <w:rPr>
            <w:rStyle w:val="Hyperlink"/>
            <w:sz w:val="16"/>
            <w:szCs w:val="16"/>
          </w:rPr>
          <w:t>https://www.bruegel.org/wp-content/uploads/2019/06/PC-09_2019_final-1.pdf</w:t>
        </w:r>
      </w:hyperlink>
      <w:r>
        <w:rPr>
          <w:sz w:val="16"/>
          <w:szCs w:val="16"/>
        </w:rPr>
        <w:t xml:space="preserve">, </w:t>
      </w:r>
      <w:hyperlink r:id="rId60" w:history="1">
        <w:r>
          <w:rPr>
            <w:rStyle w:val="Hyperlink"/>
            <w:sz w:val="16"/>
            <w:szCs w:val="16"/>
          </w:rPr>
          <w:t>https://peacediplomacy.org/2019/10/25/how-eu-can-achieve-economic-sovereignty/</w:t>
        </w:r>
      </w:hyperlink>
      <w:r>
        <w:rPr>
          <w:sz w:val="16"/>
          <w:szCs w:val="16"/>
        </w:rPr>
        <w:t>.</w:t>
      </w:r>
    </w:p>
  </w:footnote>
  <w:footnote w:id="95">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C(2020) 1981 final, Usmernenie pre členské štáty týkajúce sa priamych zahraničných investícií, voľného pohybu kapitálu z tretích krajín a </w:t>
      </w:r>
      <w:r>
        <w:rPr>
          <w:sz w:val="16"/>
          <w:szCs w:val="16"/>
        </w:rPr>
        <w:t>ochrany európskych strategických aktív vzhľadom na očakávané začatie uplatňovania nariadenia (EÚ) 2019/452 (nariadenie o preverovaní PZI).</w:t>
      </w:r>
    </w:p>
  </w:footnote>
  <w:footnote w:id="96">
    <w:p w:rsidR="00F47BB5" w:rsidRDefault="00A34992">
      <w:pPr>
        <w:spacing w:after="0"/>
        <w:rPr>
          <w:sz w:val="16"/>
          <w:szCs w:val="16"/>
        </w:rPr>
      </w:pPr>
      <w:r>
        <w:rPr>
          <w:sz w:val="16"/>
          <w:szCs w:val="16"/>
          <w:vertAlign w:val="superscript"/>
        </w:rPr>
        <w:footnoteRef/>
      </w:r>
      <w:r>
        <w:rPr>
          <w:sz w:val="16"/>
          <w:szCs w:val="16"/>
        </w:rPr>
        <w:t xml:space="preserve"> </w:t>
      </w:r>
      <w:r>
        <w:rPr>
          <w:i/>
          <w:sz w:val="16"/>
          <w:szCs w:val="16"/>
        </w:rPr>
        <w:t>Tamtiež.</w:t>
      </w:r>
    </w:p>
  </w:footnote>
  <w:footnote w:id="97">
    <w:p w:rsidR="00F47BB5" w:rsidRDefault="00A34992">
      <w:pPr>
        <w:pStyle w:val="FootnoteText"/>
        <w:spacing w:after="0"/>
        <w:ind w:left="0" w:firstLine="0"/>
        <w:rPr>
          <w:sz w:val="16"/>
          <w:szCs w:val="16"/>
        </w:rPr>
      </w:pPr>
      <w:r>
        <w:rPr>
          <w:rStyle w:val="FootnoteReference"/>
          <w:sz w:val="16"/>
          <w:szCs w:val="16"/>
        </w:rPr>
        <w:footnoteRef/>
      </w:r>
      <w:r>
        <w:rPr>
          <w:sz w:val="16"/>
          <w:szCs w:val="16"/>
        </w:rPr>
        <w:t> Nariadenie Európskeho parlamentu a Rady (EÚ) 2019/452 z 19. marca 2019, ktorým sa ustanovuje rámec na pr</w:t>
      </w:r>
      <w:r>
        <w:rPr>
          <w:sz w:val="16"/>
          <w:szCs w:val="16"/>
        </w:rPr>
        <w:t>everovanie priamych zahraničných investícií do Únie. Nariadenie sa začne uplatňovať od 11. októbra 2020.</w:t>
      </w:r>
    </w:p>
  </w:footnote>
  <w:footnote w:id="98">
    <w:p w:rsidR="00F47BB5" w:rsidRDefault="00A34992">
      <w:pPr>
        <w:spacing w:after="0"/>
        <w:rPr>
          <w:sz w:val="16"/>
          <w:szCs w:val="16"/>
        </w:rPr>
      </w:pPr>
      <w:r>
        <w:rPr>
          <w:sz w:val="16"/>
          <w:szCs w:val="16"/>
          <w:vertAlign w:val="superscript"/>
        </w:rPr>
        <w:footnoteRef/>
      </w:r>
      <w:r>
        <w:rPr>
          <w:sz w:val="16"/>
          <w:szCs w:val="16"/>
        </w:rPr>
        <w:t> COM(2020) 253 final, Biela kniha o vytvorení rovnakých podmienok v oblasti zahraničných subvencií.</w:t>
      </w:r>
    </w:p>
  </w:footnote>
  <w:footnote w:id="99">
    <w:p w:rsidR="00F47BB5" w:rsidRDefault="00A34992">
      <w:pPr>
        <w:spacing w:after="0"/>
        <w:rPr>
          <w:sz w:val="16"/>
          <w:szCs w:val="16"/>
        </w:rPr>
      </w:pPr>
      <w:r>
        <w:rPr>
          <w:sz w:val="16"/>
          <w:szCs w:val="16"/>
          <w:vertAlign w:val="superscript"/>
        </w:rPr>
        <w:footnoteRef/>
      </w:r>
      <w:r>
        <w:rPr>
          <w:sz w:val="16"/>
          <w:szCs w:val="16"/>
        </w:rPr>
        <w:t> JOIN(2020) 8 final, Boj proti dezinformáciám o o</w:t>
      </w:r>
      <w:r>
        <w:rPr>
          <w:sz w:val="16"/>
          <w:szCs w:val="16"/>
        </w:rPr>
        <w:t xml:space="preserve">chorení COVID-19 – Aké sú fakty; pozri aj </w:t>
      </w:r>
      <w:hyperlink r:id="rId61">
        <w:r>
          <w:rPr>
            <w:color w:val="1155CC"/>
            <w:sz w:val="16"/>
            <w:szCs w:val="16"/>
            <w:u w:val="single"/>
          </w:rPr>
          <w:t>https://euvsdisinfo.eu/eeas-special-report-update-short-assessmen</w:t>
        </w:r>
        <w:r>
          <w:rPr>
            <w:color w:val="1155CC"/>
            <w:sz w:val="16"/>
            <w:szCs w:val="16"/>
            <w:u w:val="single"/>
          </w:rPr>
          <w:t>t-of-narratives-and-disinformation-around-the-COVID-19COVID-19-pandemic/</w:t>
        </w:r>
      </w:hyperlink>
      <w:r>
        <w:rPr>
          <w:rStyle w:val="Hyperlink"/>
          <w:color w:val="auto"/>
          <w:sz w:val="16"/>
          <w:szCs w:val="16"/>
          <w:u w:val="none"/>
        </w:rPr>
        <w:t>.</w:t>
      </w:r>
    </w:p>
  </w:footnote>
  <w:footnote w:id="100">
    <w:p w:rsidR="00F47BB5" w:rsidRDefault="00A34992">
      <w:pPr>
        <w:spacing w:after="0"/>
        <w:rPr>
          <w:sz w:val="16"/>
          <w:szCs w:val="16"/>
        </w:rPr>
      </w:pPr>
      <w:r>
        <w:rPr>
          <w:sz w:val="16"/>
          <w:szCs w:val="16"/>
          <w:vertAlign w:val="superscript"/>
        </w:rPr>
        <w:footnoteRef/>
      </w:r>
      <w:r>
        <w:rPr>
          <w:sz w:val="16"/>
          <w:szCs w:val="16"/>
        </w:rPr>
        <w:t xml:space="preserve"> Na sociálnych médiách sa voľne šíril hoax o pripojení 5G, čipovaní a COVID-19 {Downing, J., Ahmed, W., Vidal-Alaball, J. &amp; Lopez Seguí, F., 2020 – </w:t>
      </w:r>
      <w:r>
        <w:rPr>
          <w:sz w:val="16"/>
        </w:rPr>
        <w:t>Battling fake news and (in)securi</w:t>
      </w:r>
      <w:r>
        <w:rPr>
          <w:sz w:val="16"/>
        </w:rPr>
        <w:t>ty during COVID-19 [</w:t>
      </w:r>
      <w:r>
        <w:rPr>
          <w:i/>
          <w:iCs/>
          <w:sz w:val="16"/>
        </w:rPr>
        <w:t>Boj proti falošným správam a (ne)bezpečiu počas pandémie ochorenia COVID-19</w:t>
      </w:r>
      <w:r>
        <w:rPr>
          <w:sz w:val="16"/>
        </w:rPr>
        <w:t>]. E-International Relations</w:t>
      </w:r>
      <w:r>
        <w:rPr>
          <w:sz w:val="16"/>
          <w:szCs w:val="16"/>
        </w:rPr>
        <w:t>}.</w:t>
      </w:r>
    </w:p>
  </w:footnote>
  <w:footnote w:id="101">
    <w:p w:rsidR="00F47BB5" w:rsidRDefault="00A34992">
      <w:pPr>
        <w:spacing w:after="0"/>
        <w:rPr>
          <w:sz w:val="16"/>
          <w:szCs w:val="16"/>
        </w:rPr>
      </w:pPr>
      <w:r>
        <w:rPr>
          <w:sz w:val="16"/>
          <w:szCs w:val="16"/>
          <w:vertAlign w:val="superscript"/>
        </w:rPr>
        <w:footnoteRef/>
      </w:r>
      <w:r>
        <w:rPr>
          <w:sz w:val="16"/>
          <w:szCs w:val="16"/>
        </w:rPr>
        <w:t> Infodémie sú výsledkom súčasného pôsobenia viacerých ľudských a iných zdrojov falošných alebo nespoľahlivých správ (</w:t>
      </w:r>
      <w:hyperlink r:id="rId62">
        <w:r>
          <w:rPr>
            <w:color w:val="1155CC"/>
            <w:sz w:val="16"/>
            <w:szCs w:val="16"/>
            <w:u w:val="single"/>
          </w:rPr>
          <w:t>https://arxiv.org/pdf/2004.03997.pdf</w:t>
        </w:r>
      </w:hyperlink>
      <w:r>
        <w:rPr>
          <w:sz w:val="16"/>
          <w:szCs w:val="16"/>
        </w:rPr>
        <w:t>).</w:t>
      </w:r>
    </w:p>
  </w:footnote>
  <w:footnote w:id="102">
    <w:p w:rsidR="00F47BB5" w:rsidRDefault="00A34992">
      <w:pPr>
        <w:spacing w:after="0"/>
        <w:rPr>
          <w:sz w:val="16"/>
          <w:szCs w:val="16"/>
        </w:rPr>
      </w:pPr>
      <w:r>
        <w:rPr>
          <w:sz w:val="16"/>
          <w:szCs w:val="16"/>
          <w:vertAlign w:val="superscript"/>
        </w:rPr>
        <w:footnoteRef/>
      </w:r>
      <w:r>
        <w:rPr>
          <w:sz w:val="16"/>
          <w:szCs w:val="16"/>
        </w:rPr>
        <w:t xml:space="preserve"> </w:t>
      </w:r>
      <w:hyperlink r:id="rId63" w:history="1">
        <w:r>
          <w:rPr>
            <w:rStyle w:val="Hyperlink"/>
            <w:sz w:val="16"/>
            <w:szCs w:val="16"/>
          </w:rPr>
          <w:t>https://www.cogitatiopress.com/politicsandgovernance/article/view/2478</w:t>
        </w:r>
      </w:hyperlink>
      <w:r>
        <w:rPr>
          <w:sz w:val="16"/>
          <w:szCs w:val="16"/>
        </w:rPr>
        <w:t>.</w:t>
      </w:r>
    </w:p>
  </w:footnote>
  <w:footnote w:id="103">
    <w:p w:rsidR="00F47BB5" w:rsidRDefault="00A34992">
      <w:pPr>
        <w:spacing w:after="0"/>
        <w:rPr>
          <w:sz w:val="16"/>
          <w:szCs w:val="16"/>
        </w:rPr>
      </w:pPr>
      <w:r>
        <w:rPr>
          <w:sz w:val="16"/>
          <w:szCs w:val="16"/>
          <w:vertAlign w:val="superscript"/>
        </w:rPr>
        <w:footnoteRef/>
      </w:r>
      <w:r>
        <w:rPr>
          <w:sz w:val="16"/>
          <w:szCs w:val="16"/>
        </w:rPr>
        <w:t xml:space="preserve"> </w:t>
      </w:r>
      <w:hyperlink r:id="rId64">
        <w:r>
          <w:rPr>
            <w:color w:val="0563C1"/>
            <w:sz w:val="16"/>
            <w:szCs w:val="16"/>
            <w:u w:val="single"/>
          </w:rPr>
          <w:t>https://www.europol.europa.eu/staying-safe-during-covid-19-what-you-need-to-know</w:t>
        </w:r>
      </w:hyperlink>
      <w:r>
        <w:rPr>
          <w:color w:val="0563C1"/>
          <w:sz w:val="16"/>
          <w:szCs w:val="16"/>
          <w:u w:val="single"/>
        </w:rPr>
        <w:t>; </w:t>
      </w:r>
      <w:hyperlink r:id="rId65">
        <w:r>
          <w:rPr>
            <w:color w:val="0563C1"/>
            <w:sz w:val="16"/>
            <w:szCs w:val="16"/>
            <w:u w:val="single"/>
          </w:rPr>
          <w:t>https://ec.europa.eu/info/live-work-travel-eu/health/coronavirus-response/fighting-disinformation_en</w:t>
        </w:r>
      </w:hyperlink>
      <w:r>
        <w:rPr>
          <w:sz w:val="16"/>
          <w:szCs w:val="16"/>
        </w:rPr>
        <w:t>.</w:t>
      </w:r>
    </w:p>
  </w:footnote>
  <w:footnote w:id="104">
    <w:p w:rsidR="00F47BB5" w:rsidRDefault="00A34992">
      <w:pPr>
        <w:spacing w:after="0"/>
        <w:rPr>
          <w:sz w:val="16"/>
          <w:szCs w:val="16"/>
        </w:rPr>
      </w:pPr>
      <w:r>
        <w:rPr>
          <w:sz w:val="16"/>
          <w:szCs w:val="16"/>
          <w:vertAlign w:val="superscript"/>
        </w:rPr>
        <w:footnoteRef/>
      </w:r>
      <w:r>
        <w:rPr>
          <w:sz w:val="16"/>
          <w:szCs w:val="16"/>
        </w:rPr>
        <w:t xml:space="preserve"> COM(2020) 102 final, Nová priemyselná stratégia pre Európu.</w:t>
      </w:r>
    </w:p>
  </w:footnote>
  <w:footnote w:id="105">
    <w:p w:rsidR="00F47BB5" w:rsidRDefault="00A34992">
      <w:pPr>
        <w:spacing w:after="0"/>
        <w:rPr>
          <w:sz w:val="16"/>
          <w:szCs w:val="16"/>
        </w:rPr>
      </w:pPr>
      <w:r>
        <w:rPr>
          <w:sz w:val="16"/>
          <w:szCs w:val="16"/>
          <w:vertAlign w:val="superscript"/>
        </w:rPr>
        <w:footnoteRef/>
      </w:r>
      <w:r>
        <w:rPr>
          <w:sz w:val="16"/>
          <w:szCs w:val="16"/>
        </w:rPr>
        <w:t> COM(2020) 474 final, Odolnosť v oblasti kritic</w:t>
      </w:r>
      <w:r>
        <w:rPr>
          <w:sz w:val="16"/>
          <w:szCs w:val="16"/>
        </w:rPr>
        <w:t>kých surovín: zmapovanie cesty k väčšej bezpečnosti a udržateľnosti.</w:t>
      </w:r>
    </w:p>
  </w:footnote>
  <w:footnote w:id="106">
    <w:p w:rsidR="00F47BB5" w:rsidRDefault="00A34992">
      <w:pPr>
        <w:spacing w:after="0"/>
        <w:rPr>
          <w:sz w:val="16"/>
          <w:szCs w:val="16"/>
        </w:rPr>
      </w:pPr>
      <w:r>
        <w:rPr>
          <w:sz w:val="16"/>
          <w:szCs w:val="16"/>
          <w:vertAlign w:val="superscript"/>
        </w:rPr>
        <w:footnoteRef/>
      </w:r>
      <w:r>
        <w:rPr>
          <w:sz w:val="16"/>
          <w:szCs w:val="16"/>
        </w:rPr>
        <w:t xml:space="preserve"> </w:t>
      </w:r>
      <w:hyperlink r:id="rId66" w:history="1">
        <w:r>
          <w:rPr>
            <w:rStyle w:val="Hyperlink"/>
            <w:sz w:val="16"/>
            <w:szCs w:val="16"/>
          </w:rPr>
          <w:t>https://publications.jrc.ec.europa.eu/repository/bitstream</w:t>
        </w:r>
        <w:r>
          <w:rPr>
            <w:rStyle w:val="Hyperlink"/>
            <w:sz w:val="16"/>
            <w:szCs w:val="16"/>
          </w:rPr>
          <w:t>/JRC109889/jrc109889_mica_jrc_technical_report_1.pdf</w:t>
        </w:r>
      </w:hyperlink>
      <w:r>
        <w:rPr>
          <w:sz w:val="16"/>
          <w:szCs w:val="16"/>
        </w:rPr>
        <w:t>.</w:t>
      </w:r>
    </w:p>
  </w:footnote>
  <w:footnote w:id="107">
    <w:p w:rsidR="00F47BB5" w:rsidRDefault="00A34992">
      <w:pPr>
        <w:pStyle w:val="FootnoteText"/>
        <w:spacing w:after="0"/>
        <w:ind w:left="0" w:firstLine="0"/>
        <w:rPr>
          <w:sz w:val="16"/>
          <w:szCs w:val="16"/>
        </w:rPr>
      </w:pPr>
      <w:r>
        <w:rPr>
          <w:rStyle w:val="FootnoteReference"/>
          <w:sz w:val="16"/>
          <w:szCs w:val="16"/>
        </w:rPr>
        <w:footnoteRef/>
      </w:r>
      <w:r>
        <w:rPr>
          <w:rStyle w:val="Hyperlink"/>
          <w:sz w:val="16"/>
          <w:szCs w:val="16"/>
        </w:rPr>
        <w:t> https://ec.europa.eu/commission/presscorner/detail/en/ip_20_1058</w:t>
      </w:r>
      <w:r>
        <w:rPr>
          <w:sz w:val="16"/>
          <w:szCs w:val="16"/>
        </w:rPr>
        <w:t>.</w:t>
      </w:r>
    </w:p>
  </w:footnote>
  <w:footnote w:id="108">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Európska aliancia pre batérie, Aliancia pre plasty, Európska aliancia pre čistý vodík, Európska aliancia pre priemyselné dáta a clou</w:t>
      </w:r>
      <w:r>
        <w:rPr>
          <w:sz w:val="16"/>
          <w:szCs w:val="16"/>
        </w:rPr>
        <w:t>dy a Európska aliancia suroviny</w:t>
      </w:r>
      <w:r>
        <w:rPr>
          <w:i/>
          <w:iCs/>
          <w:sz w:val="16"/>
          <w:szCs w:val="16"/>
        </w:rPr>
        <w:t>.</w:t>
      </w:r>
    </w:p>
  </w:footnote>
  <w:footnote w:id="109">
    <w:p w:rsidR="00F47BB5" w:rsidRDefault="00A34992">
      <w:pPr>
        <w:spacing w:after="0"/>
        <w:rPr>
          <w:sz w:val="16"/>
          <w:szCs w:val="16"/>
        </w:rPr>
      </w:pPr>
      <w:r>
        <w:rPr>
          <w:rStyle w:val="FootnoteReference"/>
          <w:color w:val="000000"/>
          <w:sz w:val="16"/>
          <w:szCs w:val="16"/>
        </w:rPr>
        <w:footnoteRef/>
      </w:r>
      <w:r>
        <w:rPr>
          <w:sz w:val="16"/>
          <w:szCs w:val="16"/>
        </w:rPr>
        <w:t xml:space="preserve"> </w:t>
      </w:r>
      <w:hyperlink r:id="rId67" w:history="1">
        <w:r>
          <w:rPr>
            <w:rStyle w:val="Hyperlink"/>
            <w:sz w:val="16"/>
            <w:szCs w:val="16"/>
          </w:rPr>
          <w:t>https://www.ipcc.ch/sr15/</w:t>
        </w:r>
      </w:hyperlink>
      <w:r>
        <w:rPr>
          <w:sz w:val="16"/>
          <w:szCs w:val="16"/>
        </w:rPr>
        <w:t>.</w:t>
      </w:r>
    </w:p>
  </w:footnote>
  <w:footnote w:id="110">
    <w:p w:rsidR="00F47BB5" w:rsidRDefault="00A34992">
      <w:pPr>
        <w:spacing w:after="0"/>
        <w:rPr>
          <w:sz w:val="16"/>
          <w:szCs w:val="16"/>
        </w:rPr>
      </w:pPr>
      <w:r>
        <w:rPr>
          <w:sz w:val="16"/>
          <w:szCs w:val="16"/>
          <w:vertAlign w:val="superscript"/>
        </w:rPr>
        <w:footnoteRef/>
      </w:r>
      <w:r>
        <w:rPr>
          <w:sz w:val="16"/>
        </w:rPr>
        <w:t xml:space="preserve"> </w:t>
      </w:r>
      <w:hyperlink r:id="rId68" w:history="1">
        <w:r>
          <w:rPr>
            <w:rStyle w:val="Hyperlink"/>
            <w:sz w:val="16"/>
            <w:szCs w:val="16"/>
          </w:rPr>
          <w:t>https://www.worldbank.org/en/news/press-release/2018/03/19/climate-change-could-force-over-140-million-to-migrate-within-countries-by-2050-world-bank-report</w:t>
        </w:r>
      </w:hyperlink>
      <w:r>
        <w:rPr>
          <w:sz w:val="16"/>
          <w:szCs w:val="16"/>
        </w:rPr>
        <w:t>.</w:t>
      </w:r>
    </w:p>
  </w:footnote>
  <w:footnote w:id="111">
    <w:p w:rsidR="00F47BB5" w:rsidRDefault="00A34992">
      <w:pPr>
        <w:spacing w:after="0"/>
        <w:rPr>
          <w:sz w:val="16"/>
          <w:szCs w:val="16"/>
        </w:rPr>
      </w:pPr>
      <w:r>
        <w:rPr>
          <w:rStyle w:val="FootnoteReference"/>
          <w:sz w:val="16"/>
          <w:szCs w:val="16"/>
        </w:rPr>
        <w:footnoteRef/>
      </w:r>
      <w:r>
        <w:rPr>
          <w:sz w:val="16"/>
          <w:szCs w:val="16"/>
        </w:rPr>
        <w:t>Predloženie dlhodobej s</w:t>
      </w:r>
      <w:r>
        <w:rPr>
          <w:sz w:val="16"/>
          <w:szCs w:val="16"/>
        </w:rPr>
        <w:t xml:space="preserve">tratégie nízkoemisného rozvoja Európskej únie a jej členských štátov v súvislosti s dohovorom UNFCCC, </w:t>
      </w:r>
    </w:p>
    <w:p w:rsidR="00F47BB5" w:rsidRDefault="00A34992">
      <w:pPr>
        <w:spacing w:after="0"/>
        <w:rPr>
          <w:sz w:val="16"/>
          <w:szCs w:val="16"/>
        </w:rPr>
      </w:pPr>
      <w:r>
        <w:rPr>
          <w:sz w:val="16"/>
          <w:szCs w:val="16"/>
        </w:rPr>
        <w:t>(</w:t>
      </w:r>
      <w:hyperlink r:id="rId69" w:history="1">
        <w:r>
          <w:rPr>
            <w:rStyle w:val="Hyperlink"/>
            <w:sz w:val="16"/>
            <w:szCs w:val="16"/>
          </w:rPr>
          <w:t>https://unfccc.int/sites/default/files/resource/HR-03-06-2020 %20EU%20Submission%20on%20Long%20term%20strategy.pdf</w:t>
        </w:r>
      </w:hyperlink>
      <w:r>
        <w:rPr>
          <w:sz w:val="16"/>
          <w:szCs w:val="16"/>
        </w:rPr>
        <w:t>).</w:t>
      </w:r>
    </w:p>
  </w:footnote>
  <w:footnote w:id="112">
    <w:p w:rsidR="00F47BB5" w:rsidRDefault="00A34992">
      <w:pPr>
        <w:spacing w:after="0"/>
        <w:rPr>
          <w:sz w:val="16"/>
          <w:szCs w:val="16"/>
        </w:rPr>
      </w:pPr>
      <w:r>
        <w:rPr>
          <w:rStyle w:val="FootnoteReference"/>
          <w:sz w:val="16"/>
          <w:szCs w:val="16"/>
        </w:rPr>
        <w:footnoteRef/>
      </w:r>
      <w:r>
        <w:rPr>
          <w:sz w:val="16"/>
          <w:szCs w:val="16"/>
        </w:rPr>
        <w:t xml:space="preserve"> Hĺbková analýza na podporu oznámenia Komisie COM(2018) 773.</w:t>
      </w:r>
    </w:p>
    <w:p w:rsidR="00F47BB5" w:rsidRDefault="00A34992">
      <w:pPr>
        <w:spacing w:after="0"/>
        <w:rPr>
          <w:sz w:val="16"/>
          <w:szCs w:val="16"/>
        </w:rPr>
      </w:pPr>
      <w:r>
        <w:rPr>
          <w:sz w:val="16"/>
          <w:szCs w:val="16"/>
        </w:rPr>
        <w:t>(</w:t>
      </w:r>
      <w:hyperlink r:id="rId70" w:history="1">
        <w:r>
          <w:rPr>
            <w:rStyle w:val="Hyperlink"/>
            <w:sz w:val="16"/>
            <w:szCs w:val="16"/>
          </w:rPr>
          <w:t>https://ec.europa.eu/clima/sites/clima/files/docs/pages/com_2018_733_analysis_in_support_en_0.pdf</w:t>
        </w:r>
      </w:hyperlink>
      <w:r>
        <w:rPr>
          <w:sz w:val="16"/>
          <w:szCs w:val="16"/>
        </w:rPr>
        <w:t>).</w:t>
      </w:r>
    </w:p>
  </w:footnote>
  <w:footnote w:id="113">
    <w:p w:rsidR="00F47BB5" w:rsidRDefault="00A34992">
      <w:pPr>
        <w:spacing w:after="0"/>
        <w:rPr>
          <w:sz w:val="16"/>
          <w:szCs w:val="16"/>
        </w:rPr>
      </w:pPr>
      <w:r>
        <w:rPr>
          <w:rStyle w:val="FootnoteReference"/>
          <w:sz w:val="16"/>
          <w:szCs w:val="16"/>
        </w:rPr>
        <w:footnoteRef/>
      </w:r>
      <w:r>
        <w:rPr>
          <w:sz w:val="16"/>
          <w:szCs w:val="16"/>
        </w:rPr>
        <w:t xml:space="preserve"> COM(2018) 773 final, Čistá planéta pre všetkých. Európska dlhodobá strategická vízia pre prosperujúce, moderné, </w:t>
      </w:r>
      <w:r>
        <w:rPr>
          <w:sz w:val="16"/>
          <w:szCs w:val="16"/>
        </w:rPr>
        <w:t>konkurencieschopné a klimaticky neutrálne hospodárstvo (</w:t>
      </w:r>
      <w:hyperlink r:id="rId71" w:history="1">
        <w:r>
          <w:rPr>
            <w:rStyle w:val="Hyperlink"/>
            <w:sz w:val="16"/>
            <w:szCs w:val="16"/>
          </w:rPr>
          <w:t>https://eur-lex.europa.eu/legal-content/SK/TXT/PDF/?uri=CELEX:52018DC0773&amp;from=SK</w:t>
        </w:r>
      </w:hyperlink>
      <w:r>
        <w:rPr>
          <w:sz w:val="16"/>
          <w:szCs w:val="16"/>
        </w:rPr>
        <w:t>).</w:t>
      </w:r>
    </w:p>
  </w:footnote>
  <w:footnote w:id="114">
    <w:p w:rsidR="00F47BB5" w:rsidRDefault="00A34992">
      <w:pPr>
        <w:pStyle w:val="FootnoteText"/>
        <w:spacing w:after="0"/>
        <w:ind w:left="0" w:firstLine="0"/>
        <w:rPr>
          <w:rStyle w:val="Hyperlink"/>
          <w:sz w:val="16"/>
          <w:szCs w:val="16"/>
        </w:rPr>
      </w:pPr>
      <w:r>
        <w:rPr>
          <w:rStyle w:val="FootnoteReference"/>
          <w:sz w:val="16"/>
          <w:szCs w:val="16"/>
        </w:rPr>
        <w:footnoteRef/>
      </w:r>
      <w:r>
        <w:rPr>
          <w:sz w:val="16"/>
          <w:szCs w:val="16"/>
        </w:rPr>
        <w:t xml:space="preserve"> </w:t>
      </w:r>
      <w:r>
        <w:rPr>
          <w:rStyle w:val="Hyperlink"/>
          <w:sz w:val="16"/>
          <w:szCs w:val="16"/>
        </w:rPr>
        <w:t>https://ec.europ</w:t>
      </w:r>
      <w:r>
        <w:rPr>
          <w:rStyle w:val="Hyperlink"/>
          <w:sz w:val="16"/>
          <w:szCs w:val="16"/>
        </w:rPr>
        <w:t>a.eu/clima/sites/clima/files/docs/factsheet_climate_change_2015_en.pdf</w:t>
      </w:r>
      <w:r>
        <w:rPr>
          <w:sz w:val="16"/>
          <w:szCs w:val="16"/>
        </w:rPr>
        <w:t>.</w:t>
      </w:r>
    </w:p>
  </w:footnote>
  <w:footnote w:id="115">
    <w:p w:rsidR="00F47BB5" w:rsidRDefault="00A34992">
      <w:pPr>
        <w:spacing w:after="0"/>
        <w:rPr>
          <w:sz w:val="16"/>
          <w:szCs w:val="16"/>
        </w:rPr>
      </w:pPr>
      <w:r>
        <w:rPr>
          <w:sz w:val="16"/>
          <w:szCs w:val="16"/>
          <w:vertAlign w:val="superscript"/>
        </w:rPr>
        <w:footnoteRef/>
      </w:r>
      <w:r>
        <w:rPr>
          <w:sz w:val="16"/>
          <w:szCs w:val="16"/>
        </w:rPr>
        <w:t xml:space="preserve"> </w:t>
      </w:r>
      <w:hyperlink r:id="rId72" w:history="1">
        <w:r>
          <w:rPr>
            <w:rStyle w:val="Hyperlink"/>
            <w:sz w:val="16"/>
            <w:szCs w:val="16"/>
          </w:rPr>
          <w:t>https://ec.europa.eu/environment/circular-economy/pdf/new_circular_economy_</w:t>
        </w:r>
        <w:r>
          <w:rPr>
            <w:rStyle w:val="Hyperlink"/>
            <w:sz w:val="16"/>
            <w:szCs w:val="16"/>
          </w:rPr>
          <w:t>action_plan.pdf</w:t>
        </w:r>
      </w:hyperlink>
      <w:r>
        <w:rPr>
          <w:sz w:val="16"/>
          <w:szCs w:val="16"/>
        </w:rPr>
        <w:t>.</w:t>
      </w:r>
    </w:p>
  </w:footnote>
  <w:footnote w:id="116">
    <w:p w:rsidR="00F47BB5" w:rsidRDefault="00A34992">
      <w:pPr>
        <w:spacing w:after="0"/>
        <w:rPr>
          <w:sz w:val="16"/>
          <w:szCs w:val="16"/>
        </w:rPr>
      </w:pPr>
      <w:r>
        <w:rPr>
          <w:sz w:val="16"/>
          <w:szCs w:val="16"/>
          <w:vertAlign w:val="superscript"/>
        </w:rPr>
        <w:footnoteRef/>
      </w:r>
      <w:r>
        <w:rPr>
          <w:sz w:val="16"/>
          <w:szCs w:val="16"/>
        </w:rPr>
        <w:t xml:space="preserve"> </w:t>
      </w:r>
      <w:hyperlink r:id="rId73" w:history="1">
        <w:r>
          <w:rPr>
            <w:rStyle w:val="Hyperlink"/>
            <w:sz w:val="16"/>
            <w:szCs w:val="16"/>
          </w:rPr>
          <w:t>https://ec.europa.eu/environment/circular-economy/pdf/leading_way_global_circular_economy.pdf</w:t>
        </w:r>
      </w:hyperlink>
      <w:r>
        <w:rPr>
          <w:sz w:val="16"/>
          <w:szCs w:val="16"/>
        </w:rPr>
        <w:t>.</w:t>
      </w:r>
    </w:p>
  </w:footnote>
  <w:footnote w:id="117">
    <w:p w:rsidR="00F47BB5" w:rsidRDefault="00A34992">
      <w:pPr>
        <w:pStyle w:val="FootnoteText"/>
        <w:spacing w:after="0"/>
        <w:ind w:left="0" w:firstLine="0"/>
        <w:rPr>
          <w:sz w:val="16"/>
          <w:szCs w:val="16"/>
        </w:rPr>
      </w:pPr>
      <w:r>
        <w:rPr>
          <w:rStyle w:val="FootnoteReference"/>
          <w:sz w:val="16"/>
          <w:szCs w:val="16"/>
        </w:rPr>
        <w:footnoteRef/>
      </w:r>
      <w:r>
        <w:rPr>
          <w:sz w:val="16"/>
          <w:szCs w:val="16"/>
        </w:rPr>
        <w:t>Treba poznamenať, že vplyv na ž</w:t>
      </w:r>
      <w:r>
        <w:rPr>
          <w:sz w:val="16"/>
          <w:szCs w:val="16"/>
        </w:rPr>
        <w:t>ivotné prostredie sa v prípade až 80 % výrobkov určuje vo fáze návrhu.</w:t>
      </w:r>
    </w:p>
  </w:footnote>
  <w:footnote w:id="118">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w:t>
      </w:r>
      <w:r>
        <w:rPr>
          <w:rStyle w:val="Hyperlink"/>
          <w:sz w:val="16"/>
          <w:szCs w:val="16"/>
        </w:rPr>
        <w:t>https://ec.europa.eu/environment/industry/</w:t>
      </w:r>
      <w:r>
        <w:rPr>
          <w:sz w:val="16"/>
          <w:szCs w:val="16"/>
        </w:rPr>
        <w:t>.</w:t>
      </w:r>
    </w:p>
  </w:footnote>
  <w:footnote w:id="119">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COM(2018) 673 a SWD(2018) 431, Udržateľné biohospodárstvo pre Európu: ako lepšie prepojiť hospodárstvo, spoločnosť a životné prostredie. </w:t>
      </w:r>
      <w:r>
        <w:rPr>
          <w:sz w:val="16"/>
          <w:szCs w:val="16"/>
        </w:rPr>
        <w:t xml:space="preserve">Správa združenia EuropaBio, 2016, Jobs and growth generated by industrial biotechnology in Europe </w:t>
      </w:r>
      <w:r>
        <w:rPr>
          <w:i/>
          <w:sz w:val="16"/>
          <w:szCs w:val="16"/>
        </w:rPr>
        <w:t>(Pracovné miesta a rast, ktoré v Európe generujú priemyselné biotechnológie)</w:t>
      </w:r>
      <w:r>
        <w:rPr>
          <w:sz w:val="16"/>
          <w:szCs w:val="16"/>
        </w:rPr>
        <w:t>.</w:t>
      </w:r>
    </w:p>
  </w:footnote>
  <w:footnote w:id="120">
    <w:p w:rsidR="00F47BB5" w:rsidRDefault="00A34992">
      <w:pPr>
        <w:spacing w:after="0"/>
        <w:rPr>
          <w:sz w:val="16"/>
          <w:szCs w:val="16"/>
          <w:vertAlign w:val="superscript"/>
        </w:rPr>
      </w:pPr>
      <w:r>
        <w:rPr>
          <w:sz w:val="16"/>
          <w:szCs w:val="16"/>
          <w:vertAlign w:val="superscript"/>
        </w:rPr>
        <w:footnoteRef/>
      </w:r>
      <w:r>
        <w:rPr>
          <w:sz w:val="16"/>
          <w:szCs w:val="16"/>
        </w:rPr>
        <w:t xml:space="preserve"> </w:t>
      </w:r>
      <w:hyperlink r:id="rId74" w:history="1">
        <w:r>
          <w:rPr>
            <w:rStyle w:val="Hyperlink"/>
            <w:sz w:val="16"/>
            <w:szCs w:val="16"/>
          </w:rPr>
          <w:t>https:/</w:t>
        </w:r>
        <w:r>
          <w:rPr>
            <w:rStyle w:val="Hyperlink"/>
            <w:sz w:val="16"/>
            <w:szCs w:val="16"/>
          </w:rPr>
          <w:t>/ec.europa.eu/clima/policies/innovation-fund_en</w:t>
        </w:r>
      </w:hyperlink>
      <w:r>
        <w:rPr>
          <w:sz w:val="16"/>
          <w:szCs w:val="16"/>
        </w:rPr>
        <w:t>.</w:t>
      </w:r>
    </w:p>
  </w:footnote>
  <w:footnote w:id="121">
    <w:p w:rsidR="00F47BB5" w:rsidRDefault="00A34992">
      <w:pPr>
        <w:spacing w:after="0"/>
        <w:rPr>
          <w:rStyle w:val="Hyperlink"/>
          <w:sz w:val="16"/>
          <w:szCs w:val="16"/>
        </w:rPr>
      </w:pPr>
      <w:r>
        <w:rPr>
          <w:rStyle w:val="FootnoteReference"/>
          <w:sz w:val="16"/>
          <w:szCs w:val="16"/>
        </w:rPr>
        <w:footnoteRef/>
      </w:r>
      <w:r>
        <w:rPr>
          <w:sz w:val="16"/>
          <w:szCs w:val="16"/>
        </w:rPr>
        <w:t xml:space="preserve"> </w:t>
      </w:r>
      <w:r>
        <w:rPr>
          <w:rStyle w:val="Hyperlink"/>
          <w:sz w:val="16"/>
          <w:szCs w:val="16"/>
        </w:rPr>
        <w:t>https://ec.europa.eu/commission/presscorner/detail/sk/qanda_20_24</w:t>
      </w:r>
      <w:r>
        <w:rPr>
          <w:sz w:val="16"/>
          <w:szCs w:val="16"/>
        </w:rPr>
        <w:t>.</w:t>
      </w:r>
    </w:p>
  </w:footnote>
  <w:footnote w:id="122">
    <w:p w:rsidR="00F47BB5" w:rsidRDefault="00A34992">
      <w:pPr>
        <w:spacing w:after="0"/>
        <w:rPr>
          <w:sz w:val="16"/>
          <w:szCs w:val="16"/>
        </w:rPr>
      </w:pPr>
      <w:r>
        <w:rPr>
          <w:sz w:val="16"/>
          <w:szCs w:val="16"/>
          <w:vertAlign w:val="superscript"/>
        </w:rPr>
        <w:footnoteRef/>
      </w:r>
      <w:r>
        <w:rPr>
          <w:sz w:val="16"/>
          <w:szCs w:val="16"/>
        </w:rPr>
        <w:t xml:space="preserve"> </w:t>
      </w:r>
      <w:hyperlink r:id="rId75">
        <w:r>
          <w:rPr>
            <w:color w:val="1155CC"/>
            <w:sz w:val="16"/>
            <w:szCs w:val="16"/>
            <w:u w:val="single"/>
          </w:rPr>
          <w:t>https://ec.europa.eu/commission/presscorner/detail/en/</w:t>
        </w:r>
        <w:r>
          <w:rPr>
            <w:color w:val="1155CC"/>
            <w:sz w:val="16"/>
            <w:szCs w:val="16"/>
            <w:u w:val="single"/>
          </w:rPr>
          <w:t>fs_20_48</w:t>
        </w:r>
      </w:hyperlink>
      <w:r>
        <w:rPr>
          <w:sz w:val="16"/>
          <w:szCs w:val="16"/>
        </w:rPr>
        <w:t>.</w:t>
      </w:r>
    </w:p>
  </w:footnote>
  <w:footnote w:id="123">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Takzvané zohľadňovanie problematiky klímy. Pozri: </w:t>
      </w:r>
      <w:hyperlink r:id="rId76" w:history="1">
        <w:r>
          <w:rPr>
            <w:rStyle w:val="Hyperlink"/>
            <w:sz w:val="16"/>
            <w:szCs w:val="16"/>
          </w:rPr>
          <w:t>https://www.consilium.europa.eu/media/45109/210720-euco-final-conclusions-en.pdf</w:t>
        </w:r>
      </w:hyperlink>
      <w:r>
        <w:rPr>
          <w:sz w:val="16"/>
          <w:szCs w:val="16"/>
        </w:rPr>
        <w:t>.</w:t>
      </w:r>
    </w:p>
  </w:footnote>
  <w:footnote w:id="124">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Zásada „neškodiť“ znamená, že žiadna činnosť ani financovanie neohrozí ani nenaruší ciele v oblasti klímy alebo životného prostredia.</w:t>
      </w:r>
    </w:p>
  </w:footnote>
  <w:footnote w:id="125">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w:t>
      </w:r>
      <w:hyperlink r:id="rId77" w:history="1">
        <w:r>
          <w:rPr>
            <w:rStyle w:val="Hyperlink"/>
            <w:sz w:val="16"/>
            <w:szCs w:val="16"/>
          </w:rPr>
          <w:t>https://ec.europa.eu/info/strategy/priorities-2019-2024/european-green-deal/actions-being-taken-eu/just-transition-mechanism/just-transition-funding-sources_sk</w:t>
        </w:r>
      </w:hyperlink>
      <w:r>
        <w:rPr>
          <w:sz w:val="16"/>
          <w:szCs w:val="16"/>
        </w:rPr>
        <w:t>.</w:t>
      </w:r>
    </w:p>
  </w:footnote>
  <w:footnote w:id="126">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V </w:t>
      </w:r>
      <w:r>
        <w:rPr>
          <w:color w:val="000000"/>
          <w:sz w:val="16"/>
          <w:szCs w:val="16"/>
        </w:rPr>
        <w:t>správe o stave životného prostredi</w:t>
      </w:r>
      <w:r>
        <w:rPr>
          <w:color w:val="000000"/>
          <w:sz w:val="16"/>
          <w:szCs w:val="16"/>
        </w:rPr>
        <w:t>a v Európe za rok 2020 sa dospelo k záveru, že zmena klímy výrazne zvýšila výskyt extrémnej klímy a počasia.</w:t>
      </w:r>
    </w:p>
  </w:footnote>
  <w:footnote w:id="127">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w:t>
      </w:r>
      <w:hyperlink r:id="rId78" w:history="1">
        <w:r>
          <w:rPr>
            <w:rStyle w:val="Hyperlink"/>
            <w:sz w:val="16"/>
            <w:szCs w:val="16"/>
          </w:rPr>
          <w:t>https://ec.europa.eu/jrc/en/peseta-iv</w:t>
        </w:r>
      </w:hyperlink>
      <w:r>
        <w:rPr>
          <w:sz w:val="16"/>
          <w:szCs w:val="16"/>
        </w:rPr>
        <w:t>.</w:t>
      </w:r>
    </w:p>
  </w:footnote>
  <w:footnote w:id="128">
    <w:p w:rsidR="00F47BB5" w:rsidRDefault="00A34992">
      <w:pPr>
        <w:pStyle w:val="FootnoteText"/>
        <w:spacing w:after="0"/>
        <w:ind w:left="0" w:firstLine="0"/>
        <w:rPr>
          <w:sz w:val="16"/>
          <w:szCs w:val="16"/>
        </w:rPr>
      </w:pPr>
      <w:r>
        <w:rPr>
          <w:rStyle w:val="FootnoteReference"/>
          <w:sz w:val="16"/>
          <w:szCs w:val="16"/>
        </w:rPr>
        <w:footnoteRef/>
      </w:r>
      <w:r>
        <w:rPr>
          <w:sz w:val="16"/>
          <w:szCs w:val="16"/>
        </w:rPr>
        <w:t>Epidemiologické štúdie podporujú záver, že PFOS a P</w:t>
      </w:r>
      <w:r>
        <w:rPr>
          <w:sz w:val="16"/>
          <w:szCs w:val="16"/>
        </w:rPr>
        <w:t xml:space="preserve">FOA sú spojené so zníženou protilátkovou odpoveďou na očkovanie; </w:t>
      </w:r>
      <w:hyperlink r:id="rId79" w:history="1">
        <w:r>
          <w:rPr>
            <w:rStyle w:val="Hyperlink"/>
            <w:sz w:val="16"/>
            <w:szCs w:val="16"/>
          </w:rPr>
          <w:t>Vedecké stanovisko EFSA k látkam PFAS</w:t>
        </w:r>
      </w:hyperlink>
      <w:r>
        <w:t>.</w:t>
      </w:r>
    </w:p>
  </w:footnote>
  <w:footnote w:id="129">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C&amp;en, 2</w:t>
      </w:r>
      <w:r>
        <w:rPr>
          <w:sz w:val="16"/>
          <w:szCs w:val="16"/>
        </w:rPr>
        <w:t xml:space="preserve">019, </w:t>
      </w:r>
      <w:hyperlink r:id="rId80" w:history="1">
        <w:r>
          <w:rPr>
            <w:rStyle w:val="Hyperlink"/>
            <w:sz w:val="16"/>
            <w:szCs w:val="16"/>
          </w:rPr>
          <w:t xml:space="preserve">Linking pollution and infectious disease </w:t>
        </w:r>
        <w:r>
          <w:rPr>
            <w:rStyle w:val="Hyperlink"/>
            <w:i/>
            <w:sz w:val="16"/>
            <w:szCs w:val="16"/>
          </w:rPr>
          <w:t>(Vzťah medzi znečistením a infekčnými ochoreniami)</w:t>
        </w:r>
      </w:hyperlink>
      <w:r>
        <w:rPr>
          <w:sz w:val="16"/>
          <w:szCs w:val="16"/>
        </w:rPr>
        <w:t>; Science Daily, 2. októbra 2019,</w:t>
      </w:r>
      <w:hyperlink r:id="rId81" w:history="1">
        <w:r>
          <w:rPr>
            <w:rStyle w:val="Hyperlink"/>
            <w:sz w:val="16"/>
            <w:szCs w:val="16"/>
          </w:rPr>
          <w:t xml:space="preserve"> Environmental toxins impair immune system over multiple generations</w:t>
        </w:r>
      </w:hyperlink>
      <w:r>
        <w:t xml:space="preserve"> </w:t>
      </w:r>
      <w:r>
        <w:rPr>
          <w:sz w:val="16"/>
          <w:szCs w:val="16"/>
        </w:rPr>
        <w:t>(</w:t>
      </w:r>
      <w:r>
        <w:rPr>
          <w:i/>
          <w:sz w:val="16"/>
          <w:szCs w:val="16"/>
        </w:rPr>
        <w:t>Toxíny v životnom prostredí narúšajú imunitný systém viacerých generácií</w:t>
      </w:r>
      <w:r>
        <w:rPr>
          <w:sz w:val="16"/>
          <w:szCs w:val="16"/>
        </w:rPr>
        <w:t>). Vystavenie endokrinným disruptorom môže poško</w:t>
      </w:r>
      <w:r>
        <w:rPr>
          <w:sz w:val="16"/>
          <w:szCs w:val="16"/>
        </w:rPr>
        <w:t>diť vývoj endokrinných, imunitných alebo neurologických systémov.</w:t>
      </w:r>
    </w:p>
  </w:footnote>
  <w:footnote w:id="130">
    <w:p w:rsidR="00F47BB5" w:rsidRDefault="00A34992">
      <w:pPr>
        <w:pStyle w:val="FootnoteText"/>
        <w:spacing w:after="0"/>
        <w:ind w:left="0" w:firstLine="0"/>
        <w:rPr>
          <w:sz w:val="16"/>
          <w:szCs w:val="16"/>
        </w:rPr>
      </w:pPr>
      <w:r>
        <w:rPr>
          <w:rStyle w:val="FootnoteReference"/>
          <w:sz w:val="16"/>
          <w:szCs w:val="16"/>
        </w:rPr>
        <w:footnoteRef/>
      </w:r>
      <w:r>
        <w:rPr>
          <w:sz w:val="16"/>
          <w:szCs w:val="16"/>
        </w:rPr>
        <w:t>Cieľ udržateľného rozvoja 12.4, ktorý sa má dosiahnuť do roku 2020.</w:t>
      </w:r>
    </w:p>
  </w:footnote>
  <w:footnote w:id="131">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Global Chemical Outlook II </w:t>
      </w:r>
      <w:r>
        <w:rPr>
          <w:i/>
          <w:sz w:val="16"/>
          <w:szCs w:val="16"/>
        </w:rPr>
        <w:t>(Globálny výhľad v oblasti chemických látok II)</w:t>
      </w:r>
      <w:r>
        <w:rPr>
          <w:sz w:val="16"/>
          <w:szCs w:val="16"/>
        </w:rPr>
        <w:t>, 2019.</w:t>
      </w:r>
    </w:p>
  </w:footnote>
  <w:footnote w:id="132">
    <w:p w:rsidR="00F47BB5" w:rsidRDefault="00A34992">
      <w:pPr>
        <w:pStyle w:val="FootnoteText"/>
        <w:spacing w:after="0"/>
        <w:ind w:left="0" w:firstLine="0"/>
        <w:rPr>
          <w:sz w:val="16"/>
          <w:szCs w:val="16"/>
        </w:rPr>
      </w:pPr>
      <w:r>
        <w:rPr>
          <w:rStyle w:val="FootnoteReference"/>
          <w:sz w:val="16"/>
          <w:szCs w:val="16"/>
        </w:rPr>
        <w:footnoteRef/>
      </w:r>
      <w:r>
        <w:rPr>
          <w:sz w:val="16"/>
          <w:szCs w:val="16"/>
        </w:rPr>
        <w:t>Únik uhlíka sa vzťahuje na situáciu,</w:t>
      </w:r>
      <w:r>
        <w:rPr>
          <w:sz w:val="16"/>
          <w:szCs w:val="16"/>
        </w:rPr>
        <w:t xml:space="preserve"> ktorá môže nastať, ak by podniky z dôvodu nákladov súvisiacich s politikami v oblasti klímy presunuli výrobu do iných krajín s menej prísnymi emisnými obmedzeniami.</w:t>
      </w:r>
    </w:p>
  </w:footnote>
  <w:footnote w:id="133">
    <w:p w:rsidR="00F47BB5" w:rsidRDefault="00A34992">
      <w:pPr>
        <w:pStyle w:val="PlainText"/>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sz w:val="16"/>
          <w:szCs w:val="16"/>
        </w:rPr>
        <w:t xml:space="preserve"> Správa Interpolu o strategickej analýze, 2020</w:t>
      </w:r>
      <w:r>
        <w:rPr>
          <w:rFonts w:ascii="Times New Roman" w:hAnsi="Times New Roman"/>
          <w:sz w:val="16"/>
        </w:rPr>
        <w:t>, Emerging criminal trends in the global pl</w:t>
      </w:r>
      <w:r>
        <w:rPr>
          <w:rFonts w:ascii="Times New Roman" w:hAnsi="Times New Roman"/>
          <w:sz w:val="16"/>
        </w:rPr>
        <w:t>astic waste market since January 2018 (</w:t>
      </w:r>
      <w:r>
        <w:rPr>
          <w:rFonts w:ascii="Times New Roman" w:hAnsi="Times New Roman"/>
          <w:i/>
          <w:sz w:val="16"/>
        </w:rPr>
        <w:t>Nové zločinecké trendy na globálnom trhu s plastovým odpadom od januára 2018</w:t>
      </w:r>
      <w:r>
        <w:rPr>
          <w:rFonts w:ascii="Times New Roman" w:hAnsi="Times New Roman"/>
          <w:sz w:val="16"/>
        </w:rPr>
        <w:t xml:space="preserve">), </w:t>
      </w:r>
      <w:r>
        <w:rPr>
          <w:rFonts w:ascii="Times New Roman" w:hAnsi="Times New Roman"/>
          <w:color w:val="000000"/>
          <w:sz w:val="16"/>
          <w:szCs w:val="16"/>
        </w:rPr>
        <w:t>(</w:t>
      </w:r>
      <w:hyperlink r:id="rId82" w:history="1">
        <w:r>
          <w:rPr>
            <w:rStyle w:val="Hyperlink"/>
            <w:rFonts w:ascii="Times New Roman" w:hAnsi="Times New Roman"/>
            <w:sz w:val="16"/>
            <w:szCs w:val="16"/>
          </w:rPr>
          <w:t>https://www.interpol.int/News-and-Events/News/2020/INTERPOL-report-alerts-to-sharp-rise-in-plastic-waste-crime</w:t>
        </w:r>
      </w:hyperlink>
      <w:r>
        <w:rPr>
          <w:rFonts w:ascii="Times New Roman" w:hAnsi="Times New Roman"/>
          <w:color w:val="000000"/>
          <w:sz w:val="16"/>
          <w:szCs w:val="16"/>
        </w:rPr>
        <w:t>)</w:t>
      </w:r>
    </w:p>
  </w:footnote>
  <w:footnote w:id="134">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w:t>
      </w:r>
      <w:hyperlink r:id="rId83" w:history="1">
        <w:r>
          <w:rPr>
            <w:rStyle w:val="Hyperlink"/>
            <w:sz w:val="16"/>
            <w:szCs w:val="16"/>
          </w:rPr>
          <w:t>http://www.oecd.org/economy/greeneco/How-str</w:t>
        </w:r>
        <w:r>
          <w:rPr>
            <w:rStyle w:val="Hyperlink"/>
            <w:sz w:val="16"/>
            <w:szCs w:val="16"/>
          </w:rPr>
          <w:t>ingent-are-environmental-policies.pdf</w:t>
        </w:r>
      </w:hyperlink>
      <w:r>
        <w:rPr>
          <w:sz w:val="16"/>
          <w:szCs w:val="16"/>
        </w:rPr>
        <w:t>.</w:t>
      </w:r>
    </w:p>
  </w:footnote>
  <w:footnote w:id="135">
    <w:p w:rsidR="00F47BB5" w:rsidRDefault="00A34992">
      <w:pPr>
        <w:spacing w:after="0"/>
        <w:rPr>
          <w:sz w:val="16"/>
          <w:szCs w:val="16"/>
        </w:rPr>
      </w:pPr>
      <w:r>
        <w:rPr>
          <w:sz w:val="16"/>
          <w:szCs w:val="16"/>
          <w:vertAlign w:val="superscript"/>
        </w:rPr>
        <w:footnoteRef/>
      </w:r>
      <w:r>
        <w:rPr>
          <w:sz w:val="16"/>
          <w:szCs w:val="16"/>
        </w:rPr>
        <w:t>Vystavenie znečisteniu ovzdušia môže mať nepriaznivé účinky na zdravie a spôsobiť aj respiračné a kardiovaskulárne ochorenia. Niekoľko zdravotníckych orgánov varovalo, že občania trpiaci na niektoré už diagnostikovan</w:t>
      </w:r>
      <w:r>
        <w:rPr>
          <w:sz w:val="16"/>
          <w:szCs w:val="16"/>
        </w:rPr>
        <w:t>é ochorenia, napríklad respiračné ochorenia, môžu byť náchylnejší na COVID-19.  V súčasnosti však nie je jasné, či a do akej miery by pokračujúce vystavenie znečisteniu ovzdušia mohlo zhoršiť stav osôb infikovaných vírusom. Žiada sa ďalší epidemiologický v</w:t>
      </w:r>
      <w:r>
        <w:rPr>
          <w:sz w:val="16"/>
          <w:szCs w:val="16"/>
        </w:rPr>
        <w:t>ýskum (</w:t>
      </w:r>
      <w:hyperlink r:id="rId84" w:history="1">
        <w:r>
          <w:rPr>
            <w:rStyle w:val="Hyperlink"/>
            <w:sz w:val="16"/>
            <w:szCs w:val="16"/>
          </w:rPr>
          <w:t>https://www.eea.europa.eu/themes/air/air-quality-and-covid19</w:t>
        </w:r>
      </w:hyperlink>
      <w:r>
        <w:rPr>
          <w:sz w:val="16"/>
          <w:szCs w:val="16"/>
        </w:rPr>
        <w:t>).</w:t>
      </w:r>
    </w:p>
  </w:footnote>
  <w:footnote w:id="136">
    <w:p w:rsidR="00F47BB5" w:rsidRDefault="00A34992">
      <w:pPr>
        <w:spacing w:after="0"/>
        <w:rPr>
          <w:sz w:val="16"/>
          <w:szCs w:val="16"/>
        </w:rPr>
      </w:pPr>
      <w:r>
        <w:rPr>
          <w:sz w:val="16"/>
          <w:szCs w:val="16"/>
          <w:vertAlign w:val="superscript"/>
        </w:rPr>
        <w:footnoteRef/>
      </w:r>
      <w:r>
        <w:rPr>
          <w:sz w:val="16"/>
          <w:szCs w:val="16"/>
        </w:rPr>
        <w:t xml:space="preserve"> </w:t>
      </w:r>
      <w:hyperlink r:id="rId85" w:history="1">
        <w:r>
          <w:rPr>
            <w:rStyle w:val="Hyperlink"/>
            <w:sz w:val="16"/>
            <w:szCs w:val="16"/>
          </w:rPr>
          <w:t>https://ec.europa.eu/research/en</w:t>
        </w:r>
        <w:r>
          <w:rPr>
            <w:rStyle w:val="Hyperlink"/>
            <w:sz w:val="16"/>
            <w:szCs w:val="16"/>
          </w:rPr>
          <w:t>vironment/index.cfm?pg=nbs</w:t>
        </w:r>
      </w:hyperlink>
      <w:r>
        <w:rPr>
          <w:sz w:val="16"/>
          <w:szCs w:val="16"/>
        </w:rPr>
        <w:t xml:space="preserve"> .</w:t>
      </w:r>
    </w:p>
  </w:footnote>
  <w:footnote w:id="137">
    <w:p w:rsidR="00F47BB5" w:rsidRDefault="00A34992">
      <w:pPr>
        <w:pStyle w:val="FootnoteText"/>
        <w:spacing w:after="0"/>
        <w:ind w:left="0" w:firstLine="0"/>
        <w:rPr>
          <w:sz w:val="16"/>
          <w:szCs w:val="16"/>
        </w:rPr>
      </w:pPr>
      <w:r>
        <w:rPr>
          <w:rStyle w:val="FootnoteReference"/>
          <w:sz w:val="16"/>
          <w:szCs w:val="16"/>
        </w:rPr>
        <w:footnoteRef/>
      </w:r>
      <w:r>
        <w:rPr>
          <w:sz w:val="16"/>
          <w:szCs w:val="16"/>
        </w:rPr>
        <w:t>Približne 75 % všetkých nových infekčných chorôb vo svete prešlo z voľne žijúcich zvierat na ľudí (</w:t>
      </w:r>
      <w:hyperlink r:id="rId86" w:history="1">
        <w:r>
          <w:rPr>
            <w:rStyle w:val="Hyperlink"/>
            <w:sz w:val="16"/>
            <w:szCs w:val="16"/>
          </w:rPr>
          <w:t>www.ncbi.nlm.nih.gov/pmc/articles/PMC5711319/</w:t>
        </w:r>
      </w:hyperlink>
      <w:r>
        <w:rPr>
          <w:rStyle w:val="Hyperlink"/>
          <w:color w:val="auto"/>
          <w:sz w:val="16"/>
          <w:szCs w:val="16"/>
          <w:u w:val="none"/>
        </w:rPr>
        <w:t>).</w:t>
      </w:r>
    </w:p>
  </w:footnote>
  <w:footnote w:id="138">
    <w:p w:rsidR="00F47BB5" w:rsidRDefault="00A34992">
      <w:pPr>
        <w:spacing w:after="0"/>
        <w:rPr>
          <w:sz w:val="16"/>
          <w:szCs w:val="16"/>
        </w:rPr>
      </w:pPr>
      <w:r>
        <w:rPr>
          <w:sz w:val="16"/>
          <w:szCs w:val="16"/>
          <w:vertAlign w:val="superscript"/>
        </w:rPr>
        <w:footnoteRef/>
      </w:r>
      <w:r>
        <w:rPr>
          <w:sz w:val="16"/>
          <w:szCs w:val="16"/>
        </w:rPr>
        <w:t> Riešenia inšpirované prírodou môžu pripraviť pôdu pre konkurencieschopnejšie a ekologickejšie hospodárstvo, ktoré efektívnejšie využíva zdroje, a vďaka výrobe a poskytovaniu nových výrobkov a služieb, ktoré prírodu skôr zveľaďujú než vyčerpávajú, môžu pri</w:t>
      </w:r>
      <w:r>
        <w:rPr>
          <w:sz w:val="16"/>
          <w:szCs w:val="16"/>
        </w:rPr>
        <w:t>niesť nové pracovné miesta a hospodársky rast (</w:t>
      </w:r>
      <w:hyperlink r:id="rId87" w:history="1">
        <w:r>
          <w:rPr>
            <w:rStyle w:val="Hyperlink"/>
            <w:sz w:val="16"/>
            <w:szCs w:val="16"/>
          </w:rPr>
          <w:t>https://ec.europa.eu/research/environment/index.cfm?pg=nbs</w:t>
        </w:r>
      </w:hyperlink>
      <w:r>
        <w:rPr>
          <w:rStyle w:val="Hyperlink"/>
          <w:color w:val="auto"/>
          <w:sz w:val="16"/>
          <w:szCs w:val="16"/>
          <w:u w:val="none"/>
        </w:rPr>
        <w:t>).</w:t>
      </w:r>
    </w:p>
  </w:footnote>
  <w:footnote w:id="139">
    <w:p w:rsidR="00F47BB5" w:rsidRDefault="00A34992">
      <w:pPr>
        <w:spacing w:after="0"/>
        <w:rPr>
          <w:sz w:val="16"/>
          <w:szCs w:val="16"/>
        </w:rPr>
      </w:pPr>
      <w:r>
        <w:rPr>
          <w:sz w:val="16"/>
          <w:szCs w:val="16"/>
          <w:vertAlign w:val="superscript"/>
        </w:rPr>
        <w:footnoteRef/>
      </w:r>
      <w:r>
        <w:rPr>
          <w:sz w:val="16"/>
          <w:szCs w:val="16"/>
        </w:rPr>
        <w:t xml:space="preserve"> </w:t>
      </w:r>
      <w:hyperlink r:id="rId88">
        <w:r>
          <w:rPr>
            <w:color w:val="1155CC"/>
            <w:sz w:val="16"/>
            <w:szCs w:val="16"/>
            <w:u w:val="single"/>
          </w:rPr>
          <w:t>https://www.ethicalcorp.com/wake-call-we-must-live-within-our-planetary-boundaries-avoid-future-pandemics</w:t>
        </w:r>
      </w:hyperlink>
      <w:r>
        <w:rPr>
          <w:sz w:val="16"/>
          <w:szCs w:val="16"/>
        </w:rPr>
        <w:t>.</w:t>
      </w:r>
    </w:p>
  </w:footnote>
  <w:footnote w:id="140">
    <w:p w:rsidR="00F47BB5" w:rsidRDefault="00A34992">
      <w:pPr>
        <w:pStyle w:val="FootnoteText"/>
        <w:spacing w:after="0"/>
        <w:ind w:left="0" w:firstLine="0"/>
        <w:rPr>
          <w:sz w:val="16"/>
          <w:szCs w:val="16"/>
        </w:rPr>
      </w:pPr>
      <w:r>
        <w:rPr>
          <w:rStyle w:val="FootnoteReference"/>
          <w:sz w:val="16"/>
          <w:szCs w:val="16"/>
        </w:rPr>
        <w:footnoteRef/>
      </w:r>
      <w:r>
        <w:rPr>
          <w:rStyle w:val="Hyperlink"/>
          <w:sz w:val="16"/>
          <w:szCs w:val="16"/>
        </w:rPr>
        <w:t xml:space="preserve"> https://www.overshootday.org</w:t>
      </w:r>
      <w:r>
        <w:rPr>
          <w:sz w:val="16"/>
          <w:szCs w:val="16"/>
        </w:rPr>
        <w:t>.</w:t>
      </w:r>
    </w:p>
  </w:footnote>
  <w:footnote w:id="141">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w:t>
      </w:r>
      <w:r>
        <w:rPr>
          <w:color w:val="1155CC"/>
          <w:sz w:val="16"/>
          <w:szCs w:val="16"/>
          <w:u w:val="single"/>
        </w:rPr>
        <w:t>https://ec.europa.eu/environment/circular-economy/pdf/leading_way_global_circular_economy.pdf</w:t>
      </w:r>
      <w:r>
        <w:rPr>
          <w:sz w:val="16"/>
          <w:szCs w:val="16"/>
        </w:rPr>
        <w:t>.</w:t>
      </w:r>
    </w:p>
  </w:footnote>
  <w:footnote w:id="142">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Napríklad vo výskumnom projekte Spoločného výskumného centra Komisie „Budúcnosť správy 2030+“ sa skúmali meniace sa mocenské vzťahy v spoločnosti a nové modely </w:t>
      </w:r>
      <w:r>
        <w:rPr>
          <w:sz w:val="16"/>
          <w:szCs w:val="16"/>
        </w:rPr>
        <w:t>a aktéri riadenia. V tomto projekte sa zisťovalo, ako nové druhy politických inštitúcií (ako je napr. Európsky parlament starostov) posilňujú spojenectvá miestnych samospráv a ako možno prostredníctvom občianskych rád intenzívnejšie zapojiť jednotlivcov do</w:t>
      </w:r>
      <w:r>
        <w:rPr>
          <w:sz w:val="16"/>
          <w:szCs w:val="16"/>
        </w:rPr>
        <w:t xml:space="preserve"> tvorby politík. Súčasne prišiel s návrhom, ako zlepšiť súčinnosť medzi verejným a súkromným sektorom (najmä s kultúrou startupov) (</w:t>
      </w:r>
      <w:hyperlink r:id="rId89" w:history="1">
        <w:r>
          <w:rPr>
            <w:rStyle w:val="Hyperlink"/>
            <w:sz w:val="16"/>
            <w:szCs w:val="16"/>
          </w:rPr>
          <w:t>https://ec.europa.eu/jrc/en/publication/eur-scientific-and-technical-research-reports/future-government-2030-policy-implications-and-recommendations</w:t>
        </w:r>
      </w:hyperlink>
      <w:r>
        <w:rPr>
          <w:sz w:val="16"/>
          <w:szCs w:val="16"/>
        </w:rPr>
        <w:t>). Komisia takisto skúma „ekonomiku prstenca (</w:t>
      </w:r>
      <w:r>
        <w:rPr>
          <w:i/>
          <w:sz w:val="16"/>
          <w:szCs w:val="16"/>
        </w:rPr>
        <w:t>doughnut economics</w:t>
      </w:r>
      <w:r>
        <w:rPr>
          <w:sz w:val="16"/>
          <w:szCs w:val="16"/>
        </w:rPr>
        <w:t>)“,</w:t>
      </w:r>
      <w:r>
        <w:rPr>
          <w:sz w:val="16"/>
          <w:szCs w:val="16"/>
        </w:rPr>
        <w:t xml:space="preserve"> ktorá bola úspešne otestovaná na mestskej úrovni v Amsterdame (</w:t>
      </w:r>
      <w:hyperlink r:id="rId90" w:history="1">
        <w:r>
          <w:rPr>
            <w:rStyle w:val="Hyperlink"/>
            <w:sz w:val="16"/>
            <w:szCs w:val="16"/>
          </w:rPr>
          <w:t>https://www.kateraworth.com/wp/wp-content/uploads/2020/04/20200416-A</w:t>
        </w:r>
        <w:r>
          <w:rPr>
            <w:rStyle w:val="Hyperlink"/>
            <w:sz w:val="16"/>
            <w:szCs w:val="16"/>
          </w:rPr>
          <w:t>MS-portrait-EN-Spread-web-420x210mm.pdf</w:t>
        </w:r>
      </w:hyperlink>
      <w:r>
        <w:rPr>
          <w:rStyle w:val="Hyperlink"/>
          <w:color w:val="auto"/>
          <w:sz w:val="16"/>
          <w:szCs w:val="16"/>
          <w:u w:val="none"/>
        </w:rPr>
        <w:t>).</w:t>
      </w:r>
      <w:r>
        <w:rPr>
          <w:sz w:val="16"/>
          <w:szCs w:val="16"/>
        </w:rPr>
        <w:t xml:space="preserve"> </w:t>
      </w:r>
    </w:p>
  </w:footnote>
  <w:footnote w:id="143">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w:t>
      </w:r>
      <w:hyperlink r:id="rId91" w:history="1">
        <w:r>
          <w:rPr>
            <w:rStyle w:val="Hyperlink"/>
            <w:sz w:val="16"/>
            <w:szCs w:val="16"/>
          </w:rPr>
          <w:t>https://ec.europa.eu/social/main.jsp?catId=738&amp;langId=en&amp;pubId=8219</w:t>
        </w:r>
      </w:hyperlink>
      <w:r>
        <w:rPr>
          <w:sz w:val="16"/>
          <w:szCs w:val="16"/>
        </w:rPr>
        <w:t>,</w:t>
      </w:r>
      <w:hyperlink r:id="rId92" w:history="1">
        <w:r>
          <w:rPr>
            <w:rStyle w:val="Hyperlink"/>
            <w:sz w:val="16"/>
            <w:szCs w:val="16"/>
          </w:rPr>
          <w:t>https://ec.europa.eu/jrc/en/publication/eur-scientific-and-technical-research-reports/clean-energy-technologies-coal-regions</w:t>
        </w:r>
      </w:hyperlink>
      <w:r>
        <w:rPr>
          <w:sz w:val="16"/>
          <w:szCs w:val="16"/>
        </w:rPr>
        <w:t>.</w:t>
      </w:r>
    </w:p>
  </w:footnote>
  <w:footnote w:id="144">
    <w:p w:rsidR="00F47BB5" w:rsidRDefault="00A34992">
      <w:pPr>
        <w:spacing w:after="0"/>
        <w:rPr>
          <w:sz w:val="16"/>
          <w:szCs w:val="16"/>
        </w:rPr>
      </w:pPr>
      <w:r>
        <w:rPr>
          <w:sz w:val="16"/>
          <w:szCs w:val="16"/>
          <w:vertAlign w:val="superscript"/>
        </w:rPr>
        <w:footnoteRef/>
      </w:r>
      <w:r>
        <w:rPr>
          <w:sz w:val="16"/>
          <w:szCs w:val="16"/>
        </w:rPr>
        <w:t> Environmentálny priemysel zahŕňa činnosti, kto</w:t>
      </w:r>
      <w:r>
        <w:rPr>
          <w:sz w:val="16"/>
          <w:szCs w:val="16"/>
        </w:rPr>
        <w:t>ré produkujú tovary a služby na meranie, prevenciu, obmedzovanie, minimalizovanie alebo nápravu environmentálnych škôd spôsobených na vode, ovzduší a pôde, ako aj problémov súvisiacich s odpadom, hlukom a ekosystémami.</w:t>
      </w:r>
    </w:p>
  </w:footnote>
  <w:footnote w:id="145">
    <w:p w:rsidR="00F47BB5" w:rsidRDefault="00A34992">
      <w:pPr>
        <w:spacing w:after="0"/>
        <w:rPr>
          <w:sz w:val="16"/>
          <w:szCs w:val="16"/>
        </w:rPr>
      </w:pPr>
      <w:r>
        <w:rPr>
          <w:sz w:val="16"/>
          <w:szCs w:val="16"/>
          <w:vertAlign w:val="superscript"/>
        </w:rPr>
        <w:footnoteRef/>
      </w:r>
      <w:r>
        <w:rPr>
          <w:sz w:val="16"/>
          <w:szCs w:val="16"/>
        </w:rPr>
        <w:t xml:space="preserve"> Hlavná správa MOP, </w:t>
      </w:r>
      <w:r>
        <w:rPr>
          <w:sz w:val="16"/>
        </w:rPr>
        <w:t>World employment</w:t>
      </w:r>
      <w:r>
        <w:rPr>
          <w:sz w:val="16"/>
        </w:rPr>
        <w:t xml:space="preserve"> and social outlook 2018 „Greening with Jobs“</w:t>
      </w:r>
      <w:r>
        <w:rPr>
          <w:i/>
          <w:sz w:val="16"/>
          <w:szCs w:val="16"/>
        </w:rPr>
        <w:t xml:space="preserve"> (Svetová zamestnanosť a sociálny výhľad 2018 „Zelená premena a pracovné miesta“).</w:t>
      </w:r>
    </w:p>
  </w:footnote>
  <w:footnote w:id="146">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w:t>
      </w:r>
      <w:hyperlink r:id="rId93" w:history="1">
        <w:r>
          <w:rPr>
            <w:rStyle w:val="Hyperlink"/>
            <w:sz w:val="16"/>
            <w:szCs w:val="16"/>
          </w:rPr>
          <w:t>https://ec.europa.eu/social/main.jsp?catId</w:t>
        </w:r>
        <w:r>
          <w:rPr>
            <w:rStyle w:val="Hyperlink"/>
            <w:sz w:val="16"/>
            <w:szCs w:val="16"/>
          </w:rPr>
          <w:t>=738&amp;langId=en&amp;pubId=8219</w:t>
        </w:r>
      </w:hyperlink>
      <w:r>
        <w:rPr>
          <w:sz w:val="16"/>
          <w:szCs w:val="16"/>
        </w:rPr>
        <w:t>.</w:t>
      </w:r>
    </w:p>
  </w:footnote>
  <w:footnote w:id="147">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w:t>
      </w:r>
      <w:hyperlink r:id="rId94" w:history="1">
        <w:r>
          <w:rPr>
            <w:rStyle w:val="Hyperlink"/>
            <w:sz w:val="16"/>
            <w:szCs w:val="16"/>
          </w:rPr>
          <w:t>https://www.irena.org/-/media/Files/IRENA/Agency/Publication/2020/Feb/IRENA_Transition_jobs_2020.pdf</w:t>
        </w:r>
      </w:hyperlink>
      <w:r>
        <w:rPr>
          <w:sz w:val="16"/>
          <w:szCs w:val="16"/>
        </w:rPr>
        <w:t>.</w:t>
      </w:r>
    </w:p>
  </w:footnote>
  <w:footnote w:id="148">
    <w:p w:rsidR="00F47BB5" w:rsidRDefault="00A34992">
      <w:pPr>
        <w:pStyle w:val="FootnoteText"/>
        <w:spacing w:after="0"/>
        <w:ind w:left="0" w:firstLine="0"/>
        <w:rPr>
          <w:sz w:val="16"/>
        </w:rPr>
      </w:pPr>
      <w:r>
        <w:rPr>
          <w:rStyle w:val="FootnoteReference"/>
          <w:sz w:val="16"/>
          <w:szCs w:val="16"/>
        </w:rPr>
        <w:footnoteRef/>
      </w:r>
      <w:r>
        <w:rPr>
          <w:sz w:val="16"/>
        </w:rPr>
        <w:t xml:space="preserve"> Online</w:t>
      </w:r>
      <w:r>
        <w:rPr>
          <w:sz w:val="16"/>
        </w:rPr>
        <w:t xml:space="preserve"> Manifesto (</w:t>
      </w:r>
      <w:r>
        <w:rPr>
          <w:color w:val="0563C1"/>
          <w:sz w:val="16"/>
          <w:u w:val="single"/>
        </w:rPr>
        <w:t>https://ec.europa.eu/digital-single-market/sites/digital-agenda/files/Manifesto.pdf</w:t>
      </w:r>
      <w:r>
        <w:rPr>
          <w:sz w:val="16"/>
          <w:szCs w:val="16"/>
        </w:rPr>
        <w:t>).</w:t>
      </w:r>
    </w:p>
  </w:footnote>
  <w:footnote w:id="149">
    <w:p w:rsidR="00F47BB5" w:rsidRDefault="00A34992">
      <w:pPr>
        <w:pStyle w:val="FootnoteText"/>
        <w:spacing w:after="0"/>
        <w:ind w:left="0" w:firstLine="0"/>
        <w:rPr>
          <w:sz w:val="16"/>
        </w:rPr>
      </w:pPr>
      <w:r>
        <w:rPr>
          <w:rStyle w:val="FootnoteReference"/>
          <w:sz w:val="16"/>
          <w:szCs w:val="16"/>
        </w:rPr>
        <w:footnoteRef/>
      </w:r>
      <w:r>
        <w:rPr>
          <w:sz w:val="16"/>
        </w:rPr>
        <w:t xml:space="preserve"> </w:t>
      </w:r>
      <w:hyperlink r:id="rId95" w:history="1">
        <w:r>
          <w:rPr>
            <w:rStyle w:val="Hyperlink"/>
            <w:sz w:val="16"/>
          </w:rPr>
          <w:t>https://ec.europa.eu/digital-single-market/en/eurohpc-joint-undertaking</w:t>
        </w:r>
      </w:hyperlink>
      <w:r>
        <w:rPr>
          <w:sz w:val="16"/>
        </w:rPr>
        <w:t xml:space="preserve">, </w:t>
      </w:r>
      <w:hyperlink r:id="rId96" w:history="1">
        <w:r>
          <w:rPr>
            <w:rStyle w:val="Hyperlink"/>
            <w:sz w:val="16"/>
          </w:rPr>
          <w:t>https://eurohpc-ju.europa.eu/</w:t>
        </w:r>
      </w:hyperlink>
      <w:r>
        <w:rPr>
          <w:sz w:val="16"/>
        </w:rPr>
        <w:t>.</w:t>
      </w:r>
    </w:p>
  </w:footnote>
  <w:footnote w:id="150">
    <w:p w:rsidR="00F47BB5" w:rsidRDefault="00A34992">
      <w:pPr>
        <w:pStyle w:val="FootnoteText"/>
        <w:spacing w:after="0"/>
        <w:ind w:left="0" w:firstLine="0"/>
        <w:rPr>
          <w:sz w:val="16"/>
        </w:rPr>
      </w:pPr>
      <w:r>
        <w:rPr>
          <w:rStyle w:val="FootnoteReference"/>
          <w:sz w:val="16"/>
          <w:szCs w:val="16"/>
        </w:rPr>
        <w:footnoteRef/>
      </w:r>
      <w:r>
        <w:rPr>
          <w:sz w:val="16"/>
        </w:rPr>
        <w:t xml:space="preserve"> </w:t>
      </w:r>
      <w:hyperlink r:id="rId97" w:history="1">
        <w:r>
          <w:rPr>
            <w:rStyle w:val="Hyperlink"/>
            <w:sz w:val="16"/>
          </w:rPr>
          <w:t>https://www.ipcei-me.eu/</w:t>
        </w:r>
      </w:hyperlink>
      <w:r>
        <w:rPr>
          <w:sz w:val="16"/>
        </w:rPr>
        <w:t xml:space="preserve">, </w:t>
      </w:r>
      <w:hyperlink r:id="rId98" w:history="1">
        <w:r>
          <w:rPr>
            <w:rStyle w:val="Hyperlink"/>
            <w:sz w:val="16"/>
            <w:szCs w:val="16"/>
          </w:rPr>
          <w:t>https://ec.europa.eu/digital-single-market/en/ecsel</w:t>
        </w:r>
      </w:hyperlink>
      <w:r>
        <w:rPr>
          <w:sz w:val="16"/>
          <w:szCs w:val="16"/>
        </w:rPr>
        <w:t>.</w:t>
      </w:r>
    </w:p>
  </w:footnote>
  <w:footnote w:id="151">
    <w:p w:rsidR="00F47BB5" w:rsidRDefault="00A34992">
      <w:pPr>
        <w:spacing w:after="0"/>
        <w:rPr>
          <w:sz w:val="16"/>
        </w:rPr>
      </w:pPr>
      <w:r>
        <w:rPr>
          <w:sz w:val="16"/>
          <w:szCs w:val="16"/>
          <w:vertAlign w:val="superscript"/>
        </w:rPr>
        <w:footnoteRef/>
      </w:r>
      <w:r>
        <w:rPr>
          <w:sz w:val="16"/>
        </w:rPr>
        <w:t xml:space="preserve"> </w:t>
      </w:r>
      <w:hyperlink r:id="rId99" w:history="1">
        <w:r>
          <w:rPr>
            <w:rStyle w:val="Hyperlink"/>
            <w:sz w:val="16"/>
          </w:rPr>
          <w:t>https://ec.europa.eu/info/sites/info/files/commun</w:t>
        </w:r>
        <w:r>
          <w:rPr>
            <w:rStyle w:val="Hyperlink"/>
            <w:sz w:val="16"/>
          </w:rPr>
          <w:t>ication-shaping-europes-digital-future-feb2020_en_4.pdf</w:t>
        </w:r>
      </w:hyperlink>
      <w:r>
        <w:rPr>
          <w:sz w:val="16"/>
          <w:szCs w:val="16"/>
        </w:rPr>
        <w:t>.</w:t>
      </w:r>
    </w:p>
  </w:footnote>
  <w:footnote w:id="152">
    <w:p w:rsidR="00F47BB5" w:rsidRDefault="00A34992">
      <w:pPr>
        <w:pStyle w:val="FootnoteText"/>
        <w:spacing w:after="0"/>
        <w:ind w:left="0" w:firstLine="0"/>
        <w:rPr>
          <w:sz w:val="16"/>
        </w:rPr>
      </w:pPr>
      <w:r>
        <w:rPr>
          <w:rStyle w:val="FootnoteReference"/>
          <w:sz w:val="16"/>
          <w:szCs w:val="16"/>
        </w:rPr>
        <w:footnoteRef/>
      </w:r>
      <w:r>
        <w:rPr>
          <w:rStyle w:val="Hyperlink"/>
          <w:sz w:val="16"/>
        </w:rPr>
        <w:t> https://ec.europa.eu/info/law/law-topic/data-protection_en</w:t>
      </w:r>
      <w:r>
        <w:rPr>
          <w:sz w:val="16"/>
          <w:szCs w:val="16"/>
        </w:rPr>
        <w:t>.</w:t>
      </w:r>
    </w:p>
  </w:footnote>
  <w:footnote w:id="153">
    <w:p w:rsidR="00F47BB5" w:rsidRDefault="00A34992">
      <w:pPr>
        <w:spacing w:after="0"/>
        <w:rPr>
          <w:color w:val="1155CC"/>
          <w:sz w:val="16"/>
          <w:u w:val="single"/>
        </w:rPr>
      </w:pPr>
      <w:r>
        <w:rPr>
          <w:sz w:val="16"/>
          <w:szCs w:val="16"/>
          <w:vertAlign w:val="superscript"/>
        </w:rPr>
        <w:footnoteRef/>
      </w:r>
      <w:r>
        <w:rPr>
          <w:sz w:val="16"/>
        </w:rPr>
        <w:t xml:space="preserve"> </w:t>
      </w:r>
      <w:hyperlink r:id="rId100">
        <w:r>
          <w:rPr>
            <w:color w:val="1155CC"/>
            <w:sz w:val="16"/>
            <w:u w:val="single"/>
          </w:rPr>
          <w:t>https://hbr.org/2019/12/how-india-plans-to-protect-</w:t>
        </w:r>
        <w:r>
          <w:rPr>
            <w:color w:val="1155CC"/>
            <w:sz w:val="16"/>
            <w:u w:val="single"/>
          </w:rPr>
          <w:t>consumer-data</w:t>
        </w:r>
      </w:hyperlink>
      <w:r>
        <w:rPr>
          <w:sz w:val="16"/>
          <w:szCs w:val="16"/>
        </w:rPr>
        <w:t>.</w:t>
      </w:r>
    </w:p>
  </w:footnote>
  <w:footnote w:id="154">
    <w:p w:rsidR="00F47BB5" w:rsidRDefault="00A34992">
      <w:pPr>
        <w:pStyle w:val="FootnoteText"/>
        <w:spacing w:after="0"/>
        <w:ind w:left="0" w:firstLine="0"/>
        <w:rPr>
          <w:rStyle w:val="Hyperlink"/>
          <w:sz w:val="16"/>
          <w:szCs w:val="16"/>
        </w:rPr>
      </w:pPr>
      <w:r>
        <w:rPr>
          <w:rStyle w:val="FootnoteReference"/>
          <w:sz w:val="16"/>
          <w:szCs w:val="16"/>
        </w:rPr>
        <w:footnoteRef/>
      </w:r>
      <w:r>
        <w:rPr>
          <w:sz w:val="16"/>
          <w:szCs w:val="16"/>
        </w:rPr>
        <w:t xml:space="preserve"> Správa Európskeho inovačného a technologického inštitútu, </w:t>
      </w:r>
      <w:r>
        <w:rPr>
          <w:sz w:val="16"/>
        </w:rPr>
        <w:t>European Digital Infrastructure and Data Sovereignty</w:t>
      </w:r>
      <w:r>
        <w:rPr>
          <w:sz w:val="16"/>
          <w:szCs w:val="16"/>
        </w:rPr>
        <w:t xml:space="preserve"> (</w:t>
      </w:r>
      <w:r>
        <w:rPr>
          <w:i/>
          <w:sz w:val="16"/>
          <w:szCs w:val="16"/>
        </w:rPr>
        <w:t>Európska digitálna infraštruktúra a dátová suverenita</w:t>
      </w:r>
      <w:r>
        <w:rPr>
          <w:sz w:val="16"/>
          <w:szCs w:val="16"/>
        </w:rPr>
        <w:t>) (</w:t>
      </w:r>
      <w:r>
        <w:rPr>
          <w:rStyle w:val="Hyperlink"/>
          <w:sz w:val="16"/>
          <w:szCs w:val="16"/>
        </w:rPr>
        <w:t>https://www.eitdigital.eu/fileadmin/files/2020/publications/data-sovere</w:t>
      </w:r>
      <w:r>
        <w:rPr>
          <w:rStyle w:val="Hyperlink"/>
          <w:sz w:val="16"/>
          <w:szCs w:val="16"/>
        </w:rPr>
        <w:t>ignty/EIT-Digital-Data-Sovereignty-Summary-Report.pdf</w:t>
      </w:r>
      <w:r>
        <w:rPr>
          <w:rStyle w:val="Hyperlink"/>
          <w:color w:val="auto"/>
          <w:sz w:val="16"/>
          <w:szCs w:val="16"/>
          <w:u w:val="none"/>
        </w:rPr>
        <w:t>)</w:t>
      </w:r>
      <w:r>
        <w:rPr>
          <w:rStyle w:val="Hyperlink"/>
          <w:sz w:val="16"/>
          <w:szCs w:val="16"/>
          <w:u w:val="none"/>
        </w:rPr>
        <w:t>.</w:t>
      </w:r>
    </w:p>
  </w:footnote>
  <w:footnote w:id="155">
    <w:p w:rsidR="00F47BB5" w:rsidRDefault="00A34992">
      <w:pPr>
        <w:spacing w:after="0"/>
        <w:rPr>
          <w:sz w:val="16"/>
          <w:szCs w:val="16"/>
        </w:rPr>
      </w:pPr>
      <w:r>
        <w:rPr>
          <w:sz w:val="16"/>
          <w:szCs w:val="16"/>
          <w:vertAlign w:val="superscript"/>
        </w:rPr>
        <w:footnoteRef/>
      </w:r>
      <w:r>
        <w:rPr>
          <w:sz w:val="16"/>
          <w:szCs w:val="16"/>
        </w:rPr>
        <w:t xml:space="preserve"> </w:t>
      </w:r>
      <w:r>
        <w:rPr>
          <w:color w:val="1155CC"/>
          <w:sz w:val="16"/>
          <w:szCs w:val="16"/>
          <w:u w:val="single"/>
        </w:rPr>
        <w:t>https://ec.europa.eu/commission/presscorner/detail/sk/ip_20_273</w:t>
      </w:r>
      <w:r>
        <w:rPr>
          <w:sz w:val="16"/>
          <w:szCs w:val="16"/>
        </w:rPr>
        <w:t>.</w:t>
      </w:r>
    </w:p>
  </w:footnote>
  <w:footnote w:id="156">
    <w:p w:rsidR="00F47BB5" w:rsidRDefault="00A34992">
      <w:pPr>
        <w:spacing w:after="0"/>
        <w:rPr>
          <w:sz w:val="16"/>
          <w:szCs w:val="16"/>
        </w:rPr>
      </w:pPr>
      <w:r>
        <w:rPr>
          <w:sz w:val="16"/>
          <w:szCs w:val="16"/>
          <w:vertAlign w:val="superscript"/>
        </w:rPr>
        <w:footnoteRef/>
      </w:r>
      <w:r>
        <w:rPr>
          <w:sz w:val="16"/>
          <w:szCs w:val="16"/>
        </w:rPr>
        <w:t xml:space="preserve"> Kritické infraštruktúry sú nevyhnutné pre základné funkcie spoločnosti, ako je zdravie, ochrana, bezpečnosť a kvalita života </w:t>
      </w:r>
      <w:r>
        <w:rPr>
          <w:sz w:val="16"/>
          <w:szCs w:val="16"/>
        </w:rPr>
        <w:t>obyvateľov z hospodársko-sociálneho hľadiska, ktorých narušenie alebo zničenie by malo závažné dôsledky (smernica Rady 2008/114/ES).</w:t>
      </w:r>
    </w:p>
  </w:footnote>
  <w:footnote w:id="157">
    <w:p w:rsidR="00F47BB5" w:rsidRDefault="00A34992">
      <w:pPr>
        <w:spacing w:after="0"/>
        <w:rPr>
          <w:sz w:val="16"/>
          <w:szCs w:val="16"/>
        </w:rPr>
      </w:pPr>
      <w:r>
        <w:rPr>
          <w:sz w:val="16"/>
          <w:szCs w:val="16"/>
          <w:vertAlign w:val="superscript"/>
        </w:rPr>
        <w:footnoteRef/>
      </w:r>
      <w:r>
        <w:rPr>
          <w:sz w:val="16"/>
          <w:szCs w:val="16"/>
        </w:rPr>
        <w:t xml:space="preserve"> </w:t>
      </w:r>
      <w:hyperlink r:id="rId101">
        <w:r>
          <w:rPr>
            <w:color w:val="0563C1"/>
            <w:sz w:val="16"/>
            <w:szCs w:val="16"/>
            <w:u w:val="single"/>
          </w:rPr>
          <w:t>https://www2.de</w:t>
        </w:r>
        <w:r>
          <w:rPr>
            <w:color w:val="0563C1"/>
            <w:sz w:val="16"/>
            <w:szCs w:val="16"/>
            <w:u w:val="single"/>
          </w:rPr>
          <w:t>loitte.com/ng/en/pages/risk/articles/covid-19-impact-cybersecurity.html</w:t>
        </w:r>
      </w:hyperlink>
      <w:r>
        <w:rPr>
          <w:sz w:val="16"/>
          <w:szCs w:val="16"/>
        </w:rPr>
        <w:t>.</w:t>
      </w:r>
    </w:p>
  </w:footnote>
  <w:footnote w:id="158">
    <w:p w:rsidR="00F47BB5" w:rsidRDefault="00A34992">
      <w:pPr>
        <w:spacing w:after="0"/>
        <w:rPr>
          <w:sz w:val="16"/>
          <w:szCs w:val="16"/>
        </w:rPr>
      </w:pPr>
      <w:r>
        <w:rPr>
          <w:sz w:val="16"/>
          <w:szCs w:val="16"/>
          <w:vertAlign w:val="superscript"/>
        </w:rPr>
        <w:footnoteRef/>
      </w:r>
      <w:r>
        <w:rPr>
          <w:sz w:val="16"/>
          <w:szCs w:val="16"/>
        </w:rPr>
        <w:t xml:space="preserve"> Craglia, M. </w:t>
      </w:r>
      <w:r>
        <w:rPr>
          <w:i/>
          <w:sz w:val="16"/>
        </w:rPr>
        <w:t>et al.</w:t>
      </w:r>
      <w:r>
        <w:rPr>
          <w:sz w:val="16"/>
          <w:szCs w:val="16"/>
        </w:rPr>
        <w:t xml:space="preserve">, 2020, </w:t>
      </w:r>
      <w:r>
        <w:rPr>
          <w:sz w:val="16"/>
        </w:rPr>
        <w:t>Artificial Intelligence and Digital Transformation: early lessons from the COVID-19 crisis</w:t>
      </w:r>
      <w:r>
        <w:rPr>
          <w:sz w:val="16"/>
          <w:szCs w:val="16"/>
        </w:rPr>
        <w:t xml:space="preserve"> </w:t>
      </w:r>
      <w:r>
        <w:rPr>
          <w:i/>
          <w:sz w:val="16"/>
          <w:szCs w:val="16"/>
        </w:rPr>
        <w:t>(Umelá inteligencia a digitálna transformácia: prvé lekcie z krí</w:t>
      </w:r>
      <w:r>
        <w:rPr>
          <w:i/>
          <w:sz w:val="16"/>
          <w:szCs w:val="16"/>
        </w:rPr>
        <w:t>zy spôsobenej ochorením COVID-19)</w:t>
      </w:r>
      <w:r>
        <w:rPr>
          <w:sz w:val="16"/>
          <w:szCs w:val="16"/>
        </w:rPr>
        <w:t>. Vedecká správa JRC na podporu politík, JRC121305.</w:t>
      </w:r>
    </w:p>
  </w:footnote>
  <w:footnote w:id="159">
    <w:p w:rsidR="00F47BB5" w:rsidRDefault="00A34992">
      <w:pPr>
        <w:spacing w:after="0"/>
        <w:rPr>
          <w:sz w:val="16"/>
          <w:szCs w:val="16"/>
        </w:rPr>
      </w:pPr>
      <w:r>
        <w:rPr>
          <w:sz w:val="16"/>
          <w:szCs w:val="16"/>
          <w:vertAlign w:val="superscript"/>
        </w:rPr>
        <w:footnoteRef/>
      </w:r>
      <w:r>
        <w:rPr>
          <w:sz w:val="16"/>
          <w:szCs w:val="16"/>
        </w:rPr>
        <w:t xml:space="preserve"> </w:t>
      </w:r>
      <w:hyperlink r:id="rId102">
        <w:r>
          <w:rPr>
            <w:color w:val="0563C1"/>
            <w:sz w:val="16"/>
            <w:szCs w:val="16"/>
            <w:u w:val="single"/>
          </w:rPr>
          <w:t>https://www.esrb.europa.eu/pub/pdf/reports/esrb.repor</w:t>
        </w:r>
        <w:r>
          <w:rPr>
            <w:color w:val="0563C1"/>
            <w:sz w:val="16"/>
            <w:szCs w:val="16"/>
            <w:u w:val="single"/>
          </w:rPr>
          <w:t>t200219_systemiccyberrisk~101a09685e.en.pdf</w:t>
        </w:r>
      </w:hyperlink>
      <w:r>
        <w:rPr>
          <w:sz w:val="16"/>
          <w:szCs w:val="16"/>
        </w:rPr>
        <w:t>.</w:t>
      </w:r>
    </w:p>
  </w:footnote>
  <w:footnote w:id="160">
    <w:p w:rsidR="00F47BB5" w:rsidRDefault="00A34992">
      <w:pPr>
        <w:pStyle w:val="FootnoteText"/>
        <w:spacing w:after="0"/>
        <w:ind w:left="0" w:firstLine="0"/>
        <w:rPr>
          <w:sz w:val="16"/>
          <w:szCs w:val="16"/>
        </w:rPr>
      </w:pPr>
      <w:r>
        <w:rPr>
          <w:rStyle w:val="FootnoteReference"/>
          <w:sz w:val="16"/>
          <w:szCs w:val="16"/>
        </w:rPr>
        <w:footnoteRef/>
      </w:r>
      <w:r>
        <w:rPr>
          <w:sz w:val="16"/>
          <w:szCs w:val="16"/>
        </w:rPr>
        <w:t> Zrýchľuje sa megatrend „zmeny bezpečnostnej paradigmy“ (</w:t>
      </w:r>
      <w:hyperlink r:id="rId103" w:history="1">
        <w:r>
          <w:rPr>
            <w:rStyle w:val="Hyperlink"/>
            <w:sz w:val="16"/>
            <w:szCs w:val="16"/>
          </w:rPr>
          <w:t>https://ec.europa.eu/knowledge4policy/changing-security-paradigm_en</w:t>
        </w:r>
      </w:hyperlink>
      <w:r>
        <w:rPr>
          <w:sz w:val="16"/>
          <w:szCs w:val="16"/>
        </w:rPr>
        <w:t>).</w:t>
      </w:r>
    </w:p>
  </w:footnote>
  <w:footnote w:id="161">
    <w:p w:rsidR="00F47BB5" w:rsidRDefault="00A34992">
      <w:pPr>
        <w:spacing w:after="0"/>
        <w:rPr>
          <w:sz w:val="16"/>
          <w:szCs w:val="16"/>
        </w:rPr>
      </w:pPr>
      <w:r>
        <w:rPr>
          <w:sz w:val="16"/>
          <w:szCs w:val="16"/>
          <w:vertAlign w:val="superscript"/>
        </w:rPr>
        <w:footnoteRef/>
      </w:r>
      <w:r>
        <w:rPr>
          <w:sz w:val="16"/>
          <w:szCs w:val="16"/>
        </w:rPr>
        <w:t xml:space="preserve"> COM(2020) 605 final, Stratégia EÚ pre bezpečnostnú úniu; COM(2020) 607 final, Stratégia EÚ pre účinnejší boj proti sexuálnemu zneužívaniu detí.</w:t>
      </w:r>
    </w:p>
  </w:footnote>
  <w:footnote w:id="162">
    <w:p w:rsidR="00F47BB5" w:rsidRDefault="00A34992">
      <w:pPr>
        <w:spacing w:after="0"/>
        <w:rPr>
          <w:sz w:val="16"/>
          <w:szCs w:val="16"/>
        </w:rPr>
      </w:pPr>
      <w:r>
        <w:rPr>
          <w:sz w:val="16"/>
          <w:szCs w:val="16"/>
          <w:vertAlign w:val="superscript"/>
        </w:rPr>
        <w:footnoteRef/>
      </w:r>
      <w:r>
        <w:rPr>
          <w:sz w:val="16"/>
          <w:szCs w:val="16"/>
        </w:rPr>
        <w:t xml:space="preserve"> </w:t>
      </w:r>
      <w:hyperlink r:id="rId104" w:history="1">
        <w:r>
          <w:rPr>
            <w:rStyle w:val="Hyperlink"/>
            <w:sz w:val="16"/>
            <w:szCs w:val="16"/>
          </w:rPr>
          <w:t>https://www2.deloitte.com/be/en/pages/strategy-operations/articles/covid-19-and-data-economy.html</w:t>
        </w:r>
      </w:hyperlink>
      <w:r>
        <w:rPr>
          <w:sz w:val="16"/>
          <w:szCs w:val="16"/>
        </w:rPr>
        <w:t>.</w:t>
      </w:r>
    </w:p>
  </w:footnote>
  <w:footnote w:id="163">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S cieľom riešiť zlyhania trhu a uľahčiť včasnú dostupnosť dodávok zdravotníckeho vybavenia počas pandémie Komisia zriadila stredisko na koordináciu </w:t>
      </w:r>
      <w:r>
        <w:rPr>
          <w:sz w:val="16"/>
          <w:szCs w:val="16"/>
        </w:rPr>
        <w:t>ponuky a dopytu v tejto oblasti.(</w:t>
      </w:r>
      <w:hyperlink r:id="rId105" w:history="1">
        <w:r>
          <w:rPr>
            <w:rStyle w:val="Hyperlink"/>
            <w:sz w:val="16"/>
            <w:szCs w:val="16"/>
          </w:rPr>
          <w:t>https://ec.europa.eu/info/live-work-travel-eu/health/corona</w:t>
        </w:r>
        <w:r>
          <w:rPr>
            <w:rStyle w:val="Hyperlink"/>
            <w:sz w:val="16"/>
            <w:szCs w:val="16"/>
          </w:rPr>
          <w:t>virus-response/emergency-support-instrument/covid-19-clearing-house-medical-equipment_sk</w:t>
        </w:r>
      </w:hyperlink>
      <w:r>
        <w:rPr>
          <w:sz w:val="16"/>
          <w:szCs w:val="16"/>
        </w:rPr>
        <w:t xml:space="preserve">). </w:t>
      </w:r>
    </w:p>
  </w:footnote>
  <w:footnote w:id="164">
    <w:p w:rsidR="00F47BB5" w:rsidRDefault="00A34992">
      <w:pPr>
        <w:pStyle w:val="Default"/>
        <w:spacing w:after="0" w:line="240" w:lineRule="auto"/>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sz w:val="16"/>
          <w:szCs w:val="16"/>
        </w:rPr>
        <w:t xml:space="preserve"> </w:t>
      </w:r>
      <w:r>
        <w:rPr>
          <w:rStyle w:val="A11"/>
          <w:rFonts w:ascii="Times New Roman" w:hAnsi="Times New Roman"/>
          <w:sz w:val="16"/>
          <w:szCs w:val="16"/>
        </w:rPr>
        <w:t xml:space="preserve">Duch-Brown, Martens a Mueller-Langer, 2017, The economics of ownership, access and trade in digital data </w:t>
      </w:r>
      <w:r>
        <w:rPr>
          <w:rStyle w:val="A11"/>
          <w:rFonts w:ascii="Times New Roman" w:hAnsi="Times New Roman"/>
          <w:i/>
          <w:sz w:val="16"/>
          <w:szCs w:val="16"/>
        </w:rPr>
        <w:t xml:space="preserve">(Ekonomika vlastníctva, prístup k digitálnym údajom </w:t>
      </w:r>
      <w:r>
        <w:rPr>
          <w:rStyle w:val="A11"/>
          <w:rFonts w:ascii="Times New Roman" w:hAnsi="Times New Roman"/>
          <w:i/>
          <w:sz w:val="16"/>
          <w:szCs w:val="16"/>
        </w:rPr>
        <w:t>a obchodovanie s nimi)</w:t>
      </w:r>
      <w:r>
        <w:rPr>
          <w:rStyle w:val="A11"/>
          <w:rFonts w:ascii="Times New Roman" w:hAnsi="Times New Roman"/>
          <w:sz w:val="16"/>
          <w:szCs w:val="16"/>
        </w:rPr>
        <w:t>, pracovné dokumenty Spoločného výskumného centra o digitálnom hospodárstve 2017-01, Spoločné výskumné centrum (</w:t>
      </w:r>
      <w:hyperlink r:id="rId106" w:history="1">
        <w:r>
          <w:rPr>
            <w:rStyle w:val="Hyperlink"/>
            <w:rFonts w:ascii="Times New Roman" w:hAnsi="Times New Roman"/>
            <w:sz w:val="16"/>
            <w:szCs w:val="16"/>
          </w:rPr>
          <w:t>https://ec.europa.eu/jrc/sites/jrcsh/files/jrc104</w:t>
        </w:r>
        <w:r>
          <w:rPr>
            <w:rStyle w:val="Hyperlink"/>
            <w:rFonts w:ascii="Times New Roman" w:hAnsi="Times New Roman"/>
            <w:sz w:val="16"/>
            <w:szCs w:val="16"/>
          </w:rPr>
          <w:t>756.pdf</w:t>
        </w:r>
      </w:hyperlink>
      <w:r>
        <w:rPr>
          <w:rStyle w:val="A11"/>
          <w:rFonts w:ascii="Times New Roman" w:hAnsi="Times New Roman"/>
          <w:sz w:val="16"/>
          <w:szCs w:val="16"/>
        </w:rPr>
        <w:t xml:space="preserve">); Crémer, J., Y-A de Montjoye a H. Schweitzer, 2019, Competition policy for the digital era </w:t>
      </w:r>
      <w:r>
        <w:rPr>
          <w:rStyle w:val="A11"/>
          <w:rFonts w:ascii="Times New Roman" w:hAnsi="Times New Roman"/>
          <w:i/>
          <w:sz w:val="16"/>
          <w:szCs w:val="16"/>
        </w:rPr>
        <w:t>(Politika konkurencieschopnosti v digitálnej ére)</w:t>
      </w:r>
      <w:r>
        <w:rPr>
          <w:rStyle w:val="A11"/>
          <w:rFonts w:ascii="Times New Roman" w:hAnsi="Times New Roman"/>
          <w:sz w:val="16"/>
          <w:szCs w:val="16"/>
        </w:rPr>
        <w:t xml:space="preserve">, správa pre komisárku Vestagerovú, Európska komisia. </w:t>
      </w:r>
    </w:p>
  </w:footnote>
  <w:footnote w:id="165">
    <w:p w:rsidR="00F47BB5" w:rsidRDefault="00A34992">
      <w:pPr>
        <w:pStyle w:val="FootnoteText"/>
        <w:spacing w:after="0"/>
        <w:ind w:left="0" w:firstLine="0"/>
        <w:rPr>
          <w:sz w:val="16"/>
          <w:szCs w:val="16"/>
        </w:rPr>
      </w:pPr>
      <w:r>
        <w:rPr>
          <w:rStyle w:val="FootnoteReference"/>
          <w:rFonts w:eastAsiaTheme="minorEastAsia"/>
          <w:color w:val="000000"/>
          <w:sz w:val="16"/>
          <w:szCs w:val="16"/>
        </w:rPr>
        <w:footnoteRef/>
      </w:r>
      <w:r>
        <w:rPr>
          <w:rStyle w:val="FootnoteReference"/>
          <w:color w:val="000000"/>
          <w:sz w:val="16"/>
          <w:szCs w:val="16"/>
          <w:vertAlign w:val="baseline"/>
        </w:rPr>
        <w:t xml:space="preserve"> </w:t>
      </w:r>
      <w:hyperlink r:id="rId107" w:history="1">
        <w:r>
          <w:rPr>
            <w:rStyle w:val="Hyperlink"/>
            <w:sz w:val="16"/>
            <w:szCs w:val="16"/>
          </w:rPr>
          <w:t>https://ec.europa.eu/digital-single-market/en/news/future-work-work-future</w:t>
        </w:r>
      </w:hyperlink>
      <w:r>
        <w:rPr>
          <w:sz w:val="16"/>
          <w:szCs w:val="16"/>
        </w:rPr>
        <w:t>.</w:t>
      </w:r>
    </w:p>
  </w:footnote>
  <w:footnote w:id="166">
    <w:p w:rsidR="00F47BB5" w:rsidRDefault="00A34992">
      <w:pPr>
        <w:pStyle w:val="FootnoteText"/>
        <w:spacing w:after="0"/>
        <w:ind w:left="0" w:firstLine="0"/>
        <w:rPr>
          <w:sz w:val="16"/>
          <w:szCs w:val="16"/>
        </w:rPr>
      </w:pPr>
      <w:r>
        <w:rPr>
          <w:rStyle w:val="FootnoteReference"/>
          <w:rFonts w:eastAsiaTheme="minorEastAsia"/>
          <w:color w:val="000000"/>
          <w:sz w:val="16"/>
          <w:szCs w:val="16"/>
        </w:rPr>
        <w:footnoteRef/>
      </w:r>
      <w:r>
        <w:rPr>
          <w:rStyle w:val="FootnoteReference"/>
          <w:color w:val="000000"/>
          <w:sz w:val="16"/>
          <w:szCs w:val="16"/>
          <w:vertAlign w:val="baseline"/>
        </w:rPr>
        <w:t xml:space="preserve"> V </w:t>
      </w:r>
      <w:r>
        <w:rPr>
          <w:color w:val="000000"/>
          <w:sz w:val="16"/>
          <w:szCs w:val="16"/>
        </w:rPr>
        <w:t xml:space="preserve">súčasných </w:t>
      </w:r>
      <w:r>
        <w:rPr>
          <w:rStyle w:val="FootnoteReference"/>
          <w:color w:val="000000"/>
          <w:sz w:val="16"/>
          <w:szCs w:val="16"/>
          <w:vertAlign w:val="baseline"/>
        </w:rPr>
        <w:t>svetových pretekoch o kvantové prvenstvo Európa za inými významnými globálnymi hráčmi investične zaostáva.</w:t>
      </w:r>
    </w:p>
  </w:footnote>
  <w:footnote w:id="167">
    <w:p w:rsidR="00F47BB5" w:rsidRDefault="00A34992">
      <w:pPr>
        <w:pStyle w:val="FootnoteText"/>
        <w:spacing w:after="0"/>
        <w:ind w:left="0" w:firstLine="0"/>
        <w:rPr>
          <w:sz w:val="16"/>
          <w:szCs w:val="16"/>
        </w:rPr>
      </w:pPr>
      <w:r>
        <w:rPr>
          <w:rStyle w:val="FootnoteReference"/>
          <w:rFonts w:eastAsiaTheme="minorEastAsia"/>
          <w:color w:val="000000"/>
          <w:sz w:val="16"/>
          <w:szCs w:val="16"/>
        </w:rPr>
        <w:footnoteRef/>
      </w:r>
      <w:r>
        <w:rPr>
          <w:sz w:val="16"/>
          <w:szCs w:val="16"/>
        </w:rPr>
        <w:t xml:space="preserve"> </w:t>
      </w:r>
      <w:hyperlink r:id="rId108" w:history="1">
        <w:r>
          <w:rPr>
            <w:rStyle w:val="Hyperlink"/>
            <w:sz w:val="16"/>
            <w:szCs w:val="16"/>
          </w:rPr>
          <w:t>https://ec.europa.eu/info/sites/info/files/research_and_innovation/ege/ege_future-of-work_opinion_122018.pdf</w:t>
        </w:r>
      </w:hyperlink>
      <w:r>
        <w:rPr>
          <w:sz w:val="16"/>
          <w:szCs w:val="16"/>
        </w:rPr>
        <w:t xml:space="preserve">; </w:t>
      </w:r>
      <w:hyperlink r:id="rId109" w:history="1">
        <w:r>
          <w:rPr>
            <w:rStyle w:val="Hyperlink"/>
            <w:sz w:val="16"/>
            <w:szCs w:val="16"/>
          </w:rPr>
          <w:t>https://ec.europa.eu/digital-single-market/en/news/final-report-high-level-expert-group-impact-digital-transformation-eu-labour-markets</w:t>
        </w:r>
      </w:hyperlink>
      <w:r>
        <w:rPr>
          <w:sz w:val="16"/>
          <w:szCs w:val="16"/>
        </w:rPr>
        <w:t>.</w:t>
      </w:r>
    </w:p>
  </w:footnote>
  <w:footnote w:id="168">
    <w:p w:rsidR="00F47BB5" w:rsidRDefault="00A34992">
      <w:pPr>
        <w:pStyle w:val="FootnoteText"/>
        <w:spacing w:after="0"/>
        <w:ind w:left="0" w:firstLine="0"/>
        <w:rPr>
          <w:rFonts w:eastAsiaTheme="minorEastAsia"/>
          <w:sz w:val="16"/>
          <w:szCs w:val="16"/>
        </w:rPr>
      </w:pPr>
      <w:r>
        <w:rPr>
          <w:rStyle w:val="FootnoteReference"/>
          <w:rFonts w:eastAsiaTheme="minorEastAsia"/>
          <w:color w:val="000000"/>
          <w:sz w:val="16"/>
          <w:szCs w:val="16"/>
        </w:rPr>
        <w:footnoteRef/>
      </w:r>
      <w:r>
        <w:rPr>
          <w:rStyle w:val="A11"/>
          <w:sz w:val="16"/>
        </w:rPr>
        <w:t> Na</w:t>
      </w:r>
      <w:r>
        <w:rPr>
          <w:rStyle w:val="A11"/>
          <w:sz w:val="16"/>
        </w:rPr>
        <w:t xml:space="preserve">i Fovino I., </w:t>
      </w:r>
      <w:r>
        <w:rPr>
          <w:rStyle w:val="A11"/>
          <w:i/>
          <w:sz w:val="16"/>
        </w:rPr>
        <w:t>et al</w:t>
      </w:r>
      <w:r>
        <w:rPr>
          <w:rStyle w:val="A11"/>
          <w:i/>
          <w:sz w:val="16"/>
          <w:szCs w:val="16"/>
        </w:rPr>
        <w:t>.</w:t>
      </w:r>
      <w:r>
        <w:rPr>
          <w:rStyle w:val="A11"/>
          <w:sz w:val="16"/>
        </w:rPr>
        <w:t xml:space="preserve"> </w:t>
      </w:r>
      <w:r>
        <w:rPr>
          <w:rStyle w:val="A11"/>
          <w:sz w:val="16"/>
          <w:szCs w:val="16"/>
        </w:rPr>
        <w:t>(editori), 2020, Cybersecurity, our digital anchor, vedecká správa na podporu politiky, Spoločné výskumné centrum (</w:t>
      </w:r>
      <w:hyperlink r:id="rId110" w:history="1">
        <w:r>
          <w:rPr>
            <w:rStyle w:val="Hyperlink"/>
            <w:sz w:val="16"/>
            <w:szCs w:val="16"/>
          </w:rPr>
          <w:t>https://ec.europa.eu/jrc/en/facts4eufuture/cybersecurity-our-digital-anchor</w:t>
        </w:r>
      </w:hyperlink>
      <w:r>
        <w:rPr>
          <w:rStyle w:val="A11"/>
          <w:sz w:val="16"/>
          <w:szCs w:val="16"/>
        </w:rPr>
        <w:t xml:space="preserve">). </w:t>
      </w:r>
    </w:p>
  </w:footnote>
  <w:footnote w:id="169">
    <w:p w:rsidR="00F47BB5" w:rsidRDefault="00A34992">
      <w:pPr>
        <w:pStyle w:val="FootnoteText"/>
        <w:spacing w:after="0"/>
        <w:ind w:left="0" w:firstLine="0"/>
        <w:rPr>
          <w:sz w:val="16"/>
          <w:szCs w:val="16"/>
        </w:rPr>
      </w:pPr>
      <w:r>
        <w:rPr>
          <w:rStyle w:val="FootnoteReference"/>
          <w:sz w:val="16"/>
          <w:szCs w:val="16"/>
        </w:rPr>
        <w:footnoteRef/>
      </w:r>
      <w:r>
        <w:rPr>
          <w:sz w:val="16"/>
          <w:szCs w:val="16"/>
        </w:rPr>
        <w:t> Zrýchlil sa megatrend „zrýchľovanie technologickej zmeny a hyperkonektivity“ (</w:t>
      </w:r>
      <w:r>
        <w:rPr>
          <w:color w:val="1155CC"/>
          <w:sz w:val="16"/>
          <w:szCs w:val="16"/>
          <w:u w:val="single"/>
        </w:rPr>
        <w:t>https://ec.europa.eu/knowledge4policy/accelerating-technological-change-hyperconnectivity_en</w:t>
      </w:r>
      <w:r>
        <w:rPr>
          <w:sz w:val="16"/>
          <w:szCs w:val="16"/>
        </w:rPr>
        <w:t>).</w:t>
      </w:r>
    </w:p>
  </w:footnote>
  <w:footnote w:id="170">
    <w:p w:rsidR="00F47BB5" w:rsidRDefault="00A34992">
      <w:pPr>
        <w:spacing w:after="0"/>
        <w:rPr>
          <w:sz w:val="16"/>
          <w:szCs w:val="16"/>
        </w:rPr>
      </w:pPr>
      <w:r>
        <w:rPr>
          <w:sz w:val="16"/>
          <w:szCs w:val="16"/>
          <w:vertAlign w:val="superscript"/>
        </w:rPr>
        <w:footnoteRef/>
      </w:r>
      <w:r>
        <w:rPr>
          <w:sz w:val="16"/>
          <w:szCs w:val="16"/>
        </w:rPr>
        <w:t xml:space="preserve"> </w:t>
      </w:r>
      <w:r>
        <w:rPr>
          <w:color w:val="1155CC"/>
          <w:sz w:val="16"/>
          <w:szCs w:val="16"/>
          <w:u w:val="single"/>
        </w:rPr>
        <w:t>https://www.eurofound.europa.eu/sites/default/files/ef_publication/field_ef_document/ef20058en.pdf</w:t>
      </w:r>
      <w:r>
        <w:rPr>
          <w:sz w:val="16"/>
          <w:szCs w:val="16"/>
        </w:rPr>
        <w:t>.</w:t>
      </w:r>
    </w:p>
  </w:footnote>
  <w:footnote w:id="171">
    <w:p w:rsidR="00F47BB5" w:rsidRDefault="00A34992">
      <w:pPr>
        <w:spacing w:after="0"/>
        <w:rPr>
          <w:sz w:val="16"/>
          <w:szCs w:val="16"/>
        </w:rPr>
      </w:pPr>
      <w:r>
        <w:rPr>
          <w:sz w:val="16"/>
          <w:szCs w:val="16"/>
          <w:vertAlign w:val="superscript"/>
        </w:rPr>
        <w:footnoteRef/>
      </w:r>
      <w:r>
        <w:rPr>
          <w:sz w:val="16"/>
          <w:szCs w:val="16"/>
        </w:rPr>
        <w:t xml:space="preserve"> S ďalším 15,7 milióna nových predplatiteľov Netflixu (pravdepodobne dočasných) sa ich celkový počet do apríla 2020 celosvetovo zdvojnásobil (</w:t>
      </w:r>
      <w:hyperlink r:id="rId111" w:history="1">
        <w:r>
          <w:rPr>
            <w:rStyle w:val="Hyperlink"/>
            <w:sz w:val="16"/>
            <w:szCs w:val="16"/>
          </w:rPr>
          <w:t>https://orbi.uliege.be/bitstream/2268/247652/1/MAY-2020-_-N%C2 %BA4.pdf</w:t>
        </w:r>
      </w:hyperlink>
      <w:r>
        <w:rPr>
          <w:rStyle w:val="Hyperlink"/>
          <w:color w:val="auto"/>
          <w:sz w:val="16"/>
          <w:szCs w:val="16"/>
          <w:u w:val="none"/>
        </w:rPr>
        <w:t>)</w:t>
      </w:r>
      <w:r>
        <w:rPr>
          <w:sz w:val="16"/>
          <w:szCs w:val="16"/>
        </w:rPr>
        <w:t>.</w:t>
      </w:r>
    </w:p>
  </w:footnote>
  <w:footnote w:id="172">
    <w:p w:rsidR="00F47BB5" w:rsidRDefault="00A34992">
      <w:pPr>
        <w:pStyle w:val="FootnoteText"/>
        <w:spacing w:after="0"/>
        <w:ind w:left="0" w:firstLine="0"/>
        <w:rPr>
          <w:sz w:val="16"/>
          <w:szCs w:val="16"/>
        </w:rPr>
      </w:pPr>
      <w:r>
        <w:rPr>
          <w:rStyle w:val="FootnoteReference"/>
          <w:sz w:val="16"/>
          <w:szCs w:val="16"/>
        </w:rPr>
        <w:footnoteRef/>
      </w:r>
      <w:r>
        <w:rPr>
          <w:color w:val="1155CC"/>
          <w:sz w:val="16"/>
          <w:szCs w:val="16"/>
          <w:u w:val="single"/>
        </w:rPr>
        <w:t xml:space="preserve"> https://www.forbes.com/sites/markbeech/2020/03/25/covid-19-pushes-up-internet-use-70-streaming-more-than-12-fir</w:t>
      </w:r>
      <w:r>
        <w:rPr>
          <w:color w:val="1155CC"/>
          <w:sz w:val="16"/>
          <w:szCs w:val="16"/>
          <w:u w:val="single"/>
        </w:rPr>
        <w:t>st-figures-reveal/#4ba355cd3104</w:t>
      </w:r>
      <w:r>
        <w:rPr>
          <w:sz w:val="16"/>
          <w:szCs w:val="16"/>
        </w:rPr>
        <w:t>.</w:t>
      </w:r>
    </w:p>
  </w:footnote>
  <w:footnote w:id="173">
    <w:p w:rsidR="00F47BB5" w:rsidRDefault="00A34992">
      <w:pPr>
        <w:spacing w:after="0"/>
        <w:rPr>
          <w:sz w:val="16"/>
          <w:szCs w:val="16"/>
        </w:rPr>
      </w:pPr>
      <w:r>
        <w:rPr>
          <w:sz w:val="16"/>
          <w:szCs w:val="16"/>
          <w:vertAlign w:val="superscript"/>
        </w:rPr>
        <w:footnoteRef/>
      </w:r>
      <w:r>
        <w:rPr>
          <w:sz w:val="16"/>
          <w:szCs w:val="16"/>
        </w:rPr>
        <w:t xml:space="preserve"> Napríklad konzorcium </w:t>
      </w:r>
      <w:hyperlink r:id="rId112" w:history="1">
        <w:r>
          <w:rPr>
            <w:rStyle w:val="Hyperlink"/>
            <w:color w:val="auto"/>
            <w:sz w:val="16"/>
            <w:szCs w:val="16"/>
            <w:u w:val="none"/>
          </w:rPr>
          <w:t>Exscalate 4CoV</w:t>
        </w:r>
      </w:hyperlink>
      <w:r>
        <w:rPr>
          <w:sz w:val="16"/>
          <w:szCs w:val="16"/>
        </w:rPr>
        <w:t xml:space="preserve"> financované z prostriedkov EÚ používa jednu zo svetovo najvýznamnejších platforiem vysokovýkonnej výpočtovej techniky na skríning možného v</w:t>
      </w:r>
      <w:r>
        <w:rPr>
          <w:sz w:val="16"/>
          <w:szCs w:val="16"/>
        </w:rPr>
        <w:t>plyvu známych molekúl na genomickú štruktúru koronavírusu</w:t>
      </w:r>
      <w:r>
        <w:rPr>
          <w:color w:val="0563C1"/>
          <w:sz w:val="16"/>
          <w:szCs w:val="16"/>
        </w:rPr>
        <w:t>.</w:t>
      </w:r>
    </w:p>
  </w:footnote>
  <w:footnote w:id="174">
    <w:p w:rsidR="00F47BB5" w:rsidRDefault="00A34992">
      <w:pPr>
        <w:spacing w:after="0"/>
        <w:rPr>
          <w:color w:val="008080"/>
          <w:sz w:val="16"/>
          <w:szCs w:val="16"/>
        </w:rPr>
      </w:pPr>
      <w:r>
        <w:rPr>
          <w:sz w:val="16"/>
          <w:szCs w:val="16"/>
          <w:vertAlign w:val="superscript"/>
        </w:rPr>
        <w:footnoteRef/>
      </w:r>
      <w:r>
        <w:rPr>
          <w:sz w:val="16"/>
          <w:szCs w:val="16"/>
        </w:rPr>
        <w:t xml:space="preserve"> </w:t>
      </w:r>
      <w:hyperlink r:id="rId113" w:history="1">
        <w:r>
          <w:rPr>
            <w:rStyle w:val="Hyperlink"/>
            <w:sz w:val="16"/>
            <w:szCs w:val="16"/>
          </w:rPr>
          <w:t>https://ec.europa.eu/eurostat/statistics-explained/index.php?title=File:Degree_of_dependence_on_cloud_computing,_by_economic_activity,_EU-28,_2018_(%25_of_enterprises_using_the_cloud).png&amp;oldid=415896</w:t>
        </w:r>
      </w:hyperlink>
      <w:r>
        <w:rPr>
          <w:sz w:val="16"/>
          <w:szCs w:val="16"/>
        </w:rPr>
        <w:t>.</w:t>
      </w:r>
    </w:p>
  </w:footnote>
  <w:footnote w:id="175">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COM(2017) 9 final, Budovanie e</w:t>
      </w:r>
      <w:r>
        <w:rPr>
          <w:sz w:val="16"/>
          <w:szCs w:val="16"/>
        </w:rPr>
        <w:t>urópskeho dátového hospodárstva.</w:t>
      </w:r>
    </w:p>
  </w:footnote>
  <w:footnote w:id="176">
    <w:p w:rsidR="00F47BB5" w:rsidRDefault="00A34992">
      <w:pPr>
        <w:pStyle w:val="CommentText"/>
        <w:spacing w:after="0"/>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sz w:val="16"/>
          <w:szCs w:val="16"/>
        </w:rPr>
        <w:t> Napríklad ľudia v severnej Európe vyprodukovali v roku 2019 najviac elektronického odpadu – 22,4 kg na osobu. Vo východnej Európe bolo toto množstvo polovičné. V roku 2019 dosiahla najvyššiu mieru recyklácie Európa s 42 %</w:t>
      </w:r>
      <w:r>
        <w:rPr>
          <w:rFonts w:ascii="Times New Roman" w:hAnsi="Times New Roman"/>
          <w:sz w:val="16"/>
          <w:szCs w:val="16"/>
        </w:rPr>
        <w:t>, na druhom mieste bola Ázia s 12 %.</w:t>
      </w:r>
    </w:p>
    <w:p w:rsidR="00F47BB5" w:rsidRDefault="00A34992">
      <w:pPr>
        <w:pStyle w:val="CommentText"/>
        <w:spacing w:after="0"/>
        <w:jc w:val="both"/>
        <w:rPr>
          <w:rFonts w:ascii="Times New Roman" w:hAnsi="Times New Roman" w:cs="Times New Roman"/>
          <w:sz w:val="16"/>
          <w:szCs w:val="16"/>
        </w:rPr>
      </w:pPr>
      <w:r>
        <w:rPr>
          <w:rFonts w:ascii="Times New Roman" w:hAnsi="Times New Roman"/>
          <w:sz w:val="16"/>
          <w:szCs w:val="16"/>
        </w:rPr>
        <w:t>(</w:t>
      </w:r>
      <w:hyperlink r:id="rId114" w:history="1">
        <w:r>
          <w:rPr>
            <w:rStyle w:val="Hyperlink"/>
            <w:rFonts w:ascii="Times New Roman" w:hAnsi="Times New Roman"/>
            <w:sz w:val="16"/>
            <w:szCs w:val="16"/>
          </w:rPr>
          <w:t>https://www.theguardian.com/environment/2020/jul/02/10bn-precious-metals-dumped-each-year-electronic-waste-un-toxic-e-waste-polluting</w:t>
        </w:r>
      </w:hyperlink>
      <w:r>
        <w:rPr>
          <w:rFonts w:ascii="Times New Roman" w:hAnsi="Times New Roman"/>
          <w:sz w:val="16"/>
          <w:szCs w:val="16"/>
        </w:rPr>
        <w:t>).</w:t>
      </w:r>
    </w:p>
  </w:footnote>
  <w:footnote w:id="177">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Tým sa spracúvanie približuje zdroju údajov a nemusí sa odosielať do vzdialeného cloudu alebo iného centralizovaného s</w:t>
      </w:r>
      <w:r>
        <w:rPr>
          <w:sz w:val="16"/>
          <w:szCs w:val="16"/>
        </w:rPr>
        <w:t>ystému. Odstránením vzdialenosti a času potrebného na odosielanie údajov do centralizovaných zdrojov sa môže zlepšiť rýchlosť a výkonnosť prenosu údajov, ako aj zariadení a aplikácií na okraji siete (edge).</w:t>
      </w:r>
    </w:p>
  </w:footnote>
  <w:footnote w:id="178">
    <w:p w:rsidR="00F47BB5" w:rsidRDefault="00A34992">
      <w:pPr>
        <w:pStyle w:val="FootnoteText"/>
        <w:spacing w:after="0"/>
        <w:ind w:left="0" w:firstLine="0"/>
        <w:rPr>
          <w:sz w:val="16"/>
          <w:szCs w:val="16"/>
        </w:rPr>
      </w:pPr>
      <w:r>
        <w:rPr>
          <w:rStyle w:val="FootnoteReference"/>
          <w:sz w:val="16"/>
          <w:szCs w:val="16"/>
        </w:rPr>
        <w:footnoteRef/>
      </w:r>
      <w:r>
        <w:rPr>
          <w:sz w:val="16"/>
          <w:szCs w:val="16"/>
        </w:rPr>
        <w:t xml:space="preserve"> Ide o normu, ktorá vymedzuje, ako by mal fungov</w:t>
      </w:r>
      <w:r>
        <w:rPr>
          <w:sz w:val="16"/>
          <w:szCs w:val="16"/>
        </w:rPr>
        <w:t>ať edge computing, a uľahčuje prevádzku výpočtových služieb, ukladania údajov a vytvárania sietí medzi koncovými zariadeniami a dátovými centrami cloud computingu. V dátových centrách sa ako východzí bod pre edge computing často používa fog.</w:t>
      </w:r>
    </w:p>
  </w:footnote>
  <w:footnote w:id="179">
    <w:p w:rsidR="00F47BB5" w:rsidRDefault="00A34992">
      <w:pPr>
        <w:spacing w:after="0"/>
        <w:rPr>
          <w:color w:val="000000"/>
          <w:sz w:val="16"/>
          <w:szCs w:val="16"/>
        </w:rPr>
      </w:pPr>
      <w:r>
        <w:rPr>
          <w:sz w:val="16"/>
          <w:szCs w:val="16"/>
          <w:vertAlign w:val="superscript"/>
        </w:rPr>
        <w:footnoteRef/>
      </w:r>
      <w:r>
        <w:rPr>
          <w:color w:val="000000"/>
          <w:sz w:val="16"/>
          <w:szCs w:val="16"/>
        </w:rPr>
        <w:t xml:space="preserve"> </w:t>
      </w:r>
      <w:hyperlink r:id="rId115">
        <w:r>
          <w:rPr>
            <w:rStyle w:val="Hyperlink"/>
            <w:sz w:val="16"/>
            <w:szCs w:val="16"/>
          </w:rPr>
          <w:t>https://exponentialroadmap.org/wp-content/uploads/2018/09/Exponential-Climate-Action-Roadmap-September-2018.pdf</w:t>
        </w:r>
      </w:hyperlink>
      <w:r>
        <w:rPr>
          <w:sz w:val="16"/>
          <w:szCs w:val="16"/>
        </w:rPr>
        <w:t>.</w:t>
      </w:r>
    </w:p>
  </w:footnote>
  <w:footnote w:id="180">
    <w:p w:rsidR="00F47BB5" w:rsidRDefault="00A34992">
      <w:pPr>
        <w:spacing w:after="0"/>
        <w:rPr>
          <w:color w:val="000000"/>
          <w:sz w:val="16"/>
          <w:szCs w:val="16"/>
        </w:rPr>
      </w:pPr>
      <w:r>
        <w:rPr>
          <w:sz w:val="16"/>
          <w:szCs w:val="16"/>
          <w:vertAlign w:val="superscript"/>
        </w:rPr>
        <w:footnoteRef/>
      </w:r>
      <w:r>
        <w:rPr>
          <w:color w:val="000000"/>
          <w:sz w:val="16"/>
          <w:szCs w:val="16"/>
        </w:rPr>
        <w:t xml:space="preserve"> </w:t>
      </w:r>
      <w:hyperlink r:id="rId116">
        <w:r>
          <w:rPr>
            <w:rStyle w:val="Hyperlink"/>
            <w:sz w:val="16"/>
            <w:szCs w:val="16"/>
          </w:rPr>
          <w:t>https://medium.com/stanford-magazine/carbon-and-the-cloud-d6f481b79dfe</w:t>
        </w:r>
      </w:hyperlink>
      <w:r>
        <w:rPr>
          <w:sz w:val="16"/>
          <w:szCs w:val="16"/>
        </w:rPr>
        <w:t>.</w:t>
      </w:r>
    </w:p>
  </w:footnote>
  <w:footnote w:id="181">
    <w:p w:rsidR="00F47BB5" w:rsidRDefault="00A34992">
      <w:pPr>
        <w:spacing w:after="0"/>
        <w:rPr>
          <w:sz w:val="16"/>
          <w:szCs w:val="16"/>
        </w:rPr>
      </w:pPr>
      <w:r>
        <w:rPr>
          <w:sz w:val="16"/>
          <w:szCs w:val="16"/>
          <w:vertAlign w:val="superscript"/>
        </w:rPr>
        <w:footnoteRef/>
      </w:r>
      <w:r>
        <w:rPr>
          <w:color w:val="000000"/>
          <w:sz w:val="16"/>
          <w:szCs w:val="16"/>
        </w:rPr>
        <w:t xml:space="preserve"> </w:t>
      </w:r>
      <w:hyperlink r:id="rId117">
        <w:r>
          <w:rPr>
            <w:sz w:val="16"/>
            <w:szCs w:val="16"/>
          </w:rPr>
          <w:t>The EU Environmental Foresight System (FORENV) cycle:</w:t>
        </w:r>
      </w:hyperlink>
      <w:hyperlink r:id="rId118">
        <w:r>
          <w:rPr>
            <w:sz w:val="16"/>
            <w:szCs w:val="16"/>
          </w:rPr>
          <w:t xml:space="preserve"> Emerging issues </w:t>
        </w:r>
        <w:r>
          <w:rPr>
            <w:sz w:val="16"/>
            <w:szCs w:val="16"/>
          </w:rPr>
          <w:t>at the environment-social interface“</w:t>
        </w:r>
      </w:hyperlink>
      <w:r>
        <w:rPr>
          <w:sz w:val="16"/>
          <w:szCs w:val="16"/>
        </w:rPr>
        <w:t xml:space="preserve"> </w:t>
      </w:r>
      <w:r>
        <w:rPr>
          <w:i/>
          <w:sz w:val="16"/>
          <w:szCs w:val="16"/>
        </w:rPr>
        <w:t>(Cyklus systému environmentálneho výhľadu EÚ: nové problémy na rozhraní životného prostredia a sociálnej sféry)</w:t>
      </w:r>
      <w:r>
        <w:rPr>
          <w:sz w:val="16"/>
          <w:szCs w:val="16"/>
        </w:rPr>
        <w:t>.</w:t>
      </w:r>
    </w:p>
  </w:footnote>
  <w:footnote w:id="182">
    <w:p w:rsidR="00F47BB5" w:rsidRDefault="00A34992">
      <w:pPr>
        <w:spacing w:after="0"/>
        <w:rPr>
          <w:sz w:val="16"/>
          <w:szCs w:val="16"/>
        </w:rPr>
      </w:pPr>
      <w:r>
        <w:rPr>
          <w:sz w:val="16"/>
          <w:vertAlign w:val="superscript"/>
        </w:rPr>
        <w:footnoteRef/>
      </w:r>
      <w:r>
        <w:rPr>
          <w:sz w:val="16"/>
        </w:rPr>
        <w:t xml:space="preserve"> </w:t>
      </w:r>
      <w:r>
        <w:rPr>
          <w:sz w:val="16"/>
          <w:szCs w:val="16"/>
        </w:rPr>
        <w:t>Cambridge Bitcoin Electricity Consumption Index (</w:t>
      </w:r>
      <w:hyperlink r:id="rId119" w:history="1">
        <w:r>
          <w:rPr>
            <w:rStyle w:val="Hyperlink"/>
            <w:sz w:val="16"/>
            <w:szCs w:val="16"/>
          </w:rPr>
          <w:t>https://www.cbeci</w:t>
        </w:r>
        <w:r>
          <w:rPr>
            <w:rStyle w:val="Hyperlink"/>
            <w:sz w:val="16"/>
            <w:szCs w:val="16"/>
          </w:rPr>
          <w:t>.org</w:t>
        </w:r>
      </w:hyperlink>
      <w:r>
        <w:rPr>
          <w:sz w:val="16"/>
          <w:szCs w:val="16"/>
        </w:rPr>
        <w:t>).</w:t>
      </w:r>
    </w:p>
  </w:footnote>
  <w:footnote w:id="183">
    <w:p w:rsidR="00F47BB5" w:rsidRDefault="00A34992">
      <w:pPr>
        <w:spacing w:after="0"/>
        <w:rPr>
          <w:sz w:val="16"/>
          <w:szCs w:val="16"/>
        </w:rPr>
      </w:pPr>
      <w:r>
        <w:rPr>
          <w:sz w:val="16"/>
          <w:szCs w:val="16"/>
          <w:vertAlign w:val="superscript"/>
        </w:rPr>
        <w:footnoteRef/>
      </w:r>
      <w:r>
        <w:rPr>
          <w:color w:val="000000"/>
          <w:sz w:val="16"/>
          <w:szCs w:val="16"/>
        </w:rPr>
        <w:t xml:space="preserve"> </w:t>
      </w:r>
      <w:hyperlink r:id="rId120" w:history="1">
        <w:r>
          <w:rPr>
            <w:rStyle w:val="Hyperlink"/>
            <w:sz w:val="16"/>
            <w:szCs w:val="16"/>
          </w:rPr>
          <w:t>https://www.ericsson.com/en/blog/2019/9/energy-consumption-5g-nr</w:t>
        </w:r>
      </w:hyperlink>
      <w:r>
        <w:rPr>
          <w:sz w:val="16"/>
          <w:szCs w:val="16"/>
        </w:rPr>
        <w:t xml:space="preserve">; </w:t>
      </w:r>
      <w:hyperlink r:id="rId121" w:history="1">
        <w:r>
          <w:rPr>
            <w:rStyle w:val="Hyperlink"/>
            <w:sz w:val="16"/>
            <w:szCs w:val="16"/>
          </w:rPr>
          <w:t>https://hellofuture.orange.com/en/5g-energy-efficiency-by-design/</w:t>
        </w:r>
      </w:hyperlink>
      <w:r>
        <w:rPr>
          <w:sz w:val="16"/>
          <w:szCs w:val="16"/>
        </w:rPr>
        <w:t>.</w:t>
      </w:r>
    </w:p>
  </w:footnote>
  <w:footnote w:id="184">
    <w:p w:rsidR="00F47BB5" w:rsidRDefault="00A34992">
      <w:pPr>
        <w:spacing w:after="0"/>
        <w:rPr>
          <w:sz w:val="16"/>
          <w:szCs w:val="16"/>
        </w:rPr>
      </w:pPr>
      <w:r>
        <w:rPr>
          <w:sz w:val="16"/>
          <w:vertAlign w:val="superscript"/>
        </w:rPr>
        <w:footnoteRef/>
      </w:r>
      <w:r>
        <w:rPr>
          <w:color w:val="000000"/>
          <w:sz w:val="16"/>
        </w:rPr>
        <w:t xml:space="preserve"> AI Now Institute (</w:t>
      </w:r>
      <w:hyperlink r:id="rId122" w:history="1">
        <w:r>
          <w:rPr>
            <w:rStyle w:val="Hyperlink"/>
            <w:sz w:val="16"/>
          </w:rPr>
          <w:t>https://ainowinstitute.org/AI_Now_2019_Report.pdf</w:t>
        </w:r>
      </w:hyperlink>
      <w:r>
        <w:rPr>
          <w:color w:val="000000"/>
          <w:sz w:val="16"/>
        </w:rPr>
        <w:t>).</w:t>
      </w:r>
    </w:p>
  </w:footnote>
  <w:footnote w:id="185">
    <w:p w:rsidR="00F47BB5" w:rsidRDefault="00A34992">
      <w:pPr>
        <w:spacing w:after="0"/>
        <w:rPr>
          <w:sz w:val="16"/>
          <w:szCs w:val="16"/>
        </w:rPr>
      </w:pPr>
      <w:r>
        <w:rPr>
          <w:sz w:val="16"/>
          <w:szCs w:val="16"/>
          <w:vertAlign w:val="superscript"/>
        </w:rPr>
        <w:footnoteRef/>
      </w:r>
      <w:r>
        <w:rPr>
          <w:color w:val="000000"/>
          <w:sz w:val="16"/>
          <w:szCs w:val="16"/>
        </w:rPr>
        <w:t xml:space="preserve"> 45 % tejto stopy budú tvoriť dátové centrá (zvýše</w:t>
      </w:r>
      <w:r>
        <w:rPr>
          <w:color w:val="000000"/>
          <w:sz w:val="16"/>
          <w:szCs w:val="16"/>
        </w:rPr>
        <w:t xml:space="preserve">nie z úrovne 33 % v roku 2010) a 24 % sieťová infraštruktúra. Pozri: </w:t>
      </w:r>
      <w:r>
        <w:rPr>
          <w:sz w:val="16"/>
          <w:szCs w:val="16"/>
        </w:rPr>
        <w:t xml:space="preserve">Belkhir a Elmeligi, 2018, AI and Climate Change: How they’re connected, and what we can do about it </w:t>
      </w:r>
      <w:r>
        <w:rPr>
          <w:i/>
          <w:sz w:val="16"/>
          <w:szCs w:val="16"/>
        </w:rPr>
        <w:t>(Umelá inteligencia a zmena klímy: ako spolu súvisia a čo s tým môžeme spraviť)</w:t>
      </w:r>
      <w:r>
        <w:rPr>
          <w:sz w:val="16"/>
          <w:szCs w:val="16"/>
        </w:rPr>
        <w:t xml:space="preserve"> (</w:t>
      </w:r>
      <w:hyperlink r:id="rId123" w:history="1">
        <w:r>
          <w:rPr>
            <w:rStyle w:val="Hyperlink"/>
            <w:sz w:val="16"/>
            <w:szCs w:val="16"/>
          </w:rPr>
          <w:t>https://medium.com/@AINowInstitute/ai-and-climate-change-how-theyre-connected-and-what-we-can-do-about-it-6aa8d0f5b32c</w:t>
        </w:r>
      </w:hyperlink>
      <w:r>
        <w:rPr>
          <w:sz w:val="16"/>
          <w:szCs w:val="16"/>
        </w:rPr>
        <w:t>).</w:t>
      </w:r>
    </w:p>
  </w:footnote>
  <w:footnote w:id="186">
    <w:p w:rsidR="00F47BB5" w:rsidRDefault="00A34992">
      <w:pPr>
        <w:spacing w:after="0"/>
        <w:rPr>
          <w:sz w:val="16"/>
          <w:szCs w:val="16"/>
        </w:rPr>
      </w:pPr>
      <w:r>
        <w:rPr>
          <w:sz w:val="16"/>
          <w:szCs w:val="16"/>
          <w:vertAlign w:val="superscript"/>
        </w:rPr>
        <w:footnoteRef/>
      </w:r>
      <w:r>
        <w:rPr>
          <w:color w:val="000000"/>
          <w:sz w:val="16"/>
          <w:szCs w:val="16"/>
        </w:rPr>
        <w:t xml:space="preserve"> </w:t>
      </w:r>
      <w:hyperlink r:id="rId124" w:history="1">
        <w:r>
          <w:rPr>
            <w:rStyle w:val="Hyperlink"/>
            <w:sz w:val="16"/>
            <w:szCs w:val="16"/>
          </w:rPr>
          <w:t>https://ec.europa.eu/eurostat/web/products-statistical-books/-/KS-02-20-202</w:t>
        </w:r>
      </w:hyperlink>
      <w:r>
        <w:rPr>
          <w:sz w:val="16"/>
          <w:szCs w:val="16"/>
        </w:rPr>
        <w:t>.</w:t>
      </w:r>
    </w:p>
  </w:footnote>
  <w:footnote w:id="187">
    <w:p w:rsidR="00F47BB5" w:rsidRDefault="00A34992">
      <w:pPr>
        <w:spacing w:after="0"/>
        <w:rPr>
          <w:sz w:val="16"/>
          <w:szCs w:val="16"/>
        </w:rPr>
      </w:pPr>
      <w:r>
        <w:rPr>
          <w:sz w:val="16"/>
          <w:szCs w:val="16"/>
          <w:vertAlign w:val="superscript"/>
        </w:rPr>
        <w:footnoteRef/>
      </w:r>
      <w:r>
        <w:rPr>
          <w:color w:val="000000"/>
          <w:sz w:val="16"/>
          <w:szCs w:val="16"/>
        </w:rPr>
        <w:t xml:space="preserve"> </w:t>
      </w:r>
      <w:r>
        <w:rPr>
          <w:sz w:val="16"/>
          <w:szCs w:val="16"/>
        </w:rPr>
        <w:t>Úplný zoznam ukazovateľov, zodpovedajúce vymedzenia pojmov a zdroje sú k dispozícii v týc</w:t>
      </w:r>
      <w:r>
        <w:rPr>
          <w:sz w:val="16"/>
          <w:szCs w:val="16"/>
        </w:rPr>
        <w:t xml:space="preserve">hto technických dokumentoch Spoločného výskumného centra Komisie (JRC) z 9. septembra 2020: i) „Prototype dashboard for monitoring the social and economic dimension of resilience“ </w:t>
      </w:r>
      <w:r>
        <w:rPr>
          <w:i/>
          <w:sz w:val="16"/>
          <w:szCs w:val="16"/>
        </w:rPr>
        <w:t>(Prototypy prehľadov na účely monitorovania sociálno-hospodárskeho rozmeru o</w:t>
      </w:r>
      <w:r>
        <w:rPr>
          <w:i/>
          <w:sz w:val="16"/>
          <w:szCs w:val="16"/>
        </w:rPr>
        <w:t>dolnosti)</w:t>
      </w:r>
      <w:r>
        <w:rPr>
          <w:sz w:val="16"/>
          <w:szCs w:val="16"/>
        </w:rPr>
        <w:t xml:space="preserve">, JRC121729; ii) „Prototype dashboards for monitoring the geopolitical, green, and digital dimensions of resilience“ </w:t>
      </w:r>
      <w:r>
        <w:rPr>
          <w:i/>
          <w:iCs/>
          <w:sz w:val="16"/>
          <w:szCs w:val="16"/>
        </w:rPr>
        <w:t>(Prototypy prehľadov na účely monitorovania geopolitického, zeleného a digitálneho rozmeru odolnosti)</w:t>
      </w:r>
      <w:r>
        <w:rPr>
          <w:sz w:val="16"/>
          <w:szCs w:val="16"/>
        </w:rPr>
        <w:t>, JRC121633.</w:t>
      </w:r>
    </w:p>
  </w:footnote>
  <w:footnote w:id="188">
    <w:p w:rsidR="00F47BB5" w:rsidRDefault="00A34992">
      <w:pPr>
        <w:spacing w:after="0"/>
        <w:rPr>
          <w:sz w:val="16"/>
          <w:szCs w:val="16"/>
        </w:rPr>
      </w:pPr>
      <w:r>
        <w:rPr>
          <w:sz w:val="16"/>
          <w:szCs w:val="16"/>
          <w:vertAlign w:val="superscript"/>
        </w:rPr>
        <w:footnoteRef/>
      </w:r>
      <w:r>
        <w:rPr>
          <w:color w:val="000000"/>
          <w:sz w:val="16"/>
          <w:szCs w:val="16"/>
        </w:rPr>
        <w:t xml:space="preserve"> </w:t>
      </w:r>
      <w:r>
        <w:rPr>
          <w:sz w:val="16"/>
          <w:szCs w:val="16"/>
        </w:rPr>
        <w:t xml:space="preserve">Dostupnosť </w:t>
      </w:r>
      <w:r>
        <w:rPr>
          <w:sz w:val="16"/>
          <w:szCs w:val="16"/>
        </w:rPr>
        <w:t>údajov sa môže medzi jednotlivými krajinami z roka na rok líšiť a krajiny s dlhšími radmi údajov sú v rozdelení výraznejšie. Ak pre premennú nie sú na začiatku obdobia k dispozícii žiadne údaje, rozdelenie v rokoch 2007 – 2019 sa automaticky vzťahuje na na</w:t>
      </w:r>
      <w:r>
        <w:rPr>
          <w:sz w:val="16"/>
          <w:szCs w:val="16"/>
        </w:rPr>
        <w:t>jnovšie dostupné hodnoty. Ak sú premenné k dispozícii len za jeden rok, posudzuje sa relatívna výkonnosť len v danom roku.</w:t>
      </w:r>
    </w:p>
  </w:footnote>
  <w:footnote w:id="189">
    <w:p w:rsidR="00F47BB5" w:rsidRDefault="00A34992">
      <w:pPr>
        <w:spacing w:after="0"/>
        <w:rPr>
          <w:sz w:val="16"/>
          <w:szCs w:val="16"/>
        </w:rPr>
      </w:pPr>
      <w:r>
        <w:rPr>
          <w:sz w:val="16"/>
          <w:szCs w:val="16"/>
          <w:vertAlign w:val="superscript"/>
        </w:rPr>
        <w:footnoteRef/>
      </w:r>
      <w:r>
        <w:rPr>
          <w:color w:val="000000"/>
          <w:sz w:val="16"/>
          <w:szCs w:val="16"/>
        </w:rPr>
        <w:t xml:space="preserve"> </w:t>
      </w:r>
      <w:r>
        <w:rPr>
          <w:sz w:val="16"/>
          <w:szCs w:val="16"/>
        </w:rPr>
        <w:t>Pre každý ukazovateľ sa vypočíta stredná a štandardná odchýlka združeného rozdelenia medzi krajiny a roky. Žltá resp. modrá farba o</w:t>
      </w:r>
      <w:r>
        <w:rPr>
          <w:sz w:val="16"/>
          <w:szCs w:val="16"/>
        </w:rPr>
        <w:t>značuje krajiny, ktoré v poslednom dostupnom roku dosiahli aspoň jednu štandardnú odchýlku horšiu resp. lepšiu ako priemer. Svetlomodrá farba označuje stredný rozsah odchýlky.</w:t>
      </w:r>
    </w:p>
  </w:footnote>
  <w:footnote w:id="190">
    <w:p w:rsidR="00F47BB5" w:rsidRDefault="00A34992">
      <w:pPr>
        <w:spacing w:after="0"/>
        <w:rPr>
          <w:sz w:val="16"/>
          <w:szCs w:val="16"/>
        </w:rPr>
      </w:pPr>
      <w:r>
        <w:rPr>
          <w:sz w:val="16"/>
          <w:szCs w:val="16"/>
          <w:vertAlign w:val="superscript"/>
        </w:rPr>
        <w:footnoteRef/>
      </w:r>
      <w:r>
        <w:rPr>
          <w:color w:val="000000"/>
          <w:sz w:val="16"/>
          <w:szCs w:val="16"/>
        </w:rPr>
        <w:t xml:space="preserve"> </w:t>
      </w:r>
      <w:r>
        <w:rPr>
          <w:sz w:val="16"/>
          <w:szCs w:val="16"/>
        </w:rPr>
        <w:t>Zdroje pochádzajú z Eurostatu a Európskej komisie doplnené premennými z územne</w:t>
      </w:r>
      <w:r>
        <w:rPr>
          <w:sz w:val="16"/>
          <w:szCs w:val="16"/>
        </w:rPr>
        <w:t>j platformy JRC LUISA, Európskeho inštitútu pre rodovú rovnosť, indexu globálnej konkurencieschopnosti Svetového ekonomického fóra, Svetovej banky, európskeho prieskumu kvality života, Eurobarometra a výskumu (</w:t>
      </w:r>
      <w:hyperlink r:id="rId125" w:history="1">
        <w:r>
          <w:rPr>
            <w:rStyle w:val="Hyperlink"/>
            <w:sz w:val="16"/>
            <w:szCs w:val="16"/>
          </w:rPr>
          <w:t>https://www.eurosurveillance.org/content/10.2807/1560-7917.ES.2018.23.46.1800516</w:t>
        </w:r>
      </w:hyperlink>
      <w:r>
        <w:rPr>
          <w:sz w:val="16"/>
          <w:szCs w:val="16"/>
        </w:rPr>
        <w:t xml:space="preserve">). </w:t>
      </w:r>
    </w:p>
  </w:footnote>
  <w:footnote w:id="191">
    <w:p w:rsidR="00F47BB5" w:rsidRDefault="00A34992">
      <w:pPr>
        <w:spacing w:after="0"/>
        <w:rPr>
          <w:sz w:val="16"/>
          <w:szCs w:val="16"/>
        </w:rPr>
      </w:pPr>
      <w:r>
        <w:rPr>
          <w:sz w:val="16"/>
          <w:szCs w:val="16"/>
          <w:vertAlign w:val="superscript"/>
        </w:rPr>
        <w:footnoteRef/>
      </w:r>
      <w:r>
        <w:rPr>
          <w:color w:val="000000"/>
          <w:sz w:val="16"/>
          <w:szCs w:val="16"/>
        </w:rPr>
        <w:t xml:space="preserve"> </w:t>
      </w:r>
      <w:r>
        <w:rPr>
          <w:sz w:val="16"/>
          <w:szCs w:val="16"/>
        </w:rPr>
        <w:t>Vychádza sa z hodnotiacej tabuľky pre suroviny 2018 (</w:t>
      </w:r>
      <w:hyperlink r:id="rId126" w:history="1">
        <w:r>
          <w:rPr>
            <w:rStyle w:val="Hyperlink"/>
            <w:sz w:val="16"/>
            <w:szCs w:val="16"/>
          </w:rPr>
          <w:t>https://ec.europa.eu/growth/content/raw-materials-scoreboard-2018_en</w:t>
        </w:r>
      </w:hyperlink>
      <w:r>
        <w:rPr>
          <w:sz w:val="16"/>
          <w:szCs w:val="16"/>
        </w:rPr>
        <w:t xml:space="preserve">) a metodológie posudzovania kritického významu surovín (Blengini </w:t>
      </w:r>
      <w:r>
        <w:rPr>
          <w:i/>
          <w:iCs/>
          <w:sz w:val="16"/>
          <w:szCs w:val="16"/>
        </w:rPr>
        <w:t>et al.</w:t>
      </w:r>
      <w:r>
        <w:rPr>
          <w:sz w:val="16"/>
          <w:szCs w:val="16"/>
        </w:rPr>
        <w:t xml:space="preserve">, 2017, </w:t>
      </w:r>
      <w:hyperlink r:id="rId127" w:history="1">
        <w:r>
          <w:rPr>
            <w:rStyle w:val="Hyperlink"/>
            <w:sz w:val="16"/>
            <w:szCs w:val="16"/>
          </w:rPr>
          <w:t>https://doi.org/10.2760/73303</w:t>
        </w:r>
      </w:hyperlink>
      <w:r>
        <w:rPr>
          <w:sz w:val="16"/>
          <w:szCs w:val="16"/>
        </w:rPr>
        <w:t xml:space="preserve">). Zdrojmi sú </w:t>
      </w:r>
      <w:r>
        <w:rPr>
          <w:sz w:val="16"/>
          <w:szCs w:val="16"/>
        </w:rPr>
        <w:t>Európska komisia, svetová databáza ťažby, databáza svetovej produkcie nerastov v rámci britského geologického prieskumu a historická štatistika amerického geologického prieskumu.</w:t>
      </w:r>
    </w:p>
  </w:footnote>
  <w:footnote w:id="192">
    <w:p w:rsidR="00F47BB5" w:rsidRDefault="00A34992">
      <w:pPr>
        <w:spacing w:after="0"/>
        <w:rPr>
          <w:sz w:val="16"/>
          <w:szCs w:val="16"/>
        </w:rPr>
      </w:pPr>
      <w:r>
        <w:rPr>
          <w:sz w:val="16"/>
          <w:szCs w:val="16"/>
          <w:vertAlign w:val="superscript"/>
        </w:rPr>
        <w:footnoteRef/>
      </w:r>
      <w:r>
        <w:rPr>
          <w:color w:val="000000"/>
          <w:sz w:val="16"/>
          <w:szCs w:val="16"/>
        </w:rPr>
        <w:t xml:space="preserve"> V absolútnom vyjadrení je však závislosť od dovozu základných kovov vyššia </w:t>
      </w:r>
      <w:r>
        <w:rPr>
          <w:color w:val="000000"/>
          <w:sz w:val="16"/>
          <w:szCs w:val="16"/>
        </w:rPr>
        <w:t>ako závislosť od nekovových nerastov</w:t>
      </w:r>
      <w:r>
        <w:rPr>
          <w:sz w:val="16"/>
          <w:szCs w:val="16"/>
        </w:rPr>
        <w:t>.</w:t>
      </w:r>
    </w:p>
  </w:footnote>
  <w:footnote w:id="193">
    <w:p w:rsidR="00F47BB5" w:rsidRDefault="00A34992">
      <w:pPr>
        <w:spacing w:after="0"/>
        <w:rPr>
          <w:sz w:val="16"/>
          <w:szCs w:val="16"/>
          <w:highlight w:val="yellow"/>
        </w:rPr>
      </w:pPr>
      <w:r>
        <w:rPr>
          <w:sz w:val="16"/>
          <w:szCs w:val="16"/>
          <w:vertAlign w:val="superscript"/>
        </w:rPr>
        <w:footnoteRef/>
      </w:r>
      <w:r>
        <w:rPr>
          <w:color w:val="000000"/>
          <w:sz w:val="16"/>
          <w:szCs w:val="16"/>
        </w:rPr>
        <w:t xml:space="preserve"> </w:t>
      </w:r>
      <w:r>
        <w:rPr>
          <w:sz w:val="16"/>
          <w:szCs w:val="16"/>
        </w:rPr>
        <w:t xml:space="preserve">Vychádza sa z indexu EÚ Globálnej aliancie proti zmene klímy (Miola </w:t>
      </w:r>
      <w:r>
        <w:rPr>
          <w:i/>
          <w:sz w:val="16"/>
          <w:szCs w:val="16"/>
        </w:rPr>
        <w:t>et al.</w:t>
      </w:r>
      <w:r>
        <w:rPr>
          <w:sz w:val="16"/>
          <w:szCs w:val="16"/>
        </w:rPr>
        <w:t xml:space="preserve">, 2015, </w:t>
      </w:r>
      <w:hyperlink r:id="rId128" w:history="1">
        <w:r>
          <w:rPr>
            <w:rStyle w:val="Hyperlink"/>
            <w:sz w:val="16"/>
            <w:szCs w:val="16"/>
          </w:rPr>
          <w:t>https://doi.org/10.2788/516387</w:t>
        </w:r>
      </w:hyperlink>
      <w:r>
        <w:rPr>
          <w:sz w:val="16"/>
          <w:szCs w:val="16"/>
        </w:rPr>
        <w:t>), ktorý dopĺňajú ďalšie premenné opisujúce úsilie a dosi</w:t>
      </w:r>
      <w:r>
        <w:rPr>
          <w:sz w:val="16"/>
          <w:szCs w:val="16"/>
        </w:rPr>
        <w:t>ahnuté výsledky členských štátov v oblasti prispôsobenia sa zmene klímy a jej zmierňovania. Zdrojmi údajov sú Svetová banka, FAO, Európska environmentálna agentúra, databáza mimoriadnych udalostí Centra pre výskum príčin vzniku katastrof (EM-DAT), súbory ú</w:t>
      </w:r>
      <w:r>
        <w:rPr>
          <w:sz w:val="16"/>
          <w:szCs w:val="16"/>
        </w:rPr>
        <w:t>dajov rôznych výskumných inštitúcií, Eurobarometer a Eurostat.</w:t>
      </w:r>
    </w:p>
  </w:footnote>
  <w:footnote w:id="194">
    <w:p w:rsidR="00F47BB5" w:rsidRDefault="00A34992">
      <w:pPr>
        <w:spacing w:after="0"/>
        <w:rPr>
          <w:sz w:val="16"/>
          <w:szCs w:val="16"/>
        </w:rPr>
      </w:pPr>
      <w:r>
        <w:rPr>
          <w:sz w:val="16"/>
          <w:szCs w:val="16"/>
          <w:vertAlign w:val="superscript"/>
        </w:rPr>
        <w:footnoteRef/>
      </w:r>
      <w:r>
        <w:rPr>
          <w:color w:val="000000"/>
          <w:sz w:val="16"/>
          <w:szCs w:val="16"/>
        </w:rPr>
        <w:t xml:space="preserve"> </w:t>
      </w:r>
      <w:r>
        <w:rPr>
          <w:sz w:val="16"/>
          <w:szCs w:val="16"/>
        </w:rPr>
        <w:t xml:space="preserve">Hlavným zdrojom je iniciatíva Komisie </w:t>
      </w:r>
      <w:r>
        <w:rPr>
          <w:i/>
          <w:sz w:val="16"/>
          <w:szCs w:val="16"/>
        </w:rPr>
        <w:t xml:space="preserve">AI Watch </w:t>
      </w:r>
      <w:r>
        <w:rPr>
          <w:sz w:val="16"/>
          <w:szCs w:val="16"/>
        </w:rPr>
        <w:t>(</w:t>
      </w:r>
      <w:hyperlink r:id="rId129" w:history="1">
        <w:r>
          <w:rPr>
            <w:rStyle w:val="Hyperlink"/>
            <w:sz w:val="16"/>
            <w:szCs w:val="16"/>
          </w:rPr>
          <w:t>https://ec.europa.eu/knowledge4policy/ai-watch_en</w:t>
        </w:r>
      </w:hyperlink>
      <w:r>
        <w:rPr>
          <w:sz w:val="16"/>
          <w:szCs w:val="16"/>
        </w:rPr>
        <w:t xml:space="preserve">) zameraná na monitorovanie </w:t>
      </w:r>
      <w:r>
        <w:rPr>
          <w:sz w:val="16"/>
          <w:szCs w:val="16"/>
        </w:rPr>
        <w:t>priemyselných, technologických a výskumných kapacít, používanie a technický vývoj umelej inteligencie a jej vplyvu na hospodárstvo a spoločnosť.</w:t>
      </w:r>
    </w:p>
  </w:footnote>
  <w:footnote w:id="195">
    <w:p w:rsidR="00F47BB5" w:rsidRDefault="00A34992">
      <w:pPr>
        <w:pStyle w:val="Default"/>
        <w:spacing w:after="0" w:line="240" w:lineRule="auto"/>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sz w:val="16"/>
          <w:szCs w:val="16"/>
        </w:rPr>
        <w:t>Komisia skúma možnosti merať prechod na udržateľnosť prostredníctvom hodnotiacej tabuľky. Táto hodnotiaca tabu</w:t>
      </w:r>
      <w:r>
        <w:rPr>
          <w:rFonts w:ascii="Times New Roman" w:hAnsi="Times New Roman"/>
          <w:sz w:val="16"/>
          <w:szCs w:val="16"/>
        </w:rPr>
        <w:t>ľka zostavená na základe výročných monitorovacích správ Eurostatu by poskytla medzinárodne porovnateľný prehľad všetkých štyroch rozmerov udržateľnosti (hospodárskeho, environmentálneho, sociálneho a inštitucionálneho) s cieľom podnietiť širokú verejnú dis</w:t>
      </w:r>
      <w:r>
        <w:rPr>
          <w:rFonts w:ascii="Times New Roman" w:hAnsi="Times New Roman"/>
          <w:sz w:val="16"/>
          <w:szCs w:val="16"/>
        </w:rPr>
        <w:t>kusiu v celej EÚ.</w:t>
      </w:r>
    </w:p>
  </w:footnote>
  <w:footnote w:id="196">
    <w:p w:rsidR="00F47BB5" w:rsidRDefault="00A34992">
      <w:pPr>
        <w:pStyle w:val="FootnoteText"/>
        <w:spacing w:after="0"/>
        <w:ind w:left="0" w:firstLine="0"/>
        <w:rPr>
          <w:sz w:val="16"/>
          <w:szCs w:val="16"/>
        </w:rPr>
      </w:pPr>
      <w:r>
        <w:rPr>
          <w:rStyle w:val="FootnoteReference"/>
          <w:sz w:val="16"/>
          <w:szCs w:val="16"/>
        </w:rPr>
        <w:footnoteRef/>
      </w:r>
      <w:r>
        <w:rPr>
          <w:color w:val="000000"/>
          <w:sz w:val="16"/>
          <w:szCs w:val="16"/>
        </w:rPr>
        <w:t xml:space="preserve"> </w:t>
      </w:r>
      <w:r>
        <w:rPr>
          <w:sz w:val="16"/>
          <w:szCs w:val="16"/>
        </w:rPr>
        <w:t xml:space="preserve">Gadredy, J., Jany-Catrice, F., </w:t>
      </w:r>
      <w:r>
        <w:rPr>
          <w:i/>
          <w:sz w:val="16"/>
        </w:rPr>
        <w:t>et al</w:t>
      </w:r>
      <w:r>
        <w:rPr>
          <w:i/>
          <w:sz w:val="16"/>
          <w:szCs w:val="16"/>
        </w:rPr>
        <w:t xml:space="preserve">., </w:t>
      </w:r>
      <w:r>
        <w:rPr>
          <w:sz w:val="16"/>
          <w:szCs w:val="16"/>
        </w:rPr>
        <w:t xml:space="preserve">2020, Se libérer du PIB pour mesurer ce qui compte vraiment, Le Monde. </w:t>
      </w:r>
    </w:p>
  </w:footnote>
  <w:footnote w:id="197">
    <w:p w:rsidR="00F47BB5" w:rsidRDefault="00A34992">
      <w:pPr>
        <w:spacing w:after="0"/>
        <w:rPr>
          <w:sz w:val="16"/>
          <w:szCs w:val="16"/>
        </w:rPr>
      </w:pPr>
      <w:r>
        <w:rPr>
          <w:sz w:val="16"/>
          <w:szCs w:val="16"/>
          <w:vertAlign w:val="superscript"/>
        </w:rPr>
        <w:footnoteRef/>
      </w:r>
      <w:r>
        <w:rPr>
          <w:color w:val="000000"/>
          <w:sz w:val="16"/>
          <w:szCs w:val="16"/>
        </w:rPr>
        <w:t xml:space="preserve"> </w:t>
      </w:r>
      <w:r>
        <w:rPr>
          <w:sz w:val="16"/>
          <w:szCs w:val="16"/>
        </w:rPr>
        <w:t>Pozri: prvá správa Stiglitza, Sena a Fitoussiho z roku 2009 (</w:t>
      </w:r>
      <w:hyperlink r:id="rId130" w:history="1">
        <w:r>
          <w:rPr>
            <w:rStyle w:val="Hyperlink"/>
            <w:sz w:val="16"/>
            <w:szCs w:val="16"/>
          </w:rPr>
          <w:t>https://ec.europa.eu/eurostat/documents/8131721/8131772/Stiglitz-Sen-Fitoussi-Commission-report.pdf</w:t>
        </w:r>
      </w:hyperlink>
      <w:r>
        <w:rPr>
          <w:sz w:val="16"/>
          <w:szCs w:val="16"/>
        </w:rPr>
        <w:t xml:space="preserve">); KOM(2009) 433 final, </w:t>
      </w:r>
      <w:r>
        <w:rPr>
          <w:sz w:val="16"/>
        </w:rPr>
        <w:t>Viac ako HDP: meradlo pokroku v meniacom sa svete</w:t>
      </w:r>
      <w:r>
        <w:rPr>
          <w:sz w:val="16"/>
          <w:szCs w:val="16"/>
        </w:rPr>
        <w:t>; SWD(2013) 303 final, Progres</w:t>
      </w:r>
      <w:r>
        <w:rPr>
          <w:sz w:val="16"/>
          <w:szCs w:val="16"/>
        </w:rPr>
        <w:t xml:space="preserve">s on ‘GDP and beyond’ actions </w:t>
      </w:r>
      <w:r>
        <w:rPr>
          <w:i/>
          <w:sz w:val="16"/>
          <w:szCs w:val="16"/>
        </w:rPr>
        <w:t>(Pokrok opatrení v oblasti „Viac ako HDP“)</w:t>
      </w:r>
      <w:r>
        <w:rPr>
          <w:sz w:val="16"/>
          <w:szCs w:val="16"/>
        </w:rPr>
        <w:t>; a dva diely druhej správy Stiglitza, Fitoussiho a Duranda z roku 2018 (</w:t>
      </w:r>
      <w:hyperlink r:id="rId131" w:history="1">
        <w:r>
          <w:rPr>
            <w:rStyle w:val="Hyperlink"/>
            <w:sz w:val="16"/>
            <w:szCs w:val="16"/>
          </w:rPr>
          <w:t>https://doi.org/10.1787/9789264307292-en</w:t>
        </w:r>
      </w:hyperlink>
      <w:r>
        <w:rPr>
          <w:color w:val="003C6A"/>
          <w:sz w:val="16"/>
        </w:rPr>
        <w:t xml:space="preserve"> a </w:t>
      </w:r>
      <w:hyperlink r:id="rId132" w:history="1">
        <w:r>
          <w:rPr>
            <w:rStyle w:val="Hyperlink"/>
            <w:sz w:val="16"/>
            <w:szCs w:val="16"/>
          </w:rPr>
          <w:t>https://doi.org/10.1787/9789264307278-en</w:t>
        </w:r>
      </w:hyperlink>
      <w:r>
        <w:rPr>
          <w:sz w:val="16"/>
        </w:rPr>
        <w:t>).</w:t>
      </w:r>
    </w:p>
  </w:footnote>
  <w:footnote w:id="198">
    <w:p w:rsidR="00F47BB5" w:rsidRDefault="00A34992">
      <w:pPr>
        <w:spacing w:after="0"/>
        <w:rPr>
          <w:sz w:val="16"/>
          <w:szCs w:val="16"/>
        </w:rPr>
      </w:pPr>
      <w:r>
        <w:rPr>
          <w:rStyle w:val="FootnoteReference"/>
          <w:sz w:val="16"/>
          <w:szCs w:val="16"/>
        </w:rPr>
        <w:footnoteRef/>
      </w:r>
      <w:r>
        <w:rPr>
          <w:color w:val="000000"/>
          <w:sz w:val="16"/>
          <w:szCs w:val="16"/>
        </w:rPr>
        <w:t xml:space="preserve"> </w:t>
      </w:r>
      <w:r>
        <w:rPr>
          <w:sz w:val="16"/>
          <w:szCs w:val="16"/>
        </w:rPr>
        <w:t>Konferencia na vysokej úrovni s názvom „Beyond GDP“, ktorú v roku 2007 spoločne usporiadali Komisia, Európsky parlament, Rímsky klub, OBSE a WWF, zamerala p</w:t>
      </w:r>
      <w:r>
        <w:rPr>
          <w:sz w:val="16"/>
          <w:szCs w:val="16"/>
        </w:rPr>
        <w:t>ozornosť na najvhodnejšie ukazovatele merania pokroku a na možnosti, ako ich čo najlepšie začleniť do rozhodovacieho procesu. Méda, D., 2020, Promouvoir de nouveaux indicateurs de richesse: „Histoire d’une cause inaboutie“, Fondation maison des sciences de</w:t>
      </w:r>
      <w:r>
        <w:rPr>
          <w:sz w:val="16"/>
          <w:szCs w:val="16"/>
        </w:rPr>
        <w:t xml:space="preserve"> l’homme, College d’etudes mondiales; a Durand, M. a Exton, C., 2019, „Adopting a Well-Being Approach in Central Government: Policy Mechanisms and Practical Tools“ </w:t>
      </w:r>
      <w:r>
        <w:rPr>
          <w:i/>
          <w:sz w:val="16"/>
          <w:szCs w:val="16"/>
        </w:rPr>
        <w:t xml:space="preserve">(Ako si v ústrednej štátnej správe osvojiť prístup založený na kvalite životných podmienok: </w:t>
      </w:r>
      <w:r>
        <w:rPr>
          <w:i/>
          <w:sz w:val="16"/>
          <w:szCs w:val="16"/>
        </w:rPr>
        <w:t>politické mechanizmy a praktické nástroje)</w:t>
      </w:r>
      <w:r>
        <w:rPr>
          <w:sz w:val="16"/>
          <w:szCs w:val="16"/>
        </w:rPr>
        <w:t>, kapitola 8 Správy o globálnej politike šťastia a pohody (Global Happiness and Wellbeing Policy Report), OECD.</w:t>
      </w:r>
    </w:p>
  </w:footnote>
  <w:footnote w:id="199">
    <w:p w:rsidR="00F47BB5" w:rsidRDefault="00A34992">
      <w:pPr>
        <w:spacing w:after="0"/>
        <w:rPr>
          <w:sz w:val="16"/>
          <w:szCs w:val="16"/>
        </w:rPr>
      </w:pPr>
      <w:r>
        <w:rPr>
          <w:sz w:val="16"/>
          <w:szCs w:val="16"/>
          <w:vertAlign w:val="superscript"/>
        </w:rPr>
        <w:footnoteRef/>
      </w:r>
      <w:r>
        <w:rPr>
          <w:color w:val="000000"/>
          <w:sz w:val="16"/>
          <w:szCs w:val="16"/>
        </w:rPr>
        <w:t xml:space="preserve"> </w:t>
      </w:r>
      <w:r>
        <w:rPr>
          <w:sz w:val="16"/>
          <w:szCs w:val="16"/>
        </w:rPr>
        <w:t xml:space="preserve">Najvýznamnejšími príkladmi sú index lepšieho života OECD a ciele OSN v oblasti udržateľného rozvoja </w:t>
      </w:r>
      <w:r>
        <w:rPr>
          <w:sz w:val="16"/>
          <w:szCs w:val="16"/>
        </w:rPr>
        <w:t>a index ľudského rozvoja.</w:t>
      </w:r>
    </w:p>
  </w:footnote>
  <w:footnote w:id="200">
    <w:p w:rsidR="00F47BB5" w:rsidRDefault="00A34992">
      <w:pPr>
        <w:spacing w:after="0"/>
        <w:rPr>
          <w:sz w:val="16"/>
          <w:szCs w:val="16"/>
        </w:rPr>
      </w:pPr>
      <w:r>
        <w:rPr>
          <w:sz w:val="16"/>
          <w:szCs w:val="16"/>
          <w:vertAlign w:val="superscript"/>
        </w:rPr>
        <w:footnoteRef/>
      </w:r>
      <w:r>
        <w:rPr>
          <w:color w:val="000000"/>
          <w:sz w:val="16"/>
          <w:szCs w:val="16"/>
        </w:rPr>
        <w:t xml:space="preserve"> </w:t>
      </w:r>
      <w:r>
        <w:rPr>
          <w:sz w:val="16"/>
          <w:szCs w:val="16"/>
        </w:rPr>
        <w:t xml:space="preserve">De Smedt, M., Giovannini, E. a Radermacher, W.J., 2018, kapitola 9: Measuring sustainability </w:t>
      </w:r>
      <w:r>
        <w:rPr>
          <w:i/>
          <w:sz w:val="16"/>
          <w:szCs w:val="16"/>
        </w:rPr>
        <w:t>(Meranie udržateľnosti)</w:t>
      </w:r>
      <w:r>
        <w:rPr>
          <w:sz w:val="16"/>
          <w:szCs w:val="16"/>
        </w:rPr>
        <w:t>, In: Stiglitz J.E., Fitoussi Jean-Paul, Durand Martine (Ed.), 2018, For Good Measure: Advancing Research on Wel</w:t>
      </w:r>
      <w:r>
        <w:rPr>
          <w:sz w:val="16"/>
          <w:szCs w:val="16"/>
        </w:rPr>
        <w:t xml:space="preserve">l-being Metrics Beyond GDP </w:t>
      </w:r>
      <w:r>
        <w:rPr>
          <w:i/>
          <w:sz w:val="16"/>
          <w:szCs w:val="16"/>
        </w:rPr>
        <w:t>(Dobré meradlo: posunutie výskumu o ukazovateľoch kvality životných podmienok nad rámec HDP)</w:t>
      </w:r>
      <w:r>
        <w:rPr>
          <w:sz w:val="16"/>
          <w:szCs w:val="16"/>
        </w:rPr>
        <w:t>, OECD Publishing, Paríž, s. 241 – 276, (</w:t>
      </w:r>
      <w:hyperlink r:id="rId133" w:history="1">
        <w:r>
          <w:rPr>
            <w:rStyle w:val="Hyperlink"/>
            <w:sz w:val="16"/>
            <w:szCs w:val="16"/>
          </w:rPr>
          <w:t>https://doi.org/10.1787/978926430727</w:t>
        </w:r>
        <w:r>
          <w:rPr>
            <w:rStyle w:val="Hyperlink"/>
            <w:sz w:val="16"/>
            <w:szCs w:val="16"/>
          </w:rPr>
          <w:t>8-11-en</w:t>
        </w:r>
      </w:hyperlink>
      <w:r>
        <w:rPr>
          <w:rStyle w:val="Hyperlink"/>
          <w:color w:val="auto"/>
          <w:sz w:val="16"/>
          <w:szCs w:val="16"/>
          <w:u w:val="none"/>
        </w:rPr>
        <w:t>)</w:t>
      </w:r>
      <w:r>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4992" w:rsidRPr="00A34992" w:rsidRDefault="00A34992" w:rsidP="00A349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4992" w:rsidRPr="00A34992" w:rsidRDefault="00A34992" w:rsidP="00A34992">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4992" w:rsidRPr="00A34992" w:rsidRDefault="00A34992" w:rsidP="00A34992">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BB5" w:rsidRDefault="00F47BB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BB5" w:rsidRDefault="00F47BB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BB5" w:rsidRDefault="00F47B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C358E"/>
    <w:multiLevelType w:val="hybridMultilevel"/>
    <w:tmpl w:val="7B9A6A6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A2900F7"/>
    <w:multiLevelType w:val="multilevel"/>
    <w:tmpl w:val="6546C6B2"/>
    <w:name w:val="ListDash4Numbering"/>
    <w:lvl w:ilvl="0">
      <w:start w:val="1"/>
      <w:numFmt w:val="bullet"/>
      <w:pStyle w:val="ListDash4"/>
      <w:lvlText w:val="–"/>
      <w:lvlJc w:val="left"/>
      <w:pPr>
        <w:tabs>
          <w:tab w:val="num" w:pos="1485"/>
        </w:tabs>
        <w:ind w:left="1485" w:hanging="283"/>
      </w:pPr>
      <w:rPr>
        <w:rFonts w:ascii="Times New Roman" w:hAnsi="Times New Roman"/>
      </w:rPr>
    </w:lvl>
    <w:lvl w:ilvl="1">
      <w:start w:val="1"/>
      <w:numFmt w:val="bullet"/>
      <w:pStyle w:val="ListDash4Level2"/>
      <w:lvlText w:val="–"/>
      <w:lvlJc w:val="left"/>
      <w:pPr>
        <w:tabs>
          <w:tab w:val="num" w:pos="1769"/>
        </w:tabs>
        <w:ind w:left="1769" w:hanging="284"/>
      </w:pPr>
      <w:rPr>
        <w:rFonts w:ascii="Times New Roman" w:hAnsi="Times New Roman"/>
      </w:rPr>
    </w:lvl>
    <w:lvl w:ilvl="2">
      <w:start w:val="1"/>
      <w:numFmt w:val="bullet"/>
      <w:pStyle w:val="ListDash4Level3"/>
      <w:lvlText w:val="–"/>
      <w:lvlJc w:val="left"/>
      <w:pPr>
        <w:tabs>
          <w:tab w:val="num" w:pos="2052"/>
        </w:tabs>
        <w:ind w:left="2052" w:hanging="283"/>
      </w:pPr>
      <w:rPr>
        <w:rFonts w:ascii="Times New Roman" w:hAnsi="Times New Roman"/>
      </w:rPr>
    </w:lvl>
    <w:lvl w:ilvl="3">
      <w:start w:val="1"/>
      <w:numFmt w:val="bullet"/>
      <w:pStyle w:val="ListDash4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 w15:restartNumberingAfterBreak="0">
    <w:nsid w:val="0CB05ED7"/>
    <w:multiLevelType w:val="multilevel"/>
    <w:tmpl w:val="B4A4825A"/>
    <w:lvl w:ilvl="0">
      <w:start w:val="1"/>
      <w:numFmt w:val="decimal"/>
      <w:lvlText w:val="%1."/>
      <w:lvlJc w:val="left"/>
      <w:pPr>
        <w:ind w:left="495" w:hanging="495"/>
      </w:pPr>
      <w:rPr>
        <w:rFonts w:hint="default"/>
      </w:rPr>
    </w:lvl>
    <w:lvl w:ilvl="1">
      <w:start w:val="1"/>
      <w:numFmt w:val="decimal"/>
      <w:lvlText w:val="%1.%2."/>
      <w:lvlJc w:val="left"/>
      <w:pPr>
        <w:ind w:left="852" w:hanging="495"/>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296" w:hanging="1440"/>
      </w:pPr>
      <w:rPr>
        <w:rFonts w:hint="default"/>
      </w:rPr>
    </w:lvl>
  </w:abstractNum>
  <w:abstractNum w:abstractNumId="3" w15:restartNumberingAfterBreak="0">
    <w:nsid w:val="0EFB7115"/>
    <w:multiLevelType w:val="multilevel"/>
    <w:tmpl w:val="3BA47DAA"/>
    <w:name w:val="ListNumber3Numbering"/>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15:restartNumberingAfterBreak="0">
    <w:nsid w:val="11D66B4B"/>
    <w:multiLevelType w:val="multilevel"/>
    <w:tmpl w:val="B4A4825A"/>
    <w:lvl w:ilvl="0">
      <w:start w:val="1"/>
      <w:numFmt w:val="decimal"/>
      <w:lvlText w:val="%1."/>
      <w:lvlJc w:val="left"/>
      <w:pPr>
        <w:ind w:left="495" w:hanging="495"/>
      </w:pPr>
      <w:rPr>
        <w:rFonts w:hint="default"/>
      </w:rPr>
    </w:lvl>
    <w:lvl w:ilvl="1">
      <w:start w:val="1"/>
      <w:numFmt w:val="decimal"/>
      <w:lvlText w:val="%1.%2."/>
      <w:lvlJc w:val="left"/>
      <w:pPr>
        <w:ind w:left="921" w:hanging="495"/>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296" w:hanging="1440"/>
      </w:pPr>
      <w:rPr>
        <w:rFonts w:hint="default"/>
      </w:rPr>
    </w:lvl>
  </w:abstractNum>
  <w:abstractNum w:abstractNumId="5" w15:restartNumberingAfterBreak="0">
    <w:nsid w:val="120B7201"/>
    <w:multiLevelType w:val="multilevel"/>
    <w:tmpl w:val="9766B49A"/>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15:restartNumberingAfterBreak="0">
    <w:nsid w:val="1262685D"/>
    <w:multiLevelType w:val="multilevel"/>
    <w:tmpl w:val="FFCA8BE4"/>
    <w:name w:val="ListBullet4Numbering"/>
    <w:lvl w:ilvl="0">
      <w:start w:val="1"/>
      <w:numFmt w:val="bullet"/>
      <w:pStyle w:val="ListBullet4"/>
      <w:lvlText w:val=""/>
      <w:lvlJc w:val="left"/>
      <w:pPr>
        <w:tabs>
          <w:tab w:val="num" w:pos="1485"/>
        </w:tabs>
        <w:ind w:left="1485" w:hanging="283"/>
      </w:pPr>
      <w:rPr>
        <w:rFonts w:ascii="Symbol" w:hAnsi="Symbol"/>
      </w:rPr>
    </w:lvl>
    <w:lvl w:ilvl="1">
      <w:start w:val="1"/>
      <w:numFmt w:val="bullet"/>
      <w:pStyle w:val="ListBullet4Level2"/>
      <w:lvlText w:val=""/>
      <w:lvlJc w:val="left"/>
      <w:pPr>
        <w:tabs>
          <w:tab w:val="num" w:pos="1769"/>
        </w:tabs>
        <w:ind w:left="1769" w:hanging="284"/>
      </w:pPr>
      <w:rPr>
        <w:rFonts w:ascii="Symbol" w:hAnsi="Symbol"/>
      </w:rPr>
    </w:lvl>
    <w:lvl w:ilvl="2">
      <w:start w:val="1"/>
      <w:numFmt w:val="bullet"/>
      <w:pStyle w:val="ListBullet4Level3"/>
      <w:lvlText w:val=""/>
      <w:lvlJc w:val="left"/>
      <w:pPr>
        <w:tabs>
          <w:tab w:val="num" w:pos="2052"/>
        </w:tabs>
        <w:ind w:left="2052" w:hanging="283"/>
      </w:pPr>
      <w:rPr>
        <w:rFonts w:ascii="Symbol" w:hAnsi="Symbol"/>
      </w:rPr>
    </w:lvl>
    <w:lvl w:ilvl="3">
      <w:start w:val="1"/>
      <w:numFmt w:val="bullet"/>
      <w:pStyle w:val="ListBullet4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15:restartNumberingAfterBreak="0">
    <w:nsid w:val="142166DB"/>
    <w:multiLevelType w:val="multilevel"/>
    <w:tmpl w:val="4B962E06"/>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8" w15:restartNumberingAfterBreak="0">
    <w:nsid w:val="143D0A16"/>
    <w:multiLevelType w:val="multilevel"/>
    <w:tmpl w:val="3B0A6F8A"/>
    <w:name w:val="ListBullet3Numbering"/>
    <w:lvl w:ilvl="0">
      <w:start w:val="1"/>
      <w:numFmt w:val="bullet"/>
      <w:pStyle w:val="ListBullet3"/>
      <w:lvlText w:val=""/>
      <w:lvlJc w:val="left"/>
      <w:pPr>
        <w:tabs>
          <w:tab w:val="num" w:pos="1485"/>
        </w:tabs>
        <w:ind w:left="1485" w:hanging="283"/>
      </w:pPr>
      <w:rPr>
        <w:rFonts w:ascii="Symbol" w:hAnsi="Symbol"/>
      </w:rPr>
    </w:lvl>
    <w:lvl w:ilvl="1">
      <w:start w:val="1"/>
      <w:numFmt w:val="bullet"/>
      <w:pStyle w:val="ListBullet3Level2"/>
      <w:lvlText w:val=""/>
      <w:lvlJc w:val="left"/>
      <w:pPr>
        <w:tabs>
          <w:tab w:val="num" w:pos="1769"/>
        </w:tabs>
        <w:ind w:left="1769" w:hanging="284"/>
      </w:pPr>
      <w:rPr>
        <w:rFonts w:ascii="Symbol" w:hAnsi="Symbol"/>
      </w:rPr>
    </w:lvl>
    <w:lvl w:ilvl="2">
      <w:start w:val="1"/>
      <w:numFmt w:val="bullet"/>
      <w:pStyle w:val="ListBullet3Level3"/>
      <w:lvlText w:val=""/>
      <w:lvlJc w:val="left"/>
      <w:pPr>
        <w:tabs>
          <w:tab w:val="num" w:pos="2052"/>
        </w:tabs>
        <w:ind w:left="2052" w:hanging="283"/>
      </w:pPr>
      <w:rPr>
        <w:rFonts w:ascii="Symbol" w:hAnsi="Symbol"/>
      </w:rPr>
    </w:lvl>
    <w:lvl w:ilvl="3">
      <w:start w:val="1"/>
      <w:numFmt w:val="bullet"/>
      <w:pStyle w:val="ListBullet3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15:restartNumberingAfterBreak="0">
    <w:nsid w:val="15D82128"/>
    <w:multiLevelType w:val="multilevel"/>
    <w:tmpl w:val="222A013C"/>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0" w15:restartNumberingAfterBreak="0">
    <w:nsid w:val="172F0AC5"/>
    <w:multiLevelType w:val="multilevel"/>
    <w:tmpl w:val="48A2DE72"/>
    <w:name w:val="ListNumber2Numbering"/>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 w15:restartNumberingAfterBreak="0">
    <w:nsid w:val="1BE95D9B"/>
    <w:multiLevelType w:val="hybridMultilevel"/>
    <w:tmpl w:val="A51E075A"/>
    <w:lvl w:ilvl="0" w:tplc="7680AE1C">
      <w:start w:val="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C7B624F"/>
    <w:multiLevelType w:val="multilevel"/>
    <w:tmpl w:val="C3D447A6"/>
    <w:name w:val="ListDash2Numbering"/>
    <w:lvl w:ilvl="0">
      <w:start w:val="1"/>
      <w:numFmt w:val="bullet"/>
      <w:pStyle w:val="ListDash2"/>
      <w:lvlText w:val="–"/>
      <w:lvlJc w:val="left"/>
      <w:pPr>
        <w:tabs>
          <w:tab w:val="num" w:pos="1485"/>
        </w:tabs>
        <w:ind w:left="1485" w:hanging="283"/>
      </w:pPr>
      <w:rPr>
        <w:rFonts w:ascii="Times New Roman" w:hAnsi="Times New Roman"/>
      </w:rPr>
    </w:lvl>
    <w:lvl w:ilvl="1">
      <w:start w:val="1"/>
      <w:numFmt w:val="bullet"/>
      <w:pStyle w:val="ListDash2Level2"/>
      <w:lvlText w:val="–"/>
      <w:lvlJc w:val="left"/>
      <w:pPr>
        <w:tabs>
          <w:tab w:val="num" w:pos="1769"/>
        </w:tabs>
        <w:ind w:left="1769" w:hanging="284"/>
      </w:pPr>
      <w:rPr>
        <w:rFonts w:ascii="Times New Roman" w:hAnsi="Times New Roman"/>
      </w:rPr>
    </w:lvl>
    <w:lvl w:ilvl="2">
      <w:start w:val="1"/>
      <w:numFmt w:val="bullet"/>
      <w:pStyle w:val="ListDash2Level3"/>
      <w:lvlText w:val="–"/>
      <w:lvlJc w:val="left"/>
      <w:pPr>
        <w:tabs>
          <w:tab w:val="num" w:pos="2052"/>
        </w:tabs>
        <w:ind w:left="2052" w:hanging="283"/>
      </w:pPr>
      <w:rPr>
        <w:rFonts w:ascii="Times New Roman" w:hAnsi="Times New Roman"/>
      </w:rPr>
    </w:lvl>
    <w:lvl w:ilvl="3">
      <w:start w:val="1"/>
      <w:numFmt w:val="bullet"/>
      <w:pStyle w:val="ListDash2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3" w15:restartNumberingAfterBreak="0">
    <w:nsid w:val="1E6E13FA"/>
    <w:multiLevelType w:val="hybridMultilevel"/>
    <w:tmpl w:val="2012BDE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214E62F1"/>
    <w:multiLevelType w:val="hybridMultilevel"/>
    <w:tmpl w:val="294A5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4214B9D"/>
    <w:multiLevelType w:val="hybridMultilevel"/>
    <w:tmpl w:val="A954A6A0"/>
    <w:lvl w:ilvl="0" w:tplc="1986A07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74A7A51"/>
    <w:multiLevelType w:val="multilevel"/>
    <w:tmpl w:val="B4A4825A"/>
    <w:lvl w:ilvl="0">
      <w:start w:val="1"/>
      <w:numFmt w:val="decimal"/>
      <w:lvlText w:val="%1."/>
      <w:lvlJc w:val="left"/>
      <w:pPr>
        <w:ind w:left="495" w:hanging="495"/>
      </w:pPr>
      <w:rPr>
        <w:rFonts w:hint="default"/>
      </w:rPr>
    </w:lvl>
    <w:lvl w:ilvl="1">
      <w:start w:val="1"/>
      <w:numFmt w:val="decimal"/>
      <w:lvlText w:val="%1.%2."/>
      <w:lvlJc w:val="left"/>
      <w:pPr>
        <w:ind w:left="852" w:hanging="495"/>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296" w:hanging="1440"/>
      </w:pPr>
      <w:rPr>
        <w:rFonts w:hint="default"/>
      </w:rPr>
    </w:lvl>
  </w:abstractNum>
  <w:abstractNum w:abstractNumId="17" w15:restartNumberingAfterBreak="0">
    <w:nsid w:val="28226BE3"/>
    <w:multiLevelType w:val="multilevel"/>
    <w:tmpl w:val="641AD848"/>
    <w:lvl w:ilvl="0">
      <w:start w:val="1"/>
      <w:numFmt w:val="bullet"/>
      <w:pStyle w:val="Briefinglist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8434D90"/>
    <w:multiLevelType w:val="hybridMultilevel"/>
    <w:tmpl w:val="BD9ED882"/>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9" w15:restartNumberingAfterBreak="0">
    <w:nsid w:val="2C8DFDF8"/>
    <w:multiLevelType w:val="multilevel"/>
    <w:tmpl w:val="8D5C6A06"/>
    <w:name w:val="ListBullet2Numbering"/>
    <w:lvl w:ilvl="0">
      <w:start w:val="1"/>
      <w:numFmt w:val="bullet"/>
      <w:pStyle w:val="ListBullet2"/>
      <w:lvlText w:val=""/>
      <w:lvlJc w:val="left"/>
      <w:pPr>
        <w:tabs>
          <w:tab w:val="num" w:pos="1485"/>
        </w:tabs>
        <w:ind w:left="1485" w:hanging="283"/>
      </w:pPr>
      <w:rPr>
        <w:rFonts w:ascii="Symbol" w:hAnsi="Symbol"/>
      </w:rPr>
    </w:lvl>
    <w:lvl w:ilvl="1">
      <w:start w:val="1"/>
      <w:numFmt w:val="bullet"/>
      <w:pStyle w:val="ListBullet2Level2"/>
      <w:lvlText w:val=""/>
      <w:lvlJc w:val="left"/>
      <w:pPr>
        <w:tabs>
          <w:tab w:val="num" w:pos="1769"/>
        </w:tabs>
        <w:ind w:left="1769" w:hanging="284"/>
      </w:pPr>
      <w:rPr>
        <w:rFonts w:ascii="Symbol" w:hAnsi="Symbol"/>
      </w:rPr>
    </w:lvl>
    <w:lvl w:ilvl="2">
      <w:start w:val="1"/>
      <w:numFmt w:val="bullet"/>
      <w:pStyle w:val="ListBullet2Level3"/>
      <w:lvlText w:val=""/>
      <w:lvlJc w:val="left"/>
      <w:pPr>
        <w:tabs>
          <w:tab w:val="num" w:pos="2052"/>
        </w:tabs>
        <w:ind w:left="2052" w:hanging="283"/>
      </w:pPr>
      <w:rPr>
        <w:rFonts w:ascii="Symbol" w:hAnsi="Symbol"/>
      </w:rPr>
    </w:lvl>
    <w:lvl w:ilvl="3">
      <w:start w:val="1"/>
      <w:numFmt w:val="bullet"/>
      <w:pStyle w:val="ListBullet2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0" w15:restartNumberingAfterBreak="0">
    <w:nsid w:val="2D293CE3"/>
    <w:multiLevelType w:val="multilevel"/>
    <w:tmpl w:val="3E4EC45A"/>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1" w15:restartNumberingAfterBreak="0">
    <w:nsid w:val="2D293CF4"/>
    <w:multiLevelType w:val="multilevel"/>
    <w:tmpl w:val="3A60E328"/>
    <w:name w:val="ContNumNumbering"/>
    <w:lvl w:ilvl="0">
      <w:start w:val="1"/>
      <w:numFmt w:val="decimal"/>
      <w:pStyle w:val="ContNum"/>
      <w:lvlText w:val="%1."/>
      <w:lvlJc w:val="left"/>
      <w:pPr>
        <w:tabs>
          <w:tab w:val="num" w:pos="476"/>
        </w:tabs>
        <w:ind w:left="476" w:hanging="476"/>
      </w:pPr>
      <w:rPr>
        <w:rFonts w:hint="default"/>
      </w:rPr>
    </w:lvl>
    <w:lvl w:ilvl="1">
      <w:start w:val="1"/>
      <w:numFmt w:val="lowerLetter"/>
      <w:pStyle w:val="ContNumLevel2"/>
      <w:lvlText w:val="%2."/>
      <w:lvlJc w:val="left"/>
      <w:pPr>
        <w:tabs>
          <w:tab w:val="num" w:pos="952"/>
        </w:tabs>
        <w:ind w:left="952" w:hanging="476"/>
      </w:pPr>
      <w:rPr>
        <w:rFonts w:hint="default"/>
      </w:rPr>
    </w:lvl>
    <w:lvl w:ilvl="2">
      <w:start w:val="1"/>
      <w:numFmt w:val="lowerRoman"/>
      <w:pStyle w:val="ContNumLevel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2" w15:restartNumberingAfterBreak="0">
    <w:nsid w:val="36324F1E"/>
    <w:multiLevelType w:val="multilevel"/>
    <w:tmpl w:val="14CAF54A"/>
    <w:name w:val="ListDash3Numbering"/>
    <w:lvl w:ilvl="0">
      <w:start w:val="1"/>
      <w:numFmt w:val="bullet"/>
      <w:pStyle w:val="ListDash3"/>
      <w:lvlText w:val="–"/>
      <w:lvlJc w:val="left"/>
      <w:pPr>
        <w:tabs>
          <w:tab w:val="num" w:pos="1485"/>
        </w:tabs>
        <w:ind w:left="1485" w:hanging="283"/>
      </w:pPr>
      <w:rPr>
        <w:rFonts w:ascii="Times New Roman" w:hAnsi="Times New Roman"/>
      </w:rPr>
    </w:lvl>
    <w:lvl w:ilvl="1">
      <w:start w:val="1"/>
      <w:numFmt w:val="bullet"/>
      <w:pStyle w:val="ListDash3Level2"/>
      <w:lvlText w:val="–"/>
      <w:lvlJc w:val="left"/>
      <w:pPr>
        <w:tabs>
          <w:tab w:val="num" w:pos="1769"/>
        </w:tabs>
        <w:ind w:left="1769" w:hanging="284"/>
      </w:pPr>
      <w:rPr>
        <w:rFonts w:ascii="Times New Roman" w:hAnsi="Times New Roman"/>
      </w:rPr>
    </w:lvl>
    <w:lvl w:ilvl="2">
      <w:start w:val="1"/>
      <w:numFmt w:val="bullet"/>
      <w:pStyle w:val="ListDash3Level3"/>
      <w:lvlText w:val="–"/>
      <w:lvlJc w:val="left"/>
      <w:pPr>
        <w:tabs>
          <w:tab w:val="num" w:pos="2052"/>
        </w:tabs>
        <w:ind w:left="2052" w:hanging="283"/>
      </w:pPr>
      <w:rPr>
        <w:rFonts w:ascii="Times New Roman" w:hAnsi="Times New Roman"/>
      </w:rPr>
    </w:lvl>
    <w:lvl w:ilvl="3">
      <w:start w:val="1"/>
      <w:numFmt w:val="bullet"/>
      <w:pStyle w:val="ListDash3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3" w15:restartNumberingAfterBreak="0">
    <w:nsid w:val="37CB1E1C"/>
    <w:multiLevelType w:val="multilevel"/>
    <w:tmpl w:val="3C04D154"/>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4" w15:restartNumberingAfterBreak="0">
    <w:nsid w:val="3A7730C4"/>
    <w:multiLevelType w:val="multilevel"/>
    <w:tmpl w:val="CE5EA87A"/>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5" w15:restartNumberingAfterBreak="0">
    <w:nsid w:val="404B39AD"/>
    <w:multiLevelType w:val="multilevel"/>
    <w:tmpl w:val="B06EF150"/>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6" w15:restartNumberingAfterBreak="0">
    <w:nsid w:val="429E662A"/>
    <w:multiLevelType w:val="multilevel"/>
    <w:tmpl w:val="501EE28C"/>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7" w15:restartNumberingAfterBreak="0">
    <w:nsid w:val="475B447E"/>
    <w:multiLevelType w:val="hybridMultilevel"/>
    <w:tmpl w:val="D4F6690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BB03FF"/>
    <w:multiLevelType w:val="hybridMultilevel"/>
    <w:tmpl w:val="BEEE5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E6565B"/>
    <w:multiLevelType w:val="hybridMultilevel"/>
    <w:tmpl w:val="6FDCB6C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49A87E43"/>
    <w:multiLevelType w:val="hybridMultilevel"/>
    <w:tmpl w:val="DD32742E"/>
    <w:lvl w:ilvl="0" w:tplc="C390E76C">
      <w:numFmt w:val="bullet"/>
      <w:lvlText w:val="-"/>
      <w:lvlJc w:val="left"/>
      <w:pPr>
        <w:ind w:left="720" w:hanging="360"/>
      </w:pPr>
      <w:rPr>
        <w:rFonts w:ascii="Calibri" w:eastAsia="Calibr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1" w15:restartNumberingAfterBreak="0">
    <w:nsid w:val="49F344F8"/>
    <w:multiLevelType w:val="hybridMultilevel"/>
    <w:tmpl w:val="38F6A57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2A5317"/>
    <w:multiLevelType w:val="hybridMultilevel"/>
    <w:tmpl w:val="A46C5600"/>
    <w:lvl w:ilvl="0" w:tplc="AA8E8952">
      <w:start w:val="4"/>
      <w:numFmt w:val="bullet"/>
      <w:lvlText w:val=""/>
      <w:lvlJc w:val="left"/>
      <w:pPr>
        <w:ind w:left="720" w:hanging="360"/>
      </w:pPr>
      <w:rPr>
        <w:rFonts w:ascii="Wingdings" w:eastAsia="Calibri" w:hAnsi="Wingding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1A982C"/>
    <w:multiLevelType w:val="multilevel"/>
    <w:tmpl w:val="ED603F9E"/>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4" w15:restartNumberingAfterBreak="0">
    <w:nsid w:val="5072619B"/>
    <w:multiLevelType w:val="multilevel"/>
    <w:tmpl w:val="014E7B02"/>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5" w15:restartNumberingAfterBreak="0">
    <w:nsid w:val="53A10490"/>
    <w:multiLevelType w:val="hybridMultilevel"/>
    <w:tmpl w:val="80108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5A7F7C5B"/>
    <w:multiLevelType w:val="hybridMultilevel"/>
    <w:tmpl w:val="F27875FE"/>
    <w:lvl w:ilvl="0" w:tplc="FAFEA9A6">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60560D64"/>
    <w:multiLevelType w:val="hybridMultilevel"/>
    <w:tmpl w:val="F5EE3906"/>
    <w:lvl w:ilvl="0" w:tplc="9842A0E4">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631B3C33"/>
    <w:multiLevelType w:val="hybridMultilevel"/>
    <w:tmpl w:val="3F4008FA"/>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9" w15:restartNumberingAfterBreak="0">
    <w:nsid w:val="6977472E"/>
    <w:multiLevelType w:val="multilevel"/>
    <w:tmpl w:val="7EE6DD16"/>
    <w:name w:val="ListNumber4Numbering"/>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0" w15:restartNumberingAfterBreak="0">
    <w:nsid w:val="6A7D097E"/>
    <w:multiLevelType w:val="hybridMultilevel"/>
    <w:tmpl w:val="9BE6362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1" w15:restartNumberingAfterBreak="0">
    <w:nsid w:val="6B96277A"/>
    <w:multiLevelType w:val="multilevel"/>
    <w:tmpl w:val="67104554"/>
    <w:lvl w:ilvl="0">
      <w:start w:val="1"/>
      <w:numFmt w:val="decimal"/>
      <w:lvlText w:val="%1."/>
      <w:lvlJc w:val="left"/>
      <w:pPr>
        <w:ind w:left="360" w:hanging="360"/>
      </w:pPr>
      <w:rPr>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704265E4"/>
    <w:multiLevelType w:val="hybridMultilevel"/>
    <w:tmpl w:val="12BC3500"/>
    <w:lvl w:ilvl="0" w:tplc="7680AE1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ED72CB"/>
    <w:multiLevelType w:val="hybridMultilevel"/>
    <w:tmpl w:val="79AE9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387EAE"/>
    <w:multiLevelType w:val="hybridMultilevel"/>
    <w:tmpl w:val="99EA2A3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5" w15:restartNumberingAfterBreak="0">
    <w:nsid w:val="77721913"/>
    <w:multiLevelType w:val="hybridMultilevel"/>
    <w:tmpl w:val="7376FFC0"/>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C65145E"/>
    <w:multiLevelType w:val="multilevel"/>
    <w:tmpl w:val="DA76899A"/>
    <w:name w:val="EurolookHeading"/>
    <w:lvl w:ilvl="0">
      <w:start w:val="1"/>
      <w:numFmt w:val="decimal"/>
      <w:lvlText w:val="%1."/>
      <w:lvlJc w:val="left"/>
      <w:pPr>
        <w:tabs>
          <w:tab w:val="num" w:pos="482"/>
        </w:tabs>
        <w:ind w:left="482" w:hanging="482"/>
      </w:pPr>
    </w:lvl>
    <w:lvl w:ilvl="1">
      <w:start w:val="1"/>
      <w:numFmt w:val="decimal"/>
      <w:lvlText w:val="%1.%2."/>
      <w:lvlJc w:val="left"/>
      <w:pPr>
        <w:tabs>
          <w:tab w:val="num" w:pos="1202"/>
        </w:tabs>
        <w:ind w:left="1202" w:hanging="720"/>
      </w:pPr>
    </w:lvl>
    <w:lvl w:ilvl="2">
      <w:start w:val="1"/>
      <w:numFmt w:val="decimal"/>
      <w:lvlText w:val="%1.%2.%3."/>
      <w:lvlJc w:val="left"/>
      <w:pPr>
        <w:tabs>
          <w:tab w:val="num" w:pos="1922"/>
        </w:tabs>
        <w:ind w:left="1922" w:hanging="720"/>
      </w:pPr>
    </w:lvl>
    <w:lvl w:ilvl="3">
      <w:start w:val="1"/>
      <w:numFmt w:val="decimal"/>
      <w:lvlText w:val="%1.%2.%3.%4."/>
      <w:lvlJc w:val="left"/>
      <w:pPr>
        <w:tabs>
          <w:tab w:val="num" w:pos="1922"/>
        </w:tabs>
        <w:ind w:left="1922" w:hanging="720"/>
      </w:pPr>
    </w:lvl>
    <w:lvl w:ilvl="4">
      <w:start w:val="1"/>
      <w:numFmt w:val="decimal"/>
      <w:lvlText w:val="%1.%2.%3.%4.%5."/>
      <w:lvlJc w:val="left"/>
      <w:pPr>
        <w:tabs>
          <w:tab w:val="num" w:pos="2880"/>
        </w:tabs>
        <w:ind w:left="3838" w:hanging="958"/>
      </w:pPr>
    </w:lvl>
    <w:lvl w:ilvl="5">
      <w:start w:val="1"/>
      <w:numFmt w:val="decimal"/>
      <w:lvlText w:val="%1.%2.%3.%4.%5.%6."/>
      <w:lvlJc w:val="left"/>
      <w:pPr>
        <w:tabs>
          <w:tab w:val="num" w:pos="2880"/>
        </w:tabs>
        <w:ind w:left="3838" w:hanging="958"/>
      </w:pPr>
    </w:lvl>
    <w:lvl w:ilvl="6">
      <w:start w:val="1"/>
      <w:numFmt w:val="decimal"/>
      <w:lvlText w:val="%1.%2.%3.%4.%5.%6.%7."/>
      <w:lvlJc w:val="left"/>
      <w:pPr>
        <w:tabs>
          <w:tab w:val="num" w:pos="2880"/>
        </w:tabs>
        <w:ind w:left="3838" w:hanging="958"/>
      </w:pPr>
    </w:lvl>
    <w:lvl w:ilvl="7">
      <w:start w:val="1"/>
      <w:numFmt w:val="decimal"/>
      <w:lvlText w:val="%1.%2.%3.%4.%5.%6.%7.%8."/>
      <w:lvlJc w:val="left"/>
      <w:pPr>
        <w:tabs>
          <w:tab w:val="num" w:pos="2880"/>
        </w:tabs>
        <w:ind w:left="3838" w:hanging="958"/>
      </w:pPr>
    </w:lvl>
    <w:lvl w:ilvl="8">
      <w:start w:val="1"/>
      <w:numFmt w:val="decimal"/>
      <w:lvlText w:val="%1.%2.%3.%4.%5.%6.%7.%8.%9."/>
      <w:lvlJc w:val="left"/>
      <w:pPr>
        <w:tabs>
          <w:tab w:val="num" w:pos="2880"/>
        </w:tabs>
        <w:ind w:left="3838" w:hanging="958"/>
      </w:pPr>
    </w:lvl>
  </w:abstractNum>
  <w:abstractNum w:abstractNumId="47" w15:restartNumberingAfterBreak="0">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num w:numId="1">
    <w:abstractNumId w:val="1"/>
  </w:num>
  <w:num w:numId="2">
    <w:abstractNumId w:val="22"/>
  </w:num>
  <w:num w:numId="3">
    <w:abstractNumId w:val="12"/>
  </w:num>
  <w:num w:numId="4">
    <w:abstractNumId w:val="23"/>
  </w:num>
  <w:num w:numId="5">
    <w:abstractNumId w:val="34"/>
  </w:num>
  <w:num w:numId="6">
    <w:abstractNumId w:val="39"/>
  </w:num>
  <w:num w:numId="7">
    <w:abstractNumId w:val="3"/>
  </w:num>
  <w:num w:numId="8">
    <w:abstractNumId w:val="10"/>
  </w:num>
  <w:num w:numId="9">
    <w:abstractNumId w:val="26"/>
  </w:num>
  <w:num w:numId="10">
    <w:abstractNumId w:val="5"/>
  </w:num>
  <w:num w:numId="11">
    <w:abstractNumId w:val="6"/>
  </w:num>
  <w:num w:numId="12">
    <w:abstractNumId w:val="8"/>
  </w:num>
  <w:num w:numId="13">
    <w:abstractNumId w:val="19"/>
  </w:num>
  <w:num w:numId="14">
    <w:abstractNumId w:val="24"/>
  </w:num>
  <w:num w:numId="15">
    <w:abstractNumId w:val="33"/>
  </w:num>
  <w:num w:numId="16">
    <w:abstractNumId w:val="46"/>
  </w:num>
  <w:num w:numId="17">
    <w:abstractNumId w:val="20"/>
  </w:num>
  <w:num w:numId="18">
    <w:abstractNumId w:val="21"/>
  </w:num>
  <w:num w:numId="19">
    <w:abstractNumId w:val="47"/>
  </w:num>
  <w:num w:numId="20">
    <w:abstractNumId w:val="17"/>
  </w:num>
  <w:num w:numId="21">
    <w:abstractNumId w:val="41"/>
  </w:num>
  <w:num w:numId="22">
    <w:abstractNumId w:val="16"/>
  </w:num>
  <w:num w:numId="23">
    <w:abstractNumId w:val="4"/>
  </w:num>
  <w:num w:numId="24">
    <w:abstractNumId w:val="40"/>
  </w:num>
  <w:num w:numId="25">
    <w:abstractNumId w:val="13"/>
  </w:num>
  <w:num w:numId="26">
    <w:abstractNumId w:val="18"/>
  </w:num>
  <w:num w:numId="27">
    <w:abstractNumId w:val="38"/>
  </w:num>
  <w:num w:numId="28">
    <w:abstractNumId w:val="44"/>
  </w:num>
  <w:num w:numId="29">
    <w:abstractNumId w:val="25"/>
  </w:num>
  <w:num w:numId="30">
    <w:abstractNumId w:val="2"/>
  </w:num>
  <w:num w:numId="31">
    <w:abstractNumId w:val="35"/>
  </w:num>
  <w:num w:numId="32">
    <w:abstractNumId w:val="45"/>
  </w:num>
  <w:num w:numId="33">
    <w:abstractNumId w:val="46"/>
  </w:num>
  <w:num w:numId="34">
    <w:abstractNumId w:val="9"/>
  </w:num>
  <w:num w:numId="35">
    <w:abstractNumId w:val="46"/>
  </w:num>
  <w:num w:numId="36">
    <w:abstractNumId w:val="7"/>
  </w:num>
  <w:num w:numId="37">
    <w:abstractNumId w:val="29"/>
  </w:num>
  <w:num w:numId="38">
    <w:abstractNumId w:val="14"/>
  </w:num>
  <w:num w:numId="39">
    <w:abstractNumId w:val="28"/>
  </w:num>
  <w:num w:numId="40">
    <w:abstractNumId w:val="43"/>
  </w:num>
  <w:num w:numId="41">
    <w:abstractNumId w:val="42"/>
  </w:num>
  <w:num w:numId="42">
    <w:abstractNumId w:val="11"/>
  </w:num>
  <w:num w:numId="43">
    <w:abstractNumId w:val="0"/>
  </w:num>
  <w:num w:numId="44">
    <w:abstractNumId w:val="27"/>
  </w:num>
  <w:num w:numId="45">
    <w:abstractNumId w:val="31"/>
  </w:num>
  <w:num w:numId="46">
    <w:abstractNumId w:val="32"/>
  </w:num>
  <w:num w:numId="47">
    <w:abstractNumId w:val="36"/>
  </w:num>
  <w:num w:numId="48">
    <w:abstractNumId w:val="15"/>
  </w:num>
  <w:num w:numId="49">
    <w:abstractNumId w:val="30"/>
  </w:num>
  <w:num w:numId="50">
    <w:abstractNumId w:val="3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removeDateAndTime/>
  <w:displayBackgroundShape/>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activeWritingStyle w:appName="MSWord" w:lang="it-IT" w:vendorID="64" w:dllVersion="131078" w:nlCheck="1" w:checkStyle="0"/>
  <w:activeWritingStyle w:appName="MSWord" w:lang="pt-PT" w:vendorID="64" w:dllVersion="131078" w:nlCheck="1" w:checkStyle="0"/>
  <w:activeWritingStyle w:appName="MSWord" w:lang="de-DE" w:vendorID="64" w:dllVersion="131078" w:nlCheck="1" w:checkStyle="0"/>
  <w:activeWritingStyle w:appName="MSWord" w:lang="es-ES" w:vendorID="64" w:dllVersion="131078" w:nlCheck="1" w:checkStyle="0"/>
  <w:activeWritingStyle w:appName="MSWord" w:lang="fr-FR"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trackedChanges" w:enforcement="0"/>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60289293-8CCF-4CDA-A4A4-621A2F73734B"/>
    <w:docVar w:name="LW_COVERPAGE_TYPE" w:val="1"/>
    <w:docVar w:name="LW_CROSSREFERENCE" w:val="&lt;UNUSED&gt;"/>
    <w:docVar w:name="LW_DocType" w:val="24673ADB906B482985D6621903DF7D6F"/>
    <w:docVar w:name="LW_EMISSION" w:val="9. 9. 2020"/>
    <w:docVar w:name="LW_EMISSION_ISODATE" w:val="2020-09-09"/>
    <w:docVar w:name="LW_EMISSION_LOCATION" w:val="BRX"/>
    <w:docVar w:name="LW_EMISSION_PREFIX" w:val="V Bruseli"/>
    <w:docVar w:name="LW_EMISSION_SUFFIX" w:val=" "/>
    <w:docVar w:name="LW_ID_DOCTYPE_NONLW" w:val="CP-012"/>
    <w:docVar w:name="LW_LANGUE" w:val="SK"/>
    <w:docVar w:name="LW_LEVEL_OF_SENSITIVITY" w:val="Standard treatment"/>
    <w:docVar w:name="LW_NOM.INST" w:val="EURÓPSKA KOMISIA"/>
    <w:docVar w:name="LW_NOM.INST_JOINTDOC" w:val="&lt;EMPTY&gt;"/>
    <w:docVar w:name="LW_PART_NBR" w:val="1"/>
    <w:docVar w:name="LW_PART_NBR_TOTAL" w:val="1"/>
    <w:docVar w:name="LW_REF.INST.NEW" w:val="COM"/>
    <w:docVar w:name="LW_REF.INST.NEW_ADOPTED" w:val="final"/>
    <w:docVar w:name="LW_REF.INST.NEW_TEXT" w:val="(2020) 49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Správa o strategickom výh\u318?ade za rok 2020_x000d__x000d__x000b__x000d__x000b__x000d__x000b_STRATEGICKÝ VÝH\u317?AD \u8211? VYTÝ\u268?ENIE SMERU K ODOLNEJ\u352?EJ EURÓPE"/>
    <w:docVar w:name="LW_TYPE.DOC.CP" w:val="OZNÁMENIE KOMISIE EURÓPSKEMU PARLAMENTU A RADE"/>
    <w:docVar w:name="LW_TYPE.DOC.CP.USERTEXT" w:val="&lt;EMPTY&gt;"/>
  </w:docVars>
  <w:rsids>
    <w:rsidRoot w:val="00F47BB5"/>
    <w:rsid w:val="00A34992"/>
    <w:rsid w:val="00F47B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sk-SK" w:eastAsia="en-GB" w:bidi="ar-SA"/>
      </w:rPr>
    </w:rPrDefault>
    <w:pPrDefault/>
  </w:docDefaults>
  <w:latentStyles w:defLockedState="1" w:defUIPriority="0" w:defSemiHidden="0" w:defUnhideWhenUsed="0" w:defQFormat="0" w:count="371">
    <w:lsdException w:name="Normal" w:uiPriority="9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uiPriority="99" w:unhideWhenUsed="1"/>
    <w:lsdException w:name="footer" w:uiPriority="99"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0" w:unhideWhenUsed="1" w:qFormat="1"/>
    <w:lsdException w:name="toa heading" w:semiHidden="1" w:unhideWhenUsed="1"/>
    <w:lsdException w:name="List" w:semiHidden="1" w:unhideWhenUsed="1"/>
    <w:lsdException w:name="List Bullet" w:unhideWhenUsed="1"/>
    <w:lsdException w:name="List 2" w:semiHidden="1" w:unhideWhenUsed="1"/>
    <w:lsdException w:name="List 3" w:semiHidden="1" w:unhideWhenUsed="1"/>
    <w:lsdException w:name="List 4" w:semiHidden="1"/>
    <w:lsdException w:name="List 5" w:semiHidden="1"/>
    <w:lsdException w:name="List Bullet 2" w:unhideWhenUsed="1"/>
    <w:lsdException w:name="List Bullet 3" w:unhideWhenUsed="1"/>
    <w:lsdException w:name="List Bullet 4" w:unhideWhenUsed="1"/>
    <w:lsdException w:name="List Bullet 5" w:semiHidden="1" w:unhideWhenUsed="1"/>
    <w:lsdException w:name="List Number 2" w:unhideWhenUsed="1"/>
    <w:lsdException w:name="List Number 3" w:unhideWhenUsed="1"/>
    <w:lsdException w:name="List Number 4" w:unhideWhenUsed="1"/>
    <w:lsdException w:name="List Number 5" w:semiHidden="1" w:unhideWhenUsed="1"/>
    <w:lsdException w:name="Title" w:uiPriority="10" w:qFormat="1"/>
    <w:lsdException w:name="Closing" w:semiHidden="1" w:unhideWhenUsed="1"/>
    <w:lsdException w:name="Signature"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90"/>
    <w:qFormat/>
    <w:pPr>
      <w:spacing w:after="240"/>
      <w:jc w:val="both"/>
    </w:pPr>
  </w:style>
  <w:style w:type="paragraph" w:styleId="Heading1">
    <w:name w:val="heading 1"/>
    <w:basedOn w:val="Normal"/>
    <w:next w:val="Text1"/>
    <w:link w:val="Heading1Char"/>
    <w:uiPriority w:val="9"/>
    <w:qFormat/>
    <w:pPr>
      <w:keepNext/>
      <w:tabs>
        <w:tab w:val="num" w:pos="482"/>
      </w:tabs>
      <w:spacing w:before="240"/>
      <w:ind w:left="482" w:hanging="482"/>
      <w:outlineLvl w:val="0"/>
    </w:pPr>
    <w:rPr>
      <w:b/>
      <w:smallCaps/>
    </w:rPr>
  </w:style>
  <w:style w:type="paragraph" w:styleId="Heading2">
    <w:name w:val="heading 2"/>
    <w:basedOn w:val="Normal"/>
    <w:next w:val="Text2"/>
    <w:link w:val="Heading2Char"/>
    <w:uiPriority w:val="9"/>
    <w:qFormat/>
    <w:pPr>
      <w:keepNext/>
      <w:tabs>
        <w:tab w:val="num" w:pos="1202"/>
      </w:tabs>
      <w:ind w:left="1202" w:hanging="720"/>
      <w:outlineLvl w:val="1"/>
    </w:pPr>
    <w:rPr>
      <w:b/>
    </w:rPr>
  </w:style>
  <w:style w:type="paragraph" w:styleId="Heading3">
    <w:name w:val="heading 3"/>
    <w:basedOn w:val="Normal"/>
    <w:next w:val="Text3"/>
    <w:link w:val="Heading3Char"/>
    <w:uiPriority w:val="9"/>
    <w:qFormat/>
    <w:pPr>
      <w:keepNext/>
      <w:tabs>
        <w:tab w:val="num" w:pos="1922"/>
      </w:tabs>
      <w:ind w:left="1922" w:hanging="720"/>
      <w:outlineLvl w:val="2"/>
    </w:pPr>
    <w:rPr>
      <w:i/>
    </w:rPr>
  </w:style>
  <w:style w:type="paragraph" w:styleId="Heading4">
    <w:name w:val="heading 4"/>
    <w:basedOn w:val="Normal"/>
    <w:next w:val="Text4"/>
    <w:link w:val="Heading4Char"/>
    <w:uiPriority w:val="9"/>
    <w:qFormat/>
    <w:pPr>
      <w:keepNext/>
      <w:tabs>
        <w:tab w:val="num" w:pos="1922"/>
      </w:tabs>
      <w:ind w:left="1922" w:hanging="720"/>
      <w:outlineLvl w:val="3"/>
    </w:pPr>
  </w:style>
  <w:style w:type="paragraph" w:styleId="Heading5">
    <w:name w:val="heading 5"/>
    <w:basedOn w:val="Normal"/>
    <w:next w:val="Normal"/>
    <w:link w:val="Heading5Char"/>
    <w:uiPriority w:val="9"/>
    <w:semiHidden/>
    <w:qFormat/>
    <w:pPr>
      <w:keepNext/>
      <w:tabs>
        <w:tab w:val="num" w:pos="2880"/>
      </w:tabs>
      <w:ind w:left="3838" w:hanging="958"/>
      <w:outlineLvl w:val="4"/>
    </w:pPr>
  </w:style>
  <w:style w:type="paragraph" w:styleId="Heading6">
    <w:name w:val="heading 6"/>
    <w:basedOn w:val="Normal"/>
    <w:next w:val="Normal"/>
    <w:link w:val="Heading6Char"/>
    <w:uiPriority w:val="9"/>
    <w:semiHidden/>
    <w:qFormat/>
    <w:pPr>
      <w:keepNext/>
      <w:tabs>
        <w:tab w:val="num" w:pos="2880"/>
      </w:tabs>
      <w:ind w:left="3838" w:hanging="958"/>
      <w:outlineLvl w:val="5"/>
    </w:pPr>
  </w:style>
  <w:style w:type="paragraph" w:styleId="Heading7">
    <w:name w:val="heading 7"/>
    <w:basedOn w:val="Normal"/>
    <w:next w:val="Normal"/>
    <w:link w:val="Heading7Char"/>
    <w:uiPriority w:val="9"/>
    <w:semiHidden/>
    <w:qFormat/>
    <w:pPr>
      <w:keepNext/>
      <w:tabs>
        <w:tab w:val="num" w:pos="2880"/>
      </w:tabs>
      <w:ind w:left="3838" w:hanging="958"/>
      <w:outlineLvl w:val="6"/>
    </w:pPr>
  </w:style>
  <w:style w:type="paragraph" w:styleId="Heading8">
    <w:name w:val="heading 8"/>
    <w:basedOn w:val="Normal"/>
    <w:next w:val="Normal"/>
    <w:link w:val="Heading8Char"/>
    <w:uiPriority w:val="9"/>
    <w:semiHidden/>
    <w:qFormat/>
    <w:pPr>
      <w:keepNext/>
      <w:tabs>
        <w:tab w:val="num" w:pos="2880"/>
      </w:tabs>
      <w:ind w:left="3838" w:hanging="958"/>
      <w:outlineLvl w:val="7"/>
    </w:pPr>
  </w:style>
  <w:style w:type="paragraph" w:styleId="Heading9">
    <w:name w:val="heading 9"/>
    <w:basedOn w:val="Normal"/>
    <w:next w:val="Normal"/>
    <w:link w:val="Heading9Char"/>
    <w:uiPriority w:val="9"/>
    <w:semiHidden/>
    <w:qFormat/>
    <w:pPr>
      <w:keepNext/>
      <w:tabs>
        <w:tab w:val="num" w:pos="2880"/>
      </w:tabs>
      <w:ind w:left="3838" w:hanging="958"/>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288061"/>
    </w:rPr>
  </w:style>
  <w:style w:type="character" w:customStyle="1" w:styleId="BodyPlaceholderText">
    <w:name w:val="BodyPlaceholderText"/>
    <w:basedOn w:val="PlaceholderText"/>
    <w:uiPriority w:val="1"/>
    <w:semiHidden/>
    <w:rPr>
      <w:color w:val="3366CC"/>
    </w:rPr>
  </w:style>
  <w:style w:type="character" w:customStyle="1" w:styleId="InstructionRed">
    <w:name w:val="InstructionRed"/>
    <w:semiHidden/>
    <w:rPr>
      <w:i/>
      <w:color w:val="CB3535"/>
    </w:rPr>
  </w:style>
  <w:style w:type="character" w:customStyle="1" w:styleId="InstructionBlue">
    <w:name w:val="InstructionBlue"/>
    <w:semiHidden/>
    <w:rPr>
      <w:i/>
      <w:color w:val="3366CC"/>
    </w:rPr>
  </w:style>
  <w:style w:type="character" w:customStyle="1" w:styleId="InstructionPlaceholder">
    <w:name w:val="InstructionPlaceholder"/>
    <w:semiHidden/>
    <w:rPr>
      <w:color w:val="CB3535"/>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99"/>
    <w:rPr>
      <w:i/>
    </w:rPr>
  </w:style>
  <w:style w:type="paragraph" w:customStyle="1" w:styleId="FigureSource">
    <w:name w:val="Figure Source"/>
    <w:basedOn w:val="Normal"/>
    <w:next w:val="Normal"/>
    <w:uiPriority w:val="7"/>
    <w:rPr>
      <w:sz w:val="20"/>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pPr>
  </w:style>
  <w:style w:type="paragraph" w:customStyle="1" w:styleId="FigureTitle">
    <w:name w:val="Figure Title"/>
    <w:basedOn w:val="Normal"/>
    <w:next w:val="FigureBody"/>
    <w:uiPriority w:val="6"/>
    <w:pPr>
      <w:keepNext/>
      <w:spacing w:after="180"/>
    </w:pPr>
    <w:rPr>
      <w:b/>
    </w:rPr>
  </w:style>
  <w:style w:type="paragraph" w:customStyle="1" w:styleId="HistTableHeading">
    <w:name w:val="HistTableHeading"/>
    <w:basedOn w:val="Normal"/>
    <w:next w:val="HistoryTable"/>
    <w:pPr>
      <w:spacing w:before="240"/>
      <w:jc w:val="center"/>
    </w:pPr>
    <w:rPr>
      <w:rFonts w:ascii="Times New Roman Bold" w:hAnsi="Times New Roman Bold"/>
      <w:b/>
      <w:caps/>
    </w:rPr>
  </w:style>
  <w:style w:type="paragraph" w:customStyle="1" w:styleId="HistoryTable">
    <w:name w:val="HistoryTable"/>
    <w:basedOn w:val="Normal"/>
    <w:pPr>
      <w:spacing w:before="60" w:after="60"/>
      <w:jc w:val="left"/>
    </w:pPr>
    <w:rPr>
      <w:sz w:val="20"/>
    </w:rPr>
  </w:style>
  <w:style w:type="paragraph" w:customStyle="1" w:styleId="FooterLine">
    <w:name w:val="Footer Line"/>
    <w:basedOn w:val="Footer"/>
    <w:next w:val="Footer"/>
    <w:uiPriority w:val="99"/>
    <w:pPr>
      <w:tabs>
        <w:tab w:val="right" w:pos="8646"/>
      </w:tabs>
      <w:spacing w:before="120" w:line="264" w:lineRule="auto"/>
      <w:ind w:right="0"/>
      <w:jc w:val="both"/>
    </w:pPr>
  </w:style>
  <w:style w:type="paragraph" w:customStyle="1" w:styleId="YReferences">
    <w:name w:val="YReferences"/>
    <w:basedOn w:val="Normal"/>
    <w:pPr>
      <w:spacing w:after="480"/>
      <w:ind w:left="3062" w:hanging="1531"/>
      <w:contextualSpacing/>
    </w:pPr>
  </w:style>
  <w:style w:type="paragraph" w:customStyle="1" w:styleId="SubTitle2">
    <w:name w:val="SubTitle 2"/>
    <w:basedOn w:val="Normal"/>
    <w:pPr>
      <w:jc w:val="center"/>
    </w:pPr>
    <w:rPr>
      <w:b/>
      <w:sz w:val="32"/>
    </w:rPr>
  </w:style>
  <w:style w:type="paragraph" w:customStyle="1" w:styleId="SubTitle1">
    <w:name w:val="SubTitle 1"/>
    <w:basedOn w:val="Normal"/>
    <w:next w:val="SubTitle2"/>
    <w:pPr>
      <w:jc w:val="center"/>
    </w:pPr>
    <w:rPr>
      <w:b/>
      <w:sz w:val="40"/>
    </w:rPr>
  </w:style>
  <w:style w:type="paragraph" w:styleId="Title">
    <w:name w:val="Title"/>
    <w:basedOn w:val="Normal"/>
    <w:next w:val="SubTitle1"/>
    <w:link w:val="TitleChar"/>
    <w:uiPriority w:val="10"/>
    <w:qFormat/>
    <w:pPr>
      <w:spacing w:after="480"/>
      <w:jc w:val="center"/>
    </w:pPr>
    <w:rPr>
      <w:b/>
      <w:kern w:val="28"/>
      <w:sz w:val="48"/>
    </w:rPr>
  </w:style>
  <w:style w:type="paragraph" w:customStyle="1" w:styleId="Enclosures">
    <w:name w:val="Enclosures"/>
    <w:basedOn w:val="Normal"/>
    <w:pPr>
      <w:keepNext/>
      <w:keepLines/>
      <w:tabs>
        <w:tab w:val="left" w:pos="5641"/>
      </w:tabs>
      <w:spacing w:before="480" w:after="0"/>
      <w:ind w:left="2382" w:hanging="1191"/>
      <w:contextualSpacing/>
      <w:jc w:val="left"/>
    </w:pPr>
  </w:style>
  <w:style w:type="paragraph" w:customStyle="1" w:styleId="DoubSign">
    <w:name w:val="DoubSign"/>
    <w:basedOn w:val="Normal"/>
    <w:next w:val="Enclosures"/>
    <w:pPr>
      <w:tabs>
        <w:tab w:val="left" w:pos="5102"/>
      </w:tabs>
      <w:spacing w:before="1200" w:after="0"/>
      <w:jc w:val="left"/>
    </w:pPr>
  </w:style>
  <w:style w:type="paragraph" w:customStyle="1" w:styleId="SignatureL">
    <w:name w:val="SignatureL"/>
    <w:basedOn w:val="Normal"/>
    <w:next w:val="Enclosures"/>
    <w:pPr>
      <w:tabs>
        <w:tab w:val="left" w:pos="5102"/>
      </w:tabs>
      <w:spacing w:before="1200" w:after="0"/>
      <w:jc w:val="left"/>
    </w:pPr>
  </w:style>
  <w:style w:type="paragraph" w:styleId="Signature">
    <w:name w:val="Signature"/>
    <w:basedOn w:val="Normal"/>
    <w:next w:val="Enclosures"/>
    <w:pPr>
      <w:tabs>
        <w:tab w:val="left" w:pos="5102"/>
      </w:tabs>
      <w:spacing w:before="1200" w:after="0"/>
      <w:ind w:left="5102"/>
      <w:jc w:val="center"/>
    </w:pPr>
  </w:style>
  <w:style w:type="paragraph" w:customStyle="1" w:styleId="SectionTitle">
    <w:name w:val="SectionTitle"/>
    <w:basedOn w:val="Normal"/>
    <w:next w:val="Heading1"/>
    <w:uiPriority w:val="90"/>
    <w:qFormat/>
    <w:pPr>
      <w:keepNext/>
      <w:spacing w:after="480"/>
      <w:jc w:val="center"/>
      <w:outlineLvl w:val="0"/>
    </w:pPr>
    <w:rPr>
      <w:b/>
      <w:smallCaps/>
      <w:sz w:val="28"/>
    </w:rPr>
  </w:style>
  <w:style w:type="paragraph" w:customStyle="1" w:styleId="ChapterTitle">
    <w:name w:val="ChapterTitle"/>
    <w:basedOn w:val="Normal"/>
    <w:next w:val="SectionTitle"/>
    <w:uiPriority w:val="90"/>
    <w:qFormat/>
    <w:pPr>
      <w:keepNext/>
      <w:spacing w:after="480"/>
      <w:jc w:val="center"/>
      <w:outlineLvl w:val="0"/>
    </w:pPr>
    <w:rPr>
      <w:b/>
      <w:sz w:val="32"/>
    </w:rPr>
  </w:style>
  <w:style w:type="paragraph" w:customStyle="1" w:styleId="PartTitle">
    <w:name w:val="PartTitle"/>
    <w:basedOn w:val="Normal"/>
    <w:next w:val="ChapterTitle"/>
    <w:uiPriority w:val="90"/>
    <w:qFormat/>
    <w:pPr>
      <w:keepNext/>
      <w:pageBreakBefore/>
      <w:spacing w:after="480"/>
      <w:jc w:val="center"/>
      <w:outlineLvl w:val="0"/>
    </w:pPr>
    <w:rPr>
      <w:b/>
      <w:sz w:val="36"/>
    </w:rPr>
  </w:style>
  <w:style w:type="paragraph" w:customStyle="1" w:styleId="AddressTR">
    <w:name w:val="AddressTR"/>
    <w:basedOn w:val="Normal"/>
    <w:next w:val="Normal"/>
    <w:pPr>
      <w:spacing w:after="720"/>
      <w:ind w:left="5102"/>
      <w:jc w:val="left"/>
    </w:pPr>
  </w:style>
  <w:style w:type="paragraph" w:customStyle="1" w:styleId="AddressTL">
    <w:name w:val="AddressTL"/>
    <w:basedOn w:val="Normal"/>
    <w:next w:val="Normal"/>
    <w:pPr>
      <w:spacing w:after="720"/>
      <w:jc w:val="left"/>
    </w:pPr>
  </w:style>
  <w:style w:type="paragraph" w:customStyle="1" w:styleId="Address">
    <w:name w:val="Address"/>
    <w:basedOn w:val="Normal"/>
    <w:pPr>
      <w:spacing w:after="0"/>
      <w:jc w:val="left"/>
    </w:pPr>
  </w:style>
  <w:style w:type="paragraph" w:customStyle="1" w:styleId="Text4">
    <w:name w:val="Text 4"/>
    <w:basedOn w:val="Normal"/>
    <w:uiPriority w:val="90"/>
    <w:qFormat/>
    <w:pPr>
      <w:ind w:left="1202"/>
    </w:pPr>
  </w:style>
  <w:style w:type="paragraph" w:customStyle="1" w:styleId="Text3">
    <w:name w:val="Text 3"/>
    <w:basedOn w:val="Normal"/>
    <w:uiPriority w:val="90"/>
    <w:qFormat/>
    <w:pPr>
      <w:ind w:left="1202"/>
    </w:pPr>
  </w:style>
  <w:style w:type="paragraph" w:customStyle="1" w:styleId="Text2">
    <w:name w:val="Text 2"/>
    <w:basedOn w:val="Normal"/>
    <w:uiPriority w:val="90"/>
    <w:qFormat/>
    <w:pPr>
      <w:ind w:left="1202"/>
    </w:pPr>
  </w:style>
  <w:style w:type="paragraph" w:customStyle="1" w:styleId="Text1">
    <w:name w:val="Text 1"/>
    <w:basedOn w:val="Normal"/>
    <w:uiPriority w:val="90"/>
    <w:qFormat/>
    <w:pPr>
      <w:ind w:left="482"/>
    </w:pPr>
  </w:style>
  <w:style w:type="paragraph" w:customStyle="1" w:styleId="ZFlag">
    <w:name w:val="Z_Flag"/>
    <w:basedOn w:val="Normal"/>
    <w:next w:val="Normal"/>
    <w:uiPriority w:val="99"/>
    <w:semiHidden/>
    <w:pPr>
      <w:widowControl w:val="0"/>
      <w:spacing w:after="0"/>
      <w:ind w:right="85"/>
    </w:pPr>
  </w:style>
  <w:style w:type="paragraph" w:customStyle="1" w:styleId="ZCom">
    <w:name w:val="Z_Com"/>
    <w:basedOn w:val="Normal"/>
    <w:next w:val="Normal"/>
    <w:uiPriority w:val="99"/>
    <w:semiHidden/>
    <w:pPr>
      <w:widowControl w:val="0"/>
      <w:spacing w:before="90" w:after="0"/>
      <w:ind w:right="85"/>
    </w:pPr>
  </w:style>
  <w:style w:type="paragraph" w:customStyle="1" w:styleId="ZDGName">
    <w:name w:val="Z_DGName"/>
    <w:basedOn w:val="Normal"/>
    <w:uiPriority w:val="99"/>
    <w:semiHidden/>
    <w:pPr>
      <w:widowControl w:val="0"/>
      <w:spacing w:after="0"/>
      <w:ind w:right="85"/>
      <w:jc w:val="left"/>
    </w:pPr>
    <w:rPr>
      <w:sz w:val="16"/>
    </w:rPr>
  </w:style>
  <w:style w:type="paragraph" w:styleId="Caption">
    <w:name w:val="caption"/>
    <w:basedOn w:val="Normal"/>
    <w:next w:val="Normal"/>
    <w:uiPriority w:val="35"/>
    <w:qFormat/>
    <w:pPr>
      <w:spacing w:before="160"/>
    </w:pPr>
    <w:rPr>
      <w:i/>
      <w:sz w:val="22"/>
    </w:rPr>
  </w:style>
  <w:style w:type="paragraph" w:customStyle="1" w:styleId="Contact">
    <w:name w:val="Contact"/>
    <w:basedOn w:val="Normal"/>
    <w:uiPriority w:val="99"/>
    <w:pPr>
      <w:spacing w:before="480" w:after="0"/>
      <w:ind w:left="567" w:hanging="567"/>
      <w:contextualSpacing/>
      <w:jc w:val="left"/>
    </w:pPr>
  </w:style>
  <w:style w:type="paragraph" w:styleId="Date">
    <w:name w:val="Date"/>
    <w:basedOn w:val="Normal"/>
    <w:next w:val="References"/>
    <w:pPr>
      <w:spacing w:after="0"/>
      <w:ind w:left="5102" w:right="-567"/>
      <w:jc w:val="left"/>
    </w:pPr>
  </w:style>
  <w:style w:type="paragraph" w:customStyle="1" w:styleId="References">
    <w:name w:val="References"/>
    <w:basedOn w:val="Normal"/>
    <w:pPr>
      <w:ind w:left="5102" w:right="-567"/>
      <w:contextualSpacing/>
      <w:jc w:val="left"/>
    </w:pPr>
    <w:rPr>
      <w:sz w:val="20"/>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styleId="EndnoteText">
    <w:name w:val="endnote text"/>
    <w:basedOn w:val="Normal"/>
    <w:link w:val="EndnoteTextChar"/>
    <w:uiPriority w:val="99"/>
    <w:semiHidden/>
    <w:rPr>
      <w:sz w:val="20"/>
    </w:rPr>
  </w:style>
  <w:style w:type="paragraph" w:styleId="Footer">
    <w:name w:val="footer"/>
    <w:basedOn w:val="Normal"/>
    <w:link w:val="FooterChar"/>
    <w:uiPriority w:val="99"/>
    <w:pPr>
      <w:spacing w:after="0"/>
      <w:ind w:right="-567"/>
      <w:jc w:val="left"/>
    </w:pPr>
    <w:rPr>
      <w:sz w:val="16"/>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
    <w:basedOn w:val="Normal"/>
    <w:link w:val="FootnoteTextChar"/>
    <w:uiPriority w:val="99"/>
    <w:qFormat/>
    <w:pPr>
      <w:spacing w:after="120"/>
      <w:ind w:left="357" w:hanging="357"/>
    </w:pPr>
    <w:rPr>
      <w:sz w:val="2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customStyle="1" w:styleId="NumPar1">
    <w:name w:val="NumPar 1"/>
    <w:basedOn w:val="Heading1"/>
    <w:uiPriority w:val="90"/>
    <w:qFormat/>
    <w:pPr>
      <w:keepNext w:val="0"/>
      <w:spacing w:before="0"/>
      <w:outlineLvl w:val="9"/>
    </w:pPr>
    <w:rPr>
      <w:b w:val="0"/>
      <w:smallCaps w:val="0"/>
    </w:rPr>
  </w:style>
  <w:style w:type="paragraph" w:customStyle="1" w:styleId="NumPar2">
    <w:name w:val="NumPar 2"/>
    <w:basedOn w:val="Heading2"/>
    <w:uiPriority w:val="90"/>
    <w:qFormat/>
    <w:pPr>
      <w:keepNext w:val="0"/>
      <w:outlineLvl w:val="9"/>
    </w:pPr>
    <w:rPr>
      <w:b w:val="0"/>
    </w:rPr>
  </w:style>
  <w:style w:type="paragraph" w:customStyle="1" w:styleId="NumPar3">
    <w:name w:val="NumPar 3"/>
    <w:basedOn w:val="Heading3"/>
    <w:uiPriority w:val="90"/>
    <w:qFormat/>
    <w:pPr>
      <w:keepNext w:val="0"/>
      <w:outlineLvl w:val="9"/>
    </w:pPr>
    <w:rPr>
      <w:i w:val="0"/>
    </w:rPr>
  </w:style>
  <w:style w:type="paragraph" w:customStyle="1" w:styleId="NumPar4">
    <w:name w:val="NumPar 4"/>
    <w:basedOn w:val="Heading4"/>
    <w:uiPriority w:val="90"/>
    <w:qFormat/>
    <w:pPr>
      <w:keepNext w:val="0"/>
      <w:outlineLvl w:val="9"/>
    </w:pPr>
  </w:style>
  <w:style w:type="paragraph" w:customStyle="1" w:styleId="AnnexTitle">
    <w:name w:val="AnnexTitle"/>
    <w:basedOn w:val="Normal"/>
    <w:next w:val="Normal"/>
    <w:uiPriority w:val="90"/>
    <w:qFormat/>
    <w:pPr>
      <w:pageBreakBefore/>
      <w:numPr>
        <w:numId w:val="19"/>
      </w:numPr>
      <w:spacing w:after="480"/>
      <w:outlineLvl w:val="0"/>
    </w:pPr>
    <w:rPr>
      <w:b/>
      <w:sz w:val="32"/>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0"/>
      </w:tabs>
      <w:spacing w:before="60" w:after="60"/>
      <w:ind w:left="2880" w:right="720" w:hanging="964"/>
    </w:pPr>
    <w:rPr>
      <w:noProof/>
    </w:rPr>
  </w:style>
  <w:style w:type="paragraph" w:styleId="TOC5">
    <w:name w:val="toc 5"/>
    <w:basedOn w:val="Normal"/>
    <w:next w:val="Normal"/>
    <w:semiHidden/>
    <w:pPr>
      <w:tabs>
        <w:tab w:val="right" w:leader="dot" w:pos="8640"/>
      </w:tabs>
      <w:spacing w:before="240" w:after="120"/>
      <w:ind w:right="720"/>
    </w:pPr>
    <w:rPr>
      <w:caps/>
    </w:r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7">
    <w:name w:val="toc 7"/>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9">
    <w:name w:val="toc 9"/>
    <w:basedOn w:val="Normal"/>
    <w:next w:val="Normal"/>
    <w:semiHidden/>
    <w:pPr>
      <w:tabs>
        <w:tab w:val="right" w:leader="dot" w:pos="8640"/>
      </w:tabs>
    </w:pPr>
  </w:style>
  <w:style w:type="paragraph" w:styleId="ListBullet">
    <w:name w:val="List Bullet"/>
    <w:basedOn w:val="Normal"/>
    <w:pPr>
      <w:numPr>
        <w:numId w:val="15"/>
      </w:numPr>
    </w:pPr>
  </w:style>
  <w:style w:type="paragraph" w:customStyle="1" w:styleId="ListBulletLevel2">
    <w:name w:val="List Bullet (Level 2)"/>
    <w:basedOn w:val="Text1"/>
    <w:pPr>
      <w:numPr>
        <w:ilvl w:val="1"/>
        <w:numId w:val="15"/>
      </w:numPr>
    </w:pPr>
  </w:style>
  <w:style w:type="paragraph" w:customStyle="1" w:styleId="ListBulletLevel3">
    <w:name w:val="List Bullet (Level 3)"/>
    <w:basedOn w:val="Text1"/>
    <w:semiHidden/>
    <w:unhideWhenUsed/>
    <w:pPr>
      <w:numPr>
        <w:ilvl w:val="2"/>
        <w:numId w:val="15"/>
      </w:numPr>
    </w:pPr>
  </w:style>
  <w:style w:type="paragraph" w:customStyle="1" w:styleId="ListBulletLevel4">
    <w:name w:val="List Bullet (Level 4)"/>
    <w:basedOn w:val="Text1"/>
    <w:semiHidden/>
    <w:unhideWhenUsed/>
    <w:pPr>
      <w:numPr>
        <w:ilvl w:val="3"/>
        <w:numId w:val="15"/>
      </w:numPr>
    </w:pPr>
  </w:style>
  <w:style w:type="paragraph" w:customStyle="1" w:styleId="ListBullet1">
    <w:name w:val="List Bullet 1"/>
    <w:basedOn w:val="Text1"/>
    <w:pPr>
      <w:numPr>
        <w:numId w:val="14"/>
      </w:numPr>
    </w:pPr>
  </w:style>
  <w:style w:type="paragraph" w:customStyle="1" w:styleId="ListBullet1Level2">
    <w:name w:val="List Bullet 1 (Level 2)"/>
    <w:basedOn w:val="Text1"/>
    <w:pPr>
      <w:numPr>
        <w:ilvl w:val="1"/>
        <w:numId w:val="14"/>
      </w:numPr>
    </w:pPr>
  </w:style>
  <w:style w:type="paragraph" w:customStyle="1" w:styleId="ListBullet1Level3">
    <w:name w:val="List Bullet 1 (Level 3)"/>
    <w:basedOn w:val="Text1"/>
    <w:semiHidden/>
    <w:unhideWhenUsed/>
    <w:pPr>
      <w:numPr>
        <w:ilvl w:val="2"/>
        <w:numId w:val="14"/>
      </w:numPr>
    </w:pPr>
  </w:style>
  <w:style w:type="paragraph" w:customStyle="1" w:styleId="ListBullet1Level4">
    <w:name w:val="List Bullet 1 (Level 4)"/>
    <w:basedOn w:val="Text1"/>
    <w:semiHidden/>
    <w:unhideWhenUsed/>
    <w:pPr>
      <w:numPr>
        <w:ilvl w:val="3"/>
        <w:numId w:val="14"/>
      </w:numPr>
    </w:pPr>
  </w:style>
  <w:style w:type="paragraph" w:styleId="ListBullet2">
    <w:name w:val="List Bullet 2"/>
    <w:basedOn w:val="Text2"/>
    <w:pPr>
      <w:numPr>
        <w:numId w:val="13"/>
      </w:numPr>
    </w:pPr>
  </w:style>
  <w:style w:type="paragraph" w:customStyle="1" w:styleId="ListBullet2Level2">
    <w:name w:val="List Bullet 2 (Level 2)"/>
    <w:basedOn w:val="Text2"/>
    <w:pPr>
      <w:numPr>
        <w:ilvl w:val="1"/>
        <w:numId w:val="13"/>
      </w:numPr>
    </w:pPr>
  </w:style>
  <w:style w:type="paragraph" w:customStyle="1" w:styleId="ListBullet2Level3">
    <w:name w:val="List Bullet 2 (Level 3)"/>
    <w:basedOn w:val="Text2"/>
    <w:semiHidden/>
    <w:unhideWhenUsed/>
    <w:pPr>
      <w:numPr>
        <w:ilvl w:val="2"/>
        <w:numId w:val="13"/>
      </w:numPr>
    </w:pPr>
  </w:style>
  <w:style w:type="paragraph" w:customStyle="1" w:styleId="ListBullet2Level4">
    <w:name w:val="List Bullet 2 (Level 4)"/>
    <w:basedOn w:val="Text2"/>
    <w:semiHidden/>
    <w:unhideWhenUsed/>
    <w:pPr>
      <w:numPr>
        <w:ilvl w:val="3"/>
        <w:numId w:val="13"/>
      </w:numPr>
    </w:pPr>
  </w:style>
  <w:style w:type="paragraph" w:styleId="ListBullet3">
    <w:name w:val="List Bullet 3"/>
    <w:basedOn w:val="Text3"/>
    <w:pPr>
      <w:numPr>
        <w:numId w:val="12"/>
      </w:numPr>
    </w:pPr>
  </w:style>
  <w:style w:type="paragraph" w:customStyle="1" w:styleId="ListBullet3Level2">
    <w:name w:val="List Bullet 3 (Level 2)"/>
    <w:basedOn w:val="Text3"/>
    <w:pPr>
      <w:numPr>
        <w:ilvl w:val="1"/>
        <w:numId w:val="12"/>
      </w:numPr>
    </w:pPr>
  </w:style>
  <w:style w:type="paragraph" w:customStyle="1" w:styleId="ListBullet3Level3">
    <w:name w:val="List Bullet 3 (Level 3)"/>
    <w:basedOn w:val="Text3"/>
    <w:semiHidden/>
    <w:unhideWhenUsed/>
    <w:pPr>
      <w:numPr>
        <w:ilvl w:val="2"/>
        <w:numId w:val="12"/>
      </w:numPr>
    </w:pPr>
  </w:style>
  <w:style w:type="paragraph" w:customStyle="1" w:styleId="ListBullet3Level4">
    <w:name w:val="List Bullet 3 (Level 4)"/>
    <w:basedOn w:val="Text3"/>
    <w:semiHidden/>
    <w:unhideWhenUsed/>
    <w:pPr>
      <w:numPr>
        <w:ilvl w:val="3"/>
        <w:numId w:val="12"/>
      </w:numPr>
    </w:pPr>
  </w:style>
  <w:style w:type="paragraph" w:styleId="ListBullet4">
    <w:name w:val="List Bullet 4"/>
    <w:basedOn w:val="Text4"/>
    <w:pPr>
      <w:numPr>
        <w:numId w:val="11"/>
      </w:numPr>
    </w:pPr>
  </w:style>
  <w:style w:type="paragraph" w:customStyle="1" w:styleId="ListBullet4Level2">
    <w:name w:val="List Bullet 4 (Level 2)"/>
    <w:basedOn w:val="Text4"/>
    <w:pPr>
      <w:numPr>
        <w:ilvl w:val="1"/>
        <w:numId w:val="11"/>
      </w:numPr>
    </w:pPr>
  </w:style>
  <w:style w:type="paragraph" w:customStyle="1" w:styleId="ListBullet4Level3">
    <w:name w:val="List Bullet 4 (Level 3)"/>
    <w:basedOn w:val="Text4"/>
    <w:semiHidden/>
    <w:unhideWhenUsed/>
    <w:pPr>
      <w:numPr>
        <w:ilvl w:val="2"/>
        <w:numId w:val="11"/>
      </w:numPr>
    </w:pPr>
  </w:style>
  <w:style w:type="paragraph" w:customStyle="1" w:styleId="ListBullet4Level4">
    <w:name w:val="List Bullet 4 (Level 4)"/>
    <w:basedOn w:val="Text4"/>
    <w:semiHidden/>
    <w:unhideWhenUsed/>
    <w:pPr>
      <w:numPr>
        <w:ilvl w:val="3"/>
        <w:numId w:val="11"/>
      </w:numPr>
    </w:pPr>
  </w:style>
  <w:style w:type="paragraph" w:customStyle="1" w:styleId="ListDash">
    <w:name w:val="List Dash"/>
    <w:basedOn w:val="Normal"/>
    <w:pPr>
      <w:numPr>
        <w:numId w:val="5"/>
      </w:numPr>
    </w:pPr>
  </w:style>
  <w:style w:type="paragraph" w:customStyle="1" w:styleId="ListDashLevel2">
    <w:name w:val="List Dash (Level 2)"/>
    <w:basedOn w:val="Normal"/>
    <w:pPr>
      <w:numPr>
        <w:ilvl w:val="1"/>
        <w:numId w:val="5"/>
      </w:numPr>
    </w:pPr>
  </w:style>
  <w:style w:type="paragraph" w:customStyle="1" w:styleId="ListDashLevel3">
    <w:name w:val="List Dash (Level 3)"/>
    <w:basedOn w:val="Normal"/>
    <w:semiHidden/>
    <w:unhideWhenUsed/>
    <w:pPr>
      <w:numPr>
        <w:ilvl w:val="2"/>
        <w:numId w:val="5"/>
      </w:numPr>
    </w:pPr>
  </w:style>
  <w:style w:type="paragraph" w:customStyle="1" w:styleId="ListDashLevel4">
    <w:name w:val="List Dash (Level 4)"/>
    <w:basedOn w:val="Normal"/>
    <w:semiHidden/>
    <w:unhideWhenUsed/>
    <w:pPr>
      <w:numPr>
        <w:ilvl w:val="3"/>
        <w:numId w:val="5"/>
      </w:numPr>
    </w:pPr>
  </w:style>
  <w:style w:type="paragraph" w:customStyle="1" w:styleId="ListDash1">
    <w:name w:val="List Dash 1"/>
    <w:basedOn w:val="Text1"/>
    <w:pPr>
      <w:numPr>
        <w:numId w:val="4"/>
      </w:numPr>
    </w:pPr>
  </w:style>
  <w:style w:type="paragraph" w:customStyle="1" w:styleId="ListDash1Level2">
    <w:name w:val="List Dash 1 (Level 2)"/>
    <w:basedOn w:val="Text1"/>
    <w:pPr>
      <w:numPr>
        <w:ilvl w:val="1"/>
        <w:numId w:val="4"/>
      </w:numPr>
    </w:pPr>
  </w:style>
  <w:style w:type="paragraph" w:customStyle="1" w:styleId="ListDash1Level3">
    <w:name w:val="List Dash 1 (Level 3)"/>
    <w:basedOn w:val="Text1"/>
    <w:semiHidden/>
    <w:unhideWhenUsed/>
    <w:pPr>
      <w:numPr>
        <w:ilvl w:val="2"/>
        <w:numId w:val="4"/>
      </w:numPr>
    </w:pPr>
  </w:style>
  <w:style w:type="paragraph" w:customStyle="1" w:styleId="ListDash1Level4">
    <w:name w:val="List Dash 1 (Level 4)"/>
    <w:basedOn w:val="Text1"/>
    <w:semiHidden/>
    <w:unhideWhenUsed/>
    <w:pPr>
      <w:numPr>
        <w:ilvl w:val="3"/>
        <w:numId w:val="4"/>
      </w:numPr>
    </w:pPr>
  </w:style>
  <w:style w:type="paragraph" w:customStyle="1" w:styleId="ListDash2">
    <w:name w:val="List Dash 2"/>
    <w:basedOn w:val="Text2"/>
    <w:pPr>
      <w:numPr>
        <w:numId w:val="3"/>
      </w:numPr>
    </w:pPr>
  </w:style>
  <w:style w:type="paragraph" w:customStyle="1" w:styleId="ListDash2Level2">
    <w:name w:val="List Dash 2 (Level 2)"/>
    <w:basedOn w:val="Text2"/>
    <w:pPr>
      <w:numPr>
        <w:ilvl w:val="1"/>
        <w:numId w:val="3"/>
      </w:numPr>
    </w:pPr>
  </w:style>
  <w:style w:type="paragraph" w:customStyle="1" w:styleId="ListDash2Level3">
    <w:name w:val="List Dash 2 (Level 3)"/>
    <w:basedOn w:val="Text2"/>
    <w:semiHidden/>
    <w:unhideWhenUsed/>
    <w:pPr>
      <w:numPr>
        <w:ilvl w:val="2"/>
        <w:numId w:val="3"/>
      </w:numPr>
    </w:pPr>
  </w:style>
  <w:style w:type="paragraph" w:customStyle="1" w:styleId="ListDash2Level4">
    <w:name w:val="List Dash 2 (Level 4)"/>
    <w:basedOn w:val="Text2"/>
    <w:semiHidden/>
    <w:unhideWhenUsed/>
    <w:pPr>
      <w:numPr>
        <w:ilvl w:val="3"/>
        <w:numId w:val="3"/>
      </w:numPr>
    </w:pPr>
  </w:style>
  <w:style w:type="paragraph" w:customStyle="1" w:styleId="ListDash3">
    <w:name w:val="List Dash 3"/>
    <w:basedOn w:val="Text3"/>
    <w:pPr>
      <w:numPr>
        <w:numId w:val="2"/>
      </w:numPr>
    </w:pPr>
  </w:style>
  <w:style w:type="paragraph" w:customStyle="1" w:styleId="ListDash3Level2">
    <w:name w:val="List Dash 3 (Level 2)"/>
    <w:basedOn w:val="Text3"/>
    <w:pPr>
      <w:numPr>
        <w:ilvl w:val="1"/>
        <w:numId w:val="2"/>
      </w:numPr>
    </w:pPr>
  </w:style>
  <w:style w:type="paragraph" w:customStyle="1" w:styleId="ListDash3Level3">
    <w:name w:val="List Dash 3 (Level 3)"/>
    <w:basedOn w:val="Text3"/>
    <w:semiHidden/>
    <w:unhideWhenUsed/>
    <w:pPr>
      <w:numPr>
        <w:ilvl w:val="2"/>
        <w:numId w:val="2"/>
      </w:numPr>
    </w:pPr>
  </w:style>
  <w:style w:type="paragraph" w:customStyle="1" w:styleId="ListDash3Level4">
    <w:name w:val="List Dash 3 (Level 4)"/>
    <w:basedOn w:val="Text3"/>
    <w:semiHidden/>
    <w:unhideWhenUsed/>
    <w:pPr>
      <w:numPr>
        <w:ilvl w:val="3"/>
        <w:numId w:val="2"/>
      </w:numPr>
    </w:pPr>
  </w:style>
  <w:style w:type="paragraph" w:customStyle="1" w:styleId="ListDash4">
    <w:name w:val="List Dash 4"/>
    <w:basedOn w:val="Text4"/>
    <w:pPr>
      <w:numPr>
        <w:numId w:val="1"/>
      </w:numPr>
    </w:pPr>
  </w:style>
  <w:style w:type="paragraph" w:customStyle="1" w:styleId="ListDash4Level2">
    <w:name w:val="List Dash 4 (Level 2)"/>
    <w:basedOn w:val="Text4"/>
    <w:pPr>
      <w:numPr>
        <w:ilvl w:val="1"/>
        <w:numId w:val="1"/>
      </w:numPr>
    </w:pPr>
  </w:style>
  <w:style w:type="paragraph" w:customStyle="1" w:styleId="ListDash4Level3">
    <w:name w:val="List Dash 4 (Level 3)"/>
    <w:basedOn w:val="Text4"/>
    <w:semiHidden/>
    <w:unhideWhenUsed/>
    <w:pPr>
      <w:numPr>
        <w:ilvl w:val="2"/>
        <w:numId w:val="1"/>
      </w:numPr>
    </w:pPr>
  </w:style>
  <w:style w:type="paragraph" w:customStyle="1" w:styleId="ListDash4Level4">
    <w:name w:val="List Dash 4 (Level 4)"/>
    <w:basedOn w:val="Text4"/>
    <w:semiHidden/>
    <w:unhideWhenUsed/>
    <w:pPr>
      <w:numPr>
        <w:ilvl w:val="3"/>
        <w:numId w:val="1"/>
      </w:numPr>
    </w:pPr>
  </w:style>
  <w:style w:type="paragraph" w:styleId="ListNumber">
    <w:name w:val="List Number"/>
    <w:basedOn w:val="Normal"/>
    <w:pPr>
      <w:numPr>
        <w:numId w:val="10"/>
      </w:numPr>
    </w:pPr>
  </w:style>
  <w:style w:type="paragraph" w:customStyle="1" w:styleId="ListNumberLevel2">
    <w:name w:val="List Number (Level 2)"/>
    <w:basedOn w:val="Normal"/>
    <w:pPr>
      <w:numPr>
        <w:ilvl w:val="1"/>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4">
    <w:name w:val="List Number (Level 4)"/>
    <w:basedOn w:val="Normal"/>
    <w:semiHidden/>
    <w:unhideWhenUsed/>
    <w:pPr>
      <w:numPr>
        <w:ilvl w:val="3"/>
        <w:numId w:val="10"/>
      </w:numPr>
    </w:pPr>
  </w:style>
  <w:style w:type="paragraph" w:customStyle="1" w:styleId="ListNumber1">
    <w:name w:val="List Number 1"/>
    <w:basedOn w:val="Text1"/>
    <w:pPr>
      <w:numPr>
        <w:numId w:val="9"/>
      </w:numPr>
    </w:pPr>
  </w:style>
  <w:style w:type="paragraph" w:customStyle="1" w:styleId="ListNumber1Level2">
    <w:name w:val="List Number 1 (Level 2)"/>
    <w:basedOn w:val="Text1"/>
    <w:pPr>
      <w:numPr>
        <w:ilvl w:val="1"/>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4">
    <w:name w:val="List Number 1 (Level 4)"/>
    <w:basedOn w:val="Text1"/>
    <w:semiHidden/>
    <w:unhideWhenUsed/>
    <w:pPr>
      <w:numPr>
        <w:ilvl w:val="3"/>
        <w:numId w:val="9"/>
      </w:numPr>
    </w:pPr>
  </w:style>
  <w:style w:type="paragraph" w:styleId="ListNumber2">
    <w:name w:val="List Number 2"/>
    <w:basedOn w:val="Text2"/>
    <w:pPr>
      <w:numPr>
        <w:numId w:val="8"/>
      </w:numPr>
    </w:pPr>
  </w:style>
  <w:style w:type="paragraph" w:customStyle="1" w:styleId="ListNumber2Level2">
    <w:name w:val="List Number 2 (Level 2)"/>
    <w:basedOn w:val="Text2"/>
    <w:pPr>
      <w:numPr>
        <w:ilvl w:val="1"/>
        <w:numId w:val="8"/>
      </w:numPr>
    </w:pPr>
  </w:style>
  <w:style w:type="paragraph" w:customStyle="1" w:styleId="ListNumber2Level3">
    <w:name w:val="List Number 2 (Level 3)"/>
    <w:basedOn w:val="Text2"/>
    <w:semiHidden/>
    <w:unhideWhenUsed/>
    <w:pPr>
      <w:numPr>
        <w:ilvl w:val="2"/>
        <w:numId w:val="8"/>
      </w:numPr>
    </w:pPr>
  </w:style>
  <w:style w:type="paragraph" w:customStyle="1" w:styleId="ListNumber2Level4">
    <w:name w:val="List Number 2 (Level 4)"/>
    <w:basedOn w:val="Text2"/>
    <w:semiHidden/>
    <w:unhideWhenUsed/>
    <w:pPr>
      <w:numPr>
        <w:ilvl w:val="3"/>
        <w:numId w:val="8"/>
      </w:numPr>
    </w:pPr>
  </w:style>
  <w:style w:type="paragraph" w:styleId="ListNumber3">
    <w:name w:val="List Number 3"/>
    <w:basedOn w:val="Text3"/>
    <w:pPr>
      <w:numPr>
        <w:numId w:val="7"/>
      </w:numPr>
    </w:pPr>
  </w:style>
  <w:style w:type="paragraph" w:customStyle="1" w:styleId="ListNumber3Level2">
    <w:name w:val="List Number 3 (Level 2)"/>
    <w:basedOn w:val="Text3"/>
    <w:pPr>
      <w:numPr>
        <w:ilvl w:val="1"/>
        <w:numId w:val="7"/>
      </w:numPr>
    </w:pPr>
  </w:style>
  <w:style w:type="paragraph" w:customStyle="1" w:styleId="ListNumber3Level3">
    <w:name w:val="List Number 3 (Level 3)"/>
    <w:basedOn w:val="Text3"/>
    <w:semiHidden/>
    <w:unhideWhenUsed/>
    <w:pPr>
      <w:numPr>
        <w:ilvl w:val="2"/>
        <w:numId w:val="7"/>
      </w:numPr>
    </w:pPr>
  </w:style>
  <w:style w:type="paragraph" w:customStyle="1" w:styleId="ListNumber3Level4">
    <w:name w:val="List Number 3 (Level 4)"/>
    <w:basedOn w:val="Text3"/>
    <w:semiHidden/>
    <w:unhideWhenUsed/>
    <w:pPr>
      <w:numPr>
        <w:ilvl w:val="3"/>
        <w:numId w:val="7"/>
      </w:numPr>
    </w:pPr>
  </w:style>
  <w:style w:type="paragraph" w:styleId="ListNumber4">
    <w:name w:val="List Number 4"/>
    <w:basedOn w:val="Text4"/>
    <w:pPr>
      <w:numPr>
        <w:numId w:val="6"/>
      </w:numPr>
    </w:pPr>
  </w:style>
  <w:style w:type="paragraph" w:customStyle="1" w:styleId="ListNumber4Level2">
    <w:name w:val="List Number 4 (Level 2)"/>
    <w:basedOn w:val="Text4"/>
    <w:pPr>
      <w:numPr>
        <w:ilvl w:val="1"/>
        <w:numId w:val="6"/>
      </w:numPr>
    </w:pPr>
  </w:style>
  <w:style w:type="paragraph" w:customStyle="1" w:styleId="ListNumber4Level3">
    <w:name w:val="List Number 4 (Level 3)"/>
    <w:basedOn w:val="Text4"/>
    <w:semiHidden/>
    <w:unhideWhenUsed/>
    <w:pPr>
      <w:numPr>
        <w:ilvl w:val="2"/>
        <w:numId w:val="6"/>
      </w:numPr>
    </w:pPr>
  </w:style>
  <w:style w:type="paragraph" w:customStyle="1" w:styleId="ListNumber4Level4">
    <w:name w:val="List Number 4 (Level 4)"/>
    <w:basedOn w:val="Text4"/>
    <w:semiHidden/>
    <w:unhideWhenUsed/>
    <w:pPr>
      <w:numPr>
        <w:ilvl w:val="3"/>
        <w:numId w:val="6"/>
      </w:numPr>
    </w:pPr>
  </w:style>
  <w:style w:type="paragraph" w:customStyle="1" w:styleId="Marking">
    <w:name w:val="Marking"/>
    <w:basedOn w:val="Normal"/>
    <w:pPr>
      <w:ind w:left="5102" w:right="-567"/>
      <w:contextualSpacing/>
      <w:jc w:val="left"/>
    </w:pPr>
    <w:rPr>
      <w:sz w:val="28"/>
    </w:rPr>
  </w:style>
  <w:style w:type="paragraph" w:customStyle="1" w:styleId="LegalNumPar">
    <w:name w:val="LegalNumPar"/>
    <w:basedOn w:val="Normal"/>
    <w:uiPriority w:val="90"/>
    <w:qFormat/>
    <w:pPr>
      <w:numPr>
        <w:numId w:val="17"/>
      </w:numPr>
      <w:spacing w:line="360" w:lineRule="auto"/>
    </w:pPr>
  </w:style>
  <w:style w:type="paragraph" w:customStyle="1" w:styleId="LegalNumPar2">
    <w:name w:val="LegalNumPar2"/>
    <w:basedOn w:val="Normal"/>
    <w:pPr>
      <w:numPr>
        <w:ilvl w:val="1"/>
        <w:numId w:val="17"/>
      </w:numPr>
      <w:spacing w:line="360" w:lineRule="auto"/>
    </w:pPr>
  </w:style>
  <w:style w:type="paragraph" w:customStyle="1" w:styleId="LegalNumPar3">
    <w:name w:val="LegalNumPar3"/>
    <w:basedOn w:val="Normal"/>
    <w:pPr>
      <w:numPr>
        <w:ilvl w:val="2"/>
        <w:numId w:val="17"/>
      </w:numPr>
      <w:spacing w:line="360" w:lineRule="auto"/>
    </w:pPr>
  </w:style>
  <w:style w:type="paragraph" w:customStyle="1" w:styleId="ContNum">
    <w:name w:val="ContNum"/>
    <w:basedOn w:val="Normal"/>
    <w:uiPriority w:val="90"/>
    <w:qFormat/>
    <w:pPr>
      <w:numPr>
        <w:numId w:val="18"/>
      </w:numPr>
    </w:pPr>
  </w:style>
  <w:style w:type="paragraph" w:customStyle="1" w:styleId="ContNumLevel2">
    <w:name w:val="ContNum (Level 2)"/>
    <w:basedOn w:val="Normal"/>
    <w:pPr>
      <w:numPr>
        <w:ilvl w:val="1"/>
        <w:numId w:val="18"/>
      </w:numPr>
    </w:pPr>
  </w:style>
  <w:style w:type="paragraph" w:customStyle="1" w:styleId="ContNumLevel3">
    <w:name w:val="ContNum (Level 3)"/>
    <w:basedOn w:val="Normal"/>
    <w:pPr>
      <w:numPr>
        <w:ilvl w:val="2"/>
        <w:numId w:val="18"/>
      </w:numPr>
    </w:pPr>
  </w:style>
  <w:style w:type="paragraph" w:styleId="Header">
    <w:name w:val="header"/>
    <w:basedOn w:val="Normal"/>
    <w:link w:val="HeaderChar"/>
    <w:uiPriority w:val="99"/>
    <w:pPr>
      <w:tabs>
        <w:tab w:val="center" w:pos="4150"/>
        <w:tab w:val="right" w:pos="8306"/>
      </w:tabs>
      <w:spacing w:after="0"/>
    </w:pPr>
  </w:style>
  <w:style w:type="character" w:customStyle="1" w:styleId="HeaderChar">
    <w:name w:val="Header Char"/>
    <w:basedOn w:val="DefaultParagraphFont"/>
    <w:link w:val="Header"/>
    <w:uiPriority w:val="99"/>
    <w:rPr>
      <w:sz w:val="24"/>
    </w:rPr>
  </w:style>
  <w:style w:type="table" w:customStyle="1" w:styleId="TableHistory">
    <w:name w:val="Table History"/>
    <w:basedOn w:val="TableNormal"/>
    <w:uiPriority w:val="99"/>
    <w:pPr>
      <w:spacing w:before="60" w:after="60" w:line="264" w:lineRule="auto"/>
    </w:pPr>
    <w:rPr>
      <w:sz w:val="22"/>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tblPr>
      <w:tblCellMar>
        <w:left w:w="0" w:type="dxa"/>
        <w:bottom w:w="340" w:type="dxa"/>
        <w:right w:w="0" w:type="dxa"/>
      </w:tblCellMar>
    </w:tbl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paragraph" w:customStyle="1" w:styleId="Briefinglist1">
    <w:name w:val="Briefing list 1"/>
    <w:basedOn w:val="Normal"/>
    <w:uiPriority w:val="99"/>
    <w:pPr>
      <w:numPr>
        <w:numId w:val="20"/>
      </w:numPr>
      <w:spacing w:after="120"/>
    </w:pPr>
    <w:rPr>
      <w:rFonts w:ascii="Arial" w:eastAsia="Calibri" w:hAnsi="Arial" w:cs="Arial"/>
      <w:sz w:val="21"/>
      <w:szCs w:val="21"/>
    </w:rPr>
  </w:style>
  <w:style w:type="paragraph" w:styleId="ListParagraph">
    <w:name w:val="List Paragraph"/>
    <w:aliases w:val="Dot pt,No Spacing1,List Paragraph Char Char Char,Indicator Text,Numbered Para 1,List Paragraph1,Bullet Points,MAIN CONTENT,List Paragraph12,List Paragraph11,OBC Bullet,F5 List Paragraph,Colorful List - Accent 11,Normal numbered,L"/>
    <w:basedOn w:val="Normal"/>
    <w:link w:val="ListParagraphChar"/>
    <w:uiPriority w:val="34"/>
    <w:qFormat/>
    <w:locked/>
    <w:pPr>
      <w:spacing w:after="160" w:line="300" w:lineRule="auto"/>
      <w:ind w:left="720"/>
      <w:contextualSpacing/>
      <w:jc w:val="left"/>
    </w:pPr>
    <w:rPr>
      <w:rFonts w:ascii="Calibri" w:eastAsia="Calibri" w:hAnsi="Calibri" w:cs="Calibri"/>
      <w:sz w:val="21"/>
      <w:szCs w:val="21"/>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L Char"/>
    <w:basedOn w:val="DefaultParagraphFont"/>
    <w:link w:val="ListParagraph"/>
    <w:uiPriority w:val="34"/>
    <w:locked/>
    <w:rPr>
      <w:rFonts w:ascii="Calibri" w:eastAsia="Calibri" w:hAnsi="Calibri" w:cs="Calibri"/>
      <w:sz w:val="21"/>
      <w:szCs w:val="21"/>
    </w:rPr>
  </w:style>
  <w:style w:type="character" w:styleId="CommentReference">
    <w:name w:val="annotation reference"/>
    <w:basedOn w:val="DefaultParagraphFont"/>
    <w:uiPriority w:val="99"/>
    <w:semiHidden/>
    <w:unhideWhenUsed/>
    <w:locked/>
    <w:rPr>
      <w:sz w:val="16"/>
      <w:szCs w:val="16"/>
    </w:rPr>
  </w:style>
  <w:style w:type="paragraph" w:styleId="CommentText">
    <w:name w:val="annotation text"/>
    <w:basedOn w:val="Normal"/>
    <w:link w:val="CommentTextChar"/>
    <w:uiPriority w:val="99"/>
    <w:unhideWhenUsed/>
    <w:locked/>
    <w:pPr>
      <w:spacing w:after="160"/>
      <w:jc w:val="left"/>
    </w:pPr>
    <w:rPr>
      <w:rFonts w:ascii="Calibri" w:eastAsia="Calibri" w:hAnsi="Calibri" w:cs="Calibri"/>
      <w:sz w:val="20"/>
    </w:rPr>
  </w:style>
  <w:style w:type="character" w:customStyle="1" w:styleId="CommentTextChar">
    <w:name w:val="Comment Text Char"/>
    <w:basedOn w:val="DefaultParagraphFont"/>
    <w:link w:val="CommentText"/>
    <w:uiPriority w:val="99"/>
    <w:rPr>
      <w:rFonts w:ascii="Calibri" w:eastAsia="Calibri" w:hAnsi="Calibri" w:cs="Calibri"/>
      <w:sz w:val="20"/>
    </w:rPr>
  </w:style>
  <w:style w:type="paragraph" w:styleId="CommentSubject">
    <w:name w:val="annotation subject"/>
    <w:basedOn w:val="CommentText"/>
    <w:next w:val="CommentText"/>
    <w:link w:val="CommentSubjectChar"/>
    <w:uiPriority w:val="99"/>
    <w:semiHidden/>
    <w:unhideWhenUsed/>
    <w:locked/>
    <w:rPr>
      <w:b/>
      <w:bCs/>
    </w:rPr>
  </w:style>
  <w:style w:type="character" w:customStyle="1" w:styleId="CommentSubjectChar">
    <w:name w:val="Comment Subject Char"/>
    <w:basedOn w:val="CommentTextChar"/>
    <w:link w:val="CommentSubject"/>
    <w:uiPriority w:val="99"/>
    <w:semiHidden/>
    <w:rPr>
      <w:rFonts w:ascii="Calibri" w:eastAsia="Calibri" w:hAnsi="Calibri" w:cs="Calibri"/>
      <w:b/>
      <w:bCs/>
      <w:sz w:val="20"/>
    </w:rPr>
  </w:style>
  <w:style w:type="paragraph" w:styleId="BalloonText">
    <w:name w:val="Balloon Text"/>
    <w:basedOn w:val="Normal"/>
    <w:link w:val="BalloonTextChar"/>
    <w:uiPriority w:val="99"/>
    <w:semiHidden/>
    <w:unhideWhenUsed/>
    <w:locked/>
    <w:pPr>
      <w:spacing w:after="0"/>
      <w:jc w:val="left"/>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Pr>
      <w:rFonts w:ascii="Segoe UI" w:eastAsia="Calibri" w:hAnsi="Segoe UI" w:cs="Segoe UI"/>
      <w:sz w:val="18"/>
      <w:szCs w:val="18"/>
    </w:rPr>
  </w:style>
  <w:style w:type="paragraph" w:styleId="Revision">
    <w:name w:val="Revision"/>
    <w:hidden/>
    <w:uiPriority w:val="99"/>
    <w:semiHidden/>
    <w:locked/>
    <w:rPr>
      <w:rFonts w:ascii="Calibri" w:eastAsia="Calibri" w:hAnsi="Calibri" w:cs="Calibri"/>
      <w:sz w:val="21"/>
      <w:szCs w:val="21"/>
    </w:rPr>
  </w:style>
  <w:style w:type="character" w:customStyle="1" w:styleId="FooterChar">
    <w:name w:val="Footer Char"/>
    <w:basedOn w:val="DefaultParagraphFont"/>
    <w:link w:val="Footer"/>
    <w:uiPriority w:val="99"/>
    <w:rPr>
      <w:sz w:val="16"/>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rPr>
  </w:style>
  <w:style w:type="character" w:styleId="FootnoteReference">
    <w:name w:val="footnote reference"/>
    <w:aliases w:val="Footnote symbol,Footnote reference number,note TESI,BVI fnr,Appel note de bas de p,Nota,SUPERS,Footnote number,Footnote Reference Superscript,EN Footnote Reference,-E Fußnotenzeichen,number Char Char,number,Ref,styl,styli, BVI fnr,FR"/>
    <w:basedOn w:val="DefaultParagraphFont"/>
    <w:link w:val="SUPERSCharCharCharCharCharCharCharChar"/>
    <w:uiPriority w:val="99"/>
    <w:unhideWhenUsed/>
    <w:qFormat/>
    <w:locked/>
    <w:rPr>
      <w:vertAlign w:val="superscript"/>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pPr>
      <w:spacing w:after="160" w:line="240" w:lineRule="exact"/>
      <w:jc w:val="left"/>
    </w:pPr>
    <w:rPr>
      <w:vertAlign w:val="superscript"/>
    </w:rPr>
  </w:style>
  <w:style w:type="paragraph" w:customStyle="1" w:styleId="xmsolistparagraph">
    <w:name w:val="x_msolistparagraph"/>
    <w:basedOn w:val="Normal"/>
    <w:pPr>
      <w:spacing w:before="100" w:beforeAutospacing="1" w:after="100" w:afterAutospacing="1"/>
      <w:jc w:val="left"/>
    </w:pPr>
    <w:rPr>
      <w:rFonts w:eastAsia="Calibri"/>
      <w:szCs w:val="24"/>
    </w:rPr>
  </w:style>
  <w:style w:type="character" w:styleId="Hyperlink">
    <w:name w:val="Hyperlink"/>
    <w:basedOn w:val="DefaultParagraphFont"/>
    <w:uiPriority w:val="99"/>
    <w:unhideWhenUsed/>
    <w:locked/>
    <w:rPr>
      <w:color w:val="0563C1" w:themeColor="hyperlink"/>
      <w:u w:val="single"/>
    </w:rPr>
  </w:style>
  <w:style w:type="paragraph" w:styleId="NormalWeb">
    <w:name w:val="Normal (Web)"/>
    <w:basedOn w:val="Normal"/>
    <w:uiPriority w:val="99"/>
    <w:unhideWhenUsed/>
    <w:locked/>
    <w:pPr>
      <w:spacing w:before="100" w:beforeAutospacing="1" w:after="100" w:afterAutospacing="1"/>
      <w:jc w:val="left"/>
    </w:pPr>
    <w:rPr>
      <w:szCs w:val="24"/>
    </w:rPr>
  </w:style>
  <w:style w:type="character" w:customStyle="1" w:styleId="Heading1Char">
    <w:name w:val="Heading 1 Char"/>
    <w:basedOn w:val="DefaultParagraphFont"/>
    <w:link w:val="Heading1"/>
    <w:uiPriority w:val="9"/>
    <w:rPr>
      <w:b/>
      <w:smallCaps/>
    </w:rPr>
  </w:style>
  <w:style w:type="character" w:customStyle="1" w:styleId="Heading3Char">
    <w:name w:val="Heading 3 Char"/>
    <w:basedOn w:val="DefaultParagraphFont"/>
    <w:link w:val="Heading3"/>
    <w:uiPriority w:val="9"/>
    <w:rPr>
      <w:i/>
    </w:rPr>
  </w:style>
  <w:style w:type="table" w:styleId="TableGrid">
    <w:name w:val="Table Grid"/>
    <w:basedOn w:val="TableNormal"/>
    <w:uiPriority w:val="39"/>
    <w:locked/>
    <w:rPr>
      <w:rFonts w:ascii="Calibri" w:eastAsia="Calibri"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Pr>
      <w:b/>
    </w:rPr>
  </w:style>
  <w:style w:type="character" w:customStyle="1" w:styleId="Heading4Char">
    <w:name w:val="Heading 4 Char"/>
    <w:basedOn w:val="DefaultParagraphFont"/>
    <w:link w:val="Heading4"/>
    <w:uiPriority w:val="9"/>
  </w:style>
  <w:style w:type="character" w:customStyle="1" w:styleId="Heading5Char">
    <w:name w:val="Heading 5 Char"/>
    <w:basedOn w:val="DefaultParagraphFont"/>
    <w:link w:val="Heading5"/>
    <w:uiPriority w:val="9"/>
    <w:semiHidden/>
  </w:style>
  <w:style w:type="character" w:customStyle="1" w:styleId="Heading6Char">
    <w:name w:val="Heading 6 Char"/>
    <w:basedOn w:val="DefaultParagraphFont"/>
    <w:link w:val="Heading6"/>
    <w:uiPriority w:val="9"/>
    <w:semiHidden/>
  </w:style>
  <w:style w:type="character" w:customStyle="1" w:styleId="Heading7Char">
    <w:name w:val="Heading 7 Char"/>
    <w:basedOn w:val="DefaultParagraphFont"/>
    <w:link w:val="Heading7"/>
    <w:uiPriority w:val="9"/>
    <w:semiHidden/>
  </w:style>
  <w:style w:type="character" w:customStyle="1" w:styleId="Heading8Char">
    <w:name w:val="Heading 8 Char"/>
    <w:basedOn w:val="DefaultParagraphFont"/>
    <w:link w:val="Heading8"/>
    <w:uiPriority w:val="9"/>
    <w:semiHidden/>
  </w:style>
  <w:style w:type="character" w:customStyle="1" w:styleId="Heading9Char">
    <w:name w:val="Heading 9 Char"/>
    <w:basedOn w:val="DefaultParagraphFont"/>
    <w:link w:val="Heading9"/>
    <w:uiPriority w:val="9"/>
    <w:semiHidden/>
  </w:style>
  <w:style w:type="character" w:customStyle="1" w:styleId="TitleChar">
    <w:name w:val="Title Char"/>
    <w:basedOn w:val="DefaultParagraphFont"/>
    <w:link w:val="Title"/>
    <w:uiPriority w:val="10"/>
    <w:rPr>
      <w:b/>
      <w:kern w:val="28"/>
      <w:sz w:val="48"/>
    </w:rPr>
  </w:style>
  <w:style w:type="paragraph" w:styleId="Subtitle">
    <w:name w:val="Subtitle"/>
    <w:basedOn w:val="Normal"/>
    <w:next w:val="Normal"/>
    <w:link w:val="SubtitleChar"/>
    <w:locked/>
    <w:pPr>
      <w:spacing w:after="160" w:line="300" w:lineRule="auto"/>
      <w:jc w:val="center"/>
    </w:pPr>
    <w:rPr>
      <w:rFonts w:ascii="Calibri" w:eastAsia="Calibri" w:hAnsi="Calibri" w:cs="Calibri"/>
      <w:color w:val="44546A"/>
      <w:sz w:val="28"/>
      <w:szCs w:val="28"/>
    </w:rPr>
  </w:style>
  <w:style w:type="character" w:customStyle="1" w:styleId="SubtitleChar">
    <w:name w:val="Subtitle Char"/>
    <w:basedOn w:val="DefaultParagraphFont"/>
    <w:link w:val="Subtitle"/>
    <w:rPr>
      <w:rFonts w:ascii="Calibri" w:eastAsia="Calibri" w:hAnsi="Calibri" w:cs="Calibri"/>
      <w:color w:val="44546A"/>
      <w:sz w:val="28"/>
      <w:szCs w:val="28"/>
    </w:rPr>
  </w:style>
  <w:style w:type="character" w:styleId="Strong">
    <w:name w:val="Strong"/>
    <w:basedOn w:val="DefaultParagraphFont"/>
    <w:uiPriority w:val="22"/>
    <w:qFormat/>
    <w:locked/>
    <w:rPr>
      <w:b/>
      <w:bCs/>
    </w:rPr>
  </w:style>
  <w:style w:type="character" w:styleId="Emphasis">
    <w:name w:val="Emphasis"/>
    <w:basedOn w:val="DefaultParagraphFont"/>
    <w:uiPriority w:val="20"/>
    <w:qFormat/>
    <w:locked/>
    <w:rPr>
      <w:i/>
      <w:iCs/>
      <w:color w:val="000000" w:themeColor="text1"/>
    </w:rPr>
  </w:style>
  <w:style w:type="paragraph" w:styleId="NoSpacing">
    <w:name w:val="No Spacing"/>
    <w:uiPriority w:val="1"/>
    <w:qFormat/>
    <w:locked/>
    <w:rPr>
      <w:rFonts w:ascii="Calibri" w:eastAsia="Calibri" w:hAnsi="Calibri" w:cs="Calibri"/>
      <w:sz w:val="21"/>
      <w:szCs w:val="21"/>
    </w:rPr>
  </w:style>
  <w:style w:type="paragraph" w:styleId="Quote">
    <w:name w:val="Quote"/>
    <w:basedOn w:val="Normal"/>
    <w:next w:val="Normal"/>
    <w:link w:val="QuoteChar"/>
    <w:uiPriority w:val="29"/>
    <w:qFormat/>
    <w:locked/>
    <w:pPr>
      <w:spacing w:before="160" w:after="160" w:line="300" w:lineRule="auto"/>
      <w:ind w:left="720" w:right="720"/>
      <w:jc w:val="center"/>
    </w:pPr>
    <w:rPr>
      <w:rFonts w:ascii="Calibri" w:eastAsia="Calibri" w:hAnsi="Calibri" w:cs="Calibri"/>
      <w:i/>
      <w:iCs/>
      <w:color w:val="7B7B7B" w:themeColor="accent3" w:themeShade="BF"/>
      <w:szCs w:val="24"/>
    </w:rPr>
  </w:style>
  <w:style w:type="character" w:customStyle="1" w:styleId="QuoteChar">
    <w:name w:val="Quote Char"/>
    <w:basedOn w:val="DefaultParagraphFont"/>
    <w:link w:val="Quote"/>
    <w:uiPriority w:val="29"/>
    <w:rPr>
      <w:rFonts w:ascii="Calibri" w:eastAsia="Calibri" w:hAnsi="Calibri" w:cs="Calibri"/>
      <w:i/>
      <w:iCs/>
      <w:color w:val="7B7B7B" w:themeColor="accent3" w:themeShade="BF"/>
      <w:szCs w:val="24"/>
    </w:rPr>
  </w:style>
  <w:style w:type="paragraph" w:styleId="IntenseQuote">
    <w:name w:val="Intense Quote"/>
    <w:basedOn w:val="Normal"/>
    <w:next w:val="Normal"/>
    <w:link w:val="IntenseQuoteChar"/>
    <w:uiPriority w:val="30"/>
    <w:qFormat/>
    <w:locked/>
    <w:pPr>
      <w:spacing w:before="160" w:after="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locked/>
    <w:rPr>
      <w:i/>
      <w:iCs/>
      <w:color w:val="595959" w:themeColor="text1" w:themeTint="A6"/>
    </w:rPr>
  </w:style>
  <w:style w:type="character" w:styleId="IntenseEmphasis">
    <w:name w:val="Intense Emphasis"/>
    <w:basedOn w:val="DefaultParagraphFont"/>
    <w:uiPriority w:val="21"/>
    <w:qFormat/>
    <w:locked/>
    <w:rPr>
      <w:b/>
      <w:bCs/>
      <w:i/>
      <w:iCs/>
      <w:color w:val="auto"/>
    </w:rPr>
  </w:style>
  <w:style w:type="character" w:styleId="SubtleReference">
    <w:name w:val="Subtle Reference"/>
    <w:basedOn w:val="DefaultParagraphFont"/>
    <w:uiPriority w:val="31"/>
    <w:qFormat/>
    <w:locked/>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locked/>
    <w:rPr>
      <w:b/>
      <w:bCs/>
      <w:caps w:val="0"/>
      <w:smallCaps/>
      <w:color w:val="auto"/>
      <w:spacing w:val="0"/>
      <w:u w:val="single"/>
    </w:rPr>
  </w:style>
  <w:style w:type="character" w:styleId="BookTitle">
    <w:name w:val="Book Title"/>
    <w:basedOn w:val="DefaultParagraphFont"/>
    <w:uiPriority w:val="33"/>
    <w:qFormat/>
    <w:locked/>
    <w:rPr>
      <w:b/>
      <w:bCs/>
      <w:caps w:val="0"/>
      <w:smallCaps/>
      <w:spacing w:val="0"/>
    </w:rPr>
  </w:style>
  <w:style w:type="character" w:customStyle="1" w:styleId="EndnoteTextChar">
    <w:name w:val="Endnote Text Char"/>
    <w:basedOn w:val="DefaultParagraphFont"/>
    <w:link w:val="EndnoteText"/>
    <w:uiPriority w:val="99"/>
    <w:semiHidden/>
    <w:rPr>
      <w:sz w:val="20"/>
    </w:rPr>
  </w:style>
  <w:style w:type="character" w:styleId="EndnoteReference">
    <w:name w:val="endnote reference"/>
    <w:basedOn w:val="DefaultParagraphFont"/>
    <w:uiPriority w:val="99"/>
    <w:semiHidden/>
    <w:unhideWhenUsed/>
    <w:locked/>
    <w:rPr>
      <w:vertAlign w:val="superscript"/>
    </w:rPr>
  </w:style>
  <w:style w:type="character" w:styleId="FollowedHyperlink">
    <w:name w:val="FollowedHyperlink"/>
    <w:basedOn w:val="DefaultParagraphFont"/>
    <w:uiPriority w:val="99"/>
    <w:semiHidden/>
    <w:unhideWhenUsed/>
    <w:locked/>
    <w:rPr>
      <w:color w:val="954F72" w:themeColor="followedHyperlink"/>
      <w:u w:val="single"/>
    </w:rPr>
  </w:style>
  <w:style w:type="character" w:customStyle="1" w:styleId="seccion0">
    <w:name w:val="seccion0"/>
    <w:basedOn w:val="DefaultParagraphFont"/>
  </w:style>
  <w:style w:type="character" w:customStyle="1" w:styleId="s1">
    <w:name w:val="s1"/>
    <w:basedOn w:val="DefaultParagraphFont"/>
  </w:style>
  <w:style w:type="paragraph" w:customStyle="1" w:styleId="CorpoA">
    <w:name w:val="Corpo A"/>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eastAsia="en-IE"/>
      <w14:textOutline w14:w="12700" w14:cap="flat" w14:cmpd="sng" w14:algn="ctr">
        <w14:noFill/>
        <w14:prstDash w14:val="solid"/>
        <w14:miter w14:lim="400000"/>
      </w14:textOutline>
    </w:rPr>
  </w:style>
  <w:style w:type="paragraph" w:styleId="PlainText">
    <w:name w:val="Plain Text"/>
    <w:basedOn w:val="Normal"/>
    <w:link w:val="PlainTextChar"/>
    <w:uiPriority w:val="99"/>
    <w:unhideWhenUsed/>
    <w:locked/>
    <w:pPr>
      <w:spacing w:after="0"/>
      <w:jc w:val="left"/>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Pr>
      <w:rFonts w:ascii="Calibri" w:eastAsiaTheme="minorHAnsi" w:hAnsi="Calibri" w:cstheme="minorBidi"/>
      <w:sz w:val="22"/>
      <w:szCs w:val="21"/>
      <w:lang w:eastAsia="en-US"/>
    </w:rPr>
  </w:style>
  <w:style w:type="character" w:customStyle="1" w:styleId="a14">
    <w:name w:val="a14"/>
    <w:basedOn w:val="DefaultParagraphFont"/>
  </w:style>
  <w:style w:type="paragraph" w:customStyle="1" w:styleId="Default">
    <w:name w:val="Default"/>
    <w:pPr>
      <w:autoSpaceDE w:val="0"/>
      <w:autoSpaceDN w:val="0"/>
      <w:adjustRightInd w:val="0"/>
      <w:spacing w:after="160" w:line="300" w:lineRule="auto"/>
    </w:pPr>
    <w:rPr>
      <w:rFonts w:ascii="EC Square Sans Pro Light" w:eastAsiaTheme="minorEastAsia" w:hAnsi="EC Square Sans Pro Light" w:cs="EC Square Sans Pro Light"/>
      <w:color w:val="000000"/>
      <w:sz w:val="21"/>
      <w:szCs w:val="24"/>
    </w:rPr>
  </w:style>
  <w:style w:type="character" w:customStyle="1" w:styleId="A11">
    <w:name w:val="A11"/>
    <w:uiPriority w:val="99"/>
    <w:rPr>
      <w:rFonts w:cs="EC Square Sans Pro Light"/>
      <w:color w:val="000000"/>
      <w:sz w:val="11"/>
      <w:szCs w:val="11"/>
    </w:rPr>
  </w:style>
  <w:style w:type="character" w:customStyle="1" w:styleId="A6">
    <w:name w:val="A6"/>
    <w:uiPriority w:val="99"/>
    <w:rPr>
      <w:rFonts w:ascii="EC Square Sans Pro" w:hAnsi="EC Square Sans Pro" w:cs="EC Square Sans Pro"/>
      <w:color w:val="000000"/>
      <w:sz w:val="11"/>
      <w:szCs w:val="11"/>
    </w:rPr>
  </w:style>
  <w:style w:type="character" w:customStyle="1" w:styleId="highlight">
    <w:name w:val="highlight"/>
    <w:basedOn w:val="DefaultParagraphFont"/>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lang w:eastAsia="en-US"/>
    </w:rPr>
  </w:style>
  <w:style w:type="paragraph" w:customStyle="1" w:styleId="SecurityMarking">
    <w:name w:val="SecurityMarking"/>
    <w:basedOn w:val="Normal"/>
    <w:pPr>
      <w:spacing w:after="0" w:line="276" w:lineRule="auto"/>
      <w:ind w:left="5103"/>
      <w:jc w:val="left"/>
    </w:pPr>
    <w:rPr>
      <w:rFonts w:eastAsiaTheme="minorHAnsi"/>
      <w:sz w:val="28"/>
      <w:szCs w:val="22"/>
      <w:lang w:eastAsia="en-US"/>
    </w:rPr>
  </w:style>
  <w:style w:type="paragraph" w:customStyle="1" w:styleId="DateMarking">
    <w:name w:val="DateMarking"/>
    <w:basedOn w:val="Normal"/>
    <w:pPr>
      <w:spacing w:after="0" w:line="276" w:lineRule="auto"/>
      <w:ind w:left="5103"/>
      <w:jc w:val="left"/>
    </w:pPr>
    <w:rPr>
      <w:rFonts w:eastAsiaTheme="minorHAnsi"/>
      <w:i/>
      <w:sz w:val="28"/>
      <w:szCs w:val="22"/>
      <w:lang w:eastAsia="en-US"/>
    </w:rPr>
  </w:style>
  <w:style w:type="paragraph" w:customStyle="1" w:styleId="ReleasableTo">
    <w:name w:val="ReleasableTo"/>
    <w:basedOn w:val="Normal"/>
    <w:pPr>
      <w:spacing w:after="0" w:line="276" w:lineRule="auto"/>
      <w:ind w:left="5103"/>
      <w:jc w:val="left"/>
    </w:pPr>
    <w:rPr>
      <w:rFonts w:eastAsiaTheme="minorHAnsi"/>
      <w:i/>
      <w:sz w:val="28"/>
      <w:szCs w:val="22"/>
      <w:lang w:eastAsia="en-US"/>
    </w:rPr>
  </w:style>
  <w:style w:type="character" w:customStyle="1" w:styleId="normaltextrun">
    <w:name w:val="normaltextrun"/>
    <w:basedOn w:val="DefaultParagraphFont"/>
  </w:style>
  <w:style w:type="character" w:customStyle="1" w:styleId="A3">
    <w:name w:val="A3"/>
    <w:uiPriority w:val="99"/>
    <w:rPr>
      <w:rFonts w:cs="EC Square Sans Pro"/>
      <w:color w:val="000000"/>
      <w:sz w:val="17"/>
      <w:szCs w:val="17"/>
    </w:rPr>
  </w:style>
  <w:style w:type="character" w:customStyle="1" w:styleId="st">
    <w:name w:val="st"/>
    <w:basedOn w:val="DefaultParagraphFont"/>
  </w:style>
  <w:style w:type="character" w:customStyle="1" w:styleId="websearch-marked">
    <w:name w:val="web_search-marked"/>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97139">
      <w:bodyDiv w:val="1"/>
      <w:marLeft w:val="0"/>
      <w:marRight w:val="0"/>
      <w:marTop w:val="0"/>
      <w:marBottom w:val="0"/>
      <w:divBdr>
        <w:top w:val="none" w:sz="0" w:space="0" w:color="auto"/>
        <w:left w:val="none" w:sz="0" w:space="0" w:color="auto"/>
        <w:bottom w:val="none" w:sz="0" w:space="0" w:color="auto"/>
        <w:right w:val="none" w:sz="0" w:space="0" w:color="auto"/>
      </w:divBdr>
    </w:div>
    <w:div w:id="78214747">
      <w:bodyDiv w:val="1"/>
      <w:marLeft w:val="0"/>
      <w:marRight w:val="0"/>
      <w:marTop w:val="0"/>
      <w:marBottom w:val="0"/>
      <w:divBdr>
        <w:top w:val="none" w:sz="0" w:space="0" w:color="auto"/>
        <w:left w:val="none" w:sz="0" w:space="0" w:color="auto"/>
        <w:bottom w:val="none" w:sz="0" w:space="0" w:color="auto"/>
        <w:right w:val="none" w:sz="0" w:space="0" w:color="auto"/>
      </w:divBdr>
    </w:div>
    <w:div w:id="87504197">
      <w:bodyDiv w:val="1"/>
      <w:marLeft w:val="0"/>
      <w:marRight w:val="0"/>
      <w:marTop w:val="0"/>
      <w:marBottom w:val="0"/>
      <w:divBdr>
        <w:top w:val="none" w:sz="0" w:space="0" w:color="auto"/>
        <w:left w:val="none" w:sz="0" w:space="0" w:color="auto"/>
        <w:bottom w:val="none" w:sz="0" w:space="0" w:color="auto"/>
        <w:right w:val="none" w:sz="0" w:space="0" w:color="auto"/>
      </w:divBdr>
    </w:div>
    <w:div w:id="108472652">
      <w:bodyDiv w:val="1"/>
      <w:marLeft w:val="0"/>
      <w:marRight w:val="0"/>
      <w:marTop w:val="0"/>
      <w:marBottom w:val="0"/>
      <w:divBdr>
        <w:top w:val="none" w:sz="0" w:space="0" w:color="auto"/>
        <w:left w:val="none" w:sz="0" w:space="0" w:color="auto"/>
        <w:bottom w:val="none" w:sz="0" w:space="0" w:color="auto"/>
        <w:right w:val="none" w:sz="0" w:space="0" w:color="auto"/>
      </w:divBdr>
    </w:div>
    <w:div w:id="141704949">
      <w:bodyDiv w:val="1"/>
      <w:marLeft w:val="0"/>
      <w:marRight w:val="0"/>
      <w:marTop w:val="0"/>
      <w:marBottom w:val="0"/>
      <w:divBdr>
        <w:top w:val="none" w:sz="0" w:space="0" w:color="auto"/>
        <w:left w:val="none" w:sz="0" w:space="0" w:color="auto"/>
        <w:bottom w:val="none" w:sz="0" w:space="0" w:color="auto"/>
        <w:right w:val="none" w:sz="0" w:space="0" w:color="auto"/>
      </w:divBdr>
    </w:div>
    <w:div w:id="162667552">
      <w:bodyDiv w:val="1"/>
      <w:marLeft w:val="0"/>
      <w:marRight w:val="0"/>
      <w:marTop w:val="0"/>
      <w:marBottom w:val="0"/>
      <w:divBdr>
        <w:top w:val="none" w:sz="0" w:space="0" w:color="auto"/>
        <w:left w:val="none" w:sz="0" w:space="0" w:color="auto"/>
        <w:bottom w:val="none" w:sz="0" w:space="0" w:color="auto"/>
        <w:right w:val="none" w:sz="0" w:space="0" w:color="auto"/>
      </w:divBdr>
    </w:div>
    <w:div w:id="212926854">
      <w:bodyDiv w:val="1"/>
      <w:marLeft w:val="0"/>
      <w:marRight w:val="0"/>
      <w:marTop w:val="0"/>
      <w:marBottom w:val="0"/>
      <w:divBdr>
        <w:top w:val="none" w:sz="0" w:space="0" w:color="auto"/>
        <w:left w:val="none" w:sz="0" w:space="0" w:color="auto"/>
        <w:bottom w:val="none" w:sz="0" w:space="0" w:color="auto"/>
        <w:right w:val="none" w:sz="0" w:space="0" w:color="auto"/>
      </w:divBdr>
    </w:div>
    <w:div w:id="507595925">
      <w:bodyDiv w:val="1"/>
      <w:marLeft w:val="0"/>
      <w:marRight w:val="0"/>
      <w:marTop w:val="0"/>
      <w:marBottom w:val="0"/>
      <w:divBdr>
        <w:top w:val="none" w:sz="0" w:space="0" w:color="auto"/>
        <w:left w:val="none" w:sz="0" w:space="0" w:color="auto"/>
        <w:bottom w:val="none" w:sz="0" w:space="0" w:color="auto"/>
        <w:right w:val="none" w:sz="0" w:space="0" w:color="auto"/>
      </w:divBdr>
    </w:div>
    <w:div w:id="562180769">
      <w:bodyDiv w:val="1"/>
      <w:marLeft w:val="0"/>
      <w:marRight w:val="0"/>
      <w:marTop w:val="0"/>
      <w:marBottom w:val="0"/>
      <w:divBdr>
        <w:top w:val="none" w:sz="0" w:space="0" w:color="auto"/>
        <w:left w:val="none" w:sz="0" w:space="0" w:color="auto"/>
        <w:bottom w:val="none" w:sz="0" w:space="0" w:color="auto"/>
        <w:right w:val="none" w:sz="0" w:space="0" w:color="auto"/>
      </w:divBdr>
    </w:div>
    <w:div w:id="574705609">
      <w:bodyDiv w:val="1"/>
      <w:marLeft w:val="0"/>
      <w:marRight w:val="0"/>
      <w:marTop w:val="0"/>
      <w:marBottom w:val="0"/>
      <w:divBdr>
        <w:top w:val="none" w:sz="0" w:space="0" w:color="auto"/>
        <w:left w:val="none" w:sz="0" w:space="0" w:color="auto"/>
        <w:bottom w:val="none" w:sz="0" w:space="0" w:color="auto"/>
        <w:right w:val="none" w:sz="0" w:space="0" w:color="auto"/>
      </w:divBdr>
    </w:div>
    <w:div w:id="606815669">
      <w:bodyDiv w:val="1"/>
      <w:marLeft w:val="0"/>
      <w:marRight w:val="0"/>
      <w:marTop w:val="0"/>
      <w:marBottom w:val="0"/>
      <w:divBdr>
        <w:top w:val="none" w:sz="0" w:space="0" w:color="auto"/>
        <w:left w:val="none" w:sz="0" w:space="0" w:color="auto"/>
        <w:bottom w:val="none" w:sz="0" w:space="0" w:color="auto"/>
        <w:right w:val="none" w:sz="0" w:space="0" w:color="auto"/>
      </w:divBdr>
      <w:divsChild>
        <w:div w:id="1491210878">
          <w:marLeft w:val="0"/>
          <w:marRight w:val="0"/>
          <w:marTop w:val="0"/>
          <w:marBottom w:val="0"/>
          <w:divBdr>
            <w:top w:val="none" w:sz="0" w:space="0" w:color="auto"/>
            <w:left w:val="none" w:sz="0" w:space="0" w:color="auto"/>
            <w:bottom w:val="none" w:sz="0" w:space="0" w:color="auto"/>
            <w:right w:val="none" w:sz="0" w:space="0" w:color="auto"/>
          </w:divBdr>
          <w:divsChild>
            <w:div w:id="986856498">
              <w:marLeft w:val="0"/>
              <w:marRight w:val="0"/>
              <w:marTop w:val="0"/>
              <w:marBottom w:val="0"/>
              <w:divBdr>
                <w:top w:val="none" w:sz="0" w:space="0" w:color="auto"/>
                <w:left w:val="none" w:sz="0" w:space="0" w:color="auto"/>
                <w:bottom w:val="none" w:sz="0" w:space="0" w:color="auto"/>
                <w:right w:val="none" w:sz="0" w:space="0" w:color="auto"/>
              </w:divBdr>
            </w:div>
          </w:divsChild>
        </w:div>
        <w:div w:id="750465118">
          <w:marLeft w:val="0"/>
          <w:marRight w:val="0"/>
          <w:marTop w:val="0"/>
          <w:marBottom w:val="0"/>
          <w:divBdr>
            <w:top w:val="none" w:sz="0" w:space="0" w:color="auto"/>
            <w:left w:val="none" w:sz="0" w:space="0" w:color="auto"/>
            <w:bottom w:val="none" w:sz="0" w:space="0" w:color="auto"/>
            <w:right w:val="none" w:sz="0" w:space="0" w:color="auto"/>
          </w:divBdr>
          <w:divsChild>
            <w:div w:id="2072724596">
              <w:marLeft w:val="0"/>
              <w:marRight w:val="0"/>
              <w:marTop w:val="0"/>
              <w:marBottom w:val="0"/>
              <w:divBdr>
                <w:top w:val="none" w:sz="0" w:space="0" w:color="auto"/>
                <w:left w:val="none" w:sz="0" w:space="0" w:color="auto"/>
                <w:bottom w:val="none" w:sz="0" w:space="0" w:color="auto"/>
                <w:right w:val="none" w:sz="0" w:space="0" w:color="auto"/>
              </w:divBdr>
              <w:divsChild>
                <w:div w:id="1750417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03477590">
      <w:bodyDiv w:val="1"/>
      <w:marLeft w:val="0"/>
      <w:marRight w:val="0"/>
      <w:marTop w:val="0"/>
      <w:marBottom w:val="0"/>
      <w:divBdr>
        <w:top w:val="none" w:sz="0" w:space="0" w:color="auto"/>
        <w:left w:val="none" w:sz="0" w:space="0" w:color="auto"/>
        <w:bottom w:val="none" w:sz="0" w:space="0" w:color="auto"/>
        <w:right w:val="none" w:sz="0" w:space="0" w:color="auto"/>
      </w:divBdr>
    </w:div>
    <w:div w:id="753236266">
      <w:bodyDiv w:val="1"/>
      <w:marLeft w:val="0"/>
      <w:marRight w:val="0"/>
      <w:marTop w:val="0"/>
      <w:marBottom w:val="0"/>
      <w:divBdr>
        <w:top w:val="none" w:sz="0" w:space="0" w:color="auto"/>
        <w:left w:val="none" w:sz="0" w:space="0" w:color="auto"/>
        <w:bottom w:val="none" w:sz="0" w:space="0" w:color="auto"/>
        <w:right w:val="none" w:sz="0" w:space="0" w:color="auto"/>
      </w:divBdr>
    </w:div>
    <w:div w:id="759913598">
      <w:bodyDiv w:val="1"/>
      <w:marLeft w:val="0"/>
      <w:marRight w:val="0"/>
      <w:marTop w:val="0"/>
      <w:marBottom w:val="0"/>
      <w:divBdr>
        <w:top w:val="none" w:sz="0" w:space="0" w:color="auto"/>
        <w:left w:val="none" w:sz="0" w:space="0" w:color="auto"/>
        <w:bottom w:val="none" w:sz="0" w:space="0" w:color="auto"/>
        <w:right w:val="none" w:sz="0" w:space="0" w:color="auto"/>
      </w:divBdr>
    </w:div>
    <w:div w:id="776603183">
      <w:bodyDiv w:val="1"/>
      <w:marLeft w:val="0"/>
      <w:marRight w:val="0"/>
      <w:marTop w:val="0"/>
      <w:marBottom w:val="0"/>
      <w:divBdr>
        <w:top w:val="none" w:sz="0" w:space="0" w:color="auto"/>
        <w:left w:val="none" w:sz="0" w:space="0" w:color="auto"/>
        <w:bottom w:val="none" w:sz="0" w:space="0" w:color="auto"/>
        <w:right w:val="none" w:sz="0" w:space="0" w:color="auto"/>
      </w:divBdr>
    </w:div>
    <w:div w:id="803354335">
      <w:bodyDiv w:val="1"/>
      <w:marLeft w:val="0"/>
      <w:marRight w:val="0"/>
      <w:marTop w:val="0"/>
      <w:marBottom w:val="0"/>
      <w:divBdr>
        <w:top w:val="none" w:sz="0" w:space="0" w:color="auto"/>
        <w:left w:val="none" w:sz="0" w:space="0" w:color="auto"/>
        <w:bottom w:val="none" w:sz="0" w:space="0" w:color="auto"/>
        <w:right w:val="none" w:sz="0" w:space="0" w:color="auto"/>
      </w:divBdr>
    </w:div>
    <w:div w:id="914513472">
      <w:bodyDiv w:val="1"/>
      <w:marLeft w:val="0"/>
      <w:marRight w:val="0"/>
      <w:marTop w:val="0"/>
      <w:marBottom w:val="0"/>
      <w:divBdr>
        <w:top w:val="none" w:sz="0" w:space="0" w:color="auto"/>
        <w:left w:val="none" w:sz="0" w:space="0" w:color="auto"/>
        <w:bottom w:val="none" w:sz="0" w:space="0" w:color="auto"/>
        <w:right w:val="none" w:sz="0" w:space="0" w:color="auto"/>
      </w:divBdr>
    </w:div>
    <w:div w:id="966395283">
      <w:bodyDiv w:val="1"/>
      <w:marLeft w:val="0"/>
      <w:marRight w:val="0"/>
      <w:marTop w:val="0"/>
      <w:marBottom w:val="0"/>
      <w:divBdr>
        <w:top w:val="none" w:sz="0" w:space="0" w:color="auto"/>
        <w:left w:val="none" w:sz="0" w:space="0" w:color="auto"/>
        <w:bottom w:val="none" w:sz="0" w:space="0" w:color="auto"/>
        <w:right w:val="none" w:sz="0" w:space="0" w:color="auto"/>
      </w:divBdr>
    </w:div>
    <w:div w:id="1014235230">
      <w:bodyDiv w:val="1"/>
      <w:marLeft w:val="0"/>
      <w:marRight w:val="0"/>
      <w:marTop w:val="0"/>
      <w:marBottom w:val="0"/>
      <w:divBdr>
        <w:top w:val="none" w:sz="0" w:space="0" w:color="auto"/>
        <w:left w:val="none" w:sz="0" w:space="0" w:color="auto"/>
        <w:bottom w:val="none" w:sz="0" w:space="0" w:color="auto"/>
        <w:right w:val="none" w:sz="0" w:space="0" w:color="auto"/>
      </w:divBdr>
    </w:div>
    <w:div w:id="1200702244">
      <w:bodyDiv w:val="1"/>
      <w:marLeft w:val="0"/>
      <w:marRight w:val="0"/>
      <w:marTop w:val="0"/>
      <w:marBottom w:val="0"/>
      <w:divBdr>
        <w:top w:val="none" w:sz="0" w:space="0" w:color="auto"/>
        <w:left w:val="none" w:sz="0" w:space="0" w:color="auto"/>
        <w:bottom w:val="none" w:sz="0" w:space="0" w:color="auto"/>
        <w:right w:val="none" w:sz="0" w:space="0" w:color="auto"/>
      </w:divBdr>
    </w:div>
    <w:div w:id="1243174128">
      <w:bodyDiv w:val="1"/>
      <w:marLeft w:val="0"/>
      <w:marRight w:val="0"/>
      <w:marTop w:val="0"/>
      <w:marBottom w:val="0"/>
      <w:divBdr>
        <w:top w:val="none" w:sz="0" w:space="0" w:color="auto"/>
        <w:left w:val="none" w:sz="0" w:space="0" w:color="auto"/>
        <w:bottom w:val="none" w:sz="0" w:space="0" w:color="auto"/>
        <w:right w:val="none" w:sz="0" w:space="0" w:color="auto"/>
      </w:divBdr>
    </w:div>
    <w:div w:id="1247030230">
      <w:bodyDiv w:val="1"/>
      <w:marLeft w:val="0"/>
      <w:marRight w:val="0"/>
      <w:marTop w:val="0"/>
      <w:marBottom w:val="0"/>
      <w:divBdr>
        <w:top w:val="none" w:sz="0" w:space="0" w:color="auto"/>
        <w:left w:val="none" w:sz="0" w:space="0" w:color="auto"/>
        <w:bottom w:val="none" w:sz="0" w:space="0" w:color="auto"/>
        <w:right w:val="none" w:sz="0" w:space="0" w:color="auto"/>
      </w:divBdr>
    </w:div>
    <w:div w:id="1262445479">
      <w:bodyDiv w:val="1"/>
      <w:marLeft w:val="0"/>
      <w:marRight w:val="0"/>
      <w:marTop w:val="0"/>
      <w:marBottom w:val="0"/>
      <w:divBdr>
        <w:top w:val="none" w:sz="0" w:space="0" w:color="auto"/>
        <w:left w:val="none" w:sz="0" w:space="0" w:color="auto"/>
        <w:bottom w:val="none" w:sz="0" w:space="0" w:color="auto"/>
        <w:right w:val="none" w:sz="0" w:space="0" w:color="auto"/>
      </w:divBdr>
    </w:div>
    <w:div w:id="1371613912">
      <w:bodyDiv w:val="1"/>
      <w:marLeft w:val="0"/>
      <w:marRight w:val="0"/>
      <w:marTop w:val="0"/>
      <w:marBottom w:val="0"/>
      <w:divBdr>
        <w:top w:val="none" w:sz="0" w:space="0" w:color="auto"/>
        <w:left w:val="none" w:sz="0" w:space="0" w:color="auto"/>
        <w:bottom w:val="none" w:sz="0" w:space="0" w:color="auto"/>
        <w:right w:val="none" w:sz="0" w:space="0" w:color="auto"/>
      </w:divBdr>
    </w:div>
    <w:div w:id="1421370507">
      <w:bodyDiv w:val="1"/>
      <w:marLeft w:val="0"/>
      <w:marRight w:val="0"/>
      <w:marTop w:val="0"/>
      <w:marBottom w:val="0"/>
      <w:divBdr>
        <w:top w:val="none" w:sz="0" w:space="0" w:color="auto"/>
        <w:left w:val="none" w:sz="0" w:space="0" w:color="auto"/>
        <w:bottom w:val="none" w:sz="0" w:space="0" w:color="auto"/>
        <w:right w:val="none" w:sz="0" w:space="0" w:color="auto"/>
      </w:divBdr>
    </w:div>
    <w:div w:id="1597251864">
      <w:bodyDiv w:val="1"/>
      <w:marLeft w:val="0"/>
      <w:marRight w:val="0"/>
      <w:marTop w:val="0"/>
      <w:marBottom w:val="0"/>
      <w:divBdr>
        <w:top w:val="none" w:sz="0" w:space="0" w:color="auto"/>
        <w:left w:val="none" w:sz="0" w:space="0" w:color="auto"/>
        <w:bottom w:val="none" w:sz="0" w:space="0" w:color="auto"/>
        <w:right w:val="none" w:sz="0" w:space="0" w:color="auto"/>
      </w:divBdr>
    </w:div>
    <w:div w:id="1621377798">
      <w:bodyDiv w:val="1"/>
      <w:marLeft w:val="0"/>
      <w:marRight w:val="0"/>
      <w:marTop w:val="0"/>
      <w:marBottom w:val="0"/>
      <w:divBdr>
        <w:top w:val="none" w:sz="0" w:space="0" w:color="auto"/>
        <w:left w:val="none" w:sz="0" w:space="0" w:color="auto"/>
        <w:bottom w:val="none" w:sz="0" w:space="0" w:color="auto"/>
        <w:right w:val="none" w:sz="0" w:space="0" w:color="auto"/>
      </w:divBdr>
    </w:div>
    <w:div w:id="1702707793">
      <w:bodyDiv w:val="1"/>
      <w:marLeft w:val="0"/>
      <w:marRight w:val="0"/>
      <w:marTop w:val="0"/>
      <w:marBottom w:val="0"/>
      <w:divBdr>
        <w:top w:val="none" w:sz="0" w:space="0" w:color="auto"/>
        <w:left w:val="none" w:sz="0" w:space="0" w:color="auto"/>
        <w:bottom w:val="none" w:sz="0" w:space="0" w:color="auto"/>
        <w:right w:val="none" w:sz="0" w:space="0" w:color="auto"/>
      </w:divBdr>
    </w:div>
    <w:div w:id="1743218035">
      <w:bodyDiv w:val="1"/>
      <w:marLeft w:val="0"/>
      <w:marRight w:val="0"/>
      <w:marTop w:val="0"/>
      <w:marBottom w:val="0"/>
      <w:divBdr>
        <w:top w:val="none" w:sz="0" w:space="0" w:color="auto"/>
        <w:left w:val="none" w:sz="0" w:space="0" w:color="auto"/>
        <w:bottom w:val="none" w:sz="0" w:space="0" w:color="auto"/>
        <w:right w:val="none" w:sz="0" w:space="0" w:color="auto"/>
      </w:divBdr>
    </w:div>
    <w:div w:id="1753045789">
      <w:bodyDiv w:val="1"/>
      <w:marLeft w:val="0"/>
      <w:marRight w:val="0"/>
      <w:marTop w:val="0"/>
      <w:marBottom w:val="0"/>
      <w:divBdr>
        <w:top w:val="none" w:sz="0" w:space="0" w:color="auto"/>
        <w:left w:val="none" w:sz="0" w:space="0" w:color="auto"/>
        <w:bottom w:val="none" w:sz="0" w:space="0" w:color="auto"/>
        <w:right w:val="none" w:sz="0" w:space="0" w:color="auto"/>
      </w:divBdr>
    </w:div>
    <w:div w:id="1760058445">
      <w:bodyDiv w:val="1"/>
      <w:marLeft w:val="0"/>
      <w:marRight w:val="0"/>
      <w:marTop w:val="0"/>
      <w:marBottom w:val="0"/>
      <w:divBdr>
        <w:top w:val="none" w:sz="0" w:space="0" w:color="auto"/>
        <w:left w:val="none" w:sz="0" w:space="0" w:color="auto"/>
        <w:bottom w:val="none" w:sz="0" w:space="0" w:color="auto"/>
        <w:right w:val="none" w:sz="0" w:space="0" w:color="auto"/>
      </w:divBdr>
    </w:div>
    <w:div w:id="1775632862">
      <w:bodyDiv w:val="1"/>
      <w:marLeft w:val="0"/>
      <w:marRight w:val="0"/>
      <w:marTop w:val="0"/>
      <w:marBottom w:val="0"/>
      <w:divBdr>
        <w:top w:val="none" w:sz="0" w:space="0" w:color="auto"/>
        <w:left w:val="none" w:sz="0" w:space="0" w:color="auto"/>
        <w:bottom w:val="none" w:sz="0" w:space="0" w:color="auto"/>
        <w:right w:val="none" w:sz="0" w:space="0" w:color="auto"/>
      </w:divBdr>
    </w:div>
    <w:div w:id="1829979849">
      <w:bodyDiv w:val="1"/>
      <w:marLeft w:val="0"/>
      <w:marRight w:val="0"/>
      <w:marTop w:val="0"/>
      <w:marBottom w:val="0"/>
      <w:divBdr>
        <w:top w:val="none" w:sz="0" w:space="0" w:color="auto"/>
        <w:left w:val="none" w:sz="0" w:space="0" w:color="auto"/>
        <w:bottom w:val="none" w:sz="0" w:space="0" w:color="auto"/>
        <w:right w:val="none" w:sz="0" w:space="0" w:color="auto"/>
      </w:divBdr>
    </w:div>
    <w:div w:id="1890726437">
      <w:bodyDiv w:val="1"/>
      <w:marLeft w:val="0"/>
      <w:marRight w:val="0"/>
      <w:marTop w:val="0"/>
      <w:marBottom w:val="0"/>
      <w:divBdr>
        <w:top w:val="none" w:sz="0" w:space="0" w:color="auto"/>
        <w:left w:val="none" w:sz="0" w:space="0" w:color="auto"/>
        <w:bottom w:val="none" w:sz="0" w:space="0" w:color="auto"/>
        <w:right w:val="none" w:sz="0" w:space="0" w:color="auto"/>
      </w:divBdr>
    </w:div>
    <w:div w:id="2057467201">
      <w:bodyDiv w:val="1"/>
      <w:marLeft w:val="0"/>
      <w:marRight w:val="0"/>
      <w:marTop w:val="0"/>
      <w:marBottom w:val="0"/>
      <w:divBdr>
        <w:top w:val="none" w:sz="0" w:space="0" w:color="auto"/>
        <w:left w:val="none" w:sz="0" w:space="0" w:color="auto"/>
        <w:bottom w:val="none" w:sz="0" w:space="0" w:color="auto"/>
        <w:right w:val="none" w:sz="0" w:space="0" w:color="auto"/>
      </w:divBdr>
    </w:div>
    <w:div w:id="21294230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image" Target="media/image6.emf"/><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5.png"/><Relationship Id="rId32"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header" Target="header4.xml"/><Relationship Id="rId10" Type="http://schemas.openxmlformats.org/officeDocument/2006/relationships/settings" Target="settings.xml"/><Relationship Id="rId19" Type="http://schemas.openxmlformats.org/officeDocument/2006/relationships/header" Target="header3.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footer" Target="footer4.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26" Type="http://schemas.openxmlformats.org/officeDocument/2006/relationships/hyperlink" Target="https://ec.europa.eu/knowledge4policy/sites/know4pol/files/key_workers_covid_0423.pdf" TargetMode="External"/><Relationship Id="rId117" Type="http://schemas.openxmlformats.org/officeDocument/2006/relationships/hyperlink" Target="https://op.europa.eu/en/publication-detail/-/publication/fcb90b8b-09b4-11ea-8c1f-01aa75ed71a1/language-en/format-PDF/source-search" TargetMode="External"/><Relationship Id="rId21" Type="http://schemas.openxmlformats.org/officeDocument/2006/relationships/hyperlink" Target="https://voxeu.org/article/inequality-and-poverty-effects-lockdown-europe" TargetMode="External"/><Relationship Id="rId42" Type="http://schemas.openxmlformats.org/officeDocument/2006/relationships/hyperlink" Target="https://www.un.org/sustainabledevelopment/sustainable-development-goals/" TargetMode="External"/><Relationship Id="rId47" Type="http://schemas.openxmlformats.org/officeDocument/2006/relationships/hyperlink" Target="https://ec.europa.eu/knowledge4policy/migration-demography_en" TargetMode="External"/><Relationship Id="rId63" Type="http://schemas.openxmlformats.org/officeDocument/2006/relationships/hyperlink" Target="https://www.cogitatiopress.com/politicsandgovernance/article/view/2478" TargetMode="External"/><Relationship Id="rId68" Type="http://schemas.openxmlformats.org/officeDocument/2006/relationships/hyperlink" Target="https://priv-lu-myremote.tech.ec.europa.eu/en/news/press-release/2018/03/19/,DanaInfo=.awxyC0txslkkywM26w,SSL+climate-change-could-force-over-140-million-to-migrate-within-countries-by-2050-world-bank-report" TargetMode="External"/><Relationship Id="rId84" Type="http://schemas.openxmlformats.org/officeDocument/2006/relationships/hyperlink" Target="https://www.eea.europa.eu/themes/air/air-quality-and-covid19" TargetMode="External"/><Relationship Id="rId89" Type="http://schemas.openxmlformats.org/officeDocument/2006/relationships/hyperlink" Target="https://ec.europa.eu/jrc/en/publication/eur-scientific-and-technical-research-reports/future-government-2030-policy-implications-and-recommendations" TargetMode="External"/><Relationship Id="rId112" Type="http://schemas.openxmlformats.org/officeDocument/2006/relationships/hyperlink" Target="https://www.exscalate4cov.eu/" TargetMode="External"/><Relationship Id="rId133" Type="http://schemas.openxmlformats.org/officeDocument/2006/relationships/hyperlink" Target="https://doi.org/10.1787/9789264307278-11-en" TargetMode="External"/><Relationship Id="rId16" Type="http://schemas.openxmlformats.org/officeDocument/2006/relationships/hyperlink" Target="https://ec.europa.eu/regional_policy/en/newsroom/news/2020/03/16-03-2020-cohesion-policy-and-eu-solidarity-fund-contribute-to-the-coronavirus-response-investment-initiative" TargetMode="External"/><Relationship Id="rId107" Type="http://schemas.openxmlformats.org/officeDocument/2006/relationships/hyperlink" Target="https://ec.europa.eu/digital-single-market/en/news/future-work-work-future" TargetMode="External"/><Relationship Id="rId11" Type="http://schemas.openxmlformats.org/officeDocument/2006/relationships/hyperlink" Target="https://esip.eu/new/details/2/82-COVID-19%20?social_security" TargetMode="External"/><Relationship Id="rId32" Type="http://schemas.openxmlformats.org/officeDocument/2006/relationships/hyperlink" Target="https://ec.europa.eu/digital-single-market/en/desi" TargetMode="External"/><Relationship Id="rId37" Type="http://schemas.openxmlformats.org/officeDocument/2006/relationships/hyperlink" Target="https://www.brookings.edu/blog/future-development/2020/05/18/which-jobs-are-most-at-risk-because-of-covid-19/" TargetMode="External"/><Relationship Id="rId53" Type="http://schemas.openxmlformats.org/officeDocument/2006/relationships/hyperlink" Target="https://www.wto.org/english/tratop_e/covid19_e/trade_related_goods_measure_e.htm" TargetMode="External"/><Relationship Id="rId58" Type="http://schemas.openxmlformats.org/officeDocument/2006/relationships/hyperlink" Target="https://ec.europa.eu/commission/presscorner/detail/en/ip_20_528" TargetMode="External"/><Relationship Id="rId74" Type="http://schemas.openxmlformats.org/officeDocument/2006/relationships/hyperlink" Target="https://ec.europa.eu/clima/policies/innovation-fund_en" TargetMode="External"/><Relationship Id="rId79" Type="http://schemas.openxmlformats.org/officeDocument/2006/relationships/hyperlink" Target="https://www.efsa.europa.eu/sites/default/files/consultation/consultation/PFAS_Draft_Opinion_for_public_consultation_Part_I.pdf" TargetMode="External"/><Relationship Id="rId102" Type="http://schemas.openxmlformats.org/officeDocument/2006/relationships/hyperlink" Target="https://www.esrb.europa.eu/pub/pdf/reports/esrb.report200219_systemiccyberrisk~101a09685e.en.pdf" TargetMode="External"/><Relationship Id="rId123" Type="http://schemas.openxmlformats.org/officeDocument/2006/relationships/hyperlink" Target="https://medium.com/@AINowInstitute/ai-and-climate-change-how-theyre-connected-and-what-we-can-do-about-it-6aa8d0f5b32c" TargetMode="External"/><Relationship Id="rId128" Type="http://schemas.openxmlformats.org/officeDocument/2006/relationships/hyperlink" Target="https://doi.org/10.2788/516387" TargetMode="External"/><Relationship Id="rId5" Type="http://schemas.openxmlformats.org/officeDocument/2006/relationships/hyperlink" Target="https://espas.secure.europarl.europa.eu/orbis/espas2018about" TargetMode="External"/><Relationship Id="rId90" Type="http://schemas.openxmlformats.org/officeDocument/2006/relationships/hyperlink" Target="https://www.kateraworth.com/wp/wp-content/uploads/2020/04/20200416-AMS-portrait-EN-Spread-web-420x210mm.pdf" TargetMode="External"/><Relationship Id="rId95" Type="http://schemas.openxmlformats.org/officeDocument/2006/relationships/hyperlink" Target="https://ec.europa.eu/digital-single-market/en/eurohpc-joint-undertaking" TargetMode="External"/><Relationship Id="rId14" Type="http://schemas.openxmlformats.org/officeDocument/2006/relationships/hyperlink" Target="http://www.oecd.org/coronavirus/policy-responses/social-economy-and-the-covid-19-crisis-current-and-future-roles-f904b89f/" TargetMode="External"/><Relationship Id="rId22" Type="http://schemas.openxmlformats.org/officeDocument/2006/relationships/hyperlink" Target="http://www.fao.org/food-loss-reduction/news/detail/en/c/1271024/" TargetMode="External"/><Relationship Id="rId27" Type="http://schemas.openxmlformats.org/officeDocument/2006/relationships/hyperlink" Target="https://eucrim.eu/news/europol-how-covid-19-shapes-serious-and-organised-crime-landscape-eu/" TargetMode="External"/><Relationship Id="rId30" Type="http://schemas.openxmlformats.org/officeDocument/2006/relationships/hyperlink" Target="http://www.oecd.org/coronavirus/policy-responses/coronavirus-covid-19-sme-policy-responses-04440101/" TargetMode="External"/><Relationship Id="rId35" Type="http://schemas.openxmlformats.org/officeDocument/2006/relationships/hyperlink" Target="https://ec.europa.eu/info/sites/info/files/demography_report_2020_n.pdf" TargetMode="External"/><Relationship Id="rId43" Type="http://schemas.openxmlformats.org/officeDocument/2006/relationships/hyperlink" Target="https://ec.europa.eu/eurostat/documents/3217494/11011074/KS-02-20-202-EN-N.pdf/334a8cfe-636a-bb8a-294a-73a052882f7f" TargetMode="External"/><Relationship Id="rId48" Type="http://schemas.openxmlformats.org/officeDocument/2006/relationships/hyperlink" Target="https://iap.unido.org/articles/lessons-past-disruptions-global-value-chains" TargetMode="External"/><Relationship Id="rId56" Type="http://schemas.openxmlformats.org/officeDocument/2006/relationships/hyperlink" Target="http://www.prosumproject.eu" TargetMode="External"/><Relationship Id="rId64" Type="http://schemas.openxmlformats.org/officeDocument/2006/relationships/hyperlink" Target="https://www.europol.europa.eu/staying-safe-during-covid-19-what-you-need-to-know" TargetMode="External"/><Relationship Id="rId69" Type="http://schemas.openxmlformats.org/officeDocument/2006/relationships/hyperlink" Target="https://unfccc.int/sites/default/files/resource/HR-03-06-2020%20EU%20Submission%20on%20Long%20term%20strategy.pdf" TargetMode="External"/><Relationship Id="rId77" Type="http://schemas.openxmlformats.org/officeDocument/2006/relationships/hyperlink" Target="https://ec.europa.eu/info/strategy/priorities-2019-2024/european-green-deal/actions-being-taken-eu/just-transition-mechanism/just-transition-funding-sources_sk" TargetMode="External"/><Relationship Id="rId100" Type="http://schemas.openxmlformats.org/officeDocument/2006/relationships/hyperlink" Target="https://hbr.org/2019/12/how-india-plans-to-protect-consumer-data" TargetMode="External"/><Relationship Id="rId105" Type="http://schemas.openxmlformats.org/officeDocument/2006/relationships/hyperlink" Target="https://ec.europa.eu/info/live-work-travel-eu/health/coronavirus-response/emergency-support-instrument/covid-19-clearing-house-medical-equipment_sk" TargetMode="External"/><Relationship Id="rId113" Type="http://schemas.openxmlformats.org/officeDocument/2006/relationships/hyperlink" Target="https://ec.europa.eu/eurostat/statistics-explained/index.php?title=File:Degree_of_dependence_on_cloud_computing,_by_economic_activity,_EU-28,_2018_(%25_of_enterprises_using_the_cloud).png&amp;oldid=415896" TargetMode="External"/><Relationship Id="rId118" Type="http://schemas.openxmlformats.org/officeDocument/2006/relationships/hyperlink" Target="https://op.europa.eu/en/publication-detail/-/publication/fcb90b8b-09b4-11ea-8c1f-01aa75ed71a1/language-en/format-PDF/source-search" TargetMode="External"/><Relationship Id="rId126" Type="http://schemas.openxmlformats.org/officeDocument/2006/relationships/hyperlink" Target="https://ec.europa.eu/growth/content/raw-materials-scoreboard-2018_en" TargetMode="External"/><Relationship Id="rId8" Type="http://schemas.openxmlformats.org/officeDocument/2006/relationships/hyperlink" Target="https://ec.europa.eu/info/publications/2020-european-semester-country-specific-recommendations-commission-recommendations_en" TargetMode="External"/><Relationship Id="rId51" Type="http://schemas.openxmlformats.org/officeDocument/2006/relationships/hyperlink" Target="https://www.entrepreneur.com/article/349229" TargetMode="External"/><Relationship Id="rId72" Type="http://schemas.openxmlformats.org/officeDocument/2006/relationships/hyperlink" Target="https://ec.europa.eu/environment/circular-economy/pdf/new_circular_economy_action_plan.pdf" TargetMode="External"/><Relationship Id="rId80" Type="http://schemas.openxmlformats.org/officeDocument/2006/relationships/hyperlink" Target="https://cen.acs.org/environment/persistent-pollutants/Linking-pollution-infectious-disease/97/i11" TargetMode="External"/><Relationship Id="rId85" Type="http://schemas.openxmlformats.org/officeDocument/2006/relationships/hyperlink" Target="https://ec.europa.eu/research/environment/index.cfm?pg=nbs" TargetMode="External"/><Relationship Id="rId93" Type="http://schemas.openxmlformats.org/officeDocument/2006/relationships/hyperlink" Target="https://ec.europa.eu/social/main.jsp?catId=738&amp;langId=en&amp;pubId=8219" TargetMode="External"/><Relationship Id="rId98" Type="http://schemas.openxmlformats.org/officeDocument/2006/relationships/hyperlink" Target="https://ec.europa.eu/digital-single-market/en/ecsel" TargetMode="External"/><Relationship Id="rId121" Type="http://schemas.openxmlformats.org/officeDocument/2006/relationships/hyperlink" Target="https://hellofuture.orange.com/en/5g-energy-efficiency-by-design/" TargetMode="External"/><Relationship Id="rId3" Type="http://schemas.openxmlformats.org/officeDocument/2006/relationships/hyperlink" Target="https://www.routledge.com/Transforming-the-Future-Open-Access-Anticipation-in-the-21st-Century/Miller/p/book/9781138485877" TargetMode="External"/><Relationship Id="rId12" Type="http://schemas.openxmlformats.org/officeDocument/2006/relationships/hyperlink" Target="https://ec.europa.eu/newsroom/ecfin/item-detail.cfm?item_id=675083&amp;utm_source=ecfin_newsroom&amp;utm_medium=Website&amp;utm_campaign=ecfin&amp;utm_content=EU%20leaders%20approve%20%20billion%20package%20of%20safety%20nets%20and%20task%20Commission%20&amp;lang=en" TargetMode="External"/><Relationship Id="rId17" Type="http://schemas.openxmlformats.org/officeDocument/2006/relationships/hyperlink" Target="https://ec.europa.eu/regional_policy/en/newsroom/news/2020/04/04-02-2020-coronavirus-response-investment-initiative-plus-new-actions-to-mobilise-essential-investments-and-resources" TargetMode="External"/><Relationship Id="rId25" Type="http://schemas.openxmlformats.org/officeDocument/2006/relationships/hyperlink" Target="https://publications.jrc.ec.europa.eu/repository/handle/JRC120730" TargetMode="External"/><Relationship Id="rId33" Type="http://schemas.openxmlformats.org/officeDocument/2006/relationships/hyperlink" Target="https://ec.europa.eu/knowledge4policy/increasing-demographic-imbalances_en" TargetMode="External"/><Relationship Id="rId38" Type="http://schemas.openxmlformats.org/officeDocument/2006/relationships/hyperlink" Target="https://ec.europa.eu/knowledge4policy/foresight/changing-nature-work_en" TargetMode="External"/><Relationship Id="rId46" Type="http://schemas.openxmlformats.org/officeDocument/2006/relationships/hyperlink" Target="https://ec.europa.eu/knowledge4policy/migration-demography_en" TargetMode="External"/><Relationship Id="rId59" Type="http://schemas.openxmlformats.org/officeDocument/2006/relationships/hyperlink" Target="https://www.bruegel.org/wp-content/uploads/2019/06/PC-09_2019_final-1.pdf" TargetMode="External"/><Relationship Id="rId67" Type="http://schemas.openxmlformats.org/officeDocument/2006/relationships/hyperlink" Target="https://www.ipcc.ch/sr15/" TargetMode="External"/><Relationship Id="rId103" Type="http://schemas.openxmlformats.org/officeDocument/2006/relationships/hyperlink" Target="https://ec.europa.eu/knowledge4policy/changing-security-paradigm_en" TargetMode="External"/><Relationship Id="rId108" Type="http://schemas.openxmlformats.org/officeDocument/2006/relationships/hyperlink" Target="https://ec.europa.eu/info/sites/info/files/research_and_innovation/ege/ege_future-of-work_opinion_122018.pdf" TargetMode="External"/><Relationship Id="rId116" Type="http://schemas.openxmlformats.org/officeDocument/2006/relationships/hyperlink" Target="https://medium.com/stanford-magazine/carbon-and-the-cloud-d6f481b79dfe" TargetMode="External"/><Relationship Id="rId124" Type="http://schemas.openxmlformats.org/officeDocument/2006/relationships/hyperlink" Target="https://ec.europa.eu/eurostat/web/products-statistical-books/-/KS-02-20-202" TargetMode="External"/><Relationship Id="rId129" Type="http://schemas.openxmlformats.org/officeDocument/2006/relationships/hyperlink" Target="https://ec.europa.eu/knowledge4policy/ai-watch_en" TargetMode="External"/><Relationship Id="rId20" Type="http://schemas.openxmlformats.org/officeDocument/2006/relationships/hyperlink" Target="https://ec.europa.eu/knowledge4policy/diversifying-inequalities_en" TargetMode="External"/><Relationship Id="rId41" Type="http://schemas.openxmlformats.org/officeDocument/2006/relationships/hyperlink" Target="https://ec.europa.eu/info/publications/2020-european-semester-annual-sustainable-growth-strategy_en" TargetMode="External"/><Relationship Id="rId54" Type="http://schemas.openxmlformats.org/officeDocument/2006/relationships/hyperlink" Target="https://ec.europa.eu/eurostat/documents/2995521/10294900/4-12062020-AP-EN.pdf/93c51a4c-e401-a66d-3ab3-6ecd51a1651f" TargetMode="External"/><Relationship Id="rId62" Type="http://schemas.openxmlformats.org/officeDocument/2006/relationships/hyperlink" Target="https://arxiv.org/pdf/2004.03997.pdf" TargetMode="External"/><Relationship Id="rId70" Type="http://schemas.openxmlformats.org/officeDocument/2006/relationships/hyperlink" Target="https://ec.europa.eu/clima/sites/clima/files/docs/pages/com_2018_733_analysis_in_support_en_0.pdf" TargetMode="External"/><Relationship Id="rId75" Type="http://schemas.openxmlformats.org/officeDocument/2006/relationships/hyperlink" Target="https://ec.europa.eu/commission/presscorner/detail/en/fs_20_48" TargetMode="External"/><Relationship Id="rId83" Type="http://schemas.openxmlformats.org/officeDocument/2006/relationships/hyperlink" Target="http://www.oecd.org/economy/greeneco/How-stringent-are-environmental-policies.pdf" TargetMode="External"/><Relationship Id="rId88" Type="http://schemas.openxmlformats.org/officeDocument/2006/relationships/hyperlink" Target="https://www.ethicalcorp.com/wake-call-we-must-live-within-our-planetary-boundaries-avoid-future-pandemics" TargetMode="External"/><Relationship Id="rId91" Type="http://schemas.openxmlformats.org/officeDocument/2006/relationships/hyperlink" Target="https://ec.europa.eu/social/main.jsp?catId=738&amp;langId=en&amp;pubId=8219" TargetMode="External"/><Relationship Id="rId96" Type="http://schemas.openxmlformats.org/officeDocument/2006/relationships/hyperlink" Target="https://eurohpc-ju.europa.eu/" TargetMode="External"/><Relationship Id="rId111" Type="http://schemas.openxmlformats.org/officeDocument/2006/relationships/hyperlink" Target="https://orbi.uliege.be/bitstream/2268/247652/1/MAY-2020-_-N&#186;4.pdf" TargetMode="External"/><Relationship Id="rId132" Type="http://schemas.openxmlformats.org/officeDocument/2006/relationships/hyperlink" Target="https://doi.org/10.1787/9789264307278-en" TargetMode="External"/><Relationship Id="rId1" Type="http://schemas.openxmlformats.org/officeDocument/2006/relationships/hyperlink" Target="https://ec.europa.eu/commission/sites/beta-political/files/mission-letter-maros-sefcovic-2019_en.pdf" TargetMode="External"/><Relationship Id="rId6" Type="http://schemas.openxmlformats.org/officeDocument/2006/relationships/hyperlink" Target="https://ec.europa.eu/info/live-work-travel-eu/health/coronavirus-response/coronavirus-european-solidarity-action_en" TargetMode="External"/><Relationship Id="rId15" Type="http://schemas.openxmlformats.org/officeDocument/2006/relationships/hyperlink" Target="https://ec.europa.eu/growth/sectors/social-economy_en" TargetMode="External"/><Relationship Id="rId23" Type="http://schemas.openxmlformats.org/officeDocument/2006/relationships/hyperlink" Target="https://www.enar-eu.org/Evidence-of-the-impact-of-Covid-19-on-racialised-communities-exposes-need-to" TargetMode="External"/><Relationship Id="rId28" Type="http://schemas.openxmlformats.org/officeDocument/2006/relationships/hyperlink" Target="https://ec.europa.eu/eurostat/documents/2995521/11156775/2-31072020-BP-EN.pdf/cbe7522c-ebfa-ef08-be60-b1c9d1bd385b" TargetMode="External"/><Relationship Id="rId36" Type="http://schemas.openxmlformats.org/officeDocument/2006/relationships/hyperlink" Target="https://www.un.org/en/development/desa/policy/wess/wess_dev_issues/dsp_policy_01.pdf" TargetMode="External"/><Relationship Id="rId49" Type="http://schemas.openxmlformats.org/officeDocument/2006/relationships/hyperlink" Target="https://iap.unido.org/articles/lessons-past-disruptions-global-value-chains" TargetMode="External"/><Relationship Id="rId57" Type="http://schemas.openxmlformats.org/officeDocument/2006/relationships/hyperlink" Target="https://minatura2020.eu" TargetMode="External"/><Relationship Id="rId106" Type="http://schemas.openxmlformats.org/officeDocument/2006/relationships/hyperlink" Target="https://ec.europa.eu/jrc/sites/jrcsh/files/jrc104756.pdf" TargetMode="External"/><Relationship Id="rId114" Type="http://schemas.openxmlformats.org/officeDocument/2006/relationships/hyperlink" Target="https://www.theguardian.com/environment/2020/jul/02/10bn-precious-metals-dumped-each-year-electronic-waste-un-toxic-e-waste-polluting" TargetMode="External"/><Relationship Id="rId119" Type="http://schemas.openxmlformats.org/officeDocument/2006/relationships/hyperlink" Target="https://www.cbeci.org" TargetMode="External"/><Relationship Id="rId127" Type="http://schemas.openxmlformats.org/officeDocument/2006/relationships/hyperlink" Target="https://doi.org/10.2760/73303" TargetMode="External"/><Relationship Id="rId10" Type="http://schemas.openxmlformats.org/officeDocument/2006/relationships/hyperlink" Target="https://ec.europa.eu/knowledge4policy/publication/espas-report-2019-global-trends-2030_en" TargetMode="External"/><Relationship Id="rId31" Type="http://schemas.openxmlformats.org/officeDocument/2006/relationships/hyperlink" Target="https://www.ilo.org/global/about-the-ilo/newsroom/news/WCMS_740893/lang--en/index.htm" TargetMode="External"/><Relationship Id="rId44" Type="http://schemas.openxmlformats.org/officeDocument/2006/relationships/hyperlink" Target="https://ec.europa.eu/research/social-sciences/pdf/policy_reviews/global-europe-2050-report_en.pdf" TargetMode="External"/><Relationship Id="rId52" Type="http://schemas.openxmlformats.org/officeDocument/2006/relationships/hyperlink" Target="https://www.acea.be/press-releases/article/298-automobile-factories-operating-across-europe-new-data-shows" TargetMode="External"/><Relationship Id="rId60" Type="http://schemas.openxmlformats.org/officeDocument/2006/relationships/hyperlink" Target="https://peacediplomacy.org/2019/10/25/how-eu-can-achieve-economic-sovereignty/" TargetMode="External"/><Relationship Id="rId65" Type="http://schemas.openxmlformats.org/officeDocument/2006/relationships/hyperlink" Target="https://ec.europa.eu/info/live-work-travel-eu/health/coronavirus-response/fighting-disinformation_en" TargetMode="External"/><Relationship Id="rId73" Type="http://schemas.openxmlformats.org/officeDocument/2006/relationships/hyperlink" Target="https://ec.europa.eu/environment/circular-economy/pdf/leading_way_global_circular_economy.pdf" TargetMode="External"/><Relationship Id="rId78" Type="http://schemas.openxmlformats.org/officeDocument/2006/relationships/hyperlink" Target="https://ec.europa.eu/jrc/en/peseta-iv" TargetMode="External"/><Relationship Id="rId81" Type="http://schemas.openxmlformats.org/officeDocument/2006/relationships/hyperlink" Target="https://www.sciencedaily.com/releases/2019/10/191002144257.htm" TargetMode="External"/><Relationship Id="rId86" Type="http://schemas.openxmlformats.org/officeDocument/2006/relationships/hyperlink" Target="https://www.ncbi.nlm.nih.gov/pmc/articles/PMC5711319/" TargetMode="External"/><Relationship Id="rId94" Type="http://schemas.openxmlformats.org/officeDocument/2006/relationships/hyperlink" Target="https://www.irena.org/-/media/Files/IRENA/Agency/Publication/2020/Feb/IRENA_Transition_jobs_2020.pdf" TargetMode="External"/><Relationship Id="rId99" Type="http://schemas.openxmlformats.org/officeDocument/2006/relationships/hyperlink" Target="https://ec.europa.eu/info/sites/info/files/communication-shaping-europes-digital-future-feb2020_en_4.pdf" TargetMode="External"/><Relationship Id="rId101" Type="http://schemas.openxmlformats.org/officeDocument/2006/relationships/hyperlink" Target="https://www2.deloitte.com/ng/en/pages/risk/articles/covid-19-impact-cybersecurity.html" TargetMode="External"/><Relationship Id="rId122" Type="http://schemas.openxmlformats.org/officeDocument/2006/relationships/hyperlink" Target="https://ainowinstitute.org/AI_Now_2019_Report.pdf" TargetMode="External"/><Relationship Id="rId130" Type="http://schemas.openxmlformats.org/officeDocument/2006/relationships/hyperlink" Target="https://ec.europa.eu/eurostat/documents/8131721/8131772/Stiglitz-Sen-Fitoussi-Commission-report.pdf" TargetMode="External"/><Relationship Id="rId4" Type="http://schemas.openxmlformats.org/officeDocument/2006/relationships/hyperlink" Target="https://ec.europa.eu/info/law/law-making-process/evaluating-and-improving-existing-laws/refit-making-eu-law-simpler-and-less-costly" TargetMode="External"/><Relationship Id="rId9" Type="http://schemas.openxmlformats.org/officeDocument/2006/relationships/hyperlink" Target="https://ec.europa.eu/knowledge4policy/foresight/tool/megatrends-hub_en" TargetMode="External"/><Relationship Id="rId13" Type="http://schemas.openxmlformats.org/officeDocument/2006/relationships/hyperlink" Target="https://www.bankingsupervision.europa.eu/press/pr/date/2020/html/ssm.pr200728~7df9502348.en.html" TargetMode="External"/><Relationship Id="rId18" Type="http://schemas.openxmlformats.org/officeDocument/2006/relationships/hyperlink" Target="https://ec.europa.eu/info/live-work-travel-eu/health/coronavirus-response/emergency-support-instrument_en" TargetMode="External"/><Relationship Id="rId39" Type="http://schemas.openxmlformats.org/officeDocument/2006/relationships/hyperlink" Target="https://www2.deloitte.com/be/en/pages/covid-19/articles/workforce/workforce-strategy.html" TargetMode="External"/><Relationship Id="rId109" Type="http://schemas.openxmlformats.org/officeDocument/2006/relationships/hyperlink" Target="https://ec.europa.eu/digital-single-market/en/news/final-report-high-level-expert-group-impact-digital-transformation-eu-labour-markets" TargetMode="External"/><Relationship Id="rId34" Type="http://schemas.openxmlformats.org/officeDocument/2006/relationships/hyperlink" Target="https://population-europe.eu/policy-brief/demography-and-coronavirus-pandemic" TargetMode="External"/><Relationship Id="rId50" Type="http://schemas.openxmlformats.org/officeDocument/2006/relationships/hyperlink" Target="https://www.entrepreneur.com/article/349229" TargetMode="External"/><Relationship Id="rId55" Type="http://schemas.openxmlformats.org/officeDocument/2006/relationships/hyperlink" Target="https://www.economist.com/leaders/2018/12/01/chip-wars-china-america-and-silicon-supremacy" TargetMode="External"/><Relationship Id="rId76" Type="http://schemas.openxmlformats.org/officeDocument/2006/relationships/hyperlink" Target="https://www.consilium.europa.eu/media/45109/210720-euco-final-conclusions-en.pdf" TargetMode="External"/><Relationship Id="rId97" Type="http://schemas.openxmlformats.org/officeDocument/2006/relationships/hyperlink" Target="https://www.ipcei-me.eu/" TargetMode="External"/><Relationship Id="rId104" Type="http://schemas.openxmlformats.org/officeDocument/2006/relationships/hyperlink" Target="https://www2.deloitte.com/be/en/pages/strategy-operations/articles/covid-19-and-data-economy.html" TargetMode="External"/><Relationship Id="rId120" Type="http://schemas.openxmlformats.org/officeDocument/2006/relationships/hyperlink" Target="https://www.ericsson.com/en/blog/2019/9/energy-consumption-5g-nr" TargetMode="External"/><Relationship Id="rId125" Type="http://schemas.openxmlformats.org/officeDocument/2006/relationships/hyperlink" Target="https://www.eurosurveillance.org/content/10.2807/1560-7917.ES.2018.23.46.1800516" TargetMode="External"/><Relationship Id="rId7" Type="http://schemas.openxmlformats.org/officeDocument/2006/relationships/hyperlink" Target="https://ec.europa.eu/info/live-work-travel-eu/health/coronavirus-response/overview-commissions-response_en" TargetMode="External"/><Relationship Id="rId71" Type="http://schemas.openxmlformats.org/officeDocument/2006/relationships/hyperlink" Target="https://eur-lex.europa.eu/legal-content/SK/TXT/PDF/?uri=CELEX:52018DC0773&amp;from=SK" TargetMode="External"/><Relationship Id="rId92" Type="http://schemas.openxmlformats.org/officeDocument/2006/relationships/hyperlink" Target="https://ec.europa.eu/jrc/en/publication/eur-scientific-and-technical-research-reports/clean-energy-technologies-coal-regions" TargetMode="External"/><Relationship Id="rId2" Type="http://schemas.openxmlformats.org/officeDocument/2006/relationships/hyperlink" Target="https://www.sciencedirect.com/book/9780128225967/science-for-policy-handbook" TargetMode="External"/><Relationship Id="rId29" Type="http://schemas.openxmlformats.org/officeDocument/2006/relationships/hyperlink" Target="https://voxeu.org/article/eu-firms-post-covid-19-environment" TargetMode="External"/><Relationship Id="rId24" Type="http://schemas.openxmlformats.org/officeDocument/2006/relationships/hyperlink" Target="https://unric.org/en/who-warns-of-surge-of-domestic-violence-as-covid-19-cases-decrease-in-europe/" TargetMode="External"/><Relationship Id="rId40" Type="http://schemas.openxmlformats.org/officeDocument/2006/relationships/hyperlink" Target="https://ec.europa.eu/knowledge4policy/diversification-education-learning_en" TargetMode="External"/><Relationship Id="rId45" Type="http://schemas.openxmlformats.org/officeDocument/2006/relationships/hyperlink" Target="https://www.worldbank.org/en/news/press-release/2018/03/19/climate-change-could-force-over-140-million-to-migrate-within-countries-by-2050-world-bank-report" TargetMode="External"/><Relationship Id="rId66" Type="http://schemas.openxmlformats.org/officeDocument/2006/relationships/hyperlink" Target="https://publications.jrc.ec.europa.eu/repository/bitstream/JRC109889/jrc109889_mica_jrc_technical_report_1.pdf" TargetMode="External"/><Relationship Id="rId87" Type="http://schemas.openxmlformats.org/officeDocument/2006/relationships/hyperlink" Target="https://ec.europa.eu/research/environment/index.cfm?pg=nbs" TargetMode="External"/><Relationship Id="rId110" Type="http://schemas.openxmlformats.org/officeDocument/2006/relationships/hyperlink" Target="https://ec.europa.eu/jrc/en/facts4eufuture/cybersecurity-our-digital-anchor" TargetMode="External"/><Relationship Id="rId115" Type="http://schemas.openxmlformats.org/officeDocument/2006/relationships/hyperlink" Target="https://exponentialroadmap.org/wp-content/uploads/2018/09/Exponential-Climate-Action-Roadmap-September-2018.pdf" TargetMode="External"/><Relationship Id="rId131" Type="http://schemas.openxmlformats.org/officeDocument/2006/relationships/hyperlink" Target="https://doi.org/10.1787/9789264307292-en" TargetMode="External"/><Relationship Id="rId61" Type="http://schemas.openxmlformats.org/officeDocument/2006/relationships/hyperlink" Target="https://euvsdisinfo.eu/eeas-special-report-update-short-assessment-of-narratives-and-disinformation-around-the-covid-19-pandemic/" TargetMode="External"/><Relationship Id="rId82" Type="http://schemas.openxmlformats.org/officeDocument/2006/relationships/hyperlink" Target="https://www.interpol.int/News-and-Events/News/2020/INTERPOL-report-alerts-to-sharp-rise-in-plastic-waste-crime" TargetMode="External"/><Relationship Id="rId19" Type="http://schemas.openxmlformats.org/officeDocument/2006/relationships/hyperlink" Target="https://ec.europa.eu/knowledge4policy/shifting-health-challenges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xts>
  <SecurityPharma>Pharma Investigations</SecurityPharma>
  <MarkingUntilText>UNTIL</MarkingUntilText>
  <LabelPictureSeq>Figure {SEQ Figure \* ARABIC }: </LabelPictureSeq>
  <SecurityMediationServiceMatter>Mediation Service</SecurityMediationServiceMatter>
  <SecurityEconomyAndFinance>Economy and Finance</SecurityEconomyAndFinance>
  <FooterFax>Fax</FooterFax>
  <COMPFootnoteText>{field:HYPERLINK "https://myintracomm.ec.europa.eu/corp/security/EN/newDS3/SensitiveInformation/Pages/SPECIAL-HANDLING-INFORMATION-DG-COMP.aspx?ln=en" |https://myintracomm.ec.europa.eu/corp/security/EN/newDS3/SensitiveInformation/Pages/SPECIAL-HANDLING-INFORMATION-DG-COMP.aspx?ln=en}</COMPFootnoteText>
  <SensitiveHandlingIASOperations>The marking is applied to operational documents handled in the context of audits, consulting engagements and risk assessments of the Internal Audit Service. Distribution of the documents is based on a strictly ‘need-to-know’ basis. Recipients of the documents must adhere to the same marking and handling rules, preventing unauthorised persons from accessing such documents or information. When a document marked ‘{bold:SENSITIVE}: {italic:IAS Operations}’ is sent via e-mail, it must be encrypted and a disclaimer must be added in a signature. Any person receiving documents and all associated information marked ‘{bold:SENSITIVE}: {italic:IAS Operations}’ who is not the intended recipient must inform the sender and destroy the documents by appropriate secure means. The documents may contain personal data as defined in Article 3(1) of Regulation (EU) 2018/1725. Recipients are subject to the responsibilities defined in this article.</SensitiveHandlingIASOperations>
  <FooterOffice>Office:</FooterOffice>
  <SecurityOlafInvestigations>OLAF Investigations</SecurityOlafInvestigations>
  <TechHistory>Document History</TechHistory>
  <SpecialHandlingClima>CLIMA</SpecialHandlingClima>
  <ETSHandlingFootnote>{field:HYPERLINK "https://myintracomm.ec.europa.eu/corp/security/EN/newDS3/SensitiveInformation/Pages/default.aspx" |https://www.europa.eu/handling_instructions}</ETSHandlingFootnote>
  <CLIMAfootnotetext>{field:HYPERLINK "https://myintracomm.ec.europa.eu/corp/security/EN/newDS3/SensitiveInformation/Pages/SPECIAL-HANDLING-INFORMATION-DG-CLIMA.aspx?ln=en" |https://myintracomm.ec.europa.eu/corp/security/EN/newDS3/SensitiveInformation/Pages/SPECIAL-HANDLING-INFORMATION-DG-CLIMA.aspx?ln=en}</CLIMAfootnotetext>
  <SensitiveHandling>Distribution only on a 'Need to know' basis - Do not read or carry openly in public places. Must be stored securely and encrypted in storage and transmission. Destroy copies by shredding or secure deletion. Full handling instructions: </SensitiveHandling>
  <SensitiveFootnoteHyperlink>{field:HYPERLINK "https://europa.eu/!db43PX" |https://europa.eu/!db43PX}</SensitiveFootnoteHyperlink>
  <SecurityOlafSpecialHandling>OLAF Investigations</SecurityOlafSpecialHandling>
  <ClimaSensitive>CLIMA</ClimaSensitive>
  <CourtProceduralDocuments>Court Procedural Documents</CourtProceduralDocuments>
  <EconomyFinanceHandling>{field:HYPERLINK "https://myintracomm.ec.europa.eu/corp/security/EN/newDS3/SensitiveInformation/Pages/SPECIAL-HANDLING-INFORMATION-DG-ECFIN.aspx?ln=en" |https://www.europa.eu/handling_instructions}</EconomyFinanceHandling>
  <OrgaRoot>EUROPEAN COMMISSION</OrgaRoot>
  <TechHistoryComment>Comment</TechHistoryComment>
  <Contact>Contact:</Contact>
  <SensitiveLabel>Sensitive</SensitiveLabel>
  <OLAFHandlingInstructions>{field:HYPERLINK "https://myintracomm.ec.europa.eu/corp/security/EN/newDS3/SensitiveInformation/Pages/SPECIAL-HANDLING-INFORMATION-OLAF-Investigations.aspx?ln=en" |https://myintracomm.ec.europa.eu/corp/security/EN/newDS3/SensitiveInformation/Pages/SPECIAL-HANDLING-INFORMATION-OLAF-Investigations.aspx?ln=en}</OLAFHandlingInstructions>
  <SpecialHandlingLabel>Special Handling</SpecialHandlingLabel>
  <SecurityInvestigationsDisciplinary>Investigations and Disciplinary Matters</SecurityInvestigationsDisciplinary>
  <SecurityCompOperations>COMP Operations</SecurityCompOperations>
  <SecurityReleasable>RELEASABLE TO:</SecurityReleasable>
  <AddresseeTo>To:</AddresseeTo>
  <SecurityStaffMatter>Staff Matter</SecurityStaffMatter>
  <SecurityOpinionLegalService>Opinion of the Legal Service</SecurityOpinionLegalService>
  <SpecialHandlingFootnote>Special handling instructions are given at </SpecialHandlingFootnote>
  <PharmaHandlingInstructions>{field:HYPERLINK "https://myintracomm.ec.europa.eu/corp/security/EN/newDS3/SensitiveInformation/Pages/SPECIAL-HANDLING-INFORMATION-Pharma-investigations.aspx?ln=en" |https://myintracomm.ec.europa.eu/corp/security/EN/newDS3/SensitiveInformation/Pages/SPECIAL-HANDLING-INFORMATION-Pharma-investigations.aspx?ln=en}</PharmaHandlingInstructions>
  <SecurityEtsSensitive>ETS</SecurityEtsSensitive>
  <SecurityEtsCritical>ETS Critical</SecurityEtsCritical>
  <SecurityCompSpecial>COMP</SecurityCompSpecial>
  <EmbargoUnlimited>Embargo (Unlimited)</EmbargoUnlimited>
  <LabelSource>Source</LabelSource>
  <Table>Table </Table>
  <SensitiveFootnoteHyperlinkIASOperations>Handling instructions for SENSITIVE information are given at {field: HYPERLINK "https://europa.eu/!db43PX" |https://europa.eu/!db43PX}.</SensitiveFootnoteHyperlinkIASOperations>
  <SecurityPharmaSpecial>Pharma Investigations</SecurityPharmaSpecial>
  <TOCHeading>Table of Contents</TOCHeading>
  <Year> ({field: DATE \@ "yyyy" })</Year>
  <TechHistoryDate>Date</TechHistoryDate>
  <AddressFooterBrussels>Commission européenne/Europese Commissie, 1049 Bruxelles/Brussel, BELGIQUE/BELGIË - Tel. +32 22991111</AddressFooterBrussels>
  <ETSLimited>ETS Joint Procurement</ETSLimited>
  <SecurityIasOperations>IAS Operations</SecurityIasOperations>
  <TechHistoryCreatedBy>Document created by</TechHistoryCreatedBy>
  <FooterPhone>Tel. direct line</FooterPhone>
  <SecuritySecurityMatter>Security Matter</SecuritySecurityMatter>
  <TechHistoryVersion>Version</TechHistoryVersion>
  <SecurityMedicalSecret>Medical Secret</SecurityMedicalSecret>
  <Contacts>Contacts:</Contacts>
  <SecurityEmbargo>EMBARGO UNTIL</SecurityEmbargo>
  <DateFormatShort>dd/MM/yyyy</DateFormatShort>
  <DateFormatLong>d MMMM yyyy</DateFormatLong>
</Texts>
</file>

<file path=customXml/item2.xml><?xml version="1.0" encoding="utf-8"?>
<p:properties xmlns:p="http://schemas.microsoft.com/office/2006/metadata/properties" xmlns:xsi="http://www.w3.org/2001/XMLSchema-instance" xmlns:pc="http://schemas.microsoft.com/office/infopath/2007/PartnerControls">
  <documentManagement>
    <EC_ARES_TRANSFERRED_BY xmlns="f49c11fc-cc0a-4dcb-b233-0aa1049ed3ba" xsi:nil="true"/>
    <EC_Collab_DocumentLanguage xmlns="f49c11fc-cc0a-4dcb-b233-0aa1049ed3ba">EN</EC_Collab_DocumentLanguage>
    <EC_Collab_Reference xmlns="f49c11fc-cc0a-4dcb-b233-0aa1049ed3ba" xsi:nil="true"/>
    <EC_Collab_Status xmlns="f49c11fc-cc0a-4dcb-b233-0aa1049ed3ba">Not Started</EC_Collab_Status>
    <EC_ARES_NUMBER xmlns="f49c11fc-cc0a-4dcb-b233-0aa1049ed3ba">
      <Url xsi:nil="true"/>
      <Description xsi:nil="true"/>
    </EC_ARES_NUMBER>
    <EC_ARES_DATE_TRANSFERRED xmlns="f49c11fc-cc0a-4dcb-b233-0aa1049ed3ba" xsi:nil="true"/>
  </documentManagement>
</p:properties>
</file>

<file path=customXml/item3.xml><?xml version="1.0" encoding="utf-8"?>
<Author Role="Creator" AuthorRoleName="Writer" AuthorRoleId="a4fbaff4-b07c-48b4-a21e-e7b9eedf3796">
  <Id>88d91e40-5130-498e-9822-300bf14eb270</Id>
  <Names>
    <Latin>
      <FirstName>Christine</FirstName>
      <LastName>Therace</LastName>
    </Latin>
    <Greek>
      <FirstName/>
      <LastName/>
    </Greek>
    <Cyrillic>
      <FirstName/>
      <LastName/>
    </Cyrillic>
    <DocumentScript>
      <FirstName>Christine</FirstName>
      <LastName>Therace</LastName>
      <FullName>Christine Therace</FullName>
    </DocumentScript>
  </Names>
  <Initials>ct</Initials>
  <Gender>f</Gender>
  <Email>Christine.THERACE@ec.europa.eu</Email>
  <Service>SG.B.4</Service>
  <Function ADCode="" ShowInSignature="true" ShowInHeader="false" HeaderText=""/>
  <WebAddress/>
  <InheritedWebAddress>WebAddress</InheritedWebAddress>
  <OrgaEntity1>
    <Id>dfeba4c5-4fee-4c38-9a3a-bbd8394ad370</Id>
    <LogicalLevel>1</LogicalLevel>
    <Name>SG</Name>
    <HeadLine1>SECRETARIAT-GENERAL</HeadLine1>
    <HeadLine2/>
    <PrimaryAddressId>f03b5801-04c9-4931-aa17-c6d6c70bc579</PrimaryAddressId>
    <SecondaryAddressId/>
    <WebAddress>WebAddress</WebAddress>
    <InheritedWebAddress>WebAddress</InheritedWebAddress>
    <ShowInHeader>true</ShowInHeader>
  </OrgaEntity1>
  <OrgaEntity2>
    <Id>226d3ed1-ce15-488c-9606-fb4a6a782851</Id>
    <LogicalLevel>2</LogicalLevel>
    <Name>SG.B</Name>
    <HeadLine1>Directorate B - Decision-making &amp; Collegiality</HeadLine1>
    <HeadLine2/>
    <PrimaryAddressId>f03b5801-04c9-4931-aa17-c6d6c70bc579</PrimaryAddressId>
    <SecondaryAddressId/>
    <WebAddress/>
    <InheritedWebAddress>WebAddress</InheritedWebAddress>
    <ShowInHeader>true</ShowInHeader>
  </OrgaEntity2>
  <OrgaEntity3>
    <Id>a9c119bf-67eb-460c-976f-01375d32d078</Id>
    <LogicalLevel>3</LogicalLevel>
    <Name>SG.B.4</Name>
    <HeadLine1>SG.B.4 - Working methods &amp; Decision-making Process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+32 229-84108</Phone>
    <Office>BERL 05/096</Office>
  </MainWorkplace>
  <Workplaces>
    <Workplace IsMain="false">
      <AddressId>1264fb81-f6bb-475e-9f9d-a937d3be6ee2</AddressId>
      <Fax/>
      <Phone/>
      <Office/>
    </Workplace>
    <Workplace IsMain="true">
      <AddressId>f03b5801-04c9-4931-aa17-c6d6c70bc579</AddressId>
      <Fax/>
      <Phone>+32 229-84108</Phone>
      <Office>BERL 05/096</Office>
    </Workplace>
  </Workplaces>
</Author>
</file>

<file path=customXml/item4.xml><?xml version="1.0" encoding="utf-8"?>
<ct:contentTypeSchema xmlns:ct="http://schemas.microsoft.com/office/2006/metadata/contentType" xmlns:ma="http://schemas.microsoft.com/office/2006/metadata/properties/metaAttributes" ct:_="" ma:_="" ma:contentTypeName="EC Document" ma:contentTypeID="0x010100258AA79CEB83498886A3A0868112325000B33D9EE262417D429E1DC95EDC881C70" ma:contentTypeVersion="4" ma:contentTypeDescription="Create a new document in this library." ma:contentTypeScope="" ma:versionID="c06ff681d1f83ebcc38ff97e0f93fe86">
  <xsd:schema xmlns:xsd="http://www.w3.org/2001/XMLSchema" xmlns:xs="http://www.w3.org/2001/XMLSchema" xmlns:p="http://schemas.microsoft.com/office/2006/metadata/properties" xmlns:ns3="f49c11fc-cc0a-4dcb-b233-0aa1049ed3ba" targetNamespace="http://schemas.microsoft.com/office/2006/metadata/properties" ma:root="true" ma:fieldsID="657f8d0b9c475c6d832088236ec26297" ns3:_="">
    <xsd:import namespace="f49c11fc-cc0a-4dcb-b233-0aa1049ed3ba"/>
    <xsd:element name="properties">
      <xsd:complexType>
        <xsd:sequence>
          <xsd:element name="documentManagement">
            <xsd:complexType>
              <xsd:all>
                <xsd:element ref="ns3:EC_Collab_Reference" minOccurs="0"/>
                <xsd:element ref="ns3:EC_Collab_DocumentLanguage"/>
                <xsd:element ref="ns3:EC_Collab_Status"/>
                <xsd:element ref="ns3:EC_ARES_NUMBER" minOccurs="0"/>
                <xsd:element ref="ns3:EC_ARES_DATE_TRANSFERRED" minOccurs="0"/>
                <xsd:element ref="ns3:EC_ARES_TRANSFERRED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c11fc-cc0a-4dcb-b233-0aa1049ed3ba"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EC_ARES_NUMBER" ma:index="15" nillable="true" ma:displayName="Ares Number" ma:format="Hyperlink" ma:hidden="true" ma:internalName="EC_ARES_NUMBER">
      <xsd:complexType>
        <xsd:complexContent>
          <xsd:extension base="dms:URL">
            <xsd:sequence>
              <xsd:element name="Url" type="dms:ValidUrl" minOccurs="0" nillable="true"/>
              <xsd:element name="Description" type="xsd:string" nillable="true"/>
            </xsd:sequence>
          </xsd:extension>
        </xsd:complexContent>
      </xsd:complexType>
    </xsd:element>
    <xsd:element name="EC_ARES_DATE_TRANSFERRED" ma:index="16" nillable="true" ma:displayName="Transferred to Ares" ma:format="DateTime" ma:hidden="true" ma:internalName="EC_ARES_DATE_TRANSFERRED">
      <xsd:simpleType>
        <xsd:restriction base="dms:DateTime"/>
      </xsd:simpleType>
    </xsd:element>
    <xsd:element name="EC_ARES_TRANSFERRED_BY" ma:index="17" nillable="true" ma:displayName="Transferred By" ma:hidden="true" ma:internalName="EC_ARES_TRANSFERRED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EurolookProperties>
  <ProductCustomizationId>EC</ProductCustomizationId>
  <Created>
    <Version>10.0.40769.0</Version>
    <Date>2020-07-17T14:28:04</Date>
    <Language>EN</Language>
  </Created>
  <Edited>
    <Version>10.0.41212.0</Version>
    <Date>2020-09-16T19:05:31</Date>
  </Edited>
  <DocumentModel>
    <Id>6cbda13a-4db2-46c6-876a-ef72275827ef</Id>
    <Name>Report</Name>
  </DocumentModel>
  <DocumentDate>2020-07-17T14:28:04</DocumentDate>
  <DocumentVersion>0.1</DocumentVersion>
  <CompatibilityMode>Eurolook10</CompatibilityMode>
  <DocumentMetadata>
    <EC_SecurityDistributionSensitive MetadataSerializationType="SimpleValue"/>
    <EC_SecurityDateMarkingDate MetadataSerializationType="SimpleValue"/>
    <EC_SecurityMarking MetadataSerializationType="SimpleValue"/>
    <EC_SecurityDistributionSpecialHandling MetadataSerializationType="SimpleValue"/>
    <EC_SecurityDistributionDG MetadataSerializationType="SimpleValue"/>
    <EC_SecurityDistributionWorkingGroup MetadataSerializationType="SimpleValue"/>
    <EC_SecurityReleasability MetadataSerializationType="SimpleValue"/>
    <EC_SecurityDateMarking MetadataSerializationType="SimpleValue"/>
    <EC_SecurityDateMarkingEvent MetadataSerializationType="SimpleValue"/>
  </DocumentMetadata>
</Eurolook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90DE6-88B6-4264-9629-4D8DFDFE87D2}">
  <ds:schemaRefs/>
</ds:datastoreItem>
</file>

<file path=customXml/itemProps2.xml><?xml version="1.0" encoding="utf-8"?>
<ds:datastoreItem xmlns:ds="http://schemas.openxmlformats.org/officeDocument/2006/customXml" ds:itemID="{F3271F35-2D4A-478F-94B3-8A3382D34AE9}">
  <ds:schemaRefs>
    <ds:schemaRef ds:uri="http://schemas.microsoft.com/office/2006/metadata/properties"/>
    <ds:schemaRef ds:uri="http://schemas.microsoft.com/office/infopath/2007/PartnerControls"/>
    <ds:schemaRef ds:uri="f49c11fc-cc0a-4dcb-b233-0aa1049ed3ba"/>
  </ds:schemaRefs>
</ds:datastoreItem>
</file>

<file path=customXml/itemProps3.xml><?xml version="1.0" encoding="utf-8"?>
<ds:datastoreItem xmlns:ds="http://schemas.openxmlformats.org/officeDocument/2006/customXml" ds:itemID="{07074986-4A90-433F-8177-502E4D4F33A5}">
  <ds:schemaRefs/>
</ds:datastoreItem>
</file>

<file path=customXml/itemProps4.xml><?xml version="1.0" encoding="utf-8"?>
<ds:datastoreItem xmlns:ds="http://schemas.openxmlformats.org/officeDocument/2006/customXml" ds:itemID="{4A61522D-F46F-4C15-8EED-EBCCB6BD57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9c11fc-cc0a-4dcb-b233-0aa1049ed3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7DAB822-E4B2-4529-AF8C-32280187981B}">
  <ds:schemaRefs>
    <ds:schemaRef ds:uri="http://schemas.microsoft.com/sharepoint/v3/contenttype/forms"/>
  </ds:schemaRefs>
</ds:datastoreItem>
</file>

<file path=customXml/itemProps6.xml><?xml version="1.0" encoding="utf-8"?>
<ds:datastoreItem xmlns:ds="http://schemas.openxmlformats.org/officeDocument/2006/customXml" ds:itemID="{D3EA5527-7367-4268-9D83-5125C98D0ED2}">
  <ds:schemaRefs/>
</ds:datastoreItem>
</file>

<file path=customXml/itemProps7.xml><?xml version="1.0" encoding="utf-8"?>
<ds:datastoreItem xmlns:ds="http://schemas.openxmlformats.org/officeDocument/2006/customXml" ds:itemID="{6AAC2729-C756-4940-A22C-44599BDF3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14036</Words>
  <Characters>88290</Characters>
  <Application>Microsoft Office Word</Application>
  <DocSecurity>0</DocSecurity>
  <PresentationFormat>Microsoft Word 14.0</PresentationFormat>
  <Lines>1317</Lines>
  <Paragraphs>218</Paragraphs>
  <ScaleCrop>true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2020-09-15T14:07:00Z</dcterms:created>
  <dcterms:modified xsi:type="dcterms:W3CDTF">2020-09-16T17:05:00Z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evel of sensitivity">
    <vt:lpwstr>Standard treatment</vt:lpwstr>
  </property>
  <property fmtid="{D5CDD505-2E9C-101B-9397-08002B2CF9AE}" pid="4" name="Last edited using">
    <vt:lpwstr>LW 7.0.1, Build 20190916</vt:lpwstr>
  </property>
  <property fmtid="{D5CDD505-2E9C-101B-9397-08002B2CF9AE}" pid="5" name="Part">
    <vt:lpwstr>1</vt:lpwstr>
  </property>
  <property fmtid="{D5CDD505-2E9C-101B-9397-08002B2CF9AE}" pid="6" name="Total parts">
    <vt:lpwstr>1</vt:lpwstr>
  </property>
  <property fmtid="{D5CDD505-2E9C-101B-9397-08002B2CF9AE}" pid="7" name="CPTemplateID">
    <vt:lpwstr>CP-012</vt:lpwstr>
  </property>
</Properties>
</file>