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2C6F82ED-287C-4F30-809A-B5F04209EBD5" style="width:450.8pt;height:320.5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1"/>
          <w:cols w:space="720"/>
          <w:docGrid w:linePitch="360"/>
        </w:sectPr>
      </w:pPr>
    </w:p>
    <w:p>
      <w:pPr>
        <w:rPr>
          <w:noProof/>
        </w:rPr>
      </w:pPr>
      <w:bookmarkStart w:id="1" w:name="_GoBack"/>
      <w:bookmarkEnd w:id="1"/>
      <w:r>
        <w:rPr>
          <w:noProof/>
        </w:rPr>
        <w:lastRenderedPageBreak/>
        <w:t>So zreteľom na</w:t>
      </w:r>
    </w:p>
    <w:p>
      <w:pPr>
        <w:pStyle w:val="Tiret0"/>
        <w:rPr>
          <w:noProof/>
        </w:rPr>
      </w:pPr>
      <w:r>
        <w:rPr>
          <w:noProof/>
        </w:rPr>
        <w:t>Zmluvu o fungovaní Európskej únie, a najmä na jej článok 314, v spojení so Zmluvou o založení Európskeho spoločenstva pre atómovú energiu, a najmä s jej článkom 106a,</w:t>
      </w:r>
    </w:p>
    <w:p>
      <w:pPr>
        <w:pStyle w:val="Tiret0"/>
        <w:tabs>
          <w:tab w:val="clear" w:pos="850"/>
          <w:tab w:val="num" w:pos="927"/>
        </w:tabs>
        <w:rPr>
          <w:rFonts w:cs="Arial"/>
          <w:noProof/>
          <w:szCs w:val="18"/>
        </w:rPr>
      </w:pPr>
      <w:r>
        <w:rPr>
          <w:noProof/>
        </w:rPr>
        <w:t>nariadenie Európskeho parlamentu a Rady (EÚ, Euratom) 2018/1046 z 18. júla 2018 o rozpočtových pravidlách, ktoré sa vzťahujú na všeobecný rozpočet Únie (…)</w:t>
      </w:r>
      <w:r>
        <w:rPr>
          <w:rStyle w:val="FootnoteReference"/>
          <w:noProof/>
        </w:rPr>
        <w:footnoteReference w:id="2"/>
      </w:r>
      <w:r>
        <w:rPr>
          <w:noProof/>
        </w:rPr>
        <w:t>, a najmä na jeho článok 44,</w:t>
      </w:r>
    </w:p>
    <w:p>
      <w:pPr>
        <w:pStyle w:val="Tiret0"/>
        <w:tabs>
          <w:tab w:val="clear" w:pos="850"/>
          <w:tab w:val="num" w:pos="927"/>
        </w:tabs>
        <w:rPr>
          <w:noProof/>
        </w:rPr>
      </w:pPr>
      <w:r>
        <w:rPr>
          <w:noProof/>
        </w:rPr>
        <w:t>všeobecný rozpočet Európskej únie na rozpočtový rok 2019 prijatý 12. decembra 2018</w:t>
      </w:r>
      <w:r>
        <w:rPr>
          <w:rStyle w:val="FootnoteReference"/>
          <w:noProof/>
        </w:rPr>
        <w:footnoteReference w:id="3"/>
      </w:r>
      <w:r>
        <w:rPr>
          <w:noProof/>
        </w:rPr>
        <w:t>,</w:t>
      </w:r>
    </w:p>
    <w:p>
      <w:pPr>
        <w:pStyle w:val="Tiret0"/>
        <w:tabs>
          <w:tab w:val="clear" w:pos="850"/>
          <w:tab w:val="num" w:pos="927"/>
        </w:tabs>
        <w:rPr>
          <w:noProof/>
        </w:rPr>
      </w:pPr>
      <w:r>
        <w:rPr>
          <w:noProof/>
        </w:rPr>
        <w:t>návrh opravného rozpočtu č. 1/2019</w:t>
      </w:r>
      <w:r>
        <w:rPr>
          <w:rStyle w:val="FootnoteReference"/>
          <w:noProof/>
        </w:rPr>
        <w:footnoteReference w:id="4"/>
      </w:r>
      <w:r>
        <w:rPr>
          <w:noProof/>
        </w:rPr>
        <w:t xml:space="preserve"> prijatý [15. apríla 2019].</w:t>
      </w:r>
    </w:p>
    <w:p>
      <w:pPr>
        <w:pStyle w:val="Tiret0"/>
        <w:tabs>
          <w:tab w:val="clear" w:pos="850"/>
          <w:tab w:val="num" w:pos="927"/>
        </w:tabs>
        <w:rPr>
          <w:noProof/>
        </w:rPr>
      </w:pPr>
      <w:r>
        <w:rPr>
          <w:noProof/>
        </w:rPr>
        <w:t>návrh opravného rozpočtu č. 2/2019</w:t>
      </w:r>
      <w:r>
        <w:rPr>
          <w:rStyle w:val="FootnoteReference"/>
          <w:noProof/>
        </w:rPr>
        <w:footnoteReference w:id="5"/>
      </w:r>
      <w:r>
        <w:rPr>
          <w:noProof/>
        </w:rPr>
        <w:t xml:space="preserve"> prijatý [15. mája 2019].</w:t>
      </w:r>
    </w:p>
    <w:p>
      <w:pPr>
        <w:pStyle w:val="Tiret0"/>
        <w:tabs>
          <w:tab w:val="clear" w:pos="850"/>
          <w:tab w:val="num" w:pos="927"/>
        </w:tabs>
        <w:rPr>
          <w:noProof/>
        </w:rPr>
      </w:pPr>
      <w:r>
        <w:rPr>
          <w:noProof/>
        </w:rPr>
        <w:t>návrh opravného rozpočtu č. 3/2019</w:t>
      </w:r>
      <w:r>
        <w:rPr>
          <w:rStyle w:val="FootnoteReference"/>
          <w:noProof/>
        </w:rPr>
        <w:footnoteReference w:id="6"/>
      </w:r>
      <w:r>
        <w:rPr>
          <w:noProof/>
        </w:rPr>
        <w:t xml:space="preserve"> prijatý [22. mája 2019].</w:t>
      </w:r>
    </w:p>
    <w:p>
      <w:pPr>
        <w:jc w:val="both"/>
        <w:rPr>
          <w:noProof/>
        </w:rPr>
      </w:pPr>
      <w:r>
        <w:rPr>
          <w:noProof/>
        </w:rPr>
        <w:t>Európska komisia týmto predkladá Európskemu parlamentu a Rade návrh opravného rozpočtu č. 4 k rozpočtu na rok 2019.</w:t>
      </w:r>
    </w:p>
    <w:p>
      <w:pPr>
        <w:rPr>
          <w:b/>
          <w:noProof/>
          <w:u w:val="single"/>
        </w:rPr>
      </w:pPr>
    </w:p>
    <w:p>
      <w:pPr>
        <w:jc w:val="both"/>
        <w:rPr>
          <w:b/>
          <w:noProof/>
          <w:u w:val="single"/>
        </w:rPr>
      </w:pPr>
      <w:r>
        <w:rPr>
          <w:b/>
          <w:noProof/>
          <w:u w:val="single"/>
        </w:rPr>
        <w:t>ZMENY VO VÝKAZE PRÍJMOV A VÝDAVKOV PODĽA ODDIELOV</w:t>
      </w:r>
    </w:p>
    <w:p>
      <w:pPr>
        <w:rPr>
          <w:b/>
          <w:noProof/>
          <w:u w:val="single"/>
        </w:rPr>
      </w:pPr>
    </w:p>
    <w:p>
      <w:pPr>
        <w:jc w:val="both"/>
        <w:rPr>
          <w:noProof/>
        </w:rPr>
      </w:pPr>
      <w:r>
        <w:rPr>
          <w:noProof/>
        </w:rPr>
        <w:t>Zmeny vo všeobecnom výkaze príjmov a v jednotlivých oddieloch (I, III, V a X) sú k dispozícii v databáze EUR-Lex (</w:t>
      </w:r>
      <w:hyperlink r:id="rId19" w:history="1">
        <w:r>
          <w:rPr>
            <w:rStyle w:val="Hyperlink"/>
            <w:noProof/>
            <w:color w:val="auto"/>
          </w:rPr>
          <w:t>http://eur-lex.europa.eu/budget/www/index-sk.htm</w:t>
        </w:r>
      </w:hyperlink>
      <w:r>
        <w:rPr>
          <w:noProof/>
        </w:rPr>
        <w:t>).</w:t>
      </w:r>
    </w:p>
    <w:p>
      <w:pPr>
        <w:rPr>
          <w:noProof/>
        </w:rPr>
        <w:sectPr>
          <w:headerReference w:type="even" r:id="rId20"/>
          <w:headerReference w:type="default" r:id="rId21"/>
          <w:footerReference w:type="even" r:id="rId22"/>
          <w:footerReference w:type="default" r:id="rId23"/>
          <w:headerReference w:type="first" r:id="rId24"/>
          <w:footerReference w:type="first" r:id="rId25"/>
          <w:pgSz w:w="11907" w:h="16839"/>
          <w:pgMar w:top="1134" w:right="1417" w:bottom="1134" w:left="1417" w:header="709" w:footer="709" w:gutter="0"/>
          <w:cols w:space="708"/>
          <w:docGrid w:linePitch="360"/>
        </w:sectPr>
      </w:pPr>
    </w:p>
    <w:p>
      <w:pPr>
        <w:pStyle w:val="TOCHeading"/>
        <w:rPr>
          <w:noProof/>
        </w:rPr>
      </w:pPr>
      <w:bookmarkStart w:id="2" w:name="_Toc194220890"/>
      <w:bookmarkStart w:id="3" w:name="_Toc294675429"/>
      <w:bookmarkStart w:id="4" w:name="_Toc378575883"/>
      <w:r>
        <w:rPr>
          <w:noProof/>
        </w:rPr>
        <w:t>OBSAH</w:t>
      </w:r>
    </w:p>
    <w:sdt>
      <w:sdtPr>
        <w:rPr>
          <w:bCs w:val="0"/>
          <w:caps w:val="0"/>
          <w:smallCaps/>
          <w:noProof/>
          <w:sz w:val="24"/>
          <w:szCs w:val="24"/>
        </w:rPr>
        <w:id w:val="2029912794"/>
        <w:docPartObj>
          <w:docPartGallery w:val="Table of Contents"/>
          <w:docPartUnique/>
        </w:docPartObj>
      </w:sdtPr>
      <w:sdtContent>
        <w:p>
          <w:pPr>
            <w:pStyle w:val="TOC1"/>
            <w:tabs>
              <w:tab w:val="left" w:pos="480"/>
              <w:tab w:val="right" w:leader="dot" w:pos="9855"/>
            </w:tabs>
            <w:rPr>
              <w:rFonts w:asciiTheme="minorHAnsi" w:eastAsiaTheme="minorEastAsia" w:hAnsiTheme="minorHAnsi" w:cstheme="minorBidi"/>
              <w:bCs w:val="0"/>
              <w:caps w:val="0"/>
              <w:noProof/>
              <w:sz w:val="22"/>
              <w:szCs w:val="22"/>
              <w:lang w:bidi="ar-SA"/>
            </w:rPr>
          </w:pPr>
          <w:r>
            <w:rPr>
              <w:noProof/>
            </w:rPr>
            <w:fldChar w:fldCharType="begin"/>
          </w:r>
          <w:r>
            <w:rPr>
              <w:noProof/>
            </w:rPr>
            <w:instrText xml:space="preserve"> TOC \o "1-3" \h \z \u </w:instrText>
          </w:r>
          <w:r>
            <w:rPr>
              <w:noProof/>
            </w:rPr>
            <w:fldChar w:fldCharType="separate"/>
          </w:r>
          <w:hyperlink w:anchor="_Toc13832624" w:history="1">
            <w:r>
              <w:rPr>
                <w:rStyle w:val="Hyperlink"/>
                <w:noProof/>
              </w:rPr>
              <w:t>1.</w:t>
            </w:r>
            <w:r>
              <w:rPr>
                <w:rFonts w:asciiTheme="minorHAnsi" w:eastAsiaTheme="minorEastAsia" w:hAnsiTheme="minorHAnsi" w:cstheme="minorBidi"/>
                <w:bCs w:val="0"/>
                <w:caps w:val="0"/>
                <w:noProof/>
                <w:sz w:val="22"/>
                <w:szCs w:val="22"/>
                <w:lang w:bidi="ar-SA"/>
              </w:rPr>
              <w:tab/>
            </w:r>
            <w:r>
              <w:rPr>
                <w:rStyle w:val="Hyperlink"/>
                <w:noProof/>
              </w:rPr>
              <w:t>Úvod</w:t>
            </w:r>
            <w:r>
              <w:rPr>
                <w:noProof/>
                <w:webHidden/>
              </w:rPr>
              <w:tab/>
            </w:r>
            <w:r>
              <w:rPr>
                <w:noProof/>
                <w:webHidden/>
              </w:rPr>
              <w:fldChar w:fldCharType="begin"/>
            </w:r>
            <w:r>
              <w:rPr>
                <w:noProof/>
                <w:webHidden/>
              </w:rPr>
              <w:instrText xml:space="preserve"> PAGEREF _Toc13832624 \h </w:instrText>
            </w:r>
            <w:r>
              <w:rPr>
                <w:noProof/>
                <w:webHidden/>
              </w:rPr>
            </w:r>
            <w:r>
              <w:rPr>
                <w:noProof/>
                <w:webHidden/>
              </w:rPr>
              <w:fldChar w:fldCharType="separate"/>
            </w:r>
            <w:r>
              <w:rPr>
                <w:noProof/>
                <w:webHidden/>
              </w:rPr>
              <w:t>4</w:t>
            </w:r>
            <w:r>
              <w:rPr>
                <w:noProof/>
                <w:webHidden/>
              </w:rPr>
              <w:fldChar w:fldCharType="end"/>
            </w:r>
          </w:hyperlink>
        </w:p>
        <w:p>
          <w:pPr>
            <w:pStyle w:val="TOC1"/>
            <w:tabs>
              <w:tab w:val="left" w:pos="480"/>
              <w:tab w:val="right" w:leader="dot" w:pos="9855"/>
            </w:tabs>
            <w:rPr>
              <w:rFonts w:asciiTheme="minorHAnsi" w:eastAsiaTheme="minorEastAsia" w:hAnsiTheme="minorHAnsi" w:cstheme="minorBidi"/>
              <w:bCs w:val="0"/>
              <w:caps w:val="0"/>
              <w:noProof/>
              <w:sz w:val="22"/>
              <w:szCs w:val="22"/>
              <w:lang w:bidi="ar-SA"/>
            </w:rPr>
          </w:pPr>
          <w:hyperlink w:anchor="_Toc13832625" w:history="1">
            <w:r>
              <w:rPr>
                <w:rStyle w:val="Hyperlink"/>
                <w:smallCaps/>
                <w:noProof/>
              </w:rPr>
              <w:t>2.</w:t>
            </w:r>
            <w:r>
              <w:rPr>
                <w:rFonts w:asciiTheme="minorHAnsi" w:eastAsiaTheme="minorEastAsia" w:hAnsiTheme="minorHAnsi" w:cstheme="minorBidi"/>
                <w:bCs w:val="0"/>
                <w:caps w:val="0"/>
                <w:noProof/>
                <w:sz w:val="22"/>
                <w:szCs w:val="22"/>
                <w:lang w:bidi="ar-SA"/>
              </w:rPr>
              <w:tab/>
            </w:r>
            <w:r>
              <w:rPr>
                <w:rStyle w:val="Hyperlink"/>
                <w:smallCaps/>
                <w:noProof/>
              </w:rPr>
              <w:t>Aktualizácia výdavkov</w:t>
            </w:r>
            <w:r>
              <w:rPr>
                <w:noProof/>
                <w:webHidden/>
              </w:rPr>
              <w:tab/>
            </w:r>
            <w:r>
              <w:rPr>
                <w:noProof/>
                <w:webHidden/>
              </w:rPr>
              <w:fldChar w:fldCharType="begin"/>
            </w:r>
            <w:r>
              <w:rPr>
                <w:noProof/>
                <w:webHidden/>
              </w:rPr>
              <w:instrText xml:space="preserve"> PAGEREF _Toc13832625 \h </w:instrText>
            </w:r>
            <w:r>
              <w:rPr>
                <w:noProof/>
                <w:webHidden/>
              </w:rPr>
            </w:r>
            <w:r>
              <w:rPr>
                <w:noProof/>
                <w:webHidden/>
              </w:rPr>
              <w:fldChar w:fldCharType="separate"/>
            </w:r>
            <w:r>
              <w:rPr>
                <w:noProof/>
                <w:webHidden/>
              </w:rPr>
              <w:t>4</w:t>
            </w:r>
            <w:r>
              <w:rPr>
                <w:noProof/>
                <w:webHidden/>
              </w:rPr>
              <w:fldChar w:fldCharType="end"/>
            </w:r>
          </w:hyperlink>
        </w:p>
        <w:p>
          <w:pPr>
            <w:pStyle w:val="TOC2"/>
            <w:tabs>
              <w:tab w:val="left" w:pos="960"/>
              <w:tab w:val="right" w:leader="dot" w:pos="9855"/>
            </w:tabs>
            <w:rPr>
              <w:rFonts w:asciiTheme="minorHAnsi" w:eastAsiaTheme="minorEastAsia" w:hAnsiTheme="minorHAnsi" w:cstheme="minorBidi"/>
              <w:b/>
              <w:smallCaps w:val="0"/>
              <w:noProof/>
              <w:sz w:val="22"/>
              <w:szCs w:val="22"/>
              <w:lang w:bidi="ar-SA"/>
            </w:rPr>
          </w:pPr>
          <w:hyperlink w:anchor="_Toc13832626" w:history="1">
            <w:r>
              <w:rPr>
                <w:rStyle w:val="Hyperlink"/>
                <w:b/>
                <w:noProof/>
              </w:rPr>
              <w:t>2.1.</w:t>
            </w:r>
            <w:r>
              <w:rPr>
                <w:rFonts w:asciiTheme="minorHAnsi" w:eastAsiaTheme="minorEastAsia" w:hAnsiTheme="minorHAnsi" w:cstheme="minorBidi"/>
                <w:b/>
                <w:smallCaps w:val="0"/>
                <w:noProof/>
                <w:sz w:val="22"/>
                <w:szCs w:val="22"/>
                <w:lang w:bidi="ar-SA"/>
              </w:rPr>
              <w:tab/>
            </w:r>
            <w:r>
              <w:rPr>
                <w:rStyle w:val="Hyperlink"/>
                <w:b/>
                <w:noProof/>
              </w:rPr>
              <w:t>Zníženie viazaných aj platobných rozpočtových prostriedkov</w:t>
            </w:r>
            <w:r>
              <w:rPr>
                <w:b/>
                <w:noProof/>
                <w:webHidden/>
              </w:rPr>
              <w:tab/>
            </w:r>
            <w:r>
              <w:rPr>
                <w:b/>
                <w:noProof/>
                <w:webHidden/>
              </w:rPr>
              <w:fldChar w:fldCharType="begin"/>
            </w:r>
            <w:r>
              <w:rPr>
                <w:b/>
                <w:noProof/>
                <w:webHidden/>
              </w:rPr>
              <w:instrText xml:space="preserve"> PAGEREF _Toc13832626 \h </w:instrText>
            </w:r>
            <w:r>
              <w:rPr>
                <w:b/>
                <w:noProof/>
                <w:webHidden/>
              </w:rPr>
            </w:r>
            <w:r>
              <w:rPr>
                <w:b/>
                <w:noProof/>
                <w:webHidden/>
              </w:rPr>
              <w:fldChar w:fldCharType="separate"/>
            </w:r>
            <w:r>
              <w:rPr>
                <w:b/>
                <w:noProof/>
                <w:webHidden/>
              </w:rPr>
              <w:t>4</w:t>
            </w:r>
            <w:r>
              <w:rPr>
                <w:b/>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27" w:history="1">
            <w:r>
              <w:rPr>
                <w:rStyle w:val="Hyperlink"/>
                <w:i/>
                <w:noProof/>
              </w:rPr>
              <w:t>2.1.1</w:t>
            </w:r>
            <w:r>
              <w:rPr>
                <w:rFonts w:asciiTheme="minorHAnsi" w:eastAsiaTheme="minorEastAsia" w:hAnsiTheme="minorHAnsi" w:cstheme="minorBidi"/>
                <w:smallCaps w:val="0"/>
                <w:noProof/>
                <w:sz w:val="22"/>
                <w:szCs w:val="22"/>
                <w:lang w:bidi="ar-SA"/>
              </w:rPr>
              <w:tab/>
            </w:r>
            <w:r>
              <w:rPr>
                <w:rStyle w:val="Hyperlink"/>
                <w:i/>
                <w:noProof/>
              </w:rPr>
              <w:t>Orgány finančného dohľadu (EBA, EIOPA a ESMA)</w:t>
            </w:r>
            <w:r>
              <w:rPr>
                <w:noProof/>
                <w:webHidden/>
              </w:rPr>
              <w:tab/>
            </w:r>
            <w:r>
              <w:rPr>
                <w:noProof/>
                <w:webHidden/>
              </w:rPr>
              <w:fldChar w:fldCharType="begin"/>
            </w:r>
            <w:r>
              <w:rPr>
                <w:noProof/>
                <w:webHidden/>
              </w:rPr>
              <w:instrText xml:space="preserve"> PAGEREF _Toc13832627 \h </w:instrText>
            </w:r>
            <w:r>
              <w:rPr>
                <w:noProof/>
                <w:webHidden/>
              </w:rPr>
            </w:r>
            <w:r>
              <w:rPr>
                <w:noProof/>
                <w:webHidden/>
              </w:rPr>
              <w:fldChar w:fldCharType="separate"/>
            </w:r>
            <w:r>
              <w:rPr>
                <w:noProof/>
                <w:webHidden/>
              </w:rPr>
              <w:t>4</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28" w:history="1">
            <w:r>
              <w:rPr>
                <w:rStyle w:val="Hyperlink"/>
                <w:i/>
                <w:noProof/>
              </w:rPr>
              <w:t>2.1.2</w:t>
            </w:r>
            <w:r>
              <w:rPr>
                <w:rFonts w:asciiTheme="minorHAnsi" w:eastAsiaTheme="minorEastAsia" w:hAnsiTheme="minorHAnsi" w:cstheme="minorBidi"/>
                <w:smallCaps w:val="0"/>
                <w:noProof/>
                <w:sz w:val="22"/>
                <w:szCs w:val="22"/>
                <w:lang w:bidi="ar-SA"/>
              </w:rPr>
              <w:tab/>
            </w:r>
            <w:r>
              <w:rPr>
                <w:rStyle w:val="Hyperlink"/>
                <w:i/>
                <w:noProof/>
              </w:rPr>
              <w:t>Európska agentúra pre pohraničnú a pobrežnú stráž (Frontex)</w:t>
            </w:r>
            <w:r>
              <w:rPr>
                <w:noProof/>
                <w:webHidden/>
              </w:rPr>
              <w:tab/>
            </w:r>
            <w:r>
              <w:rPr>
                <w:noProof/>
                <w:webHidden/>
              </w:rPr>
              <w:fldChar w:fldCharType="begin"/>
            </w:r>
            <w:r>
              <w:rPr>
                <w:noProof/>
                <w:webHidden/>
              </w:rPr>
              <w:instrText xml:space="preserve"> PAGEREF _Toc13832628 \h </w:instrText>
            </w:r>
            <w:r>
              <w:rPr>
                <w:noProof/>
                <w:webHidden/>
              </w:rPr>
            </w:r>
            <w:r>
              <w:rPr>
                <w:noProof/>
                <w:webHidden/>
              </w:rPr>
              <w:fldChar w:fldCharType="separate"/>
            </w:r>
            <w:r>
              <w:rPr>
                <w:noProof/>
                <w:webHidden/>
              </w:rPr>
              <w:t>5</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29" w:history="1">
            <w:r>
              <w:rPr>
                <w:rStyle w:val="Hyperlink"/>
                <w:i/>
                <w:noProof/>
              </w:rPr>
              <w:t>2.1.3</w:t>
            </w:r>
            <w:r>
              <w:rPr>
                <w:rFonts w:asciiTheme="minorHAnsi" w:eastAsiaTheme="minorEastAsia" w:hAnsiTheme="minorHAnsi" w:cstheme="minorBidi"/>
                <w:smallCaps w:val="0"/>
                <w:noProof/>
                <w:sz w:val="22"/>
                <w:szCs w:val="22"/>
                <w:lang w:bidi="ar-SA"/>
              </w:rPr>
              <w:tab/>
            </w:r>
            <w:r>
              <w:rPr>
                <w:rStyle w:val="Hyperlink"/>
                <w:i/>
                <w:noProof/>
              </w:rPr>
              <w:t>Prepracovanie nariadenia Dublin III</w:t>
            </w:r>
            <w:r>
              <w:rPr>
                <w:noProof/>
                <w:webHidden/>
              </w:rPr>
              <w:tab/>
            </w:r>
            <w:r>
              <w:rPr>
                <w:noProof/>
                <w:webHidden/>
              </w:rPr>
              <w:fldChar w:fldCharType="begin"/>
            </w:r>
            <w:r>
              <w:rPr>
                <w:noProof/>
                <w:webHidden/>
              </w:rPr>
              <w:instrText xml:space="preserve"> PAGEREF _Toc13832629 \h </w:instrText>
            </w:r>
            <w:r>
              <w:rPr>
                <w:noProof/>
                <w:webHidden/>
              </w:rPr>
            </w:r>
            <w:r>
              <w:rPr>
                <w:noProof/>
                <w:webHidden/>
              </w:rPr>
              <w:fldChar w:fldCharType="separate"/>
            </w:r>
            <w:r>
              <w:rPr>
                <w:noProof/>
                <w:webHidden/>
              </w:rPr>
              <w:t>5</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0" w:history="1">
            <w:r>
              <w:rPr>
                <w:rStyle w:val="Hyperlink"/>
                <w:i/>
                <w:noProof/>
              </w:rPr>
              <w:t>2.1.4.</w:t>
            </w:r>
            <w:r>
              <w:rPr>
                <w:rFonts w:asciiTheme="minorHAnsi" w:eastAsiaTheme="minorEastAsia" w:hAnsiTheme="minorHAnsi" w:cstheme="minorBidi"/>
                <w:smallCaps w:val="0"/>
                <w:noProof/>
                <w:sz w:val="22"/>
                <w:szCs w:val="22"/>
                <w:lang w:bidi="ar-SA"/>
              </w:rPr>
              <w:tab/>
            </w:r>
            <w:r>
              <w:rPr>
                <w:rStyle w:val="Hyperlink"/>
                <w:i/>
                <w:noProof/>
              </w:rPr>
              <w:t>Európska prokuratúra (EPPO)</w:t>
            </w:r>
            <w:r>
              <w:rPr>
                <w:noProof/>
                <w:webHidden/>
              </w:rPr>
              <w:tab/>
            </w:r>
            <w:r>
              <w:rPr>
                <w:noProof/>
                <w:webHidden/>
              </w:rPr>
              <w:fldChar w:fldCharType="begin"/>
            </w:r>
            <w:r>
              <w:rPr>
                <w:noProof/>
                <w:webHidden/>
              </w:rPr>
              <w:instrText xml:space="preserve"> PAGEREF _Toc13832630 \h </w:instrText>
            </w:r>
            <w:r>
              <w:rPr>
                <w:noProof/>
                <w:webHidden/>
              </w:rPr>
            </w:r>
            <w:r>
              <w:rPr>
                <w:noProof/>
                <w:webHidden/>
              </w:rPr>
              <w:fldChar w:fldCharType="separate"/>
            </w:r>
            <w:r>
              <w:rPr>
                <w:noProof/>
                <w:webHidden/>
              </w:rPr>
              <w:t>6</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1" w:history="1">
            <w:r>
              <w:rPr>
                <w:rStyle w:val="Hyperlink"/>
                <w:i/>
                <w:noProof/>
              </w:rPr>
              <w:t>2.1.5.</w:t>
            </w:r>
            <w:r>
              <w:rPr>
                <w:rFonts w:asciiTheme="minorHAnsi" w:eastAsiaTheme="minorEastAsia" w:hAnsiTheme="minorHAnsi" w:cstheme="minorBidi"/>
                <w:smallCaps w:val="0"/>
                <w:noProof/>
                <w:sz w:val="22"/>
                <w:szCs w:val="22"/>
                <w:lang w:bidi="ar-SA"/>
              </w:rPr>
              <w:tab/>
            </w:r>
            <w:r>
              <w:rPr>
                <w:rStyle w:val="Hyperlink"/>
                <w:i/>
                <w:noProof/>
              </w:rPr>
              <w:t>Európsky sociálny fond – Operačná technická pomoc</w:t>
            </w:r>
            <w:r>
              <w:rPr>
                <w:noProof/>
                <w:webHidden/>
              </w:rPr>
              <w:tab/>
            </w:r>
            <w:r>
              <w:rPr>
                <w:noProof/>
                <w:webHidden/>
              </w:rPr>
              <w:fldChar w:fldCharType="begin"/>
            </w:r>
            <w:r>
              <w:rPr>
                <w:noProof/>
                <w:webHidden/>
              </w:rPr>
              <w:instrText xml:space="preserve"> PAGEREF _Toc13832631 \h </w:instrText>
            </w:r>
            <w:r>
              <w:rPr>
                <w:noProof/>
                <w:webHidden/>
              </w:rPr>
            </w:r>
            <w:r>
              <w:rPr>
                <w:noProof/>
                <w:webHidden/>
              </w:rPr>
              <w:fldChar w:fldCharType="separate"/>
            </w:r>
            <w:r>
              <w:rPr>
                <w:noProof/>
                <w:webHidden/>
              </w:rPr>
              <w:t>6</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2" w:history="1">
            <w:r>
              <w:rPr>
                <w:rStyle w:val="Hyperlink"/>
                <w:i/>
                <w:noProof/>
              </w:rPr>
              <w:t>2.1.6.</w:t>
            </w:r>
            <w:r>
              <w:rPr>
                <w:rFonts w:asciiTheme="minorHAnsi" w:eastAsiaTheme="minorEastAsia" w:hAnsiTheme="minorHAnsi" w:cstheme="minorBidi"/>
                <w:smallCaps w:val="0"/>
                <w:noProof/>
                <w:sz w:val="22"/>
                <w:szCs w:val="22"/>
                <w:lang w:bidi="ar-SA"/>
              </w:rPr>
              <w:tab/>
            </w:r>
            <w:r>
              <w:rPr>
                <w:rStyle w:val="Hyperlink"/>
                <w:i/>
                <w:noProof/>
              </w:rPr>
              <w:t>Nástroj núdzovej podpory (IES)</w:t>
            </w:r>
            <w:r>
              <w:rPr>
                <w:noProof/>
                <w:webHidden/>
              </w:rPr>
              <w:tab/>
            </w:r>
            <w:r>
              <w:rPr>
                <w:noProof/>
                <w:webHidden/>
              </w:rPr>
              <w:fldChar w:fldCharType="begin"/>
            </w:r>
            <w:r>
              <w:rPr>
                <w:noProof/>
                <w:webHidden/>
              </w:rPr>
              <w:instrText xml:space="preserve"> PAGEREF _Toc13832632 \h </w:instrText>
            </w:r>
            <w:r>
              <w:rPr>
                <w:noProof/>
                <w:webHidden/>
              </w:rPr>
            </w:r>
            <w:r>
              <w:rPr>
                <w:noProof/>
                <w:webHidden/>
              </w:rPr>
              <w:fldChar w:fldCharType="separate"/>
            </w:r>
            <w:r>
              <w:rPr>
                <w:noProof/>
                <w:webHidden/>
              </w:rPr>
              <w:t>6</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3" w:history="1">
            <w:r>
              <w:rPr>
                <w:rStyle w:val="Hyperlink"/>
                <w:i/>
                <w:noProof/>
              </w:rPr>
              <w:t>2.1.7.</w:t>
            </w:r>
            <w:r>
              <w:rPr>
                <w:rFonts w:asciiTheme="minorHAnsi" w:eastAsiaTheme="minorEastAsia" w:hAnsiTheme="minorHAnsi" w:cstheme="minorBidi"/>
                <w:smallCaps w:val="0"/>
                <w:noProof/>
                <w:sz w:val="22"/>
                <w:szCs w:val="22"/>
                <w:lang w:bidi="ar-SA"/>
              </w:rPr>
              <w:tab/>
            </w:r>
            <w:r>
              <w:rPr>
                <w:rStyle w:val="Hyperlink"/>
                <w:i/>
                <w:noProof/>
              </w:rPr>
              <w:t>Mechanizmus Únie v oblasti civilnej ochrany (UCPM)</w:t>
            </w:r>
            <w:r>
              <w:rPr>
                <w:noProof/>
                <w:webHidden/>
              </w:rPr>
              <w:tab/>
            </w:r>
            <w:r>
              <w:rPr>
                <w:noProof/>
                <w:webHidden/>
              </w:rPr>
              <w:fldChar w:fldCharType="begin"/>
            </w:r>
            <w:r>
              <w:rPr>
                <w:noProof/>
                <w:webHidden/>
              </w:rPr>
              <w:instrText xml:space="preserve"> PAGEREF _Toc13832633 \h </w:instrText>
            </w:r>
            <w:r>
              <w:rPr>
                <w:noProof/>
                <w:webHidden/>
              </w:rPr>
            </w:r>
            <w:r>
              <w:rPr>
                <w:noProof/>
                <w:webHidden/>
              </w:rPr>
              <w:fldChar w:fldCharType="separate"/>
            </w:r>
            <w:r>
              <w:rPr>
                <w:noProof/>
                <w:webHidden/>
              </w:rPr>
              <w:t>7</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4" w:history="1">
            <w:r>
              <w:rPr>
                <w:rStyle w:val="Hyperlink"/>
                <w:i/>
                <w:noProof/>
              </w:rPr>
              <w:t>2.1.8.</w:t>
            </w:r>
            <w:r>
              <w:rPr>
                <w:rFonts w:asciiTheme="minorHAnsi" w:eastAsiaTheme="minorEastAsia" w:hAnsiTheme="minorHAnsi" w:cstheme="minorBidi"/>
                <w:smallCaps w:val="0"/>
                <w:noProof/>
                <w:sz w:val="22"/>
                <w:szCs w:val="22"/>
                <w:lang w:bidi="ar-SA"/>
              </w:rPr>
              <w:tab/>
            </w:r>
            <w:r>
              <w:rPr>
                <w:rStyle w:val="Hyperlink"/>
                <w:i/>
                <w:noProof/>
              </w:rPr>
              <w:t>Fond solidarity Európskej únie (FSEÚ)</w:t>
            </w:r>
            <w:r>
              <w:rPr>
                <w:noProof/>
                <w:webHidden/>
              </w:rPr>
              <w:tab/>
            </w:r>
            <w:r>
              <w:rPr>
                <w:noProof/>
                <w:webHidden/>
              </w:rPr>
              <w:fldChar w:fldCharType="begin"/>
            </w:r>
            <w:r>
              <w:rPr>
                <w:noProof/>
                <w:webHidden/>
              </w:rPr>
              <w:instrText xml:space="preserve"> PAGEREF _Toc13832634 \h </w:instrText>
            </w:r>
            <w:r>
              <w:rPr>
                <w:noProof/>
                <w:webHidden/>
              </w:rPr>
            </w:r>
            <w:r>
              <w:rPr>
                <w:noProof/>
                <w:webHidden/>
              </w:rPr>
              <w:fldChar w:fldCharType="separate"/>
            </w:r>
            <w:r>
              <w:rPr>
                <w:noProof/>
                <w:webHidden/>
              </w:rPr>
              <w:t>7</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5" w:history="1">
            <w:r>
              <w:rPr>
                <w:rStyle w:val="Hyperlink"/>
                <w:i/>
                <w:noProof/>
              </w:rPr>
              <w:t>2.1.9.</w:t>
            </w:r>
            <w:r>
              <w:rPr>
                <w:rFonts w:asciiTheme="minorHAnsi" w:eastAsiaTheme="minorEastAsia" w:hAnsiTheme="minorHAnsi" w:cstheme="minorBidi"/>
                <w:smallCaps w:val="0"/>
                <w:noProof/>
                <w:sz w:val="22"/>
                <w:szCs w:val="22"/>
                <w:lang w:bidi="ar-SA"/>
              </w:rPr>
              <w:tab/>
            </w:r>
            <w:r>
              <w:rPr>
                <w:rStyle w:val="Hyperlink"/>
                <w:i/>
                <w:noProof/>
              </w:rPr>
              <w:t>Úprava mobilizácie osobitných nástrojov</w:t>
            </w:r>
            <w:r>
              <w:rPr>
                <w:noProof/>
                <w:webHidden/>
              </w:rPr>
              <w:tab/>
            </w:r>
            <w:r>
              <w:rPr>
                <w:noProof/>
                <w:webHidden/>
              </w:rPr>
              <w:fldChar w:fldCharType="begin"/>
            </w:r>
            <w:r>
              <w:rPr>
                <w:noProof/>
                <w:webHidden/>
              </w:rPr>
              <w:instrText xml:space="preserve"> PAGEREF _Toc13832635 \h </w:instrText>
            </w:r>
            <w:r>
              <w:rPr>
                <w:noProof/>
                <w:webHidden/>
              </w:rPr>
            </w:r>
            <w:r>
              <w:rPr>
                <w:noProof/>
                <w:webHidden/>
              </w:rPr>
              <w:fldChar w:fldCharType="separate"/>
            </w:r>
            <w:r>
              <w:rPr>
                <w:noProof/>
                <w:webHidden/>
              </w:rPr>
              <w:t>8</w:t>
            </w:r>
            <w:r>
              <w:rPr>
                <w:noProof/>
                <w:webHidden/>
              </w:rPr>
              <w:fldChar w:fldCharType="end"/>
            </w:r>
          </w:hyperlink>
        </w:p>
        <w:p>
          <w:pPr>
            <w:pStyle w:val="TOC2"/>
            <w:tabs>
              <w:tab w:val="left" w:pos="960"/>
              <w:tab w:val="right" w:leader="dot" w:pos="9855"/>
            </w:tabs>
            <w:rPr>
              <w:rFonts w:asciiTheme="minorHAnsi" w:eastAsiaTheme="minorEastAsia" w:hAnsiTheme="minorHAnsi" w:cstheme="minorBidi"/>
              <w:b/>
              <w:smallCaps w:val="0"/>
              <w:noProof/>
              <w:sz w:val="22"/>
              <w:szCs w:val="22"/>
              <w:lang w:bidi="ar-SA"/>
            </w:rPr>
          </w:pPr>
          <w:hyperlink w:anchor="_Toc13832636" w:history="1">
            <w:r>
              <w:rPr>
                <w:rStyle w:val="Hyperlink"/>
                <w:b/>
                <w:noProof/>
              </w:rPr>
              <w:t>2.2.</w:t>
            </w:r>
            <w:r>
              <w:rPr>
                <w:rFonts w:asciiTheme="minorHAnsi" w:eastAsiaTheme="minorEastAsia" w:hAnsiTheme="minorHAnsi" w:cstheme="minorBidi"/>
                <w:b/>
                <w:smallCaps w:val="0"/>
                <w:noProof/>
                <w:sz w:val="22"/>
                <w:szCs w:val="22"/>
                <w:lang w:bidi="ar-SA"/>
              </w:rPr>
              <w:tab/>
            </w:r>
            <w:r>
              <w:rPr>
                <w:rStyle w:val="Hyperlink"/>
                <w:b/>
                <w:noProof/>
              </w:rPr>
              <w:t>Odloženie vystúpenia Spojeného kráľovstva z Európskej únie: vplyv na inštitúcie EÚ</w:t>
            </w:r>
            <w:r>
              <w:rPr>
                <w:b/>
                <w:noProof/>
                <w:webHidden/>
              </w:rPr>
              <w:tab/>
            </w:r>
            <w:r>
              <w:rPr>
                <w:b/>
                <w:noProof/>
                <w:webHidden/>
              </w:rPr>
              <w:fldChar w:fldCharType="begin"/>
            </w:r>
            <w:r>
              <w:rPr>
                <w:b/>
                <w:noProof/>
                <w:webHidden/>
              </w:rPr>
              <w:instrText xml:space="preserve"> PAGEREF _Toc13832636 \h </w:instrText>
            </w:r>
            <w:r>
              <w:rPr>
                <w:b/>
                <w:noProof/>
                <w:webHidden/>
              </w:rPr>
            </w:r>
            <w:r>
              <w:rPr>
                <w:b/>
                <w:noProof/>
                <w:webHidden/>
              </w:rPr>
              <w:fldChar w:fldCharType="separate"/>
            </w:r>
            <w:r>
              <w:rPr>
                <w:b/>
                <w:noProof/>
                <w:webHidden/>
              </w:rPr>
              <w:t>8</w:t>
            </w:r>
            <w:r>
              <w:rPr>
                <w:b/>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7" w:history="1">
            <w:r>
              <w:rPr>
                <w:rStyle w:val="Hyperlink"/>
                <w:i/>
                <w:noProof/>
              </w:rPr>
              <w:t>2.2.1</w:t>
            </w:r>
            <w:r>
              <w:rPr>
                <w:rFonts w:asciiTheme="minorHAnsi" w:eastAsiaTheme="minorEastAsia" w:hAnsiTheme="minorHAnsi" w:cstheme="minorBidi"/>
                <w:smallCaps w:val="0"/>
                <w:noProof/>
                <w:sz w:val="22"/>
                <w:szCs w:val="22"/>
                <w:lang w:bidi="ar-SA"/>
              </w:rPr>
              <w:tab/>
            </w:r>
            <w:r>
              <w:rPr>
                <w:rStyle w:val="Hyperlink"/>
                <w:i/>
                <w:noProof/>
              </w:rPr>
              <w:t>Európsky parlament (EP)</w:t>
            </w:r>
            <w:r>
              <w:rPr>
                <w:noProof/>
                <w:webHidden/>
              </w:rPr>
              <w:tab/>
            </w:r>
            <w:r>
              <w:rPr>
                <w:noProof/>
                <w:webHidden/>
              </w:rPr>
              <w:fldChar w:fldCharType="begin"/>
            </w:r>
            <w:r>
              <w:rPr>
                <w:noProof/>
                <w:webHidden/>
              </w:rPr>
              <w:instrText xml:space="preserve"> PAGEREF _Toc13832637 \h </w:instrText>
            </w:r>
            <w:r>
              <w:rPr>
                <w:noProof/>
                <w:webHidden/>
              </w:rPr>
            </w:r>
            <w:r>
              <w:rPr>
                <w:noProof/>
                <w:webHidden/>
              </w:rPr>
              <w:fldChar w:fldCharType="separate"/>
            </w:r>
            <w:r>
              <w:rPr>
                <w:noProof/>
                <w:webHidden/>
              </w:rPr>
              <w:t>9</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8" w:history="1">
            <w:r>
              <w:rPr>
                <w:rStyle w:val="Hyperlink"/>
                <w:i/>
                <w:noProof/>
              </w:rPr>
              <w:t>2.2.1</w:t>
            </w:r>
            <w:r>
              <w:rPr>
                <w:rFonts w:asciiTheme="minorHAnsi" w:eastAsiaTheme="minorEastAsia" w:hAnsiTheme="minorHAnsi" w:cstheme="minorBidi"/>
                <w:smallCaps w:val="0"/>
                <w:noProof/>
                <w:sz w:val="22"/>
                <w:szCs w:val="22"/>
                <w:lang w:bidi="ar-SA"/>
              </w:rPr>
              <w:tab/>
            </w:r>
            <w:r>
              <w:rPr>
                <w:rStyle w:val="Hyperlink"/>
                <w:i/>
                <w:noProof/>
              </w:rPr>
              <w:t>Európsky dvor audítorov (EDA)</w:t>
            </w:r>
            <w:r>
              <w:rPr>
                <w:noProof/>
                <w:webHidden/>
              </w:rPr>
              <w:tab/>
            </w:r>
            <w:r>
              <w:rPr>
                <w:noProof/>
                <w:webHidden/>
              </w:rPr>
              <w:fldChar w:fldCharType="begin"/>
            </w:r>
            <w:r>
              <w:rPr>
                <w:noProof/>
                <w:webHidden/>
              </w:rPr>
              <w:instrText xml:space="preserve"> PAGEREF _Toc13832638 \h </w:instrText>
            </w:r>
            <w:r>
              <w:rPr>
                <w:noProof/>
                <w:webHidden/>
              </w:rPr>
            </w:r>
            <w:r>
              <w:rPr>
                <w:noProof/>
                <w:webHidden/>
              </w:rPr>
              <w:fldChar w:fldCharType="separate"/>
            </w:r>
            <w:r>
              <w:rPr>
                <w:noProof/>
                <w:webHidden/>
              </w:rPr>
              <w:t>9</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39" w:history="1">
            <w:r>
              <w:rPr>
                <w:rStyle w:val="Hyperlink"/>
                <w:i/>
                <w:noProof/>
              </w:rPr>
              <w:t>2.2.3</w:t>
            </w:r>
            <w:r>
              <w:rPr>
                <w:rFonts w:asciiTheme="minorHAnsi" w:eastAsiaTheme="minorEastAsia" w:hAnsiTheme="minorHAnsi" w:cstheme="minorBidi"/>
                <w:smallCaps w:val="0"/>
                <w:noProof/>
                <w:sz w:val="22"/>
                <w:szCs w:val="22"/>
                <w:lang w:bidi="ar-SA"/>
              </w:rPr>
              <w:tab/>
            </w:r>
            <w:r>
              <w:rPr>
                <w:rStyle w:val="Hyperlink"/>
                <w:i/>
                <w:noProof/>
              </w:rPr>
              <w:t>Európska služba pre vonkajšiu činnosť (ESVČ)</w:t>
            </w:r>
            <w:r>
              <w:rPr>
                <w:noProof/>
                <w:webHidden/>
              </w:rPr>
              <w:tab/>
            </w:r>
            <w:r>
              <w:rPr>
                <w:noProof/>
                <w:webHidden/>
              </w:rPr>
              <w:fldChar w:fldCharType="begin"/>
            </w:r>
            <w:r>
              <w:rPr>
                <w:noProof/>
                <w:webHidden/>
              </w:rPr>
              <w:instrText xml:space="preserve"> PAGEREF _Toc13832639 \h </w:instrText>
            </w:r>
            <w:r>
              <w:rPr>
                <w:noProof/>
                <w:webHidden/>
              </w:rPr>
            </w:r>
            <w:r>
              <w:rPr>
                <w:noProof/>
                <w:webHidden/>
              </w:rPr>
              <w:fldChar w:fldCharType="separate"/>
            </w:r>
            <w:r>
              <w:rPr>
                <w:noProof/>
                <w:webHidden/>
              </w:rPr>
              <w:t>9</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40" w:history="1">
            <w:r>
              <w:rPr>
                <w:rStyle w:val="Hyperlink"/>
                <w:i/>
                <w:noProof/>
              </w:rPr>
              <w:t>2.2.4</w:t>
            </w:r>
            <w:r>
              <w:rPr>
                <w:rFonts w:asciiTheme="minorHAnsi" w:eastAsiaTheme="minorEastAsia" w:hAnsiTheme="minorHAnsi" w:cstheme="minorBidi"/>
                <w:smallCaps w:val="0"/>
                <w:noProof/>
                <w:sz w:val="22"/>
                <w:szCs w:val="22"/>
                <w:lang w:bidi="ar-SA"/>
              </w:rPr>
              <w:tab/>
            </w:r>
            <w:r>
              <w:rPr>
                <w:rStyle w:val="Hyperlink"/>
                <w:i/>
                <w:noProof/>
              </w:rPr>
              <w:t xml:space="preserve"> Prehľad</w:t>
            </w:r>
            <w:r>
              <w:rPr>
                <w:noProof/>
                <w:webHidden/>
              </w:rPr>
              <w:tab/>
            </w:r>
            <w:r>
              <w:rPr>
                <w:noProof/>
                <w:webHidden/>
              </w:rPr>
              <w:fldChar w:fldCharType="begin"/>
            </w:r>
            <w:r>
              <w:rPr>
                <w:noProof/>
                <w:webHidden/>
              </w:rPr>
              <w:instrText xml:space="preserve"> PAGEREF _Toc13832640 \h </w:instrText>
            </w:r>
            <w:r>
              <w:rPr>
                <w:noProof/>
                <w:webHidden/>
              </w:rPr>
            </w:r>
            <w:r>
              <w:rPr>
                <w:noProof/>
                <w:webHidden/>
              </w:rPr>
              <w:fldChar w:fldCharType="separate"/>
            </w:r>
            <w:r>
              <w:rPr>
                <w:noProof/>
                <w:webHidden/>
              </w:rPr>
              <w:t>10</w:t>
            </w:r>
            <w:r>
              <w:rPr>
                <w:noProof/>
                <w:webHidden/>
              </w:rPr>
              <w:fldChar w:fldCharType="end"/>
            </w:r>
          </w:hyperlink>
        </w:p>
        <w:p>
          <w:pPr>
            <w:pStyle w:val="TOC1"/>
            <w:tabs>
              <w:tab w:val="left" w:pos="480"/>
              <w:tab w:val="right" w:leader="dot" w:pos="9855"/>
            </w:tabs>
            <w:rPr>
              <w:rFonts w:asciiTheme="minorHAnsi" w:eastAsiaTheme="minorEastAsia" w:hAnsiTheme="minorHAnsi" w:cstheme="minorBidi"/>
              <w:bCs w:val="0"/>
              <w:caps w:val="0"/>
              <w:noProof/>
              <w:sz w:val="22"/>
              <w:szCs w:val="22"/>
              <w:lang w:bidi="ar-SA"/>
            </w:rPr>
          </w:pPr>
          <w:hyperlink w:anchor="_Toc13832641" w:history="1">
            <w:r>
              <w:rPr>
                <w:rStyle w:val="Hyperlink"/>
                <w:smallCaps/>
                <w:noProof/>
              </w:rPr>
              <w:t>3.</w:t>
            </w:r>
            <w:r>
              <w:rPr>
                <w:rFonts w:asciiTheme="minorHAnsi" w:eastAsiaTheme="minorEastAsia" w:hAnsiTheme="minorHAnsi" w:cstheme="minorBidi"/>
                <w:bCs w:val="0"/>
                <w:caps w:val="0"/>
                <w:noProof/>
                <w:sz w:val="22"/>
                <w:szCs w:val="22"/>
                <w:lang w:bidi="ar-SA"/>
              </w:rPr>
              <w:tab/>
            </w:r>
            <w:r>
              <w:rPr>
                <w:rStyle w:val="Hyperlink"/>
                <w:smallCaps/>
                <w:noProof/>
              </w:rPr>
              <w:t>Aktualizácia príjmov</w:t>
            </w:r>
            <w:r>
              <w:rPr>
                <w:noProof/>
                <w:webHidden/>
              </w:rPr>
              <w:tab/>
            </w:r>
            <w:r>
              <w:rPr>
                <w:noProof/>
                <w:webHidden/>
              </w:rPr>
              <w:fldChar w:fldCharType="begin"/>
            </w:r>
            <w:r>
              <w:rPr>
                <w:noProof/>
                <w:webHidden/>
              </w:rPr>
              <w:instrText xml:space="preserve"> PAGEREF _Toc13832641 \h </w:instrText>
            </w:r>
            <w:r>
              <w:rPr>
                <w:noProof/>
                <w:webHidden/>
              </w:rPr>
            </w:r>
            <w:r>
              <w:rPr>
                <w:noProof/>
                <w:webHidden/>
              </w:rPr>
              <w:fldChar w:fldCharType="separate"/>
            </w:r>
            <w:r>
              <w:rPr>
                <w:noProof/>
                <w:webHidden/>
              </w:rPr>
              <w:t>10</w:t>
            </w:r>
            <w:r>
              <w:rPr>
                <w:noProof/>
                <w:webHidden/>
              </w:rPr>
              <w:fldChar w:fldCharType="end"/>
            </w:r>
          </w:hyperlink>
        </w:p>
        <w:p>
          <w:pPr>
            <w:pStyle w:val="TOC2"/>
            <w:tabs>
              <w:tab w:val="left" w:pos="720"/>
              <w:tab w:val="right" w:leader="dot" w:pos="9855"/>
            </w:tabs>
            <w:rPr>
              <w:rFonts w:asciiTheme="minorHAnsi" w:eastAsiaTheme="minorEastAsia" w:hAnsiTheme="minorHAnsi" w:cstheme="minorBidi"/>
              <w:b/>
              <w:smallCaps w:val="0"/>
              <w:noProof/>
              <w:sz w:val="22"/>
              <w:szCs w:val="22"/>
              <w:lang w:bidi="ar-SA"/>
            </w:rPr>
          </w:pPr>
          <w:hyperlink w:anchor="_Toc13832642" w:history="1">
            <w:r>
              <w:rPr>
                <w:rStyle w:val="Hyperlink"/>
                <w:b/>
                <w:noProof/>
              </w:rPr>
              <w:t>3.1</w:t>
            </w:r>
            <w:r>
              <w:rPr>
                <w:rFonts w:asciiTheme="minorHAnsi" w:eastAsiaTheme="minorEastAsia" w:hAnsiTheme="minorHAnsi" w:cstheme="minorBidi"/>
                <w:b/>
                <w:smallCaps w:val="0"/>
                <w:noProof/>
                <w:sz w:val="22"/>
                <w:szCs w:val="22"/>
                <w:lang w:bidi="ar-SA"/>
              </w:rPr>
              <w:tab/>
            </w:r>
            <w:r>
              <w:rPr>
                <w:rStyle w:val="Hyperlink"/>
                <w:b/>
                <w:noProof/>
              </w:rPr>
              <w:t>Celkový vplyv NOR č. 4/2019 na rozloženie celkových platieb vlastných zdrojov medzi členskými štátmi</w:t>
            </w:r>
            <w:r>
              <w:rPr>
                <w:b/>
                <w:noProof/>
                <w:webHidden/>
              </w:rPr>
              <w:tab/>
            </w:r>
            <w:r>
              <w:rPr>
                <w:b/>
                <w:noProof/>
                <w:webHidden/>
              </w:rPr>
              <w:fldChar w:fldCharType="begin"/>
            </w:r>
            <w:r>
              <w:rPr>
                <w:b/>
                <w:noProof/>
                <w:webHidden/>
              </w:rPr>
              <w:instrText xml:space="preserve"> PAGEREF _Toc13832642 \h </w:instrText>
            </w:r>
            <w:r>
              <w:rPr>
                <w:b/>
                <w:noProof/>
                <w:webHidden/>
              </w:rPr>
            </w:r>
            <w:r>
              <w:rPr>
                <w:b/>
                <w:noProof/>
                <w:webHidden/>
              </w:rPr>
              <w:fldChar w:fldCharType="separate"/>
            </w:r>
            <w:r>
              <w:rPr>
                <w:b/>
                <w:noProof/>
                <w:webHidden/>
              </w:rPr>
              <w:t>10</w:t>
            </w:r>
            <w:r>
              <w:rPr>
                <w:b/>
                <w:noProof/>
                <w:webHidden/>
              </w:rPr>
              <w:fldChar w:fldCharType="end"/>
            </w:r>
          </w:hyperlink>
        </w:p>
        <w:p>
          <w:pPr>
            <w:pStyle w:val="TOC2"/>
            <w:tabs>
              <w:tab w:val="left" w:pos="720"/>
              <w:tab w:val="right" w:leader="dot" w:pos="9855"/>
            </w:tabs>
            <w:rPr>
              <w:rFonts w:asciiTheme="minorHAnsi" w:eastAsiaTheme="minorEastAsia" w:hAnsiTheme="minorHAnsi" w:cstheme="minorBidi"/>
              <w:b/>
              <w:smallCaps w:val="0"/>
              <w:noProof/>
              <w:sz w:val="22"/>
              <w:szCs w:val="22"/>
              <w:lang w:bidi="ar-SA"/>
            </w:rPr>
          </w:pPr>
          <w:hyperlink w:anchor="_Toc13832643" w:history="1">
            <w:r>
              <w:rPr>
                <w:rStyle w:val="Hyperlink"/>
                <w:b/>
                <w:noProof/>
              </w:rPr>
              <w:t>3.2</w:t>
            </w:r>
            <w:r>
              <w:rPr>
                <w:rFonts w:asciiTheme="minorHAnsi" w:eastAsiaTheme="minorEastAsia" w:hAnsiTheme="minorHAnsi" w:cstheme="minorBidi"/>
                <w:b/>
                <w:smallCaps w:val="0"/>
                <w:noProof/>
                <w:sz w:val="22"/>
                <w:szCs w:val="22"/>
                <w:lang w:bidi="ar-SA"/>
              </w:rPr>
              <w:tab/>
            </w:r>
            <w:r>
              <w:rPr>
                <w:rStyle w:val="Hyperlink"/>
                <w:b/>
                <w:noProof/>
              </w:rPr>
              <w:t>Revízia odhadov TVZ a základov DPH a HND</w:t>
            </w:r>
            <w:r>
              <w:rPr>
                <w:b/>
                <w:noProof/>
                <w:webHidden/>
              </w:rPr>
              <w:tab/>
            </w:r>
            <w:r>
              <w:rPr>
                <w:b/>
                <w:noProof/>
                <w:webHidden/>
              </w:rPr>
              <w:fldChar w:fldCharType="begin"/>
            </w:r>
            <w:r>
              <w:rPr>
                <w:b/>
                <w:noProof/>
                <w:webHidden/>
              </w:rPr>
              <w:instrText xml:space="preserve"> PAGEREF _Toc13832643 \h </w:instrText>
            </w:r>
            <w:r>
              <w:rPr>
                <w:b/>
                <w:noProof/>
                <w:webHidden/>
              </w:rPr>
            </w:r>
            <w:r>
              <w:rPr>
                <w:b/>
                <w:noProof/>
                <w:webHidden/>
              </w:rPr>
              <w:fldChar w:fldCharType="separate"/>
            </w:r>
            <w:r>
              <w:rPr>
                <w:b/>
                <w:noProof/>
                <w:webHidden/>
              </w:rPr>
              <w:t>12</w:t>
            </w:r>
            <w:r>
              <w:rPr>
                <w:b/>
                <w:noProof/>
                <w:webHidden/>
              </w:rPr>
              <w:fldChar w:fldCharType="end"/>
            </w:r>
          </w:hyperlink>
        </w:p>
        <w:p>
          <w:pPr>
            <w:pStyle w:val="TOC2"/>
            <w:tabs>
              <w:tab w:val="left" w:pos="720"/>
              <w:tab w:val="right" w:leader="dot" w:pos="9855"/>
            </w:tabs>
            <w:rPr>
              <w:rFonts w:asciiTheme="minorHAnsi" w:eastAsiaTheme="minorEastAsia" w:hAnsiTheme="minorHAnsi" w:cstheme="minorBidi"/>
              <w:b/>
              <w:smallCaps w:val="0"/>
              <w:noProof/>
              <w:sz w:val="22"/>
              <w:szCs w:val="22"/>
              <w:lang w:bidi="ar-SA"/>
            </w:rPr>
          </w:pPr>
          <w:hyperlink w:anchor="_Toc13832644" w:history="1">
            <w:r>
              <w:rPr>
                <w:rStyle w:val="Hyperlink"/>
                <w:b/>
                <w:noProof/>
              </w:rPr>
              <w:t>3.3</w:t>
            </w:r>
            <w:r>
              <w:rPr>
                <w:rFonts w:asciiTheme="minorHAnsi" w:eastAsiaTheme="minorEastAsia" w:hAnsiTheme="minorHAnsi" w:cstheme="minorBidi"/>
                <w:b/>
                <w:smallCaps w:val="0"/>
                <w:noProof/>
                <w:sz w:val="22"/>
                <w:szCs w:val="22"/>
                <w:lang w:bidi="ar-SA"/>
              </w:rPr>
              <w:tab/>
            </w:r>
            <w:r>
              <w:rPr>
                <w:rStyle w:val="Hyperlink"/>
                <w:b/>
                <w:noProof/>
              </w:rPr>
              <w:t>Korekcia pre Spojené kráľovstvo za roky 2018 a 2015</w:t>
            </w:r>
            <w:r>
              <w:rPr>
                <w:b/>
                <w:noProof/>
                <w:webHidden/>
              </w:rPr>
              <w:tab/>
            </w:r>
            <w:r>
              <w:rPr>
                <w:b/>
                <w:noProof/>
                <w:webHidden/>
              </w:rPr>
              <w:fldChar w:fldCharType="begin"/>
            </w:r>
            <w:r>
              <w:rPr>
                <w:b/>
                <w:noProof/>
                <w:webHidden/>
              </w:rPr>
              <w:instrText xml:space="preserve"> PAGEREF _Toc13832644 \h </w:instrText>
            </w:r>
            <w:r>
              <w:rPr>
                <w:b/>
                <w:noProof/>
                <w:webHidden/>
              </w:rPr>
            </w:r>
            <w:r>
              <w:rPr>
                <w:b/>
                <w:noProof/>
                <w:webHidden/>
              </w:rPr>
              <w:fldChar w:fldCharType="separate"/>
            </w:r>
            <w:r>
              <w:rPr>
                <w:b/>
                <w:noProof/>
                <w:webHidden/>
              </w:rPr>
              <w:t>13</w:t>
            </w:r>
            <w:r>
              <w:rPr>
                <w:b/>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45" w:history="1">
            <w:r>
              <w:rPr>
                <w:rStyle w:val="Hyperlink"/>
                <w:i/>
                <w:noProof/>
              </w:rPr>
              <w:t>3.3.1</w:t>
            </w:r>
            <w:r>
              <w:rPr>
                <w:rFonts w:asciiTheme="minorHAnsi" w:eastAsiaTheme="minorEastAsia" w:hAnsiTheme="minorHAnsi" w:cstheme="minorBidi"/>
                <w:smallCaps w:val="0"/>
                <w:noProof/>
                <w:sz w:val="22"/>
                <w:szCs w:val="22"/>
                <w:lang w:bidi="ar-SA"/>
              </w:rPr>
              <w:tab/>
            </w:r>
            <w:r>
              <w:rPr>
                <w:rStyle w:val="Hyperlink"/>
                <w:i/>
                <w:noProof/>
              </w:rPr>
              <w:t>Úvod</w:t>
            </w:r>
            <w:r>
              <w:rPr>
                <w:noProof/>
                <w:webHidden/>
              </w:rPr>
              <w:tab/>
            </w:r>
            <w:r>
              <w:rPr>
                <w:noProof/>
                <w:webHidden/>
              </w:rPr>
              <w:fldChar w:fldCharType="begin"/>
            </w:r>
            <w:r>
              <w:rPr>
                <w:noProof/>
                <w:webHidden/>
              </w:rPr>
              <w:instrText xml:space="preserve"> PAGEREF _Toc13832645 \h </w:instrText>
            </w:r>
            <w:r>
              <w:rPr>
                <w:noProof/>
                <w:webHidden/>
              </w:rPr>
            </w:r>
            <w:r>
              <w:rPr>
                <w:noProof/>
                <w:webHidden/>
              </w:rPr>
              <w:fldChar w:fldCharType="separate"/>
            </w:r>
            <w:r>
              <w:rPr>
                <w:noProof/>
                <w:webHidden/>
              </w:rPr>
              <w:t>13</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46" w:history="1">
            <w:r>
              <w:rPr>
                <w:rStyle w:val="Hyperlink"/>
                <w:i/>
                <w:noProof/>
              </w:rPr>
              <w:t>3.3.2</w:t>
            </w:r>
            <w:r>
              <w:rPr>
                <w:rFonts w:asciiTheme="minorHAnsi" w:eastAsiaTheme="minorEastAsia" w:hAnsiTheme="minorHAnsi" w:cstheme="minorBidi"/>
                <w:smallCaps w:val="0"/>
                <w:noProof/>
                <w:sz w:val="22"/>
                <w:szCs w:val="22"/>
                <w:lang w:bidi="ar-SA"/>
              </w:rPr>
              <w:tab/>
            </w:r>
            <w:r>
              <w:rPr>
                <w:rStyle w:val="Hyperlink"/>
                <w:i/>
                <w:noProof/>
              </w:rPr>
              <w:t>Výpočet korekcií</w:t>
            </w:r>
            <w:r>
              <w:rPr>
                <w:noProof/>
                <w:webHidden/>
              </w:rPr>
              <w:tab/>
            </w:r>
            <w:r>
              <w:rPr>
                <w:noProof/>
                <w:webHidden/>
              </w:rPr>
              <w:fldChar w:fldCharType="begin"/>
            </w:r>
            <w:r>
              <w:rPr>
                <w:noProof/>
                <w:webHidden/>
              </w:rPr>
              <w:instrText xml:space="preserve"> PAGEREF _Toc13832646 \h </w:instrText>
            </w:r>
            <w:r>
              <w:rPr>
                <w:noProof/>
                <w:webHidden/>
              </w:rPr>
            </w:r>
            <w:r>
              <w:rPr>
                <w:noProof/>
                <w:webHidden/>
              </w:rPr>
              <w:fldChar w:fldCharType="separate"/>
            </w:r>
            <w:r>
              <w:rPr>
                <w:noProof/>
                <w:webHidden/>
              </w:rPr>
              <w:t>14</w:t>
            </w:r>
            <w:r>
              <w:rPr>
                <w:noProof/>
                <w:webHidden/>
              </w:rPr>
              <w:fldChar w:fldCharType="end"/>
            </w:r>
          </w:hyperlink>
        </w:p>
        <w:p>
          <w:pPr>
            <w:pStyle w:val="TOC2"/>
            <w:tabs>
              <w:tab w:val="left" w:pos="960"/>
              <w:tab w:val="right" w:leader="dot" w:pos="9855"/>
            </w:tabs>
            <w:rPr>
              <w:rFonts w:asciiTheme="minorHAnsi" w:eastAsiaTheme="minorEastAsia" w:hAnsiTheme="minorHAnsi" w:cstheme="minorBidi"/>
              <w:smallCaps w:val="0"/>
              <w:noProof/>
              <w:sz w:val="22"/>
              <w:szCs w:val="22"/>
              <w:lang w:bidi="ar-SA"/>
            </w:rPr>
          </w:pPr>
          <w:hyperlink w:anchor="_Toc13832647" w:history="1">
            <w:r>
              <w:rPr>
                <w:rStyle w:val="Hyperlink"/>
                <w:i/>
                <w:noProof/>
              </w:rPr>
              <w:t>3.3.3</w:t>
            </w:r>
            <w:r>
              <w:rPr>
                <w:rFonts w:asciiTheme="minorHAnsi" w:eastAsiaTheme="minorEastAsia" w:hAnsiTheme="minorHAnsi" w:cstheme="minorBidi"/>
                <w:smallCaps w:val="0"/>
                <w:noProof/>
                <w:sz w:val="22"/>
                <w:szCs w:val="22"/>
                <w:lang w:bidi="ar-SA"/>
              </w:rPr>
              <w:tab/>
            </w:r>
            <w:r>
              <w:rPr>
                <w:rStyle w:val="Hyperlink"/>
                <w:i/>
                <w:noProof/>
              </w:rPr>
              <w:t>Zahrnutie prvej aktualizácie korekcie pre Spojené kráľovstvo za rok 2018 a konečnej sumy korekcie pre Spojené kráľovstvo za rok 2015 do NOR č. 4/2019</w:t>
            </w:r>
            <w:r>
              <w:rPr>
                <w:noProof/>
                <w:webHidden/>
              </w:rPr>
              <w:tab/>
            </w:r>
            <w:r>
              <w:rPr>
                <w:noProof/>
                <w:webHidden/>
              </w:rPr>
              <w:fldChar w:fldCharType="begin"/>
            </w:r>
            <w:r>
              <w:rPr>
                <w:noProof/>
                <w:webHidden/>
              </w:rPr>
              <w:instrText xml:space="preserve"> PAGEREF _Toc13832647 \h </w:instrText>
            </w:r>
            <w:r>
              <w:rPr>
                <w:noProof/>
                <w:webHidden/>
              </w:rPr>
            </w:r>
            <w:r>
              <w:rPr>
                <w:noProof/>
                <w:webHidden/>
              </w:rPr>
              <w:fldChar w:fldCharType="separate"/>
            </w:r>
            <w:r>
              <w:rPr>
                <w:noProof/>
                <w:webHidden/>
              </w:rPr>
              <w:t>15</w:t>
            </w:r>
            <w:r>
              <w:rPr>
                <w:noProof/>
                <w:webHidden/>
              </w:rPr>
              <w:fldChar w:fldCharType="end"/>
            </w:r>
          </w:hyperlink>
        </w:p>
        <w:p>
          <w:pPr>
            <w:pStyle w:val="TOC1"/>
            <w:tabs>
              <w:tab w:val="left" w:pos="480"/>
              <w:tab w:val="right" w:leader="dot" w:pos="9855"/>
            </w:tabs>
            <w:rPr>
              <w:rFonts w:asciiTheme="minorHAnsi" w:eastAsiaTheme="minorEastAsia" w:hAnsiTheme="minorHAnsi" w:cstheme="minorBidi"/>
              <w:bCs w:val="0"/>
              <w:caps w:val="0"/>
              <w:noProof/>
              <w:sz w:val="22"/>
              <w:szCs w:val="22"/>
              <w:lang w:bidi="ar-SA"/>
            </w:rPr>
          </w:pPr>
          <w:hyperlink w:anchor="_Toc13832648" w:history="1">
            <w:r>
              <w:rPr>
                <w:rStyle w:val="Hyperlink"/>
                <w:noProof/>
              </w:rPr>
              <w:t>4.</w:t>
            </w:r>
            <w:r>
              <w:rPr>
                <w:rFonts w:asciiTheme="minorHAnsi" w:eastAsiaTheme="minorEastAsia" w:hAnsiTheme="minorHAnsi" w:cstheme="minorBidi"/>
                <w:bCs w:val="0"/>
                <w:caps w:val="0"/>
                <w:noProof/>
                <w:sz w:val="22"/>
                <w:szCs w:val="22"/>
                <w:lang w:bidi="ar-SA"/>
              </w:rPr>
              <w:tab/>
            </w:r>
            <w:r>
              <w:rPr>
                <w:rStyle w:val="Hyperlink"/>
                <w:noProof/>
              </w:rPr>
              <w:t>Súhrnná tabuľka podľa okruhov VFR</w:t>
            </w:r>
            <w:r>
              <w:rPr>
                <w:noProof/>
                <w:webHidden/>
              </w:rPr>
              <w:tab/>
            </w:r>
            <w:r>
              <w:rPr>
                <w:noProof/>
                <w:webHidden/>
              </w:rPr>
              <w:fldChar w:fldCharType="begin"/>
            </w:r>
            <w:r>
              <w:rPr>
                <w:noProof/>
                <w:webHidden/>
              </w:rPr>
              <w:instrText xml:space="preserve"> PAGEREF _Toc13832648 \h </w:instrText>
            </w:r>
            <w:r>
              <w:rPr>
                <w:noProof/>
                <w:webHidden/>
              </w:rPr>
            </w:r>
            <w:r>
              <w:rPr>
                <w:noProof/>
                <w:webHidden/>
              </w:rPr>
              <w:fldChar w:fldCharType="separate"/>
            </w:r>
            <w:r>
              <w:rPr>
                <w:noProof/>
                <w:webHidden/>
              </w:rPr>
              <w:t>17</w:t>
            </w:r>
            <w:r>
              <w:rPr>
                <w:noProof/>
                <w:webHidden/>
              </w:rPr>
              <w:fldChar w:fldCharType="end"/>
            </w:r>
          </w:hyperlink>
        </w:p>
        <w:p>
          <w:pPr>
            <w:pStyle w:val="TOC1"/>
            <w:tabs>
              <w:tab w:val="left" w:pos="480"/>
              <w:tab w:val="right" w:leader="dot" w:pos="9855"/>
            </w:tabs>
            <w:rPr>
              <w:rFonts w:asciiTheme="minorHAnsi" w:eastAsiaTheme="minorEastAsia" w:hAnsiTheme="minorHAnsi" w:cstheme="minorBidi"/>
              <w:b w:val="0"/>
              <w:bCs w:val="0"/>
              <w:caps w:val="0"/>
              <w:noProof/>
              <w:sz w:val="22"/>
              <w:szCs w:val="22"/>
            </w:rPr>
          </w:pPr>
          <w:r>
            <w:rPr>
              <w:noProof/>
            </w:rPr>
            <w:fldChar w:fldCharType="end"/>
          </w:r>
        </w:p>
      </w:sdtContent>
    </w:sdt>
    <w:p>
      <w:pPr>
        <w:rPr>
          <w:b/>
          <w:noProof/>
          <w:u w:val="single"/>
        </w:rPr>
        <w:sectPr>
          <w:headerReference w:type="even" r:id="rId26"/>
          <w:headerReference w:type="default" r:id="rId27"/>
          <w:footerReference w:type="even" r:id="rId28"/>
          <w:footerReference w:type="default" r:id="rId29"/>
          <w:headerReference w:type="first" r:id="rId30"/>
          <w:footerReference w:type="first" r:id="rId31"/>
          <w:pgSz w:w="11907" w:h="16839"/>
          <w:pgMar w:top="1021" w:right="1021" w:bottom="1021" w:left="1021" w:header="709" w:footer="709" w:gutter="0"/>
          <w:cols w:space="708"/>
          <w:docGrid w:linePitch="360"/>
        </w:sectPr>
      </w:pPr>
    </w:p>
    <w:p>
      <w:pPr>
        <w:pStyle w:val="Exposdesmotifstitre"/>
        <w:rPr>
          <w:noProof/>
        </w:rPr>
      </w:pPr>
      <w:r>
        <w:rPr>
          <w:noProof/>
        </w:rPr>
        <w:t>DÔVODOVÁ SPRÁVA</w:t>
      </w:r>
    </w:p>
    <w:p>
      <w:pPr>
        <w:pStyle w:val="ManualHeading1"/>
        <w:rPr>
          <w:noProof/>
        </w:rPr>
      </w:pPr>
      <w:bookmarkStart w:id="5" w:name="_Toc385506031"/>
      <w:bookmarkStart w:id="6" w:name="_Toc430865946"/>
      <w:bookmarkStart w:id="7" w:name="_Toc430867524"/>
      <w:bookmarkStart w:id="8" w:name="_Toc514181799"/>
      <w:bookmarkStart w:id="9" w:name="_Toc12620994"/>
      <w:bookmarkStart w:id="10" w:name="_Toc13832624"/>
      <w:bookmarkStart w:id="11" w:name="_Toc351469332"/>
      <w:bookmarkStart w:id="12" w:name="_Toc361649879"/>
      <w:bookmarkEnd w:id="2"/>
      <w:r>
        <w:rPr>
          <w:noProof/>
        </w:rPr>
        <w:t>1.</w:t>
      </w:r>
      <w:r>
        <w:rPr>
          <w:noProof/>
        </w:rPr>
        <w:tab/>
        <w:t>Úvod</w:t>
      </w:r>
      <w:bookmarkEnd w:id="5"/>
      <w:bookmarkEnd w:id="6"/>
      <w:bookmarkEnd w:id="7"/>
      <w:bookmarkEnd w:id="8"/>
      <w:bookmarkEnd w:id="9"/>
      <w:bookmarkEnd w:id="10"/>
    </w:p>
    <w:p>
      <w:pPr>
        <w:pStyle w:val="ListDash"/>
        <w:numPr>
          <w:ilvl w:val="0"/>
          <w:numId w:val="0"/>
        </w:numPr>
        <w:rPr>
          <w:noProof/>
        </w:rPr>
      </w:pPr>
      <w:bookmarkStart w:id="13" w:name="_Toc514181800"/>
      <w:bookmarkStart w:id="14" w:name="_Toc462410050"/>
      <w:bookmarkStart w:id="15" w:name="_Toc430865947"/>
      <w:bookmarkStart w:id="16" w:name="_Toc430867525"/>
      <w:r>
        <w:rPr>
          <w:noProof/>
        </w:rPr>
        <w:t>Účelom návrhu opravného rozpočtu (NOR) č. 4 na rok 2019 je aktualizovať výdavkovú aj príjmovú stranu rozpočtu s cieľom zohľadniť najnovší vývoj:</w:t>
      </w:r>
    </w:p>
    <w:p>
      <w:pPr>
        <w:pStyle w:val="Tiret0"/>
        <w:rPr>
          <w:noProof/>
        </w:rPr>
      </w:pPr>
      <w:r>
        <w:rPr>
          <w:noProof/>
        </w:rPr>
        <w:t>na strane výdavkov</w:t>
      </w:r>
    </w:p>
    <w:p>
      <w:pPr>
        <w:pStyle w:val="Tiret0"/>
        <w:tabs>
          <w:tab w:val="clear" w:pos="850"/>
          <w:tab w:val="num" w:pos="1570"/>
        </w:tabs>
        <w:ind w:left="1570"/>
        <w:rPr>
          <w:noProof/>
        </w:rPr>
      </w:pPr>
      <w:r>
        <w:rPr>
          <w:noProof/>
        </w:rPr>
        <w:t xml:space="preserve">uvoľniť viazané a platobné rozpočtové prostriedky v rozpočtových riadkoch pre okruhy 1a </w:t>
      </w:r>
      <w:r>
        <w:rPr>
          <w:i/>
          <w:noProof/>
        </w:rPr>
        <w:t>Konkurencieschopnosť pre rast a zamestnanosť</w:t>
      </w:r>
      <w:r>
        <w:rPr>
          <w:noProof/>
        </w:rPr>
        <w:t xml:space="preserve">, 1b </w:t>
      </w:r>
      <w:r>
        <w:rPr>
          <w:i/>
          <w:noProof/>
        </w:rPr>
        <w:t>Hospodárska, sociálna a územná súdržnosť</w:t>
      </w:r>
      <w:r>
        <w:rPr>
          <w:noProof/>
        </w:rPr>
        <w:t xml:space="preserve">, 3 </w:t>
      </w:r>
      <w:r>
        <w:rPr>
          <w:i/>
          <w:noProof/>
        </w:rPr>
        <w:t>Bezpečnosť a občianstvo</w:t>
      </w:r>
      <w:r>
        <w:rPr>
          <w:noProof/>
        </w:rPr>
        <w:t xml:space="preserve">, 4 </w:t>
      </w:r>
      <w:r>
        <w:rPr>
          <w:i/>
          <w:noProof/>
        </w:rPr>
        <w:t>Globálna Európa</w:t>
      </w:r>
      <w:r>
        <w:rPr>
          <w:noProof/>
        </w:rPr>
        <w:t>, ako aj pre Fond solidarity Európskej únie;</w:t>
      </w:r>
    </w:p>
    <w:p>
      <w:pPr>
        <w:pStyle w:val="Tiret0"/>
        <w:tabs>
          <w:tab w:val="clear" w:pos="850"/>
          <w:tab w:val="num" w:pos="1570"/>
        </w:tabs>
        <w:ind w:left="1570"/>
        <w:rPr>
          <w:noProof/>
        </w:rPr>
      </w:pPr>
      <w:r>
        <w:rPr>
          <w:noProof/>
        </w:rPr>
        <w:t>upraviť rozpočet na rok 2019 pri niektorých inštitúciách v dôsledku odloženia vystúpenia Spojeného kráľovstva z Európskej únie na 31. október 2019.</w:t>
      </w:r>
    </w:p>
    <w:p>
      <w:pPr>
        <w:pStyle w:val="Tiret0"/>
        <w:rPr>
          <w:noProof/>
        </w:rPr>
      </w:pPr>
      <w:r>
        <w:rPr>
          <w:noProof/>
        </w:rPr>
        <w:t>na strane príjmov revidovať odhady tradičných vlastných zdrojov (t. j. clá a odvody z produkcie cukru), základov dane z pridanej hodnoty (DPH) a hrubého národného dôchodku (HND), ako aj zahrnúť do rozpočtu príslušné korekcie pre Spojené kráľovstvo a ich financovanie, ktoré majú všetky vplyv na rozloženie príspevkov členských štátov do vlastných zdrojov v rámci rozpočtu EÚ.</w:t>
      </w:r>
    </w:p>
    <w:p>
      <w:pPr>
        <w:keepNext/>
        <w:tabs>
          <w:tab w:val="left" w:pos="850"/>
        </w:tabs>
        <w:spacing w:before="240" w:after="120"/>
        <w:ind w:left="851" w:hanging="851"/>
        <w:jc w:val="both"/>
        <w:outlineLvl w:val="0"/>
        <w:rPr>
          <w:b/>
          <w:smallCaps/>
          <w:noProof/>
        </w:rPr>
      </w:pPr>
      <w:bookmarkStart w:id="17" w:name="_Toc12620995"/>
      <w:bookmarkStart w:id="18" w:name="_Toc13832625"/>
      <w:r>
        <w:rPr>
          <w:b/>
          <w:smallCaps/>
          <w:noProof/>
        </w:rPr>
        <w:t>2.</w:t>
      </w:r>
      <w:r>
        <w:rPr>
          <w:noProof/>
        </w:rPr>
        <w:tab/>
      </w:r>
      <w:r>
        <w:rPr>
          <w:b/>
          <w:smallCaps/>
          <w:noProof/>
        </w:rPr>
        <w:t>Aktualizácia výdavkov</w:t>
      </w:r>
      <w:bookmarkEnd w:id="17"/>
      <w:bookmarkEnd w:id="18"/>
    </w:p>
    <w:p>
      <w:pPr>
        <w:keepNext/>
        <w:tabs>
          <w:tab w:val="left" w:pos="850"/>
        </w:tabs>
        <w:spacing w:before="360" w:after="120"/>
        <w:ind w:left="850" w:hanging="850"/>
        <w:jc w:val="both"/>
        <w:outlineLvl w:val="1"/>
        <w:rPr>
          <w:rFonts w:eastAsia="Calibri"/>
          <w:b/>
          <w:noProof/>
        </w:rPr>
      </w:pPr>
      <w:bookmarkStart w:id="19" w:name="_Toc12620996"/>
      <w:bookmarkStart w:id="20" w:name="_Toc13832626"/>
      <w:r>
        <w:rPr>
          <w:b/>
          <w:noProof/>
        </w:rPr>
        <w:t>2.1.</w:t>
      </w:r>
      <w:r>
        <w:rPr>
          <w:noProof/>
        </w:rPr>
        <w:tab/>
      </w:r>
      <w:r>
        <w:rPr>
          <w:b/>
          <w:noProof/>
        </w:rPr>
        <w:t>Zníženie viazaných aj platobných rozpočtových prostriedkov</w:t>
      </w:r>
      <w:bookmarkEnd w:id="19"/>
      <w:bookmarkEnd w:id="20"/>
    </w:p>
    <w:p>
      <w:pPr>
        <w:keepNext/>
        <w:tabs>
          <w:tab w:val="left" w:pos="850"/>
        </w:tabs>
        <w:spacing w:before="240" w:after="120"/>
        <w:ind w:left="850" w:hanging="850"/>
        <w:jc w:val="both"/>
        <w:outlineLvl w:val="1"/>
        <w:rPr>
          <w:rFonts w:eastAsia="Calibri"/>
          <w:i/>
          <w:noProof/>
        </w:rPr>
      </w:pPr>
      <w:bookmarkStart w:id="21" w:name="_Toc12620997"/>
      <w:bookmarkStart w:id="22" w:name="_Toc13832627"/>
      <w:r>
        <w:rPr>
          <w:i/>
          <w:noProof/>
        </w:rPr>
        <w:t>2.1.1</w:t>
      </w:r>
      <w:r>
        <w:rPr>
          <w:noProof/>
        </w:rPr>
        <w:tab/>
      </w:r>
      <w:r>
        <w:rPr>
          <w:i/>
          <w:noProof/>
        </w:rPr>
        <w:t>Orgány finančného dohľadu (EBA, EIOPA a ESMA)</w:t>
      </w:r>
      <w:bookmarkEnd w:id="21"/>
      <w:bookmarkEnd w:id="22"/>
    </w:p>
    <w:p>
      <w:pPr>
        <w:spacing w:before="120" w:after="240"/>
        <w:jc w:val="both"/>
        <w:rPr>
          <w:noProof/>
        </w:rPr>
      </w:pPr>
      <w:r>
        <w:rPr>
          <w:noProof/>
        </w:rPr>
        <w:t>V septembri 2017</w:t>
      </w:r>
      <w:r>
        <w:rPr>
          <w:rStyle w:val="FootnoteReference"/>
          <w:noProof/>
        </w:rPr>
        <w:footnoteReference w:id="7"/>
      </w:r>
      <w:r>
        <w:rPr>
          <w:noProof/>
        </w:rPr>
        <w:t xml:space="preserve"> Komisia navrhla zásadnú revíziu v mandátoch Európskeho orgánu pre bankovníctvo (EBA), Európskeho orgánu pre poisťovníctvo a dôchodkové poistenie zamestnancov (EIOPA) a Európskeho orgánu pre cenné papiere a trhy (ESMA), ktorá si vyžaduje značné zvýšenie ľudských a finančných zdrojov, a to najmä pre orgán ESMA. Kľúčovým prvkom návrhu bol prechod na nový model financovania, v rámci ktorého by sa súčasný kľúč financovania v podobe príspevku z rozpočtu EÚ (40 %) a príspevku od vnútroštátnych orgánov dohľadu (60 %) nahradil kombináciou financovania z poplatkov a vyrovnávacieho príspevku z rozpočtu EÚ. Komisia zároveň</w:t>
      </w:r>
      <w:r>
        <w:rPr>
          <w:rStyle w:val="FootnoteReference"/>
          <w:noProof/>
        </w:rPr>
        <w:footnoteReference w:id="8"/>
      </w:r>
      <w:r>
        <w:rPr>
          <w:noProof/>
        </w:rPr>
        <w:t xml:space="preserve"> navrhla aj nový mandát pre orgán ESMA v súvislosti s dohľadom nad centrálnymi protistranami (CCP), čo si vyžaduje zvýšenie ľudských zdrojov, ako aj predbežné financovanie týchto činností financovaných z poplatkov, pričom sa zohľadní čas potrebný na zavedenie systému poplatkov.</w:t>
      </w:r>
    </w:p>
    <w:p>
      <w:pPr>
        <w:spacing w:before="120" w:after="240"/>
        <w:jc w:val="both"/>
        <w:rPr>
          <w:noProof/>
        </w:rPr>
      </w:pPr>
      <w:r>
        <w:rPr>
          <w:noProof/>
        </w:rPr>
        <w:t>Politická dohoda o týchto návrhoch bola dosiahnutá v marci 2019. Pokiaľ ide o revíziu mandátov orgánov EBA, EIOPA a ESMA, kompromis v podstate znamenal obmedzenejšie rozšírenie rozsahu mandátov so zodpovedajúcim vplyvom na potreby zdrojov, pričom sa zachoval súčasný model financovania (podiel 40/60 medzi rozpočtom EÚ a vnútroštátnymi orgánmi). Mandát orgánu ESMA vo vzťahu k centrálnym protistranám bude v porovnaní s návrhom Komisie trochu obmedzenejší. V prípade oboch návrhov vznikne vplyv na rozpočet s oneskorením o jeden rok. Vo výkaze odhadov na rok 2020</w:t>
      </w:r>
      <w:r>
        <w:rPr>
          <w:rStyle w:val="FootnoteReference"/>
          <w:noProof/>
        </w:rPr>
        <w:footnoteReference w:id="9"/>
      </w:r>
      <w:r>
        <w:rPr>
          <w:noProof/>
        </w:rPr>
        <w:t xml:space="preserve"> sú už zohľadnené rozpočtové dôsledky pre rok 2020. V tomto NOR sa navrhuje aktualizácia rozpočtu na rok 2019 v prípade ľudských a finančných zdrojov.</w:t>
      </w:r>
    </w:p>
    <w:p>
      <w:pPr>
        <w:spacing w:before="120" w:after="240"/>
        <w:jc w:val="both"/>
        <w:rPr>
          <w:noProof/>
        </w:rPr>
      </w:pPr>
      <w:r>
        <w:rPr>
          <w:noProof/>
        </w:rPr>
        <w:t>Navrhované zníženie príspevku EÚ pre orgány EBA, EIOPA a ESMA je uvedené v nasledujúcej tabuľke.</w:t>
      </w:r>
      <w:r>
        <w:rPr>
          <w:noProof/>
        </w:rPr>
        <w:br w:type="page"/>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vAlign w:val="center"/>
          </w:tcPr>
          <w:p>
            <w:pPr>
              <w:widowControl w:val="0"/>
              <w:spacing w:before="15" w:after="15"/>
              <w:ind w:right="-113"/>
              <w:rPr>
                <w:noProof/>
                <w:sz w:val="20"/>
                <w:szCs w:val="20"/>
              </w:rPr>
            </w:pPr>
            <w:r>
              <w:rPr>
                <w:noProof/>
                <w:color w:val="000000"/>
                <w:sz w:val="20"/>
              </w:rPr>
              <w:t>12 02 04</w:t>
            </w:r>
          </w:p>
        </w:tc>
        <w:tc>
          <w:tcPr>
            <w:tcW w:w="5132" w:type="dxa"/>
            <w:vAlign w:val="center"/>
          </w:tcPr>
          <w:p>
            <w:pPr>
              <w:widowControl w:val="0"/>
              <w:tabs>
                <w:tab w:val="left" w:pos="1350"/>
              </w:tabs>
              <w:spacing w:before="15" w:after="15"/>
              <w:jc w:val="both"/>
              <w:rPr>
                <w:noProof/>
                <w:sz w:val="16"/>
                <w:szCs w:val="16"/>
              </w:rPr>
            </w:pPr>
            <w:r>
              <w:rPr>
                <w:noProof/>
                <w:color w:val="000000"/>
                <w:sz w:val="16"/>
              </w:rPr>
              <w:t>Európsky orgán pre bankovníctvo (EBA)</w:t>
            </w:r>
          </w:p>
        </w:tc>
        <w:tc>
          <w:tcPr>
            <w:tcW w:w="1701" w:type="dxa"/>
            <w:vAlign w:val="center"/>
          </w:tcPr>
          <w:p>
            <w:pPr>
              <w:widowControl w:val="0"/>
              <w:spacing w:before="15" w:after="15"/>
              <w:jc w:val="right"/>
              <w:rPr>
                <w:noProof/>
                <w:sz w:val="20"/>
                <w:szCs w:val="20"/>
              </w:rPr>
            </w:pPr>
            <w:r>
              <w:rPr>
                <w:noProof/>
                <w:color w:val="000000"/>
                <w:sz w:val="20"/>
              </w:rPr>
              <w:t>-2 490 000</w:t>
            </w:r>
          </w:p>
        </w:tc>
        <w:tc>
          <w:tcPr>
            <w:tcW w:w="1701" w:type="dxa"/>
            <w:vAlign w:val="center"/>
          </w:tcPr>
          <w:p>
            <w:pPr>
              <w:widowControl w:val="0"/>
              <w:spacing w:before="15" w:after="15"/>
              <w:jc w:val="right"/>
              <w:rPr>
                <w:noProof/>
                <w:sz w:val="20"/>
                <w:szCs w:val="20"/>
              </w:rPr>
            </w:pPr>
            <w:r>
              <w:rPr>
                <w:noProof/>
                <w:color w:val="000000"/>
                <w:sz w:val="20"/>
              </w:rPr>
              <w:t>-2 490 000</w:t>
            </w:r>
          </w:p>
        </w:tc>
      </w:tr>
      <w:tr>
        <w:trPr>
          <w:jc w:val="center"/>
        </w:trPr>
        <w:tc>
          <w:tcPr>
            <w:tcW w:w="1276" w:type="dxa"/>
            <w:vAlign w:val="center"/>
          </w:tcPr>
          <w:p>
            <w:pPr>
              <w:widowControl w:val="0"/>
              <w:spacing w:before="15" w:after="15"/>
              <w:ind w:right="-113"/>
              <w:rPr>
                <w:noProof/>
                <w:sz w:val="20"/>
                <w:szCs w:val="20"/>
              </w:rPr>
            </w:pPr>
            <w:r>
              <w:rPr>
                <w:noProof/>
                <w:color w:val="000000"/>
                <w:sz w:val="20"/>
              </w:rPr>
              <w:t>12 02 05</w:t>
            </w:r>
          </w:p>
        </w:tc>
        <w:tc>
          <w:tcPr>
            <w:tcW w:w="5132" w:type="dxa"/>
            <w:vAlign w:val="center"/>
          </w:tcPr>
          <w:p>
            <w:pPr>
              <w:widowControl w:val="0"/>
              <w:tabs>
                <w:tab w:val="left" w:pos="1350"/>
              </w:tabs>
              <w:spacing w:before="15" w:after="15"/>
              <w:jc w:val="both"/>
              <w:rPr>
                <w:noProof/>
                <w:sz w:val="16"/>
                <w:szCs w:val="16"/>
              </w:rPr>
            </w:pPr>
            <w:r>
              <w:rPr>
                <w:noProof/>
                <w:color w:val="000000"/>
                <w:sz w:val="16"/>
              </w:rPr>
              <w:t>Európsky orgán pre poisťovníctvo a dôchodkové poistenie zamestnancov (EIOPA)</w:t>
            </w:r>
          </w:p>
        </w:tc>
        <w:tc>
          <w:tcPr>
            <w:tcW w:w="1701" w:type="dxa"/>
            <w:vAlign w:val="center"/>
          </w:tcPr>
          <w:p>
            <w:pPr>
              <w:widowControl w:val="0"/>
              <w:spacing w:before="15" w:after="15"/>
              <w:jc w:val="right"/>
              <w:rPr>
                <w:noProof/>
                <w:sz w:val="20"/>
                <w:szCs w:val="20"/>
              </w:rPr>
            </w:pPr>
            <w:r>
              <w:rPr>
                <w:noProof/>
                <w:color w:val="000000"/>
                <w:sz w:val="20"/>
              </w:rPr>
              <w:t>-2 360 000</w:t>
            </w:r>
          </w:p>
        </w:tc>
        <w:tc>
          <w:tcPr>
            <w:tcW w:w="1701" w:type="dxa"/>
            <w:vAlign w:val="center"/>
          </w:tcPr>
          <w:p>
            <w:pPr>
              <w:widowControl w:val="0"/>
              <w:spacing w:before="15" w:after="15"/>
              <w:jc w:val="right"/>
              <w:rPr>
                <w:noProof/>
                <w:sz w:val="20"/>
                <w:szCs w:val="20"/>
              </w:rPr>
            </w:pPr>
            <w:r>
              <w:rPr>
                <w:noProof/>
                <w:color w:val="000000"/>
                <w:sz w:val="20"/>
              </w:rPr>
              <w:t>-2 360 000</w:t>
            </w:r>
          </w:p>
        </w:tc>
      </w:tr>
      <w:tr>
        <w:trPr>
          <w:jc w:val="center"/>
        </w:trPr>
        <w:tc>
          <w:tcPr>
            <w:tcW w:w="1276" w:type="dxa"/>
            <w:vAlign w:val="center"/>
          </w:tcPr>
          <w:p>
            <w:pPr>
              <w:widowControl w:val="0"/>
              <w:spacing w:before="15" w:after="15"/>
              <w:ind w:right="-113"/>
              <w:rPr>
                <w:noProof/>
                <w:sz w:val="20"/>
                <w:szCs w:val="20"/>
              </w:rPr>
            </w:pPr>
            <w:r>
              <w:rPr>
                <w:noProof/>
                <w:color w:val="000000"/>
                <w:sz w:val="20"/>
              </w:rPr>
              <w:t>12 02 06</w:t>
            </w:r>
          </w:p>
        </w:tc>
        <w:tc>
          <w:tcPr>
            <w:tcW w:w="5132" w:type="dxa"/>
            <w:vAlign w:val="center"/>
          </w:tcPr>
          <w:p>
            <w:pPr>
              <w:widowControl w:val="0"/>
              <w:tabs>
                <w:tab w:val="left" w:pos="1350"/>
              </w:tabs>
              <w:spacing w:before="15" w:after="15"/>
              <w:jc w:val="both"/>
              <w:rPr>
                <w:noProof/>
                <w:sz w:val="16"/>
                <w:szCs w:val="16"/>
              </w:rPr>
            </w:pPr>
            <w:r>
              <w:rPr>
                <w:noProof/>
                <w:color w:val="000000"/>
                <w:sz w:val="16"/>
              </w:rPr>
              <w:t>Európsky orgán pre cenné papiere a trhy (ESMA)</w:t>
            </w:r>
          </w:p>
        </w:tc>
        <w:tc>
          <w:tcPr>
            <w:tcW w:w="1701" w:type="dxa"/>
            <w:vAlign w:val="center"/>
          </w:tcPr>
          <w:p>
            <w:pPr>
              <w:widowControl w:val="0"/>
              <w:spacing w:before="15" w:after="15"/>
              <w:jc w:val="right"/>
              <w:rPr>
                <w:noProof/>
                <w:sz w:val="20"/>
                <w:szCs w:val="20"/>
              </w:rPr>
            </w:pPr>
            <w:r>
              <w:rPr>
                <w:noProof/>
                <w:color w:val="000000"/>
                <w:sz w:val="20"/>
              </w:rPr>
              <w:t>-13 670 000</w:t>
            </w:r>
          </w:p>
        </w:tc>
        <w:tc>
          <w:tcPr>
            <w:tcW w:w="1701" w:type="dxa"/>
            <w:vAlign w:val="center"/>
          </w:tcPr>
          <w:p>
            <w:pPr>
              <w:widowControl w:val="0"/>
              <w:spacing w:before="15" w:after="15"/>
              <w:jc w:val="right"/>
              <w:rPr>
                <w:noProof/>
                <w:sz w:val="20"/>
                <w:szCs w:val="20"/>
              </w:rPr>
            </w:pPr>
            <w:r>
              <w:rPr>
                <w:noProof/>
                <w:color w:val="000000"/>
                <w:sz w:val="20"/>
              </w:rPr>
              <w:t>-13 670 000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tcPr>
          <w:p>
            <w:pPr>
              <w:widowControl w:val="0"/>
              <w:spacing w:before="15" w:after="15"/>
              <w:jc w:val="right"/>
              <w:rPr>
                <w:b/>
                <w:noProof/>
                <w:sz w:val="20"/>
                <w:szCs w:val="20"/>
              </w:rPr>
            </w:pPr>
            <w:r>
              <w:rPr>
                <w:b/>
                <w:noProof/>
                <w:sz w:val="20"/>
              </w:rPr>
              <w:t>-18 520 000</w:t>
            </w:r>
          </w:p>
        </w:tc>
        <w:tc>
          <w:tcPr>
            <w:tcW w:w="1701" w:type="dxa"/>
            <w:shd w:val="clear" w:color="auto" w:fill="D9D9D9"/>
          </w:tcPr>
          <w:p>
            <w:pPr>
              <w:widowControl w:val="0"/>
              <w:spacing w:before="15" w:after="15"/>
              <w:jc w:val="right"/>
              <w:rPr>
                <w:b/>
                <w:noProof/>
                <w:sz w:val="20"/>
                <w:szCs w:val="20"/>
              </w:rPr>
            </w:pPr>
            <w:r>
              <w:rPr>
                <w:b/>
                <w:noProof/>
                <w:sz w:val="20"/>
              </w:rPr>
              <w:t>-18 520 000</w:t>
            </w:r>
          </w:p>
        </w:tc>
      </w:tr>
    </w:tbl>
    <w:p>
      <w:pPr>
        <w:spacing w:before="120" w:after="240"/>
        <w:jc w:val="both"/>
        <w:rPr>
          <w:noProof/>
        </w:rPr>
      </w:pPr>
      <w:r>
        <w:rPr>
          <w:noProof/>
        </w:rPr>
        <w:t>Aktualizované plány pracovných miest orgánov EBA (−10 pracovných miest), EIOPA (−9 pracovných miest) a ESMA (−27 pracovných miest) sú uvedené v prílohe k rozpočtu.</w:t>
      </w:r>
    </w:p>
    <w:p>
      <w:pPr>
        <w:keepNext/>
        <w:tabs>
          <w:tab w:val="left" w:pos="850"/>
        </w:tabs>
        <w:spacing w:before="240" w:after="120"/>
        <w:ind w:left="850" w:hanging="850"/>
        <w:jc w:val="both"/>
        <w:outlineLvl w:val="1"/>
        <w:rPr>
          <w:rFonts w:eastAsia="Calibri"/>
          <w:i/>
          <w:noProof/>
        </w:rPr>
      </w:pPr>
      <w:bookmarkStart w:id="23" w:name="_Toc12620998"/>
      <w:bookmarkStart w:id="24" w:name="_Toc13832628"/>
      <w:r>
        <w:rPr>
          <w:i/>
          <w:noProof/>
        </w:rPr>
        <w:t>2.1.2</w:t>
      </w:r>
      <w:r>
        <w:rPr>
          <w:noProof/>
        </w:rPr>
        <w:tab/>
      </w:r>
      <w:r>
        <w:rPr>
          <w:i/>
          <w:noProof/>
        </w:rPr>
        <w:t>Európska agentúra pre pohraničnú a pobrežnú stráž (Frontex)</w:t>
      </w:r>
      <w:bookmarkEnd w:id="23"/>
      <w:bookmarkEnd w:id="24"/>
    </w:p>
    <w:p>
      <w:pPr>
        <w:spacing w:before="120" w:after="240"/>
        <w:jc w:val="both"/>
        <w:rPr>
          <w:noProof/>
        </w:rPr>
      </w:pPr>
      <w:r>
        <w:rPr>
          <w:noProof/>
        </w:rPr>
        <w:t>V septembri 2018</w:t>
      </w:r>
      <w:r>
        <w:rPr>
          <w:noProof/>
          <w:vertAlign w:val="superscript"/>
        </w:rPr>
        <w:footnoteReference w:id="10"/>
      </w:r>
      <w:r>
        <w:rPr>
          <w:noProof/>
        </w:rPr>
        <w:t xml:space="preserve"> Komisia navrhla rozšírenie mandátu Európskej agentúry pre pohraničnú a pobrežnú stráž (Frontex) s cieľom vytvoriť do roku 2020 stály zbor 10 000 príslušníkov pohraničnej stráže. Do prijatia legislatívneho návrhu sa v rozpočte na rok 2019 vložila do rezervy suma 19,3 mil. EUR na pokrytie nákladov na plánované prijatie prvej skupiny príslušníkov pohraničnej stráže (375 pracovných miest a 375 zmluvných zamestnancov) v poslednom štvrťroku 2019.</w:t>
      </w:r>
    </w:p>
    <w:p>
      <w:pPr>
        <w:spacing w:before="120" w:after="240"/>
        <w:jc w:val="both"/>
        <w:rPr>
          <w:noProof/>
        </w:rPr>
      </w:pPr>
      <w:r>
        <w:rPr>
          <w:noProof/>
        </w:rPr>
        <w:t xml:space="preserve">V marci 2019 sa dosiahla politická dohoda o postupnom vytváraní stáleho zboru 10 000 príslušníkov pohraničnej stráže do roku 2027. Vzhľadom na očakávané nadobudnutie účinnosti nariadenia okolo 1. novembra 2019, ktoré bude formálnym začiatkom skutočného náboru príslušníkov pohraničnej stráže do stáleho zboru, sa Komisia domnieva, že je prezieravé ponechať sumu vo výške 7,2 mil. EUR v rezerve na pokrytie výdavkov na mzdy pre prvých prijatých príslušníkov pohraničnej stráže v roku 2019. V dôsledku toho môže byť zostávajúca suma v rezerve v tomto NOR zrušená.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tcPr>
          <w:p>
            <w:pPr>
              <w:widowControl w:val="0"/>
              <w:spacing w:before="15" w:after="15"/>
              <w:ind w:right="-113"/>
              <w:jc w:val="both"/>
              <w:rPr>
                <w:noProof/>
                <w:sz w:val="20"/>
                <w:szCs w:val="20"/>
              </w:rPr>
            </w:pPr>
            <w:r>
              <w:rPr>
                <w:noProof/>
                <w:sz w:val="20"/>
              </w:rPr>
              <w:t>40 02 41</w:t>
            </w:r>
          </w:p>
        </w:tc>
        <w:tc>
          <w:tcPr>
            <w:tcW w:w="5132" w:type="dxa"/>
          </w:tcPr>
          <w:p>
            <w:pPr>
              <w:widowControl w:val="0"/>
              <w:tabs>
                <w:tab w:val="left" w:pos="1350"/>
              </w:tabs>
              <w:spacing w:before="15" w:after="15"/>
              <w:jc w:val="both"/>
              <w:rPr>
                <w:noProof/>
                <w:sz w:val="16"/>
                <w:szCs w:val="16"/>
              </w:rPr>
            </w:pPr>
            <w:r>
              <w:rPr>
                <w:noProof/>
                <w:sz w:val="16"/>
              </w:rPr>
              <w:t>Diferencované rozpočtové prostriedky [</w:t>
            </w:r>
            <w:r>
              <w:rPr>
                <w:i/>
                <w:noProof/>
                <w:sz w:val="16"/>
              </w:rPr>
              <w:t>rezerva pre rozpočtový článok 18 02 03 – Európska agentúra pre pohraničnú a pobrežnú stráž (FRONTEX</w:t>
            </w:r>
            <w:r>
              <w:rPr>
                <w:noProof/>
                <w:sz w:val="16"/>
              </w:rPr>
              <w:t>)]</w:t>
            </w:r>
          </w:p>
        </w:tc>
        <w:tc>
          <w:tcPr>
            <w:tcW w:w="1701" w:type="dxa"/>
          </w:tcPr>
          <w:p>
            <w:pPr>
              <w:widowControl w:val="0"/>
              <w:spacing w:before="15" w:after="15"/>
              <w:jc w:val="right"/>
              <w:rPr>
                <w:noProof/>
                <w:sz w:val="20"/>
                <w:szCs w:val="20"/>
              </w:rPr>
            </w:pPr>
            <w:r>
              <w:rPr>
                <w:noProof/>
                <w:sz w:val="20"/>
              </w:rPr>
              <w:t>-12 121 000</w:t>
            </w:r>
          </w:p>
        </w:tc>
        <w:tc>
          <w:tcPr>
            <w:tcW w:w="1701" w:type="dxa"/>
          </w:tcPr>
          <w:p>
            <w:pPr>
              <w:widowControl w:val="0"/>
              <w:spacing w:before="15" w:after="15"/>
              <w:jc w:val="right"/>
              <w:rPr>
                <w:noProof/>
                <w:sz w:val="20"/>
                <w:szCs w:val="20"/>
              </w:rPr>
            </w:pPr>
            <w:r>
              <w:rPr>
                <w:noProof/>
                <w:sz w:val="20"/>
              </w:rPr>
              <w:t>-12 121 000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tcPr>
          <w:p>
            <w:pPr>
              <w:widowControl w:val="0"/>
              <w:spacing w:before="15" w:after="15"/>
              <w:jc w:val="right"/>
              <w:rPr>
                <w:b/>
                <w:noProof/>
                <w:sz w:val="20"/>
                <w:szCs w:val="20"/>
              </w:rPr>
            </w:pPr>
            <w:r>
              <w:rPr>
                <w:b/>
                <w:noProof/>
                <w:sz w:val="20"/>
              </w:rPr>
              <w:t>-12 121 000</w:t>
            </w:r>
          </w:p>
        </w:tc>
        <w:tc>
          <w:tcPr>
            <w:tcW w:w="1701" w:type="dxa"/>
            <w:shd w:val="clear" w:color="auto" w:fill="D9D9D9"/>
          </w:tcPr>
          <w:p>
            <w:pPr>
              <w:widowControl w:val="0"/>
              <w:spacing w:before="15" w:after="15"/>
              <w:jc w:val="right"/>
              <w:rPr>
                <w:b/>
                <w:noProof/>
                <w:sz w:val="20"/>
                <w:szCs w:val="20"/>
              </w:rPr>
            </w:pPr>
            <w:r>
              <w:rPr>
                <w:b/>
                <w:noProof/>
                <w:sz w:val="20"/>
              </w:rPr>
              <w:t>-12 121 000</w:t>
            </w:r>
          </w:p>
        </w:tc>
      </w:tr>
    </w:tbl>
    <w:p>
      <w:pPr>
        <w:keepNext/>
        <w:tabs>
          <w:tab w:val="left" w:pos="850"/>
        </w:tabs>
        <w:spacing w:before="240" w:after="120"/>
        <w:ind w:left="850" w:hanging="850"/>
        <w:jc w:val="both"/>
        <w:outlineLvl w:val="1"/>
        <w:rPr>
          <w:rFonts w:eastAsia="Calibri"/>
          <w:i/>
          <w:noProof/>
        </w:rPr>
      </w:pPr>
      <w:bookmarkStart w:id="25" w:name="_Toc12620999"/>
      <w:bookmarkStart w:id="26" w:name="_Toc13832629"/>
      <w:r>
        <w:rPr>
          <w:i/>
          <w:noProof/>
        </w:rPr>
        <w:t>2.1.3</w:t>
      </w:r>
      <w:r>
        <w:rPr>
          <w:noProof/>
        </w:rPr>
        <w:tab/>
      </w:r>
      <w:r>
        <w:rPr>
          <w:i/>
          <w:noProof/>
        </w:rPr>
        <w:t>Prepracovanie nariadenia Dublin III</w:t>
      </w:r>
      <w:bookmarkEnd w:id="25"/>
      <w:bookmarkEnd w:id="26"/>
    </w:p>
    <w:p>
      <w:pPr>
        <w:spacing w:before="120" w:after="240"/>
        <w:jc w:val="both"/>
        <w:rPr>
          <w:noProof/>
        </w:rPr>
      </w:pPr>
      <w:r>
        <w:rPr>
          <w:noProof/>
        </w:rPr>
        <w:t>Schválený rozpočet na rok 2019 obsahoval 460 mil. EUR vo forme viazaných rozpočtových prostriedkov ako rezervu v súvislosti s návrhom Komisie na prepracovanie nariadenia Dublin III, a to kým sa neprijme právny základ. Ak sa právny akt neprijme do 1. februára 2019, Komisia môže predložiť jeden alebo viac návrhov na presuny v súlade s článkom 31 nariadenia o rozpočtových pravidlách.</w:t>
      </w:r>
    </w:p>
    <w:p>
      <w:pPr>
        <w:spacing w:before="120" w:after="240"/>
        <w:jc w:val="both"/>
        <w:rPr>
          <w:noProof/>
        </w:rPr>
      </w:pPr>
      <w:r>
        <w:rPr>
          <w:noProof/>
        </w:rPr>
        <w:t>Prvá tranža vo výške 370 mil. EUR bola uvoľnená v apríli 2019. Súbežne s týmto návrhom opravného rozpočtu Komisia predkladá druhú a konečnú žiadosť o presun (DEC 15/2019), ktorá sa vzťahuje na sumu 82,8 mil. EUR, z toho 62,8 mil. EUR je určených na riešenie dodatočných potrieb financovania pre Grécko v roku 2019 a 20 mil. EUR na prípravu plnenia ďalšieho prísľubu v oblasti presídľovania. Na základe posúdenia Komisie týkajúceho sa súvisiacich koncoročných potrieb v tejto oblasti možno v tomto NOR zrušiť zostávajúcu sumu v rezerve. Napriek tomu bude Komisia naďalej podrobne sledovať vývoj situácie a v prípade potreby môže navrhnúť ďalšie nápravné opatrenia.</w:t>
      </w:r>
      <w:r>
        <w:rPr>
          <w:noProof/>
        </w:rPr>
        <w:br w:type="page"/>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tcPr>
          <w:p>
            <w:pPr>
              <w:widowControl w:val="0"/>
              <w:spacing w:before="15" w:after="15"/>
              <w:ind w:right="-113"/>
              <w:jc w:val="both"/>
              <w:rPr>
                <w:noProof/>
                <w:sz w:val="20"/>
                <w:szCs w:val="20"/>
              </w:rPr>
            </w:pPr>
            <w:r>
              <w:rPr>
                <w:noProof/>
                <w:sz w:val="20"/>
              </w:rPr>
              <w:t>40 02 41</w:t>
            </w:r>
          </w:p>
        </w:tc>
        <w:tc>
          <w:tcPr>
            <w:tcW w:w="5132" w:type="dxa"/>
          </w:tcPr>
          <w:p>
            <w:pPr>
              <w:widowControl w:val="0"/>
              <w:tabs>
                <w:tab w:val="left" w:pos="1350"/>
              </w:tabs>
              <w:spacing w:before="15" w:after="15"/>
              <w:jc w:val="both"/>
              <w:rPr>
                <w:noProof/>
                <w:sz w:val="16"/>
                <w:szCs w:val="16"/>
              </w:rPr>
            </w:pPr>
            <w:r>
              <w:rPr>
                <w:noProof/>
                <w:sz w:val="16"/>
              </w:rPr>
              <w:t>Diferencované rozpočtové prostriedky (</w:t>
            </w:r>
            <w:r>
              <w:rPr>
                <w:i/>
                <w:noProof/>
                <w:sz w:val="16"/>
              </w:rPr>
              <w:t>rezerva pre rozpočtový článok 18 03 01 01 – Posilnenie a rozvoj spoločného európskeho azylového systému a zlepšenie solidarity a zdieľania zodpovednosti medzi členskými štátmi</w:t>
            </w:r>
            <w:r>
              <w:rPr>
                <w:noProof/>
                <w:sz w:val="16"/>
              </w:rPr>
              <w:t>)</w:t>
            </w:r>
          </w:p>
        </w:tc>
        <w:tc>
          <w:tcPr>
            <w:tcW w:w="1701" w:type="dxa"/>
          </w:tcPr>
          <w:p>
            <w:pPr>
              <w:widowControl w:val="0"/>
              <w:spacing w:before="15" w:after="15"/>
              <w:jc w:val="right"/>
              <w:rPr>
                <w:noProof/>
                <w:sz w:val="20"/>
                <w:szCs w:val="20"/>
              </w:rPr>
            </w:pPr>
            <w:r>
              <w:rPr>
                <w:noProof/>
                <w:sz w:val="20"/>
              </w:rPr>
              <w:t>-7 200 000</w:t>
            </w:r>
          </w:p>
        </w:tc>
        <w:tc>
          <w:tcPr>
            <w:tcW w:w="1701" w:type="dxa"/>
          </w:tcPr>
          <w:p>
            <w:pPr>
              <w:widowControl w:val="0"/>
              <w:spacing w:before="15" w:after="15"/>
              <w:jc w:val="right"/>
              <w:rPr>
                <w:noProof/>
                <w:sz w:val="20"/>
                <w:szCs w:val="20"/>
              </w:rPr>
            </w:pPr>
            <w:r>
              <w:rPr>
                <w:noProof/>
                <w:sz w:val="20"/>
              </w:rPr>
              <w:t>-7 200 000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tcPr>
          <w:p>
            <w:pPr>
              <w:widowControl w:val="0"/>
              <w:spacing w:before="15" w:after="15"/>
              <w:jc w:val="right"/>
              <w:rPr>
                <w:b/>
                <w:noProof/>
                <w:sz w:val="20"/>
                <w:szCs w:val="20"/>
              </w:rPr>
            </w:pPr>
            <w:r>
              <w:rPr>
                <w:b/>
                <w:noProof/>
                <w:sz w:val="20"/>
              </w:rPr>
              <w:t>-7 200 000</w:t>
            </w:r>
          </w:p>
        </w:tc>
        <w:tc>
          <w:tcPr>
            <w:tcW w:w="1701" w:type="dxa"/>
            <w:shd w:val="clear" w:color="auto" w:fill="D9D9D9"/>
          </w:tcPr>
          <w:p>
            <w:pPr>
              <w:widowControl w:val="0"/>
              <w:spacing w:before="15" w:after="15"/>
              <w:jc w:val="right"/>
              <w:rPr>
                <w:b/>
                <w:noProof/>
                <w:sz w:val="20"/>
                <w:szCs w:val="20"/>
              </w:rPr>
            </w:pPr>
            <w:r>
              <w:rPr>
                <w:b/>
                <w:noProof/>
                <w:sz w:val="20"/>
              </w:rPr>
              <w:t>-7 200 000</w:t>
            </w:r>
          </w:p>
        </w:tc>
      </w:tr>
    </w:tbl>
    <w:p>
      <w:pPr>
        <w:keepNext/>
        <w:tabs>
          <w:tab w:val="left" w:pos="850"/>
        </w:tabs>
        <w:spacing w:before="240" w:after="120"/>
        <w:ind w:left="850" w:hanging="850"/>
        <w:jc w:val="both"/>
        <w:outlineLvl w:val="1"/>
        <w:rPr>
          <w:rFonts w:eastAsia="Calibri"/>
          <w:i/>
          <w:noProof/>
        </w:rPr>
      </w:pPr>
      <w:bookmarkStart w:id="27" w:name="_Toc12621000"/>
      <w:bookmarkStart w:id="28" w:name="_Toc13832630"/>
      <w:r>
        <w:rPr>
          <w:i/>
          <w:noProof/>
        </w:rPr>
        <w:t>2.1.4.</w:t>
      </w:r>
      <w:r>
        <w:rPr>
          <w:noProof/>
        </w:rPr>
        <w:tab/>
      </w:r>
      <w:r>
        <w:rPr>
          <w:i/>
          <w:noProof/>
        </w:rPr>
        <w:t>Európska prokuratúra (EPPO)</w:t>
      </w:r>
      <w:bookmarkEnd w:id="27"/>
      <w:bookmarkEnd w:id="28"/>
    </w:p>
    <w:p>
      <w:pPr>
        <w:spacing w:before="120" w:after="240"/>
        <w:jc w:val="both"/>
        <w:rPr>
          <w:noProof/>
        </w:rPr>
      </w:pPr>
      <w:r>
        <w:rPr>
          <w:noProof/>
        </w:rPr>
        <w:t>V októbri 2017 sa dosiahla dohoda o vytvorení Európskej prokuratúry (EPPO)</w:t>
      </w:r>
      <w:r>
        <w:rPr>
          <w:rFonts w:eastAsiaTheme="minorEastAsia"/>
          <w:noProof/>
          <w:vertAlign w:val="superscript"/>
        </w:rPr>
        <w:footnoteReference w:id="11"/>
      </w:r>
      <w:r>
        <w:rPr>
          <w:noProof/>
        </w:rPr>
        <w:t>. Zatiaľ čo administratívna stránka vytvárania prokuratúry postupuje dobre, vymenovanie hlavného prokurátora Európskej prokuratúry si vyžadovalo viac času a v súčasnosti sa očakáva, že k vymenovaniu dôjde v druhej polovici roku 2019. Tento krok spúšťa nábor na niektoré ďalšie pozície a niektoré výdavky pôvodne naplánované na rok 2019 sa uskutočnia v roku 2020. V dôsledku toho rozpočtové prostriedky zahrnuté do rozpočtu na rok 2019 možno znížiť o 1 mil. EUR v roku 2019. Vo výkaze odhadov na rok 2020 sú už zohľadnené rozpočtové dôsledky pre rok 2020</w:t>
      </w:r>
      <w:r>
        <w:rPr>
          <w:rStyle w:val="FootnoteReference"/>
          <w:noProof/>
        </w:rPr>
        <w:footnoteReference w:id="12"/>
      </w:r>
      <w:r>
        <w:rPr>
          <w:noProof/>
        </w:rPr>
        <w:t>.</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vAlign w:val="center"/>
          </w:tcPr>
          <w:p>
            <w:pPr>
              <w:widowControl w:val="0"/>
              <w:spacing w:before="15" w:after="15"/>
              <w:ind w:right="-113"/>
              <w:jc w:val="both"/>
              <w:rPr>
                <w:noProof/>
                <w:sz w:val="20"/>
                <w:szCs w:val="20"/>
              </w:rPr>
            </w:pPr>
            <w:r>
              <w:rPr>
                <w:noProof/>
                <w:color w:val="000000"/>
                <w:sz w:val="20"/>
              </w:rPr>
              <w:t>33 03 05</w:t>
            </w:r>
          </w:p>
        </w:tc>
        <w:tc>
          <w:tcPr>
            <w:tcW w:w="5132" w:type="dxa"/>
            <w:vAlign w:val="center"/>
          </w:tcPr>
          <w:p>
            <w:pPr>
              <w:widowControl w:val="0"/>
              <w:tabs>
                <w:tab w:val="left" w:pos="1350"/>
              </w:tabs>
              <w:spacing w:before="15" w:after="15"/>
              <w:jc w:val="both"/>
              <w:rPr>
                <w:noProof/>
                <w:sz w:val="16"/>
                <w:szCs w:val="16"/>
              </w:rPr>
            </w:pPr>
            <w:r>
              <w:rPr>
                <w:noProof/>
                <w:color w:val="000000"/>
                <w:sz w:val="16"/>
              </w:rPr>
              <w:t>Európska prokuratúra (EPPO)</w:t>
            </w:r>
          </w:p>
        </w:tc>
        <w:tc>
          <w:tcPr>
            <w:tcW w:w="1701" w:type="dxa"/>
            <w:vAlign w:val="center"/>
          </w:tcPr>
          <w:p>
            <w:pPr>
              <w:widowControl w:val="0"/>
              <w:spacing w:before="15" w:after="15"/>
              <w:jc w:val="right"/>
              <w:rPr>
                <w:noProof/>
                <w:sz w:val="20"/>
                <w:szCs w:val="20"/>
              </w:rPr>
            </w:pPr>
            <w:r>
              <w:rPr>
                <w:noProof/>
                <w:color w:val="000000"/>
                <w:sz w:val="20"/>
              </w:rPr>
              <w:t>-1 000 000</w:t>
            </w:r>
          </w:p>
        </w:tc>
        <w:tc>
          <w:tcPr>
            <w:tcW w:w="1701" w:type="dxa"/>
            <w:vAlign w:val="center"/>
          </w:tcPr>
          <w:p>
            <w:pPr>
              <w:widowControl w:val="0"/>
              <w:spacing w:before="15" w:after="15"/>
              <w:jc w:val="right"/>
              <w:rPr>
                <w:noProof/>
                <w:sz w:val="20"/>
                <w:szCs w:val="20"/>
              </w:rPr>
            </w:pPr>
            <w:r>
              <w:rPr>
                <w:noProof/>
                <w:color w:val="000000"/>
                <w:sz w:val="20"/>
              </w:rPr>
              <w:t>-1 000 000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tcPr>
          <w:p>
            <w:pPr>
              <w:widowControl w:val="0"/>
              <w:spacing w:before="15" w:after="15"/>
              <w:jc w:val="right"/>
              <w:rPr>
                <w:b/>
                <w:noProof/>
                <w:sz w:val="20"/>
                <w:szCs w:val="20"/>
              </w:rPr>
            </w:pPr>
            <w:r>
              <w:rPr>
                <w:b/>
                <w:noProof/>
                <w:sz w:val="20"/>
              </w:rPr>
              <w:t>-1 000 000</w:t>
            </w:r>
          </w:p>
        </w:tc>
        <w:tc>
          <w:tcPr>
            <w:tcW w:w="1701" w:type="dxa"/>
            <w:shd w:val="clear" w:color="auto" w:fill="D9D9D9"/>
          </w:tcPr>
          <w:p>
            <w:pPr>
              <w:widowControl w:val="0"/>
              <w:spacing w:before="15" w:after="15"/>
              <w:jc w:val="right"/>
              <w:rPr>
                <w:b/>
                <w:noProof/>
                <w:sz w:val="20"/>
                <w:szCs w:val="20"/>
              </w:rPr>
            </w:pPr>
            <w:r>
              <w:rPr>
                <w:b/>
                <w:noProof/>
                <w:sz w:val="20"/>
              </w:rPr>
              <w:t>-1 000 000</w:t>
            </w:r>
          </w:p>
        </w:tc>
      </w:tr>
    </w:tbl>
    <w:p>
      <w:pPr>
        <w:keepNext/>
        <w:tabs>
          <w:tab w:val="left" w:pos="850"/>
        </w:tabs>
        <w:spacing w:before="240" w:after="120"/>
        <w:ind w:left="850" w:hanging="850"/>
        <w:jc w:val="both"/>
        <w:outlineLvl w:val="1"/>
        <w:rPr>
          <w:rFonts w:eastAsia="Calibri"/>
          <w:i/>
          <w:noProof/>
        </w:rPr>
      </w:pPr>
      <w:bookmarkStart w:id="29" w:name="_Toc12621001"/>
      <w:bookmarkStart w:id="30" w:name="_Toc13832631"/>
      <w:r>
        <w:rPr>
          <w:i/>
          <w:noProof/>
        </w:rPr>
        <w:t>2.1.5.</w:t>
      </w:r>
      <w:r>
        <w:rPr>
          <w:noProof/>
        </w:rPr>
        <w:tab/>
      </w:r>
      <w:r>
        <w:rPr>
          <w:i/>
          <w:noProof/>
        </w:rPr>
        <w:t>Európsky sociálny fond – Operačná technická pomoc</w:t>
      </w:r>
      <w:bookmarkEnd w:id="29"/>
      <w:bookmarkEnd w:id="30"/>
    </w:p>
    <w:p>
      <w:pPr>
        <w:spacing w:before="120" w:after="240"/>
        <w:jc w:val="both"/>
        <w:rPr>
          <w:noProof/>
        </w:rPr>
      </w:pPr>
      <w:r>
        <w:rPr>
          <w:noProof/>
        </w:rPr>
        <w:t>Vzhľadom na najnovšie posúdenie skutočných potrieb, pokiaľ ide o viazané rozpočtové prostriedky v rozpočtovej položke 04 02 63 01, môže byť 8,3 mil. EUR zrušených bez toho, aby bolo ohrozené bezproblémové vykonávanie činností technickej pomoci v rámci Európskeho sociálneho fondu.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vAlign w:val="center"/>
          </w:tcPr>
          <w:p>
            <w:pPr>
              <w:widowControl w:val="0"/>
              <w:spacing w:before="15" w:after="15"/>
              <w:ind w:right="-113"/>
              <w:jc w:val="both"/>
              <w:rPr>
                <w:noProof/>
                <w:sz w:val="20"/>
                <w:szCs w:val="20"/>
              </w:rPr>
            </w:pPr>
            <w:r>
              <w:rPr>
                <w:noProof/>
                <w:color w:val="000000"/>
                <w:sz w:val="20"/>
              </w:rPr>
              <w:t>04 02 63 01</w:t>
            </w:r>
          </w:p>
        </w:tc>
        <w:tc>
          <w:tcPr>
            <w:tcW w:w="5132" w:type="dxa"/>
            <w:vAlign w:val="center"/>
          </w:tcPr>
          <w:p>
            <w:pPr>
              <w:widowControl w:val="0"/>
              <w:tabs>
                <w:tab w:val="left" w:pos="1350"/>
              </w:tabs>
              <w:spacing w:before="15" w:after="15"/>
              <w:jc w:val="both"/>
              <w:rPr>
                <w:noProof/>
                <w:sz w:val="16"/>
                <w:szCs w:val="16"/>
              </w:rPr>
            </w:pPr>
            <w:r>
              <w:rPr>
                <w:noProof/>
                <w:color w:val="000000"/>
                <w:sz w:val="16"/>
              </w:rPr>
              <w:t>Európsky sociálny fond – Operačná technická pomoc</w:t>
            </w:r>
          </w:p>
        </w:tc>
        <w:tc>
          <w:tcPr>
            <w:tcW w:w="1701" w:type="dxa"/>
            <w:vAlign w:val="center"/>
          </w:tcPr>
          <w:p>
            <w:pPr>
              <w:widowControl w:val="0"/>
              <w:spacing w:before="15" w:after="15"/>
              <w:jc w:val="right"/>
              <w:rPr>
                <w:noProof/>
                <w:sz w:val="20"/>
                <w:szCs w:val="20"/>
              </w:rPr>
            </w:pPr>
            <w:r>
              <w:rPr>
                <w:noProof/>
                <w:color w:val="000000"/>
                <w:sz w:val="20"/>
              </w:rPr>
              <w:t>-8 300 000</w:t>
            </w:r>
          </w:p>
        </w:tc>
        <w:tc>
          <w:tcPr>
            <w:tcW w:w="1701" w:type="dxa"/>
            <w:vAlign w:val="center"/>
          </w:tcPr>
          <w:p>
            <w:pPr>
              <w:widowControl w:val="0"/>
              <w:spacing w:before="15" w:after="15"/>
              <w:jc w:val="right"/>
              <w:rPr>
                <w:noProof/>
                <w:sz w:val="20"/>
                <w:szCs w:val="20"/>
              </w:rPr>
            </w:pPr>
            <w:r>
              <w:rPr>
                <w:noProof/>
                <w:color w:val="000000"/>
                <w:sz w:val="20"/>
              </w:rPr>
              <w:t>-</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-8 300 000</w:t>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w:t>
            </w:r>
          </w:p>
        </w:tc>
      </w:tr>
    </w:tbl>
    <w:p>
      <w:pPr>
        <w:keepNext/>
        <w:tabs>
          <w:tab w:val="left" w:pos="850"/>
        </w:tabs>
        <w:spacing w:before="240" w:after="120"/>
        <w:ind w:left="850" w:hanging="850"/>
        <w:jc w:val="both"/>
        <w:outlineLvl w:val="1"/>
        <w:rPr>
          <w:rFonts w:eastAsia="Calibri"/>
          <w:i/>
          <w:noProof/>
        </w:rPr>
      </w:pPr>
      <w:bookmarkStart w:id="31" w:name="_Toc12621002"/>
      <w:bookmarkStart w:id="32" w:name="_Toc13832632"/>
      <w:r>
        <w:rPr>
          <w:i/>
          <w:noProof/>
        </w:rPr>
        <w:t>2.1.6.</w:t>
      </w:r>
      <w:r>
        <w:rPr>
          <w:noProof/>
        </w:rPr>
        <w:tab/>
      </w:r>
      <w:r>
        <w:rPr>
          <w:i/>
          <w:noProof/>
        </w:rPr>
        <w:t>Nástroj núdzovej podpory (IES)</w:t>
      </w:r>
      <w:bookmarkEnd w:id="31"/>
      <w:bookmarkEnd w:id="32"/>
    </w:p>
    <w:p>
      <w:pPr>
        <w:spacing w:before="120" w:after="240"/>
        <w:jc w:val="both"/>
        <w:rPr>
          <w:noProof/>
        </w:rPr>
      </w:pPr>
      <w:r>
        <w:rPr>
          <w:noProof/>
        </w:rPr>
        <w:t>Všeobecným cieľom nástroja núdzovej podpory je poskytnúť núdzovú podporu, ktorá vychádza z potrieb a dopĺňa reakciu dotknutých členských štátov s cieľom chrániť životy, predchádzať ľudskému utrpeniu a zmierňovať ho a ochraňovať ľudskú dôstojnosť. Realizácia prvej intervencie v rámci EŠIF sa začala v roku 2016 a v súčasnosti sa postupne ukončuje.</w:t>
      </w:r>
    </w:p>
    <w:p>
      <w:pPr>
        <w:spacing w:before="120" w:after="240"/>
        <w:jc w:val="both"/>
        <w:rPr>
          <w:noProof/>
        </w:rPr>
      </w:pPr>
      <w:r>
        <w:rPr>
          <w:noProof/>
        </w:rPr>
        <w:t>Prostriedky pridelené v súčasnosti na podporné výdavky v rámci EŠIF predstavujú 250 000 EUR. V súlade s revidovanou prognózou požadovaných rozpočtových prostriedkov sa môže zrušiť suma 120 000 EUR.</w:t>
      </w:r>
      <w:r>
        <w:rPr>
          <w:noProof/>
        </w:rPr>
        <w:br w:type="page"/>
      </w:r>
    </w:p>
    <w:p>
      <w:pPr>
        <w:spacing w:before="120" w:after="240"/>
        <w:jc w:val="both"/>
        <w:rPr>
          <w:noProof/>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vAlign w:val="center"/>
          </w:tcPr>
          <w:p>
            <w:pPr>
              <w:widowControl w:val="0"/>
              <w:spacing w:before="15" w:after="15"/>
              <w:ind w:right="-113"/>
              <w:jc w:val="both"/>
              <w:rPr>
                <w:noProof/>
                <w:sz w:val="20"/>
                <w:szCs w:val="20"/>
              </w:rPr>
            </w:pPr>
            <w:r>
              <w:rPr>
                <w:noProof/>
                <w:color w:val="000000"/>
                <w:sz w:val="20"/>
              </w:rPr>
              <w:t>18 01 04 05</w:t>
            </w:r>
          </w:p>
        </w:tc>
        <w:tc>
          <w:tcPr>
            <w:tcW w:w="5132" w:type="dxa"/>
            <w:vAlign w:val="center"/>
          </w:tcPr>
          <w:p>
            <w:pPr>
              <w:widowControl w:val="0"/>
              <w:tabs>
                <w:tab w:val="left" w:pos="1350"/>
              </w:tabs>
              <w:spacing w:before="15" w:after="15"/>
              <w:jc w:val="both"/>
              <w:rPr>
                <w:noProof/>
                <w:sz w:val="16"/>
                <w:szCs w:val="16"/>
              </w:rPr>
            </w:pPr>
            <w:r>
              <w:rPr>
                <w:noProof/>
                <w:color w:val="000000"/>
                <w:sz w:val="16"/>
              </w:rPr>
              <w:t>Podporné výdavky na núdzovú pomoc v rámci Únie</w:t>
            </w:r>
          </w:p>
        </w:tc>
        <w:tc>
          <w:tcPr>
            <w:tcW w:w="1701" w:type="dxa"/>
            <w:vAlign w:val="center"/>
          </w:tcPr>
          <w:p>
            <w:pPr>
              <w:widowControl w:val="0"/>
              <w:spacing w:before="15" w:after="15"/>
              <w:jc w:val="right"/>
              <w:rPr>
                <w:noProof/>
                <w:sz w:val="20"/>
                <w:szCs w:val="20"/>
              </w:rPr>
            </w:pPr>
            <w:r>
              <w:rPr>
                <w:noProof/>
                <w:color w:val="000000"/>
                <w:sz w:val="20"/>
              </w:rPr>
              <w:t>-120 000</w:t>
            </w:r>
          </w:p>
        </w:tc>
        <w:tc>
          <w:tcPr>
            <w:tcW w:w="1701" w:type="dxa"/>
            <w:vAlign w:val="center"/>
          </w:tcPr>
          <w:p>
            <w:pPr>
              <w:widowControl w:val="0"/>
              <w:spacing w:before="15" w:after="15"/>
              <w:jc w:val="right"/>
              <w:rPr>
                <w:noProof/>
                <w:sz w:val="20"/>
                <w:szCs w:val="20"/>
              </w:rPr>
            </w:pPr>
            <w:r>
              <w:rPr>
                <w:noProof/>
                <w:color w:val="000000"/>
                <w:sz w:val="20"/>
              </w:rPr>
              <w:t>-120 000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-120 000</w:t>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-120 000</w:t>
            </w:r>
          </w:p>
        </w:tc>
      </w:tr>
    </w:tbl>
    <w:p>
      <w:pPr>
        <w:keepNext/>
        <w:tabs>
          <w:tab w:val="left" w:pos="850"/>
        </w:tabs>
        <w:spacing w:before="240" w:after="120"/>
        <w:ind w:left="850" w:hanging="850"/>
        <w:jc w:val="both"/>
        <w:outlineLvl w:val="1"/>
        <w:rPr>
          <w:rFonts w:eastAsia="Calibri"/>
          <w:i/>
          <w:noProof/>
        </w:rPr>
      </w:pPr>
      <w:bookmarkStart w:id="33" w:name="_Toc12621003"/>
      <w:bookmarkStart w:id="34" w:name="_Toc13832633"/>
      <w:r>
        <w:rPr>
          <w:i/>
          <w:noProof/>
        </w:rPr>
        <w:t>2.1.7.</w:t>
      </w:r>
      <w:r>
        <w:rPr>
          <w:noProof/>
        </w:rPr>
        <w:tab/>
      </w:r>
      <w:r>
        <w:rPr>
          <w:i/>
          <w:noProof/>
        </w:rPr>
        <w:t>Mechanizmus Únie v oblasti civilnej ochrany (UCPM)</w:t>
      </w:r>
      <w:bookmarkEnd w:id="33"/>
      <w:bookmarkEnd w:id="34"/>
    </w:p>
    <w:p>
      <w:pPr>
        <w:spacing w:before="120" w:after="240"/>
        <w:jc w:val="both"/>
        <w:rPr>
          <w:noProof/>
        </w:rPr>
      </w:pPr>
      <w:r>
        <w:rPr>
          <w:noProof/>
        </w:rPr>
        <w:t>Cieľom mechanizmu Únie v oblasti civilnej ochrany je posilniť spoluprácu medzi zúčastnenými štátmi v oblasti civilnej ochrany s cieľom zlepšiť prevenciu katastrof, pripravenosť a reakciu na ne.</w:t>
      </w:r>
    </w:p>
    <w:p>
      <w:pPr>
        <w:spacing w:before="120" w:after="240"/>
        <w:jc w:val="both"/>
        <w:rPr>
          <w:noProof/>
        </w:rPr>
      </w:pPr>
      <w:r>
        <w:rPr>
          <w:noProof/>
        </w:rPr>
        <w:t>Rozhodnutím Európskeho parlamentu a Rady č. 2019/420 z 13. marca 2019</w:t>
      </w:r>
      <w:r>
        <w:rPr>
          <w:rFonts w:eastAsiaTheme="minorEastAsia"/>
          <w:noProof/>
          <w:vertAlign w:val="superscript"/>
        </w:rPr>
        <w:footnoteReference w:id="13"/>
      </w:r>
      <w:r>
        <w:rPr>
          <w:noProof/>
        </w:rPr>
        <w:t xml:space="preserve"> sa finančné krytie na obdobie 2014 – 2020 pre mechanizmus Únie v oblasti civilnej ochrany zvýšilo na 574 mil. EUR. V nadväznosti na politickú dohodu medzi Radou a Európskym parlamentom a vzhľadom na to, že uvedené pozmeňujúce rozhodnutie bolo prijaté neskôr ako sa očakávalo, by sa prostriedky pridelené na rok 2019 na mechanizmus Únie v oblasti civilnej ochrany mali zodpovedajúcim spôsobom znížiť. Sumy v rezerve presahujúce schválené sumy pridelené na rok 2019 môžu byť zrušené.</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tblHeade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tblHeade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tcPr>
          <w:p>
            <w:pPr>
              <w:widowControl w:val="0"/>
              <w:spacing w:before="15" w:after="15"/>
              <w:ind w:right="-113"/>
              <w:jc w:val="both"/>
              <w:rPr>
                <w:noProof/>
                <w:sz w:val="20"/>
                <w:szCs w:val="20"/>
              </w:rPr>
            </w:pPr>
            <w:r>
              <w:rPr>
                <w:noProof/>
                <w:sz w:val="20"/>
              </w:rPr>
              <w:t>40 02 41</w:t>
            </w:r>
          </w:p>
        </w:tc>
        <w:tc>
          <w:tcPr>
            <w:tcW w:w="5132" w:type="dxa"/>
          </w:tcPr>
          <w:p>
            <w:pPr>
              <w:widowControl w:val="0"/>
              <w:tabs>
                <w:tab w:val="left" w:pos="1350"/>
              </w:tabs>
              <w:spacing w:before="15" w:after="15"/>
              <w:jc w:val="both"/>
              <w:rPr>
                <w:noProof/>
                <w:sz w:val="16"/>
                <w:szCs w:val="16"/>
              </w:rPr>
            </w:pPr>
            <w:r>
              <w:rPr>
                <w:noProof/>
                <w:sz w:val="16"/>
              </w:rPr>
              <w:t>Diferencované rozpočtové prostriedky (</w:t>
            </w:r>
            <w:r>
              <w:rPr>
                <w:i/>
                <w:noProof/>
                <w:sz w:val="16"/>
              </w:rPr>
              <w:t>rezerva pre rozpočtovú položku 23 03 01 01 – Predchádzanie katastrofám a pripravenosť na katastrofy v rámci Únie</w:t>
            </w:r>
            <w:r>
              <w:rPr>
                <w:noProof/>
                <w:sz w:val="16"/>
              </w:rPr>
              <w:t>)</w:t>
            </w:r>
          </w:p>
        </w:tc>
        <w:tc>
          <w:tcPr>
            <w:tcW w:w="1701" w:type="dxa"/>
          </w:tcPr>
          <w:p>
            <w:pPr>
              <w:widowControl w:val="0"/>
              <w:spacing w:before="15" w:after="15"/>
              <w:jc w:val="right"/>
              <w:rPr>
                <w:noProof/>
                <w:sz w:val="20"/>
                <w:szCs w:val="20"/>
              </w:rPr>
            </w:pPr>
            <w:r>
              <w:rPr>
                <w:noProof/>
                <w:sz w:val="20"/>
              </w:rPr>
              <w:t>-35 000 000</w:t>
            </w:r>
          </w:p>
        </w:tc>
        <w:tc>
          <w:tcPr>
            <w:tcW w:w="1701" w:type="dxa"/>
          </w:tcPr>
          <w:p>
            <w:pPr>
              <w:widowControl w:val="0"/>
              <w:spacing w:before="15" w:after="15"/>
              <w:jc w:val="right"/>
              <w:rPr>
                <w:noProof/>
                <w:sz w:val="20"/>
                <w:szCs w:val="20"/>
              </w:rPr>
            </w:pPr>
            <w:r>
              <w:rPr>
                <w:noProof/>
                <w:color w:val="000000"/>
                <w:sz w:val="20"/>
              </w:rPr>
              <w:t>-26 390 000</w:t>
            </w:r>
          </w:p>
        </w:tc>
      </w:tr>
      <w:tr>
        <w:trPr>
          <w:jc w:val="center"/>
        </w:trPr>
        <w:tc>
          <w:tcPr>
            <w:tcW w:w="1276" w:type="dxa"/>
          </w:tcPr>
          <w:p>
            <w:pPr>
              <w:widowControl w:val="0"/>
              <w:spacing w:before="15" w:after="15"/>
              <w:ind w:right="-113"/>
              <w:jc w:val="both"/>
              <w:rPr>
                <w:noProof/>
                <w:sz w:val="20"/>
                <w:szCs w:val="20"/>
              </w:rPr>
            </w:pPr>
            <w:r>
              <w:rPr>
                <w:noProof/>
                <w:sz w:val="20"/>
              </w:rPr>
              <w:t>40 02 41</w:t>
            </w:r>
          </w:p>
        </w:tc>
        <w:tc>
          <w:tcPr>
            <w:tcW w:w="5132" w:type="dxa"/>
          </w:tcPr>
          <w:p>
            <w:pPr>
              <w:widowControl w:val="0"/>
              <w:tabs>
                <w:tab w:val="left" w:pos="1350"/>
              </w:tabs>
              <w:spacing w:before="15" w:after="15"/>
              <w:jc w:val="both"/>
              <w:rPr>
                <w:noProof/>
                <w:sz w:val="16"/>
                <w:szCs w:val="16"/>
              </w:rPr>
            </w:pPr>
            <w:r>
              <w:rPr>
                <w:noProof/>
                <w:sz w:val="16"/>
              </w:rPr>
              <w:t>Diferencované rozpočtové prostriedky (</w:t>
            </w:r>
            <w:r>
              <w:rPr>
                <w:i/>
                <w:noProof/>
                <w:sz w:val="16"/>
              </w:rPr>
              <w:t>rezerva pre rozpočtovú položku 23 03 02 01 – Rýchle a efektívne zásahy v rámci reakcie na núdzové situácie v prípade závažných katastrof</w:t>
            </w:r>
            <w:r>
              <w:rPr>
                <w:noProof/>
                <w:sz w:val="16"/>
              </w:rPr>
              <w:t>)</w:t>
            </w:r>
          </w:p>
        </w:tc>
        <w:tc>
          <w:tcPr>
            <w:tcW w:w="1701" w:type="dxa"/>
          </w:tcPr>
          <w:p>
            <w:pPr>
              <w:widowControl w:val="0"/>
              <w:spacing w:before="15" w:after="15"/>
              <w:jc w:val="right"/>
              <w:rPr>
                <w:noProof/>
                <w:sz w:val="20"/>
                <w:szCs w:val="20"/>
              </w:rPr>
            </w:pPr>
            <w:r>
              <w:rPr>
                <w:noProof/>
                <w:sz w:val="20"/>
              </w:rPr>
              <w:t>-</w:t>
            </w:r>
          </w:p>
        </w:tc>
        <w:tc>
          <w:tcPr>
            <w:tcW w:w="1701" w:type="dxa"/>
          </w:tcPr>
          <w:p>
            <w:pPr>
              <w:widowControl w:val="0"/>
              <w:spacing w:before="15" w:after="15"/>
              <w:jc w:val="right"/>
              <w:rPr>
                <w:noProof/>
                <w:sz w:val="20"/>
                <w:szCs w:val="20"/>
              </w:rPr>
            </w:pPr>
            <w:r>
              <w:rPr>
                <w:noProof/>
                <w:sz w:val="20"/>
              </w:rPr>
              <w:t>-170 514</w:t>
            </w:r>
          </w:p>
        </w:tc>
      </w:tr>
      <w:tr>
        <w:trPr>
          <w:jc w:val="center"/>
        </w:trPr>
        <w:tc>
          <w:tcPr>
            <w:tcW w:w="1276" w:type="dxa"/>
          </w:tcPr>
          <w:p>
            <w:pPr>
              <w:widowControl w:val="0"/>
              <w:spacing w:before="15" w:after="15"/>
              <w:ind w:right="-113"/>
              <w:jc w:val="both"/>
              <w:rPr>
                <w:noProof/>
                <w:sz w:val="20"/>
                <w:szCs w:val="20"/>
              </w:rPr>
            </w:pPr>
            <w:r>
              <w:rPr>
                <w:noProof/>
                <w:sz w:val="20"/>
              </w:rPr>
              <w:t>40 02 41</w:t>
            </w:r>
          </w:p>
        </w:tc>
        <w:tc>
          <w:tcPr>
            <w:tcW w:w="5132" w:type="dxa"/>
          </w:tcPr>
          <w:p>
            <w:pPr>
              <w:widowControl w:val="0"/>
              <w:tabs>
                <w:tab w:val="left" w:pos="1350"/>
              </w:tabs>
              <w:spacing w:before="15" w:after="15"/>
              <w:jc w:val="both"/>
              <w:rPr>
                <w:noProof/>
                <w:sz w:val="16"/>
                <w:szCs w:val="16"/>
              </w:rPr>
            </w:pPr>
            <w:r>
              <w:rPr>
                <w:noProof/>
                <w:sz w:val="16"/>
              </w:rPr>
              <w:t>Diferencované rozpočtové prostriedky (</w:t>
            </w:r>
            <w:r>
              <w:rPr>
                <w:i/>
                <w:noProof/>
                <w:sz w:val="16"/>
              </w:rPr>
              <w:t>rezerva pre rozpočtovú položku 23 03 02 02 – Rýchle a efektívne zásahy v rámci reakcie na núdzové situácie v prípade závažných katastrof v tretích krajinách</w:t>
            </w:r>
            <w:r>
              <w:rPr>
                <w:noProof/>
                <w:sz w:val="16"/>
              </w:rPr>
              <w:t>)</w:t>
            </w:r>
          </w:p>
        </w:tc>
        <w:tc>
          <w:tcPr>
            <w:tcW w:w="1701" w:type="dxa"/>
          </w:tcPr>
          <w:p>
            <w:pPr>
              <w:widowControl w:val="0"/>
              <w:spacing w:before="15" w:after="15"/>
              <w:jc w:val="right"/>
              <w:rPr>
                <w:noProof/>
                <w:sz w:val="20"/>
                <w:szCs w:val="20"/>
              </w:rPr>
            </w:pPr>
            <w:r>
              <w:rPr>
                <w:noProof/>
                <w:sz w:val="20"/>
              </w:rPr>
              <w:t>-</w:t>
            </w:r>
          </w:p>
        </w:tc>
        <w:tc>
          <w:tcPr>
            <w:tcW w:w="1701" w:type="dxa"/>
          </w:tcPr>
          <w:p>
            <w:pPr>
              <w:widowControl w:val="0"/>
              <w:spacing w:before="15" w:after="15"/>
              <w:jc w:val="right"/>
              <w:rPr>
                <w:noProof/>
                <w:sz w:val="20"/>
                <w:szCs w:val="20"/>
              </w:rPr>
            </w:pPr>
            <w:r>
              <w:rPr>
                <w:noProof/>
                <w:color w:val="000000"/>
                <w:sz w:val="20"/>
              </w:rPr>
              <w:t>-2 000 000</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tcPr>
          <w:p>
            <w:pPr>
              <w:widowControl w:val="0"/>
              <w:spacing w:before="15" w:after="15"/>
              <w:jc w:val="right"/>
              <w:rPr>
                <w:b/>
                <w:noProof/>
                <w:sz w:val="20"/>
                <w:szCs w:val="20"/>
              </w:rPr>
            </w:pPr>
            <w:r>
              <w:rPr>
                <w:b/>
                <w:noProof/>
                <w:sz w:val="20"/>
              </w:rPr>
              <w:t>-35 000 000</w:t>
            </w:r>
          </w:p>
        </w:tc>
        <w:tc>
          <w:tcPr>
            <w:tcW w:w="1701" w:type="dxa"/>
            <w:shd w:val="clear" w:color="auto" w:fill="D9D9D9"/>
          </w:tcPr>
          <w:p>
            <w:pPr>
              <w:widowControl w:val="0"/>
              <w:spacing w:before="15" w:after="15"/>
              <w:jc w:val="right"/>
              <w:rPr>
                <w:b/>
                <w:noProof/>
                <w:sz w:val="20"/>
                <w:szCs w:val="20"/>
              </w:rPr>
            </w:pPr>
            <w:r>
              <w:rPr>
                <w:b/>
                <w:noProof/>
                <w:sz w:val="20"/>
              </w:rPr>
              <w:t>-28 560 514</w:t>
            </w:r>
          </w:p>
        </w:tc>
      </w:tr>
    </w:tbl>
    <w:p>
      <w:pPr>
        <w:keepNext/>
        <w:tabs>
          <w:tab w:val="left" w:pos="850"/>
        </w:tabs>
        <w:spacing w:before="240" w:after="120"/>
        <w:ind w:left="850" w:hanging="850"/>
        <w:jc w:val="both"/>
        <w:outlineLvl w:val="1"/>
        <w:rPr>
          <w:rFonts w:eastAsia="Calibri"/>
          <w:i/>
          <w:noProof/>
        </w:rPr>
      </w:pPr>
      <w:bookmarkStart w:id="35" w:name="_Toc12621004"/>
      <w:bookmarkStart w:id="36" w:name="_Toc13832634"/>
      <w:r>
        <w:rPr>
          <w:i/>
          <w:noProof/>
        </w:rPr>
        <w:t>2.1.8.</w:t>
      </w:r>
      <w:r>
        <w:rPr>
          <w:noProof/>
        </w:rPr>
        <w:tab/>
      </w:r>
      <w:r>
        <w:rPr>
          <w:i/>
          <w:noProof/>
        </w:rPr>
        <w:t>Fond solidarity Európskej únie (FSEÚ)</w:t>
      </w:r>
      <w:bookmarkEnd w:id="35"/>
      <w:bookmarkEnd w:id="36"/>
    </w:p>
    <w:p>
      <w:pPr>
        <w:spacing w:before="120" w:after="240"/>
        <w:jc w:val="both"/>
        <w:rPr>
          <w:noProof/>
        </w:rPr>
      </w:pPr>
      <w:r>
        <w:rPr>
          <w:noProof/>
        </w:rPr>
        <w:t>Podľa článku 4a ods. 4 nariadenia Rady (ES) č. 2012/2002 z 11. novembra 2002, ktorým sa zriaďuje Fond solidarity Európskej únie (FSEÚ), je celková suma na zálohové platby na každý rok obmedzená na 50 mil. EUR vo viazaných aj platobných rozpočtových prostriedkoch.</w:t>
      </w:r>
    </w:p>
    <w:p>
      <w:pPr>
        <w:spacing w:before="120" w:after="240"/>
        <w:jc w:val="both"/>
        <w:rPr>
          <w:noProof/>
        </w:rPr>
      </w:pPr>
      <w:r>
        <w:rPr>
          <w:noProof/>
        </w:rPr>
        <w:t>Podľa článku 12 ods. 4 písm. a) nariadenia o rozpočtových pravidlách, ktoré je novým ustanovením účinným od 1. augusta 2018, sa realizuje automatický prenos nepoužitých viazaných rozpočtových prostriedkov pre FSEÚ. Na konci roka 2018 boli pre FSEÚ k dispozícii viazané rozpočtové prostriedky vo výške 29,7 mil. EUR, ktoré boli automaticky prenesené do roku 2019. V rozpočte na rok 2019 bola mobilizovaná suma 50 mil. EUR</w:t>
      </w:r>
      <w:r>
        <w:rPr>
          <w:rStyle w:val="FootnoteReference"/>
          <w:noProof/>
        </w:rPr>
        <w:footnoteReference w:id="14"/>
      </w:r>
      <w:r>
        <w:rPr>
          <w:noProof/>
        </w:rPr>
        <w:t>.</w:t>
      </w:r>
    </w:p>
    <w:p>
      <w:pPr>
        <w:spacing w:before="120" w:after="240"/>
        <w:jc w:val="both"/>
        <w:rPr>
          <w:noProof/>
        </w:rPr>
      </w:pPr>
      <w:r>
        <w:rPr>
          <w:noProof/>
        </w:rPr>
        <w:t xml:space="preserve">V dôsledku toho sú v súčasnosti v roku 2019 k dispozícii viazané rozpočtové prostriedky vo výške 79,7 mil. EUR a platobné rozpočtové prostriedky vo výške 50 mil. EUR na zálohové platby FSEÚ. Preto sa navrhuje znížiť viazané rozpočtové prostriedky zahrnuté do rozpočtu na rok 2019 o 29,7 mil. EUR, aby sa úroveň viazaných rozpočtových prostriedkov znížila na 50 mil. EUR, s ktorými sa počíta v základnom akte, a na úroveň platobných rozpočtových prostriedkov.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i/>
                <w:noProof/>
                <w:sz w:val="20"/>
                <w:szCs w:val="20"/>
              </w:rPr>
            </w:pPr>
            <w:r>
              <w:rPr>
                <w:i/>
                <w:noProof/>
                <w:sz w:val="20"/>
              </w:rPr>
              <w:t>v EUR</w:t>
            </w:r>
          </w:p>
        </w:tc>
      </w:tr>
      <w:tr>
        <w:trPr>
          <w:jc w:val="center"/>
        </w:trPr>
        <w:tc>
          <w:tcPr>
            <w:tcW w:w="1276"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Rozpočtový riadok</w:t>
            </w:r>
          </w:p>
        </w:tc>
        <w:tc>
          <w:tcPr>
            <w:tcW w:w="5132"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Názov</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Viazané rozpočtové prostriedky</w:t>
            </w:r>
          </w:p>
        </w:tc>
        <w:tc>
          <w:tcPr>
            <w:tcW w:w="1701" w:type="dxa"/>
            <w:tcBorders>
              <w:top w:val="single" w:sz="4" w:space="0" w:color="auto"/>
            </w:tcBorders>
            <w:shd w:val="clear" w:color="auto" w:fill="D9D9D9"/>
            <w:vAlign w:val="center"/>
          </w:tcPr>
          <w:p>
            <w:pPr>
              <w:widowControl w:val="0"/>
              <w:spacing w:before="15" w:after="15"/>
              <w:jc w:val="center"/>
              <w:rPr>
                <w:b/>
                <w:noProof/>
                <w:sz w:val="20"/>
                <w:szCs w:val="20"/>
              </w:rPr>
            </w:pPr>
            <w:r>
              <w:rPr>
                <w:b/>
                <w:noProof/>
                <w:sz w:val="20"/>
              </w:rPr>
              <w:t>Platobné rozpočtové prostriedky</w:t>
            </w:r>
          </w:p>
        </w:tc>
      </w:tr>
      <w:tr>
        <w:trPr>
          <w:jc w:val="center"/>
        </w:trPr>
        <w:tc>
          <w:tcPr>
            <w:tcW w:w="9810" w:type="dxa"/>
            <w:gridSpan w:val="4"/>
            <w:shd w:val="clear" w:color="auto" w:fill="F2F2F2" w:themeFill="background1" w:themeFillShade="F2"/>
            <w:vAlign w:val="center"/>
          </w:tcPr>
          <w:p>
            <w:pPr>
              <w:widowControl w:val="0"/>
              <w:spacing w:before="15" w:after="15"/>
              <w:rPr>
                <w:i/>
                <w:noProof/>
                <w:sz w:val="20"/>
                <w:szCs w:val="20"/>
              </w:rPr>
            </w:pPr>
            <w:r>
              <w:rPr>
                <w:i/>
                <w:noProof/>
                <w:sz w:val="20"/>
              </w:rPr>
              <w:t>Oddiel III – Komisia</w:t>
            </w:r>
          </w:p>
        </w:tc>
      </w:tr>
      <w:tr>
        <w:trPr>
          <w:jc w:val="center"/>
        </w:trPr>
        <w:tc>
          <w:tcPr>
            <w:tcW w:w="1276" w:type="dxa"/>
            <w:vAlign w:val="center"/>
          </w:tcPr>
          <w:p>
            <w:pPr>
              <w:widowControl w:val="0"/>
              <w:spacing w:before="15" w:after="15"/>
              <w:ind w:right="-113"/>
              <w:jc w:val="both"/>
              <w:rPr>
                <w:noProof/>
                <w:sz w:val="20"/>
                <w:szCs w:val="20"/>
              </w:rPr>
            </w:pPr>
            <w:r>
              <w:rPr>
                <w:noProof/>
                <w:color w:val="000000"/>
                <w:sz w:val="20"/>
              </w:rPr>
              <w:t>13 06 01</w:t>
            </w:r>
          </w:p>
        </w:tc>
        <w:tc>
          <w:tcPr>
            <w:tcW w:w="5132" w:type="dxa"/>
            <w:vAlign w:val="center"/>
          </w:tcPr>
          <w:p>
            <w:pPr>
              <w:widowControl w:val="0"/>
              <w:tabs>
                <w:tab w:val="left" w:pos="1350"/>
              </w:tabs>
              <w:spacing w:before="15" w:after="15"/>
              <w:jc w:val="both"/>
              <w:rPr>
                <w:noProof/>
                <w:sz w:val="16"/>
                <w:szCs w:val="16"/>
              </w:rPr>
            </w:pPr>
            <w:r>
              <w:rPr>
                <w:noProof/>
                <w:color w:val="000000"/>
                <w:sz w:val="16"/>
              </w:rPr>
              <w:t>Pomoc členským štátom v prípade veľkej prírodnej katastrofy so závažnými dôsledkami na životné podmienky, prírodné prostredie alebo hospodárstvo</w:t>
            </w:r>
          </w:p>
        </w:tc>
        <w:tc>
          <w:tcPr>
            <w:tcW w:w="1701" w:type="dxa"/>
            <w:vAlign w:val="center"/>
          </w:tcPr>
          <w:p>
            <w:pPr>
              <w:widowControl w:val="0"/>
              <w:spacing w:before="15" w:after="15"/>
              <w:jc w:val="right"/>
              <w:rPr>
                <w:noProof/>
                <w:sz w:val="20"/>
                <w:szCs w:val="20"/>
              </w:rPr>
            </w:pPr>
            <w:r>
              <w:rPr>
                <w:noProof/>
                <w:color w:val="000000"/>
                <w:sz w:val="20"/>
              </w:rPr>
              <w:t>-29 748 635</w:t>
            </w:r>
          </w:p>
        </w:tc>
        <w:tc>
          <w:tcPr>
            <w:tcW w:w="1701" w:type="dxa"/>
            <w:vAlign w:val="center"/>
          </w:tcPr>
          <w:p>
            <w:pPr>
              <w:widowControl w:val="0"/>
              <w:spacing w:before="15" w:after="15"/>
              <w:jc w:val="right"/>
              <w:rPr>
                <w:noProof/>
                <w:sz w:val="20"/>
                <w:szCs w:val="20"/>
              </w:rPr>
            </w:pPr>
            <w:r>
              <w:rPr>
                <w:noProof/>
                <w:color w:val="000000"/>
                <w:sz w:val="20"/>
              </w:rPr>
              <w:t>-</w:t>
            </w:r>
          </w:p>
        </w:tc>
      </w:tr>
      <w:tr>
        <w:trPr>
          <w:jc w:val="center"/>
        </w:trPr>
        <w:tc>
          <w:tcPr>
            <w:tcW w:w="6408" w:type="dxa"/>
            <w:gridSpan w:val="2"/>
            <w:shd w:val="clear" w:color="auto" w:fill="D9D9D9"/>
          </w:tcPr>
          <w:p>
            <w:pPr>
              <w:widowControl w:val="0"/>
              <w:tabs>
                <w:tab w:val="left" w:pos="975"/>
              </w:tabs>
              <w:spacing w:before="15" w:after="15"/>
              <w:jc w:val="both"/>
              <w:rPr>
                <w:b/>
                <w:noProof/>
                <w:sz w:val="20"/>
                <w:szCs w:val="20"/>
              </w:rPr>
            </w:pPr>
            <w:r>
              <w:rPr>
                <w:b/>
                <w:noProof/>
                <w:sz w:val="20"/>
              </w:rPr>
              <w:t>Spolu</w:t>
            </w:r>
            <w:r>
              <w:rPr>
                <w:noProof/>
              </w:rPr>
              <w:tab/>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-29 748 635</w:t>
            </w:r>
          </w:p>
        </w:tc>
        <w:tc>
          <w:tcPr>
            <w:tcW w:w="1701" w:type="dxa"/>
            <w:shd w:val="clear" w:color="auto" w:fill="D9D9D9"/>
            <w:vAlign w:val="center"/>
          </w:tcPr>
          <w:p>
            <w:pPr>
              <w:widowControl w:val="0"/>
              <w:spacing w:before="15" w:after="15"/>
              <w:jc w:val="right"/>
              <w:rPr>
                <w:b/>
                <w:noProof/>
                <w:sz w:val="20"/>
                <w:szCs w:val="20"/>
              </w:rPr>
            </w:pPr>
            <w:r>
              <w:rPr>
                <w:b/>
                <w:noProof/>
                <w:color w:val="000000"/>
                <w:sz w:val="20"/>
              </w:rPr>
              <w:t>-</w:t>
            </w:r>
          </w:p>
        </w:tc>
      </w:tr>
    </w:tbl>
    <w:p>
      <w:pPr>
        <w:keepNext/>
        <w:tabs>
          <w:tab w:val="left" w:pos="850"/>
        </w:tabs>
        <w:spacing w:before="240" w:after="120"/>
        <w:ind w:left="850" w:hanging="850"/>
        <w:jc w:val="both"/>
        <w:outlineLvl w:val="1"/>
        <w:rPr>
          <w:rFonts w:eastAsia="Calibri"/>
          <w:i/>
          <w:noProof/>
        </w:rPr>
      </w:pPr>
      <w:bookmarkStart w:id="37" w:name="_Toc12621005"/>
      <w:bookmarkStart w:id="38" w:name="_Toc13832635"/>
      <w:bookmarkStart w:id="39" w:name="_Toc494994377"/>
      <w:bookmarkStart w:id="40" w:name="_Toc525202231"/>
      <w:r>
        <w:rPr>
          <w:i/>
          <w:noProof/>
        </w:rPr>
        <w:t>2.1.9.</w:t>
      </w:r>
      <w:r>
        <w:rPr>
          <w:noProof/>
        </w:rPr>
        <w:tab/>
      </w:r>
      <w:r>
        <w:rPr>
          <w:i/>
          <w:noProof/>
        </w:rPr>
        <w:t>Úprava mobilizácie osobitných nástrojov</w:t>
      </w:r>
      <w:bookmarkEnd w:id="37"/>
      <w:bookmarkEnd w:id="38"/>
    </w:p>
    <w:bookmarkEnd w:id="39"/>
    <w:bookmarkEnd w:id="40"/>
    <w:p>
      <w:pPr>
        <w:autoSpaceDE w:val="0"/>
        <w:autoSpaceDN w:val="0"/>
        <w:adjustRightInd w:val="0"/>
        <w:spacing w:before="120" w:after="240"/>
        <w:jc w:val="both"/>
        <w:rPr>
          <w:noProof/>
        </w:rPr>
      </w:pPr>
      <w:r>
        <w:rPr>
          <w:noProof/>
        </w:rPr>
        <w:t>Vzhľadom na zníženia úrovne viazaných rozpočtových prostriedkov okruhov 1a a 3 zahrnuté v tomto NOR sa navrhuje upraviť mobilizáciu nástroja flexibility takto:</w:t>
      </w:r>
    </w:p>
    <w:p>
      <w:pPr>
        <w:pStyle w:val="Tiret0"/>
        <w:rPr>
          <w:noProof/>
        </w:rPr>
      </w:pPr>
      <w:r>
        <w:rPr>
          <w:noProof/>
        </w:rPr>
        <w:t>V prípade okruhu 1a sa mobilizácia nástroja flexibility znížila o 18,5 mil. EUR;</w:t>
      </w:r>
    </w:p>
    <w:p>
      <w:pPr>
        <w:pStyle w:val="Tiret0"/>
        <w:rPr>
          <w:noProof/>
        </w:rPr>
      </w:pPr>
      <w:r>
        <w:rPr>
          <w:noProof/>
        </w:rPr>
        <w:t>V prípade okruhu 3 sa mobilizácia nástroja flexibility znížila o 55,4 mil. EUR;</w:t>
      </w:r>
    </w:p>
    <w:p>
      <w:pPr>
        <w:autoSpaceDE w:val="0"/>
        <w:autoSpaceDN w:val="0"/>
        <w:adjustRightInd w:val="0"/>
        <w:spacing w:before="120" w:after="240"/>
        <w:jc w:val="both"/>
        <w:rPr>
          <w:bCs/>
          <w:noProof/>
        </w:rPr>
      </w:pPr>
      <w:r>
        <w:rPr>
          <w:noProof/>
        </w:rPr>
        <w:t>Navrhované rozhodnutie o mobilizácii nástroja flexibility</w:t>
      </w:r>
      <w:r>
        <w:rPr>
          <w:rStyle w:val="FootnoteReference"/>
          <w:noProof/>
        </w:rPr>
        <w:footnoteReference w:id="15"/>
      </w:r>
      <w:r>
        <w:rPr>
          <w:noProof/>
        </w:rPr>
        <w:t>, ktorým sa zrušuje a nahrádza rozhodnutie (EÚ) 2019/276 z 12. decembra 2018</w:t>
      </w:r>
      <w:r>
        <w:rPr>
          <w:rStyle w:val="FootnoteReference"/>
          <w:noProof/>
        </w:rPr>
        <w:footnoteReference w:id="16"/>
      </w:r>
      <w:r>
        <w:rPr>
          <w:noProof/>
        </w:rPr>
        <w:t>, je pripojené k tomuto NOR.</w:t>
      </w:r>
    </w:p>
    <w:p>
      <w:pPr>
        <w:pStyle w:val="Tiret0"/>
        <w:numPr>
          <w:ilvl w:val="0"/>
          <w:numId w:val="0"/>
        </w:numPr>
        <w:rPr>
          <w:noProof/>
        </w:rPr>
      </w:pPr>
      <w:r>
        <w:rPr>
          <w:noProof/>
        </w:rPr>
        <w:t>Vzhľadom na zníženia úrovne viazaných rozpočtových prostriedkov okruhu 1b zahrnuté v tomto NOR sa použitie celkovej rezervy na záväzky znižuje o 8,3 mil. EUR.</w:t>
      </w:r>
    </w:p>
    <w:p>
      <w:pPr>
        <w:keepNext/>
        <w:tabs>
          <w:tab w:val="left" w:pos="850"/>
        </w:tabs>
        <w:spacing w:before="360" w:after="120"/>
        <w:ind w:left="850" w:hanging="850"/>
        <w:jc w:val="both"/>
        <w:outlineLvl w:val="1"/>
        <w:rPr>
          <w:rFonts w:eastAsia="Calibri"/>
          <w:b/>
          <w:noProof/>
        </w:rPr>
      </w:pPr>
      <w:bookmarkStart w:id="41" w:name="_Toc12621006"/>
      <w:bookmarkStart w:id="42" w:name="_Toc13832636"/>
      <w:r>
        <w:rPr>
          <w:b/>
          <w:noProof/>
        </w:rPr>
        <w:t>2.2.</w:t>
      </w:r>
      <w:r>
        <w:rPr>
          <w:noProof/>
        </w:rPr>
        <w:tab/>
      </w:r>
      <w:bookmarkEnd w:id="13"/>
      <w:r>
        <w:rPr>
          <w:b/>
          <w:noProof/>
        </w:rPr>
        <w:t>Odloženie vystúpenia Spojeného kráľovstva z Európskej únie: vplyv na inštitúcie EÚ</w:t>
      </w:r>
      <w:bookmarkEnd w:id="41"/>
      <w:bookmarkEnd w:id="42"/>
    </w:p>
    <w:p>
      <w:pPr>
        <w:pStyle w:val="ListDash"/>
        <w:numPr>
          <w:ilvl w:val="0"/>
          <w:numId w:val="0"/>
        </w:numPr>
        <w:rPr>
          <w:noProof/>
        </w:rPr>
      </w:pPr>
      <w:r>
        <w:rPr>
          <w:noProof/>
        </w:rPr>
        <w:t>Počas prípravy rozpočtu na rok 2019 boli inštitúcie vyzvané, aby vo svojich výkazoch odhadov zohľadnili vplyv vystúpenia Spojeného kráľovstva z Európskej únie, ktoré bolo pôvodne naplánované na 29. marca 2019, a to v oblastiach, v ktorých boli zjavné, že v nich dôjde k zmenám (napr. zníženie o jedného člena Komisie, jedného člena Dvora audítorov, úprava počtu sudcov Súdneho dvora, zatvorenie zastúpenia a regionálnych kancelárií v Spojenom kráľovstve atď.).</w:t>
      </w:r>
    </w:p>
    <w:p>
      <w:pPr>
        <w:pStyle w:val="ListDash"/>
        <w:numPr>
          <w:ilvl w:val="0"/>
          <w:numId w:val="0"/>
        </w:numPr>
        <w:rPr>
          <w:noProof/>
        </w:rPr>
      </w:pPr>
      <w:r>
        <w:rPr>
          <w:noProof/>
        </w:rPr>
        <w:t>Európsky parlament, Rada, Komisia, Súdny dvor, Európsky dvor audítorov a Európsky hospodársky a sociálny výbor v dôsledku toho znížili svoju rozpočtovú požiadavku celkovo približne o 11,7 mil. EUR (z toho sa 10,2 mil. EUR týka Európskeho parlamentu). Toto zníženie bolo odhadnuté na základe predpokladu, že Spojené kráľovstvo bude v roku 2019 členským štátom 3 mesiace.</w:t>
      </w:r>
    </w:p>
    <w:p>
      <w:pPr>
        <w:pStyle w:val="ListDash"/>
        <w:numPr>
          <w:ilvl w:val="0"/>
          <w:numId w:val="0"/>
        </w:numPr>
        <w:rPr>
          <w:noProof/>
        </w:rPr>
      </w:pPr>
      <w:r>
        <w:rPr>
          <w:noProof/>
        </w:rPr>
        <w:t>Európska služba pre vonkajšiu činnosť zvýšila svoju rozpočtovú požiadavku o 12,3 mil. EUR s cieľom zohľadniť dodatočné výdavky súvisiace so zriadením divízie pre Spojené kráľovstvo v rámci ústredia a delegácie EÚ v Londýne.</w:t>
      </w:r>
    </w:p>
    <w:p>
      <w:pPr>
        <w:pStyle w:val="ListDash"/>
        <w:numPr>
          <w:ilvl w:val="0"/>
          <w:numId w:val="0"/>
        </w:numPr>
        <w:rPr>
          <w:noProof/>
        </w:rPr>
      </w:pPr>
      <w:r>
        <w:rPr>
          <w:noProof/>
        </w:rPr>
        <w:t>V dôsledku odkladu vystúpenia Spojeného kráľovstva</w:t>
      </w:r>
      <w:r>
        <w:rPr>
          <w:rStyle w:val="FootnoteReference"/>
          <w:noProof/>
        </w:rPr>
        <w:footnoteReference w:id="17"/>
      </w:r>
      <w:r>
        <w:rPr>
          <w:noProof/>
        </w:rPr>
        <w:t xml:space="preserve"> budú musieť inštitúcie pokryť výdavky spojené so Spojeným kráľovstvom ako členským štátom EÚ na ďalších sedem mesiacov.</w:t>
      </w:r>
    </w:p>
    <w:p>
      <w:pPr>
        <w:pStyle w:val="ListDash"/>
        <w:numPr>
          <w:ilvl w:val="0"/>
          <w:numId w:val="0"/>
        </w:numPr>
        <w:rPr>
          <w:noProof/>
        </w:rPr>
      </w:pPr>
      <w:r>
        <w:rPr>
          <w:noProof/>
        </w:rPr>
        <w:t>Rada, Komisia, Súdny dvor, Európsky súdny dvor a Európsky hospodársky a sociálny výbor sa zamerajú na pokrytie dodatočných potrieb prerozdelením existujúcich zdrojov. Konkrétne v prípade Súdneho dvora to umožňuje situácia pretrvávajúceho oneskorenia pri vymenovaní jedného sudcu jedným z členských štátov, čím sa dosiahli dostatočné úspory na pokrytie dodatočných výdavkov na odmeňovanie členov zo Spojeného kráľovstva do 31. októbra 2019.</w:t>
      </w:r>
    </w:p>
    <w:p>
      <w:pPr>
        <w:pStyle w:val="ListDash"/>
        <w:numPr>
          <w:ilvl w:val="0"/>
          <w:numId w:val="0"/>
        </w:numPr>
        <w:rPr>
          <w:noProof/>
        </w:rPr>
      </w:pPr>
      <w:r>
        <w:rPr>
          <w:noProof/>
        </w:rPr>
        <w:t>Európsky parlament a Európsky dvor audítorov naopak požadujú dodatočné rozpočtové prostriedky z dôvodov uvedených nižšie.</w:t>
      </w:r>
    </w:p>
    <w:p>
      <w:pPr>
        <w:keepNext/>
        <w:tabs>
          <w:tab w:val="left" w:pos="850"/>
        </w:tabs>
        <w:spacing w:before="240" w:after="120"/>
        <w:ind w:left="850" w:hanging="850"/>
        <w:jc w:val="both"/>
        <w:outlineLvl w:val="1"/>
        <w:rPr>
          <w:rFonts w:eastAsia="Calibri"/>
          <w:i/>
          <w:noProof/>
        </w:rPr>
      </w:pPr>
      <w:bookmarkStart w:id="43" w:name="_Toc12621007"/>
      <w:bookmarkStart w:id="44" w:name="_Toc13832637"/>
      <w:r>
        <w:rPr>
          <w:i/>
          <w:noProof/>
        </w:rPr>
        <w:t>2.2.1</w:t>
      </w:r>
      <w:r>
        <w:rPr>
          <w:noProof/>
        </w:rPr>
        <w:tab/>
      </w:r>
      <w:r>
        <w:rPr>
          <w:i/>
          <w:noProof/>
        </w:rPr>
        <w:t>Európsky parlament (EP)</w:t>
      </w:r>
      <w:bookmarkEnd w:id="43"/>
      <w:bookmarkEnd w:id="44"/>
    </w:p>
    <w:p>
      <w:pPr>
        <w:pStyle w:val="NormalWeb"/>
        <w:spacing w:before="120" w:beforeAutospacing="0" w:after="0" w:afterAutospacing="0"/>
        <w:jc w:val="both"/>
        <w:rPr>
          <w:noProof/>
        </w:rPr>
      </w:pPr>
      <w:r>
        <w:rPr>
          <w:noProof/>
        </w:rPr>
        <w:t>V nadväznosti na rozhodnutie Európskej rady o zložení Parlamentu od 9. legislatívneho obdobia</w:t>
      </w:r>
      <w:r>
        <w:rPr>
          <w:rStyle w:val="FootnoteReference"/>
          <w:noProof/>
        </w:rPr>
        <w:footnoteReference w:id="18"/>
      </w:r>
      <w:r>
        <w:rPr>
          <w:noProof/>
        </w:rPr>
        <w:t xml:space="preserve"> obsahoval oddiel rozpočtu týkajúci sa Parlamentu rozpočtové prostriedky pre 678 členov a to od 30. marca a pre 705 členov od 2. júla 2019. Vo viacerých riadkoch týkajúcich sa členov Parlamentu, asistentov a inštitucionálneho zastúpenia boli rozpočtové prostriedky znížené; na informačnú kampaň v Spojenom kráľovstve neboli naplánované žiadne prostriedky.</w:t>
      </w:r>
    </w:p>
    <w:p>
      <w:pPr>
        <w:pStyle w:val="NormalWeb"/>
        <w:spacing w:before="120" w:beforeAutospacing="0" w:after="0" w:afterAutospacing="0"/>
        <w:jc w:val="both"/>
        <w:rPr>
          <w:noProof/>
        </w:rPr>
      </w:pPr>
      <w:r>
        <w:rPr>
          <w:noProof/>
        </w:rPr>
        <w:t>Odklad do 31. októbra 2019 má vplyv nielen na zloženie Európskeho parlamentu a na náklady na asistentskú výpomoc, ale aj na potrebu zachovania styčnej kancelárie v Spojenom kráľovstve, a bol dôvodom zorganizovania volieb do Európskeho parlamentu v Spojenom kráľovstve, čo si vyžadovalo plnohodnotnú informačnú kampaň.</w:t>
      </w:r>
    </w:p>
    <w:p>
      <w:pPr>
        <w:pStyle w:val="NormalWeb"/>
        <w:spacing w:before="120" w:beforeAutospacing="0" w:after="0" w:afterAutospacing="0"/>
        <w:jc w:val="both"/>
        <w:rPr>
          <w:noProof/>
        </w:rPr>
      </w:pPr>
      <w:r>
        <w:rPr>
          <w:noProof/>
        </w:rPr>
        <w:t>Uvedené prvky, ktoré predstavujú nevyhnutné, výnimočné a nepredvídané okolnosti, si vyžadujú dodatočné rozpočtové prostriedky vo výške 15,1 mil. EUR.</w:t>
      </w:r>
    </w:p>
    <w:p>
      <w:pPr>
        <w:keepNext/>
        <w:tabs>
          <w:tab w:val="left" w:pos="850"/>
        </w:tabs>
        <w:spacing w:before="240" w:after="120"/>
        <w:ind w:left="850" w:hanging="850"/>
        <w:jc w:val="both"/>
        <w:outlineLvl w:val="1"/>
        <w:rPr>
          <w:rFonts w:eastAsia="Calibri"/>
          <w:i/>
          <w:noProof/>
        </w:rPr>
      </w:pPr>
      <w:bookmarkStart w:id="45" w:name="_Toc12621008"/>
      <w:bookmarkStart w:id="46" w:name="_Toc13832638"/>
      <w:r>
        <w:rPr>
          <w:i/>
          <w:noProof/>
        </w:rPr>
        <w:t>2.2.1</w:t>
      </w:r>
      <w:r>
        <w:rPr>
          <w:noProof/>
        </w:rPr>
        <w:tab/>
      </w:r>
      <w:r>
        <w:rPr>
          <w:i/>
          <w:noProof/>
        </w:rPr>
        <w:t>Európsky dvor audítorov (EDA)</w:t>
      </w:r>
      <w:bookmarkEnd w:id="45"/>
      <w:bookmarkEnd w:id="46"/>
    </w:p>
    <w:p>
      <w:pPr>
        <w:pStyle w:val="NormalWeb"/>
        <w:spacing w:before="120" w:beforeAutospacing="0" w:after="0" w:afterAutospacing="0"/>
        <w:jc w:val="both"/>
        <w:rPr>
          <w:noProof/>
        </w:rPr>
      </w:pPr>
      <w:r>
        <w:rPr>
          <w:noProof/>
        </w:rPr>
        <w:t>Rozhodnutie o odložení vystúpenia Spojeného kráľovstva o najviac sedem mesiacov má vplyv na odmeňovanie a ostatné výdavky kolégia 28 (a teda nie iba 27) členov Dvora audítorov.</w:t>
      </w:r>
    </w:p>
    <w:p>
      <w:pPr>
        <w:pStyle w:val="NormalWeb"/>
        <w:spacing w:before="120" w:beforeAutospacing="0" w:after="0" w:afterAutospacing="0"/>
        <w:jc w:val="both"/>
        <w:rPr>
          <w:noProof/>
        </w:rPr>
      </w:pPr>
      <w:r>
        <w:rPr>
          <w:noProof/>
        </w:rPr>
        <w:t>Vzhľadom na obmedzený rozpočet požadovaný na rok 2019 nebude Dvor audítorov schopný nájsť dodatočné zdroje prerozdelením prostriedkov, žiada teda pridelenie dodatočných prostriedkov vo výške 107 000 EUR na pokrytie platov a iných príspevkov, ako aj výdavkov na služobné cesty a reprezentáciu. Táto suma je bez presunu nepoužitej sumy prechodných príspevkov, ktorá sa presunie do riadka platov pre člena zo Spojeného kráľovstva.</w:t>
      </w:r>
    </w:p>
    <w:p>
      <w:pPr>
        <w:keepNext/>
        <w:tabs>
          <w:tab w:val="left" w:pos="850"/>
        </w:tabs>
        <w:spacing w:before="240" w:after="120"/>
        <w:ind w:left="850" w:hanging="850"/>
        <w:jc w:val="both"/>
        <w:outlineLvl w:val="1"/>
        <w:rPr>
          <w:rFonts w:eastAsia="Calibri"/>
          <w:i/>
          <w:noProof/>
        </w:rPr>
      </w:pPr>
      <w:bookmarkStart w:id="47" w:name="_Toc12621009"/>
      <w:bookmarkStart w:id="48" w:name="_Toc13832639"/>
      <w:r>
        <w:rPr>
          <w:i/>
          <w:noProof/>
        </w:rPr>
        <w:t>2.2.3</w:t>
      </w:r>
      <w:r>
        <w:rPr>
          <w:noProof/>
        </w:rPr>
        <w:tab/>
      </w:r>
      <w:r>
        <w:rPr>
          <w:i/>
          <w:noProof/>
        </w:rPr>
        <w:t>Európska služba pre vonkajšiu činnosť (ESVČ)</w:t>
      </w:r>
      <w:bookmarkEnd w:id="47"/>
      <w:bookmarkEnd w:id="48"/>
    </w:p>
    <w:p>
      <w:pPr>
        <w:pStyle w:val="NormalWeb"/>
        <w:spacing w:before="120" w:beforeAutospacing="0" w:after="0" w:afterAutospacing="0"/>
        <w:jc w:val="both"/>
        <w:rPr>
          <w:noProof/>
        </w:rPr>
      </w:pPr>
      <w:r>
        <w:rPr>
          <w:noProof/>
        </w:rPr>
        <w:t>ESVČ dostala dodatočné rozpočtové prostriedky vo svojom rozpočte na rok 2019 ako priamy dôsledok vystúpenia Spojeného kráľovstva z EÚ, ktoré boli určené na:</w:t>
      </w:r>
    </w:p>
    <w:p>
      <w:pPr>
        <w:pStyle w:val="Tiret0"/>
        <w:rPr>
          <w:noProof/>
        </w:rPr>
      </w:pPr>
      <w:r>
        <w:rPr>
          <w:noProof/>
        </w:rPr>
        <w:t>otvorenie a prevádzku delegácie v Londýne,</w:t>
      </w:r>
    </w:p>
    <w:p>
      <w:pPr>
        <w:pStyle w:val="Tiret0"/>
        <w:rPr>
          <w:noProof/>
        </w:rPr>
      </w:pPr>
      <w:r>
        <w:rPr>
          <w:noProof/>
        </w:rPr>
        <w:t>zachovanie kancelárie zabezpečujúcej prítomnosť EÚ v Severnom Írsku,</w:t>
      </w:r>
    </w:p>
    <w:p>
      <w:pPr>
        <w:pStyle w:val="Tiret0"/>
        <w:rPr>
          <w:noProof/>
        </w:rPr>
      </w:pPr>
      <w:r>
        <w:rPr>
          <w:noProof/>
        </w:rPr>
        <w:t>vytvorenie divízie v ústredí, ktorá bude mať na starosti vzťahy so Spojeným kráľovstvom ako treťou krajinou, a</w:t>
      </w:r>
    </w:p>
    <w:p>
      <w:pPr>
        <w:pStyle w:val="Tiret0"/>
        <w:rPr>
          <w:noProof/>
        </w:rPr>
      </w:pPr>
      <w:r>
        <w:rPr>
          <w:noProof/>
        </w:rPr>
        <w:t>pokrytie dodatočných nákladov na rotáciu, ktoré sú dôsledkom potreby stiahnuť zamestnancov, ktorí sú štátnymi príslušníkmi Spojeného kráľovstva, zo siete delegácií pred plánovaným ukončením ich vyslania.</w:t>
      </w:r>
    </w:p>
    <w:p>
      <w:pPr>
        <w:pStyle w:val="NormalWeb"/>
        <w:spacing w:before="120" w:beforeAutospacing="0" w:after="0" w:afterAutospacing="0"/>
        <w:jc w:val="both"/>
        <w:rPr>
          <w:noProof/>
        </w:rPr>
      </w:pPr>
      <w:r>
        <w:rPr>
          <w:noProof/>
        </w:rPr>
        <w:t>Tieto sumy boli odhadnuté na základe predpokladu, že Spojené kráľovstvo opustí Európsku úniu 29. marca 2019. Vzhľadom na to, že lehota podľa článku 50 bola predĺžená, ESVČ v súčasnosti nahromadila vo svojom rozpočte na rok 2019 prebytky.</w:t>
      </w:r>
    </w:p>
    <w:p>
      <w:pPr>
        <w:pStyle w:val="NormalWeb"/>
        <w:spacing w:before="120" w:beforeAutospacing="0" w:after="0" w:afterAutospacing="0"/>
        <w:jc w:val="both"/>
        <w:rPr>
          <w:noProof/>
        </w:rPr>
      </w:pPr>
      <w:r>
        <w:rPr>
          <w:noProof/>
        </w:rPr>
        <w:t>Vzhľadom na súčasnú značnú neistotu spojenú s postupom podľa článku 50 bude musieť ESVČ vo svojom rozpočte na rok 2019 zachovať sumy na jednorazové náklady na otvorenie delegácie a uvedené dodatočné rotácie. Bude si to vyžadovať aj dostatočnú rezervu pre prípad, že obe strany ratifikujú dohodu o vystúpení pred 31. októbrom 2019.</w:t>
      </w:r>
    </w:p>
    <w:p>
      <w:pPr>
        <w:pStyle w:val="NormalWeb"/>
        <w:spacing w:before="120" w:beforeAutospacing="0" w:after="0" w:afterAutospacing="0"/>
        <w:jc w:val="both"/>
        <w:rPr>
          <w:noProof/>
        </w:rPr>
      </w:pPr>
      <w:r>
        <w:rPr>
          <w:noProof/>
        </w:rPr>
        <w:t>ESVČ preto zníži rozpočet na rok 2019 o prevádzkové náklady, pri ktorých sa počítalo s tým, že budú vynaložené v prípade divízie ústredia a kancelárie zabezpečujúcej prítomnosť v Spojenom kráľovstve v období od začiatku roka do 1. augusta (3 276 000 EUR).</w:t>
      </w:r>
    </w:p>
    <w:p>
      <w:pPr>
        <w:pStyle w:val="NormalWeb"/>
        <w:spacing w:before="120" w:beforeAutospacing="0" w:after="0" w:afterAutospacing="0"/>
        <w:jc w:val="both"/>
        <w:rPr>
          <w:noProof/>
        </w:rPr>
      </w:pPr>
      <w:r>
        <w:rPr>
          <w:noProof/>
        </w:rPr>
        <w:t>Vzhľadom na to, že sa vývoj v priebehu roka môže veľmi líšiť od súčasného stavu situácie, ESVČ má v úmysle obrátiť sa neskôr v tomto roku znova na rozpočtový orgán a navrhnúť ďalšie úpravy svojho rozpočtu na rok 2019, ak to bude vhodné vzhľadom na situáciu v danom čase.</w:t>
      </w:r>
    </w:p>
    <w:p>
      <w:pPr>
        <w:keepNext/>
        <w:tabs>
          <w:tab w:val="left" w:pos="850"/>
        </w:tabs>
        <w:spacing w:before="240" w:after="120"/>
        <w:ind w:left="850" w:hanging="850"/>
        <w:jc w:val="both"/>
        <w:outlineLvl w:val="1"/>
        <w:rPr>
          <w:rFonts w:eastAsia="Calibri"/>
          <w:i/>
          <w:noProof/>
        </w:rPr>
      </w:pPr>
      <w:bookmarkStart w:id="49" w:name="_Toc12621010"/>
      <w:bookmarkStart w:id="50" w:name="_Toc13832640"/>
      <w:r>
        <w:rPr>
          <w:i/>
          <w:noProof/>
        </w:rPr>
        <w:t>2.2.4</w:t>
      </w:r>
      <w:r>
        <w:rPr>
          <w:noProof/>
        </w:rPr>
        <w:tab/>
      </w:r>
      <w:r>
        <w:rPr>
          <w:i/>
          <w:noProof/>
        </w:rPr>
        <w:t xml:space="preserve"> Prehľad</w:t>
      </w:r>
      <w:bookmarkEnd w:id="49"/>
      <w:bookmarkEnd w:id="50"/>
    </w:p>
    <w:tbl>
      <w:tblPr>
        <w:tblW w:w="9938" w:type="dxa"/>
        <w:tblCellMar>
          <w:left w:w="0" w:type="dxa"/>
          <w:right w:w="0" w:type="dxa"/>
        </w:tblCellMar>
        <w:tblLook w:val="04A0" w:firstRow="1" w:lastRow="0" w:firstColumn="1" w:lastColumn="0" w:noHBand="0" w:noVBand="1"/>
      </w:tblPr>
      <w:tblGrid>
        <w:gridCol w:w="960"/>
        <w:gridCol w:w="189"/>
        <w:gridCol w:w="5529"/>
        <w:gridCol w:w="1559"/>
        <w:gridCol w:w="1701"/>
      </w:tblGrid>
      <w:tr>
        <w:trPr>
          <w:trHeight w:val="212"/>
          <w:tblHeader/>
        </w:trPr>
        <w:tc>
          <w:tcPr>
            <w:tcW w:w="960" w:type="dxa"/>
            <w:tcBorders>
              <w:top w:val="nil"/>
              <w:left w:val="nil"/>
              <w:bottom w:val="nil"/>
              <w:right w:val="nil"/>
            </w:tcBorders>
            <w:shd w:val="clear" w:color="auto" w:fill="auto"/>
            <w:tcMar>
              <w:top w:w="15" w:type="dxa"/>
              <w:left w:w="15" w:type="dxa"/>
              <w:bottom w:w="0" w:type="dxa"/>
              <w:right w:w="15" w:type="dxa"/>
            </w:tcMar>
            <w:vAlign w:val="center"/>
            <w:hideMark/>
          </w:tcPr>
          <w:p>
            <w:pPr>
              <w:rPr>
                <w:noProof/>
                <w:sz w:val="20"/>
                <w:szCs w:val="20"/>
              </w:rPr>
            </w:pPr>
          </w:p>
        </w:tc>
        <w:tc>
          <w:tcPr>
            <w:tcW w:w="8978" w:type="dxa"/>
            <w:gridSpan w:val="4"/>
            <w:tcBorders>
              <w:top w:val="nil"/>
              <w:left w:val="nil"/>
              <w:bottom w:val="nil"/>
              <w:right w:val="nil"/>
            </w:tcBorders>
            <w:shd w:val="clear" w:color="000000" w:fill="FFFFFF"/>
            <w:tcMar>
              <w:top w:w="0" w:type="dxa"/>
              <w:left w:w="15" w:type="dxa"/>
              <w:bottom w:w="0" w:type="dxa"/>
              <w:right w:w="15" w:type="dxa"/>
            </w:tcMar>
            <w:vAlign w:val="center"/>
            <w:hideMark/>
          </w:tcPr>
          <w:p>
            <w:pPr>
              <w:jc w:val="right"/>
              <w:rPr>
                <w:i/>
                <w:iCs/>
                <w:noProof/>
                <w:color w:val="000000"/>
                <w:sz w:val="16"/>
                <w:szCs w:val="16"/>
              </w:rPr>
            </w:pPr>
            <w:r>
              <w:rPr>
                <w:i/>
                <w:noProof/>
                <w:color w:val="000000"/>
                <w:sz w:val="16"/>
              </w:rPr>
              <w:t>(v EUR)</w:t>
            </w:r>
          </w:p>
        </w:tc>
      </w:tr>
      <w:tr>
        <w:trPr>
          <w:trHeight w:val="282"/>
          <w:tblHeader/>
        </w:trPr>
        <w:tc>
          <w:tcPr>
            <w:tcW w:w="1149" w:type="dxa"/>
            <w:gridSpan w:val="2"/>
            <w:tcBorders>
              <w:top w:val="single" w:sz="8" w:space="0" w:color="auto"/>
              <w:left w:val="single" w:sz="8" w:space="0" w:color="auto"/>
              <w:bottom w:val="single" w:sz="8" w:space="0" w:color="auto"/>
              <w:right w:val="single" w:sz="8" w:space="0" w:color="000000"/>
            </w:tcBorders>
            <w:shd w:val="clear" w:color="000000" w:fill="D9D9D9"/>
            <w:tcMar>
              <w:top w:w="15" w:type="dxa"/>
              <w:left w:w="15" w:type="dxa"/>
              <w:bottom w:w="0" w:type="dxa"/>
              <w:right w:w="15" w:type="dxa"/>
            </w:tcMar>
            <w:vAlign w:val="center"/>
            <w:hideMark/>
          </w:tcPr>
          <w:p>
            <w:pPr>
              <w:jc w:val="center"/>
              <w:rPr>
                <w:b/>
                <w:bCs/>
                <w:noProof/>
                <w:color w:val="000000"/>
                <w:sz w:val="20"/>
                <w:szCs w:val="20"/>
              </w:rPr>
            </w:pPr>
            <w:r>
              <w:rPr>
                <w:b/>
                <w:noProof/>
                <w:color w:val="000000"/>
                <w:sz w:val="20"/>
              </w:rPr>
              <w:t>Rozpočtový riadok</w:t>
            </w:r>
          </w:p>
        </w:tc>
        <w:tc>
          <w:tcPr>
            <w:tcW w:w="5529" w:type="dxa"/>
            <w:tcBorders>
              <w:top w:val="single" w:sz="8" w:space="0" w:color="auto"/>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pPr>
              <w:jc w:val="center"/>
              <w:rPr>
                <w:b/>
                <w:bCs/>
                <w:noProof/>
                <w:color w:val="000000"/>
                <w:sz w:val="20"/>
                <w:szCs w:val="20"/>
              </w:rPr>
            </w:pPr>
            <w:r>
              <w:rPr>
                <w:b/>
                <w:noProof/>
                <w:color w:val="000000"/>
                <w:sz w:val="20"/>
              </w:rPr>
              <w:t>Názov</w:t>
            </w:r>
          </w:p>
        </w:tc>
        <w:tc>
          <w:tcPr>
            <w:tcW w:w="1559" w:type="dxa"/>
            <w:tcBorders>
              <w:top w:val="single" w:sz="8" w:space="0" w:color="auto"/>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pPr>
              <w:jc w:val="center"/>
              <w:rPr>
                <w:b/>
                <w:bCs/>
                <w:noProof/>
                <w:color w:val="000000"/>
                <w:sz w:val="20"/>
                <w:szCs w:val="20"/>
              </w:rPr>
            </w:pPr>
            <w:r>
              <w:rPr>
                <w:b/>
                <w:noProof/>
                <w:color w:val="000000"/>
                <w:sz w:val="20"/>
              </w:rPr>
              <w:t>Viazané rozpočtové prostriedky</w:t>
            </w:r>
          </w:p>
        </w:tc>
        <w:tc>
          <w:tcPr>
            <w:tcW w:w="1701" w:type="dxa"/>
            <w:tcBorders>
              <w:top w:val="single" w:sz="8" w:space="0" w:color="auto"/>
              <w:left w:val="nil"/>
              <w:bottom w:val="single" w:sz="8" w:space="0" w:color="auto"/>
              <w:right w:val="single" w:sz="8" w:space="0" w:color="000000"/>
            </w:tcBorders>
            <w:shd w:val="clear" w:color="000000" w:fill="D9D9D9"/>
            <w:tcMar>
              <w:top w:w="15" w:type="dxa"/>
              <w:left w:w="15" w:type="dxa"/>
              <w:bottom w:w="0" w:type="dxa"/>
              <w:right w:w="15" w:type="dxa"/>
            </w:tcMar>
            <w:vAlign w:val="center"/>
            <w:hideMark/>
          </w:tcPr>
          <w:p>
            <w:pPr>
              <w:jc w:val="center"/>
              <w:rPr>
                <w:b/>
                <w:bCs/>
                <w:noProof/>
                <w:color w:val="000000"/>
                <w:sz w:val="20"/>
                <w:szCs w:val="20"/>
              </w:rPr>
            </w:pPr>
            <w:r>
              <w:rPr>
                <w:b/>
                <w:noProof/>
                <w:color w:val="000000"/>
                <w:sz w:val="20"/>
              </w:rPr>
              <w:t>Platobné rozpočtové prostriedky</w:t>
            </w:r>
          </w:p>
        </w:tc>
      </w:tr>
      <w:tr>
        <w:trPr>
          <w:trHeight w:val="174"/>
        </w:trPr>
        <w:tc>
          <w:tcPr>
            <w:tcW w:w="9938" w:type="dxa"/>
            <w:gridSpan w:val="5"/>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pPr>
              <w:widowControl w:val="0"/>
              <w:spacing w:before="15" w:after="15" w:line="276" w:lineRule="auto"/>
              <w:rPr>
                <w:i/>
                <w:noProof/>
                <w:sz w:val="20"/>
                <w:szCs w:val="20"/>
              </w:rPr>
            </w:pPr>
            <w:r>
              <w:rPr>
                <w:i/>
                <w:noProof/>
                <w:sz w:val="20"/>
              </w:rPr>
              <w:t xml:space="preserve">  Oddiel I – Európsky parlament</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1 0 0 0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Platy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2 420 000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2 420 000</w:t>
            </w:r>
          </w:p>
        </w:tc>
      </w:tr>
      <w:tr>
        <w:trPr>
          <w:trHeight w:val="170"/>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1 0 0 4</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Bežné cestovné výdavky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2 100 000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2 100 000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1 0 0 6</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Príspevok na všeobecné výdavky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1 200 000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1 200 000</w:t>
            </w:r>
          </w:p>
        </w:tc>
      </w:tr>
      <w:tr>
        <w:trPr>
          <w:trHeight w:val="170"/>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1 0 2 0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Dočasné príspevky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-1 800 000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-1 800 000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3 2 2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Výdavky na dokumentáciu</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80 000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80 000</w:t>
            </w:r>
          </w:p>
        </w:tc>
      </w:tr>
      <w:tr>
        <w:trPr>
          <w:trHeight w:val="170"/>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3 2 4 2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Výdavky na publikovanie, informovanie verejnosti a účasť na verejných podujatiach</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3 000 000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3 000 000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3 2 4 4</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Organizovanie a prijímanie skupín návštevníkov, program Euroscola a pozývanie mienkotvorcov z tretích krajín</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300 000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300 000</w:t>
            </w:r>
          </w:p>
        </w:tc>
      </w:tr>
      <w:tr>
        <w:trPr>
          <w:trHeight w:val="170"/>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3 2 5</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Výdavky súvisiace s kontaktnými kanceláriami</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320 000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320 000</w:t>
            </w:r>
          </w:p>
        </w:tc>
      </w:tr>
      <w:tr>
        <w:trPr>
          <w:trHeight w:val="170"/>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4 2 2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Výdavky, ktoré sa vzťahujú na asistentskú výpomoc</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7 490 000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7 490 000</w:t>
            </w:r>
          </w:p>
        </w:tc>
      </w:tr>
      <w:tr>
        <w:trPr>
          <w:trHeight w:val="214"/>
        </w:trPr>
        <w:tc>
          <w:tcPr>
            <w:tcW w:w="6678" w:type="dxa"/>
            <w:gridSpan w:val="3"/>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b/>
                <w:bCs/>
                <w:noProof/>
                <w:color w:val="000000"/>
                <w:sz w:val="20"/>
                <w:szCs w:val="20"/>
              </w:rPr>
            </w:pPr>
            <w:r>
              <w:rPr>
                <w:b/>
                <w:noProof/>
                <w:color w:val="000000"/>
                <w:sz w:val="20"/>
              </w:rPr>
              <w:t xml:space="preserve">  Medzisúčet – Oddiel I </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b/>
                <w:noProof/>
                <w:color w:val="000000"/>
                <w:sz w:val="20"/>
                <w:szCs w:val="20"/>
              </w:rPr>
            </w:pPr>
            <w:r>
              <w:rPr>
                <w:b/>
                <w:noProof/>
                <w:color w:val="000000"/>
                <w:sz w:val="20"/>
              </w:rPr>
              <w:t>15 110 000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b/>
                <w:noProof/>
                <w:color w:val="000000"/>
                <w:sz w:val="20"/>
                <w:szCs w:val="20"/>
              </w:rPr>
            </w:pPr>
            <w:r>
              <w:rPr>
                <w:b/>
                <w:noProof/>
                <w:color w:val="000000"/>
                <w:sz w:val="20"/>
              </w:rPr>
              <w:t>15 110 000</w:t>
            </w:r>
          </w:p>
        </w:tc>
      </w:tr>
      <w:tr>
        <w:trPr>
          <w:trHeight w:val="247"/>
        </w:trPr>
        <w:tc>
          <w:tcPr>
            <w:tcW w:w="9938" w:type="dxa"/>
            <w:gridSpan w:val="5"/>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pPr>
              <w:rPr>
                <w:i/>
                <w:iCs/>
                <w:noProof/>
                <w:color w:val="000000"/>
                <w:sz w:val="20"/>
                <w:szCs w:val="20"/>
              </w:rPr>
            </w:pPr>
            <w:r>
              <w:rPr>
                <w:i/>
                <w:noProof/>
                <w:color w:val="000000"/>
                <w:sz w:val="20"/>
              </w:rPr>
              <w:t xml:space="preserve">  Oddiel V – Európsky dvor audítorov</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1 0 0 0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27"/>
              <w:rPr>
                <w:noProof/>
                <w:color w:val="000000"/>
                <w:sz w:val="20"/>
                <w:szCs w:val="20"/>
              </w:rPr>
            </w:pPr>
            <w:r>
              <w:rPr>
                <w:noProof/>
                <w:color w:val="000000"/>
                <w:sz w:val="20"/>
              </w:rPr>
              <w:t>Platy, príspevky a dôchodky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96 000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96 000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1 0 4</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27"/>
              <w:rPr>
                <w:noProof/>
                <w:color w:val="000000"/>
                <w:sz w:val="20"/>
                <w:szCs w:val="20"/>
              </w:rPr>
            </w:pPr>
            <w:r>
              <w:rPr>
                <w:noProof/>
                <w:color w:val="000000"/>
                <w:sz w:val="20"/>
              </w:rPr>
              <w:t>Služobné cesty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6 000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6 000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2 5 2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27"/>
              <w:rPr>
                <w:noProof/>
                <w:color w:val="000000"/>
                <w:sz w:val="20"/>
                <w:szCs w:val="20"/>
              </w:rPr>
            </w:pPr>
            <w:r>
              <w:rPr>
                <w:noProof/>
                <w:color w:val="000000"/>
                <w:sz w:val="20"/>
              </w:rPr>
              <w:t>Výdavky na reprezentáciu</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5 000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hideMark/>
          </w:tcPr>
          <w:p>
            <w:pPr>
              <w:ind w:left="-157" w:right="127" w:firstLine="157"/>
              <w:jc w:val="right"/>
              <w:rPr>
                <w:noProof/>
                <w:color w:val="000000"/>
                <w:sz w:val="20"/>
                <w:szCs w:val="20"/>
              </w:rPr>
            </w:pPr>
            <w:r>
              <w:rPr>
                <w:noProof/>
                <w:color w:val="000000"/>
                <w:sz w:val="20"/>
              </w:rPr>
              <w:t>5 000</w:t>
            </w:r>
          </w:p>
        </w:tc>
      </w:tr>
      <w:tr>
        <w:trPr>
          <w:trHeight w:val="254"/>
        </w:trPr>
        <w:tc>
          <w:tcPr>
            <w:tcW w:w="6678" w:type="dxa"/>
            <w:gridSpan w:val="3"/>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b/>
                <w:bCs/>
                <w:noProof/>
                <w:color w:val="000000"/>
                <w:sz w:val="20"/>
                <w:szCs w:val="20"/>
              </w:rPr>
            </w:pPr>
            <w:r>
              <w:rPr>
                <w:b/>
                <w:noProof/>
                <w:color w:val="000000"/>
                <w:sz w:val="20"/>
              </w:rPr>
              <w:t xml:space="preserve">  Medzisúčet – Oddiel V</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pPr>
              <w:ind w:left="-157" w:right="127" w:firstLine="157"/>
              <w:jc w:val="right"/>
              <w:rPr>
                <w:b/>
                <w:noProof/>
                <w:color w:val="000000"/>
                <w:sz w:val="20"/>
                <w:szCs w:val="20"/>
              </w:rPr>
            </w:pPr>
            <w:r>
              <w:rPr>
                <w:b/>
                <w:noProof/>
                <w:color w:val="000000"/>
                <w:sz w:val="20"/>
              </w:rPr>
              <w:t>107 000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hideMark/>
          </w:tcPr>
          <w:p>
            <w:pPr>
              <w:ind w:left="-157" w:right="127" w:firstLine="157"/>
              <w:jc w:val="right"/>
              <w:rPr>
                <w:b/>
                <w:noProof/>
                <w:color w:val="000000"/>
                <w:sz w:val="20"/>
                <w:szCs w:val="20"/>
              </w:rPr>
            </w:pPr>
            <w:r>
              <w:rPr>
                <w:b/>
                <w:noProof/>
                <w:color w:val="000000"/>
                <w:sz w:val="20"/>
              </w:rPr>
              <w:t>107 000</w:t>
            </w:r>
          </w:p>
        </w:tc>
      </w:tr>
      <w:tr>
        <w:trPr>
          <w:trHeight w:val="247"/>
        </w:trPr>
        <w:tc>
          <w:tcPr>
            <w:tcW w:w="9938" w:type="dxa"/>
            <w:gridSpan w:val="5"/>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pPr>
              <w:rPr>
                <w:i/>
                <w:iCs/>
                <w:noProof/>
                <w:color w:val="000000"/>
                <w:sz w:val="20"/>
                <w:szCs w:val="20"/>
              </w:rPr>
            </w:pPr>
            <w:r>
              <w:rPr>
                <w:i/>
                <w:noProof/>
                <w:color w:val="000000"/>
                <w:sz w:val="20"/>
              </w:rPr>
              <w:t xml:space="preserve">  Oddiel X — Európska služba pre vonkajšiu činnosť</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1 1 0 0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Základné platy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-564 000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-564 000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1 1 0 2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Nároky, ktoré vyplývajú zo služobného poriadku a sú spojené s osobnou situáciou úradníka</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-143 000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-143 000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1 1 0 3</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Sociálne poistenie</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-22 000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-22 000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1 4 0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Služobné cesty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-27 000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-27 000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3 0 0 0</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Platy a nároky stálych zamestnancov</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-747 000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-747 000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3 0 0 1</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Externí zamestnanci a vonkajšie služby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-568 000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-568 000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3 0 0 2</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Ostatné výdavky na zamestnancov</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-97 000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-97 000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3 0 0 3</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Budovy a súvisiace náklady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-1 070 000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-1 070 000</w:t>
            </w:r>
          </w:p>
        </w:tc>
      </w:tr>
      <w:tr>
        <w:trPr>
          <w:trHeight w:val="236"/>
        </w:trPr>
        <w:tc>
          <w:tcPr>
            <w:tcW w:w="114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noProof/>
                <w:color w:val="000000"/>
                <w:sz w:val="20"/>
                <w:szCs w:val="20"/>
              </w:rPr>
            </w:pPr>
            <w:r>
              <w:rPr>
                <w:noProof/>
                <w:color w:val="000000"/>
                <w:sz w:val="20"/>
              </w:rPr>
              <w:t xml:space="preserve">  3 0 0 4</w:t>
            </w:r>
          </w:p>
        </w:tc>
        <w:tc>
          <w:tcPr>
            <w:tcW w:w="552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27"/>
              <w:rPr>
                <w:noProof/>
                <w:color w:val="000000"/>
                <w:sz w:val="20"/>
                <w:szCs w:val="20"/>
              </w:rPr>
            </w:pPr>
            <w:r>
              <w:rPr>
                <w:noProof/>
                <w:color w:val="000000"/>
                <w:sz w:val="20"/>
              </w:rPr>
              <w:t>Iné administratívne výdavky</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-38 000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noProof/>
                <w:color w:val="000000"/>
                <w:sz w:val="20"/>
                <w:szCs w:val="20"/>
              </w:rPr>
            </w:pPr>
            <w:r>
              <w:rPr>
                <w:noProof/>
                <w:color w:val="000000"/>
                <w:sz w:val="20"/>
              </w:rPr>
              <w:t>-38 000</w:t>
            </w:r>
          </w:p>
        </w:tc>
      </w:tr>
      <w:tr>
        <w:trPr>
          <w:trHeight w:val="254"/>
        </w:trPr>
        <w:tc>
          <w:tcPr>
            <w:tcW w:w="6678" w:type="dxa"/>
            <w:gridSpan w:val="3"/>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pPr>
              <w:jc w:val="both"/>
              <w:rPr>
                <w:b/>
                <w:bCs/>
                <w:noProof/>
                <w:color w:val="000000"/>
                <w:sz w:val="20"/>
                <w:szCs w:val="20"/>
              </w:rPr>
            </w:pPr>
            <w:r>
              <w:rPr>
                <w:b/>
                <w:noProof/>
                <w:color w:val="000000"/>
                <w:sz w:val="20"/>
              </w:rPr>
              <w:t xml:space="preserve">  Medzisúčet – Oddiel X </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pPr>
              <w:ind w:left="-157" w:right="127" w:firstLine="157"/>
              <w:jc w:val="right"/>
              <w:rPr>
                <w:b/>
                <w:noProof/>
                <w:color w:val="000000"/>
                <w:sz w:val="20"/>
                <w:szCs w:val="20"/>
              </w:rPr>
            </w:pPr>
            <w:r>
              <w:rPr>
                <w:b/>
                <w:noProof/>
                <w:color w:val="000000"/>
                <w:sz w:val="20"/>
              </w:rPr>
              <w:t>-3 276 000</w:t>
            </w:r>
          </w:p>
        </w:tc>
        <w:tc>
          <w:tcPr>
            <w:tcW w:w="1701" w:type="dxa"/>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pPr>
              <w:ind w:left="-157" w:right="127" w:firstLine="157"/>
              <w:jc w:val="right"/>
              <w:rPr>
                <w:b/>
                <w:noProof/>
                <w:color w:val="000000"/>
                <w:sz w:val="20"/>
                <w:szCs w:val="20"/>
              </w:rPr>
            </w:pPr>
            <w:r>
              <w:rPr>
                <w:b/>
                <w:noProof/>
                <w:color w:val="000000"/>
                <w:sz w:val="20"/>
              </w:rPr>
              <w:t>-3 276 000</w:t>
            </w:r>
          </w:p>
        </w:tc>
      </w:tr>
      <w:tr>
        <w:trPr>
          <w:trHeight w:val="254"/>
        </w:trPr>
        <w:tc>
          <w:tcPr>
            <w:tcW w:w="6678" w:type="dxa"/>
            <w:gridSpan w:val="3"/>
            <w:tcBorders>
              <w:top w:val="single" w:sz="8" w:space="0" w:color="auto"/>
              <w:left w:val="single" w:sz="8" w:space="0" w:color="auto"/>
              <w:bottom w:val="single" w:sz="8" w:space="0" w:color="auto"/>
              <w:right w:val="single" w:sz="8" w:space="0" w:color="000000"/>
            </w:tcBorders>
            <w:shd w:val="clear" w:color="000000" w:fill="D9D9D9"/>
            <w:tcMar>
              <w:top w:w="15" w:type="dxa"/>
              <w:left w:w="15" w:type="dxa"/>
              <w:bottom w:w="0" w:type="dxa"/>
              <w:right w:w="15" w:type="dxa"/>
            </w:tcMar>
            <w:vAlign w:val="center"/>
            <w:hideMark/>
          </w:tcPr>
          <w:p>
            <w:pPr>
              <w:jc w:val="both"/>
              <w:rPr>
                <w:b/>
                <w:bCs/>
                <w:noProof/>
                <w:color w:val="000000"/>
                <w:sz w:val="20"/>
                <w:szCs w:val="20"/>
              </w:rPr>
            </w:pPr>
            <w:r>
              <w:rPr>
                <w:b/>
                <w:noProof/>
                <w:color w:val="000000"/>
                <w:sz w:val="20"/>
              </w:rPr>
              <w:t xml:space="preserve">  Spolu</w:t>
            </w:r>
          </w:p>
        </w:tc>
        <w:tc>
          <w:tcPr>
            <w:tcW w:w="1559" w:type="dxa"/>
            <w:tcBorders>
              <w:top w:val="nil"/>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pPr>
              <w:ind w:right="127"/>
              <w:jc w:val="right"/>
              <w:rPr>
                <w:b/>
                <w:bCs/>
                <w:noProof/>
                <w:color w:val="000000"/>
                <w:sz w:val="20"/>
                <w:szCs w:val="20"/>
              </w:rPr>
            </w:pPr>
            <w:r>
              <w:rPr>
                <w:b/>
                <w:noProof/>
                <w:color w:val="000000"/>
                <w:sz w:val="20"/>
              </w:rPr>
              <w:t>11 941 000</w:t>
            </w:r>
          </w:p>
        </w:tc>
        <w:tc>
          <w:tcPr>
            <w:tcW w:w="1701" w:type="dxa"/>
            <w:tcBorders>
              <w:top w:val="single" w:sz="8" w:space="0" w:color="auto"/>
              <w:left w:val="nil"/>
              <w:bottom w:val="single" w:sz="8" w:space="0" w:color="auto"/>
              <w:right w:val="single" w:sz="8" w:space="0" w:color="000000"/>
            </w:tcBorders>
            <w:shd w:val="clear" w:color="000000" w:fill="D9D9D9"/>
            <w:tcMar>
              <w:top w:w="15" w:type="dxa"/>
              <w:left w:w="15" w:type="dxa"/>
              <w:bottom w:w="0" w:type="dxa"/>
              <w:right w:w="15" w:type="dxa"/>
            </w:tcMar>
            <w:vAlign w:val="center"/>
            <w:hideMark/>
          </w:tcPr>
          <w:p>
            <w:pPr>
              <w:ind w:right="127"/>
              <w:jc w:val="right"/>
              <w:rPr>
                <w:b/>
                <w:bCs/>
                <w:noProof/>
                <w:color w:val="000000"/>
                <w:sz w:val="20"/>
                <w:szCs w:val="20"/>
              </w:rPr>
            </w:pPr>
            <w:r>
              <w:rPr>
                <w:b/>
                <w:noProof/>
                <w:color w:val="000000"/>
                <w:sz w:val="20"/>
              </w:rPr>
              <w:t>11 941 000</w:t>
            </w:r>
          </w:p>
        </w:tc>
      </w:tr>
    </w:tbl>
    <w:p>
      <w:pPr>
        <w:keepNext/>
        <w:tabs>
          <w:tab w:val="left" w:pos="850"/>
        </w:tabs>
        <w:spacing w:before="240" w:after="120"/>
        <w:ind w:left="851" w:hanging="851"/>
        <w:jc w:val="both"/>
        <w:outlineLvl w:val="0"/>
        <w:rPr>
          <w:b/>
          <w:smallCaps/>
          <w:noProof/>
        </w:rPr>
      </w:pPr>
      <w:bookmarkStart w:id="51" w:name="_Toc12621011"/>
      <w:bookmarkStart w:id="52" w:name="_Toc13832641"/>
      <w:bookmarkStart w:id="53" w:name="_Toc460335328"/>
      <w:bookmarkStart w:id="54" w:name="_Toc430865948"/>
      <w:bookmarkStart w:id="55" w:name="_Toc430867526"/>
      <w:bookmarkEnd w:id="14"/>
      <w:r>
        <w:rPr>
          <w:b/>
          <w:smallCaps/>
          <w:noProof/>
        </w:rPr>
        <w:t>3.</w:t>
      </w:r>
      <w:r>
        <w:rPr>
          <w:noProof/>
        </w:rPr>
        <w:tab/>
      </w:r>
      <w:r>
        <w:rPr>
          <w:b/>
          <w:smallCaps/>
          <w:noProof/>
        </w:rPr>
        <w:t>Aktualizácia príjmov</w:t>
      </w:r>
      <w:bookmarkEnd w:id="51"/>
      <w:bookmarkEnd w:id="52"/>
    </w:p>
    <w:p>
      <w:pPr>
        <w:keepNext/>
        <w:tabs>
          <w:tab w:val="left" w:pos="850"/>
        </w:tabs>
        <w:spacing w:before="360" w:after="120"/>
        <w:ind w:left="850" w:hanging="850"/>
        <w:jc w:val="both"/>
        <w:outlineLvl w:val="1"/>
        <w:rPr>
          <w:rFonts w:eastAsia="Calibri"/>
          <w:b/>
          <w:noProof/>
        </w:rPr>
      </w:pPr>
      <w:bookmarkStart w:id="56" w:name="_Toc462410058"/>
      <w:bookmarkStart w:id="57" w:name="_Toc494994378"/>
      <w:bookmarkStart w:id="58" w:name="_Toc525202232"/>
      <w:bookmarkStart w:id="59" w:name="_Toc12621012"/>
      <w:bookmarkStart w:id="60" w:name="_Toc13832642"/>
      <w:r>
        <w:rPr>
          <w:b/>
          <w:noProof/>
        </w:rPr>
        <w:t>3.1</w:t>
      </w:r>
      <w:r>
        <w:rPr>
          <w:noProof/>
        </w:rPr>
        <w:tab/>
      </w:r>
      <w:r>
        <w:rPr>
          <w:b/>
          <w:noProof/>
        </w:rPr>
        <w:t>Celkový vplyv NOR č. 4/2019 na rozloženie celkových platieb vlastných zdrojov medzi členskými štátmi</w:t>
      </w:r>
      <w:bookmarkEnd w:id="56"/>
      <w:bookmarkEnd w:id="57"/>
      <w:bookmarkEnd w:id="58"/>
      <w:bookmarkEnd w:id="59"/>
      <w:bookmarkEnd w:id="60"/>
    </w:p>
    <w:p>
      <w:pPr>
        <w:autoSpaceDE w:val="0"/>
        <w:autoSpaceDN w:val="0"/>
        <w:adjustRightInd w:val="0"/>
        <w:spacing w:before="120" w:after="240"/>
        <w:jc w:val="both"/>
        <w:rPr>
          <w:noProof/>
        </w:rPr>
      </w:pPr>
      <w:r>
        <w:rPr>
          <w:noProof/>
        </w:rPr>
        <w:t>Na základe výsledkov 175. zasadnutia Poradného výboru pre vlastné zdroje (ACOR), ktoré sa uskutočnilo 24. mája 2019, sú potrebné dve úpravy príjmovej strany rozpočtu: po prvé, aktualizácia odhadov týkajúcich sa tradičných vlastných zdrojov, ako aj vlastných zdrojov založených na dani z pridanej hodnoty (DPH) a hrubom národnom dôchodku (HND) s cieľom zohľadniť najnovšie hospodárske prognózy, a po druhé, aktualizáciu korekcie pre Spojené kráľovstvo. Tieto dve úpravy sú opísané v oddieloch 3.2 a 3.3.</w:t>
      </w:r>
    </w:p>
    <w:p>
      <w:pPr>
        <w:autoSpaceDE w:val="0"/>
        <w:autoSpaceDN w:val="0"/>
        <w:adjustRightInd w:val="0"/>
        <w:spacing w:before="120" w:after="240"/>
        <w:jc w:val="both"/>
        <w:rPr>
          <w:noProof/>
        </w:rPr>
      </w:pPr>
      <w:r>
        <w:rPr>
          <w:noProof/>
        </w:rPr>
        <w:t>Celkový vplyv úprav výdavkov a príjmov v tomto NOR sa uvádza nižšie v súhrnnej tabuľke. V tejto tabuľke sa tiež uvádza rozloženie celkových platieb vlastných zdrojov medzi členskými štátmi: a to podľa rozpočtu na rok 2019 v znení zmien plynúcich z návrhu opravného rozpočtu č. 3 (NOR č. 3/2019)</w:t>
      </w:r>
      <w:r>
        <w:rPr>
          <w:rStyle w:val="FootnoteReference"/>
          <w:noProof/>
        </w:rPr>
        <w:footnoteReference w:id="19"/>
      </w:r>
      <w:r>
        <w:rPr>
          <w:noProof/>
        </w:rPr>
        <w:t xml:space="preserve"> a tohto NOR.</w:t>
      </w:r>
    </w:p>
    <w:p>
      <w:pPr>
        <w:jc w:val="center"/>
        <w:rPr>
          <w:b/>
          <w:noProof/>
        </w:rPr>
      </w:pPr>
      <w:r>
        <w:rPr>
          <w:b/>
          <w:noProof/>
        </w:rPr>
        <w:t>Rozloženie celkových platieb vlastných zdrojov medzi členskými štátmi (v mil. EUR)</w:t>
      </w:r>
    </w:p>
    <w:p>
      <w:pPr>
        <w:jc w:val="center"/>
        <w:rPr>
          <w:b/>
          <w:noProof/>
        </w:rPr>
      </w:pPr>
    </w:p>
    <w:tbl>
      <w:tblPr>
        <w:tblW w:w="5440" w:type="dxa"/>
        <w:jc w:val="center"/>
        <w:tblLook w:val="04A0" w:firstRow="1" w:lastRow="0" w:firstColumn="1" w:lastColumn="0" w:noHBand="0" w:noVBand="1"/>
      </w:tblPr>
      <w:tblGrid>
        <w:gridCol w:w="960"/>
        <w:gridCol w:w="1460"/>
        <w:gridCol w:w="1520"/>
        <w:gridCol w:w="1500"/>
      </w:tblGrid>
      <w:tr>
        <w:trPr>
          <w:trHeight w:val="375"/>
          <w:tblHeader/>
          <w:jc w:val="center"/>
        </w:trPr>
        <w:tc>
          <w:tcPr>
            <w:tcW w:w="96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pPr>
              <w:jc w:val="center"/>
              <w:rPr>
                <w:b/>
                <w:bCs/>
                <w:noProof/>
                <w:color w:val="000000"/>
                <w:sz w:val="20"/>
              </w:rPr>
            </w:pPr>
            <w:bookmarkStart w:id="61" w:name="_Toc462410059"/>
            <w:bookmarkStart w:id="62" w:name="_Toc525202233"/>
          </w:p>
        </w:tc>
        <w:tc>
          <w:tcPr>
            <w:tcW w:w="1460" w:type="dxa"/>
            <w:vMerge w:val="restart"/>
            <w:tcBorders>
              <w:top w:val="single" w:sz="8" w:space="0" w:color="auto"/>
              <w:left w:val="single" w:sz="4" w:space="0" w:color="auto"/>
              <w:bottom w:val="single" w:sz="4" w:space="0" w:color="000000"/>
              <w:right w:val="single" w:sz="4" w:space="0" w:color="auto"/>
            </w:tcBorders>
            <w:shd w:val="clear" w:color="000000" w:fill="E0E0E0"/>
            <w:vAlign w:val="center"/>
            <w:hideMark/>
          </w:tcPr>
          <w:p>
            <w:pPr>
              <w:jc w:val="center"/>
              <w:rPr>
                <w:b/>
                <w:bCs/>
                <w:noProof/>
                <w:color w:val="000000"/>
                <w:sz w:val="20"/>
              </w:rPr>
            </w:pPr>
            <w:r>
              <w:rPr>
                <w:b/>
                <w:noProof/>
                <w:color w:val="000000"/>
                <w:sz w:val="20"/>
              </w:rPr>
              <w:t>Rozpočet 2019</w:t>
            </w:r>
          </w:p>
        </w:tc>
        <w:tc>
          <w:tcPr>
            <w:tcW w:w="1520" w:type="dxa"/>
            <w:vMerge w:val="restart"/>
            <w:tcBorders>
              <w:top w:val="single" w:sz="8" w:space="0" w:color="auto"/>
              <w:left w:val="single" w:sz="4" w:space="0" w:color="auto"/>
              <w:bottom w:val="single" w:sz="4" w:space="0" w:color="000000"/>
              <w:right w:val="single" w:sz="4" w:space="0" w:color="auto"/>
            </w:tcBorders>
            <w:shd w:val="clear" w:color="000000" w:fill="E0E0E0"/>
            <w:vAlign w:val="center"/>
            <w:hideMark/>
          </w:tcPr>
          <w:p>
            <w:pPr>
              <w:jc w:val="center"/>
              <w:rPr>
                <w:b/>
                <w:bCs/>
                <w:noProof/>
                <w:color w:val="000000"/>
                <w:sz w:val="20"/>
              </w:rPr>
            </w:pPr>
            <w:r>
              <w:rPr>
                <w:b/>
                <w:noProof/>
                <w:color w:val="000000"/>
                <w:sz w:val="20"/>
              </w:rPr>
              <w:t>NOR č. 3/2019</w:t>
            </w:r>
          </w:p>
        </w:tc>
        <w:tc>
          <w:tcPr>
            <w:tcW w:w="1500" w:type="dxa"/>
            <w:vMerge w:val="restart"/>
            <w:tcBorders>
              <w:top w:val="single" w:sz="8" w:space="0" w:color="auto"/>
              <w:left w:val="single" w:sz="4" w:space="0" w:color="auto"/>
              <w:bottom w:val="single" w:sz="4" w:space="0" w:color="000000"/>
              <w:right w:val="single" w:sz="4" w:space="0" w:color="auto"/>
            </w:tcBorders>
            <w:shd w:val="clear" w:color="000000" w:fill="E0E0E0"/>
            <w:vAlign w:val="center"/>
            <w:hideMark/>
          </w:tcPr>
          <w:p>
            <w:pPr>
              <w:jc w:val="center"/>
              <w:rPr>
                <w:b/>
                <w:bCs/>
                <w:noProof/>
                <w:color w:val="000000"/>
                <w:sz w:val="20"/>
              </w:rPr>
            </w:pPr>
            <w:r>
              <w:rPr>
                <w:b/>
                <w:noProof/>
                <w:color w:val="000000"/>
                <w:sz w:val="20"/>
              </w:rPr>
              <w:t>NOR č. 4/2019</w:t>
            </w:r>
          </w:p>
        </w:tc>
      </w:tr>
      <w:tr>
        <w:trPr>
          <w:trHeight w:val="230"/>
          <w:tblHeader/>
          <w:jc w:val="center"/>
        </w:trPr>
        <w:tc>
          <w:tcPr>
            <w:tcW w:w="960" w:type="dxa"/>
            <w:vMerge/>
            <w:tcBorders>
              <w:top w:val="single" w:sz="8" w:space="0" w:color="auto"/>
              <w:left w:val="single" w:sz="8" w:space="0" w:color="auto"/>
              <w:bottom w:val="single" w:sz="4" w:space="0" w:color="000000"/>
              <w:right w:val="single" w:sz="4" w:space="0" w:color="auto"/>
            </w:tcBorders>
            <w:vAlign w:val="center"/>
            <w:hideMark/>
          </w:tcPr>
          <w:p>
            <w:pPr>
              <w:rPr>
                <w:b/>
                <w:bCs/>
                <w:noProof/>
                <w:color w:val="000000"/>
                <w:sz w:val="20"/>
              </w:rPr>
            </w:pPr>
          </w:p>
        </w:tc>
        <w:tc>
          <w:tcPr>
            <w:tcW w:w="1460" w:type="dxa"/>
            <w:vMerge/>
            <w:tcBorders>
              <w:top w:val="single" w:sz="8" w:space="0" w:color="auto"/>
              <w:left w:val="single" w:sz="4" w:space="0" w:color="auto"/>
              <w:bottom w:val="single" w:sz="4" w:space="0" w:color="000000"/>
              <w:right w:val="single" w:sz="4" w:space="0" w:color="auto"/>
            </w:tcBorders>
            <w:vAlign w:val="center"/>
            <w:hideMark/>
          </w:tcPr>
          <w:p>
            <w:pPr>
              <w:rPr>
                <w:b/>
                <w:bCs/>
                <w:noProof/>
                <w:color w:val="000000"/>
                <w:sz w:val="20"/>
              </w:rPr>
            </w:pPr>
          </w:p>
        </w:tc>
        <w:tc>
          <w:tcPr>
            <w:tcW w:w="1520" w:type="dxa"/>
            <w:vMerge/>
            <w:tcBorders>
              <w:top w:val="single" w:sz="8" w:space="0" w:color="auto"/>
              <w:left w:val="single" w:sz="4" w:space="0" w:color="auto"/>
              <w:bottom w:val="single" w:sz="4" w:space="0" w:color="000000"/>
              <w:right w:val="single" w:sz="4" w:space="0" w:color="auto"/>
            </w:tcBorders>
            <w:vAlign w:val="center"/>
            <w:hideMark/>
          </w:tcPr>
          <w:p>
            <w:pPr>
              <w:rPr>
                <w:b/>
                <w:bCs/>
                <w:noProof/>
                <w:color w:val="000000"/>
                <w:sz w:val="20"/>
              </w:rPr>
            </w:pPr>
          </w:p>
        </w:tc>
        <w:tc>
          <w:tcPr>
            <w:tcW w:w="1500" w:type="dxa"/>
            <w:vMerge/>
            <w:tcBorders>
              <w:top w:val="single" w:sz="8" w:space="0" w:color="auto"/>
              <w:left w:val="single" w:sz="4" w:space="0" w:color="auto"/>
              <w:bottom w:val="single" w:sz="4" w:space="0" w:color="000000"/>
              <w:right w:val="single" w:sz="4" w:space="0" w:color="auto"/>
            </w:tcBorders>
            <w:vAlign w:val="center"/>
            <w:hideMark/>
          </w:tcPr>
          <w:p>
            <w:pPr>
              <w:rPr>
                <w:b/>
                <w:bCs/>
                <w:noProof/>
                <w:color w:val="000000"/>
                <w:sz w:val="20"/>
              </w:rPr>
            </w:pPr>
          </w:p>
        </w:tc>
      </w:tr>
      <w:tr>
        <w:trPr>
          <w:trHeight w:val="209"/>
          <w:tblHeader/>
          <w:jc w:val="center"/>
        </w:trPr>
        <w:tc>
          <w:tcPr>
            <w:tcW w:w="960" w:type="dxa"/>
            <w:vMerge/>
            <w:tcBorders>
              <w:top w:val="single" w:sz="8" w:space="0" w:color="auto"/>
              <w:left w:val="single" w:sz="8" w:space="0" w:color="auto"/>
              <w:bottom w:val="single" w:sz="4" w:space="0" w:color="000000"/>
              <w:right w:val="single" w:sz="4" w:space="0" w:color="auto"/>
            </w:tcBorders>
            <w:vAlign w:val="center"/>
            <w:hideMark/>
          </w:tcPr>
          <w:p>
            <w:pPr>
              <w:rPr>
                <w:b/>
                <w:bCs/>
                <w:noProof/>
                <w:color w:val="000000"/>
                <w:sz w:val="20"/>
              </w:rPr>
            </w:pPr>
          </w:p>
        </w:tc>
        <w:tc>
          <w:tcPr>
            <w:tcW w:w="1460" w:type="dxa"/>
            <w:tcBorders>
              <w:top w:val="nil"/>
              <w:left w:val="nil"/>
              <w:bottom w:val="single" w:sz="4" w:space="0" w:color="auto"/>
              <w:right w:val="single" w:sz="4" w:space="0" w:color="auto"/>
            </w:tcBorders>
            <w:shd w:val="clear" w:color="000000" w:fill="E0E0E0"/>
            <w:vAlign w:val="center"/>
            <w:hideMark/>
          </w:tcPr>
          <w:p>
            <w:pPr>
              <w:jc w:val="center"/>
              <w:rPr>
                <w:noProof/>
                <w:color w:val="000000"/>
                <w:sz w:val="20"/>
              </w:rPr>
            </w:pPr>
            <w:r>
              <w:rPr>
                <w:noProof/>
                <w:color w:val="000000"/>
                <w:sz w:val="20"/>
              </w:rPr>
              <w:t>(1)</w:t>
            </w:r>
          </w:p>
        </w:tc>
        <w:tc>
          <w:tcPr>
            <w:tcW w:w="1520" w:type="dxa"/>
            <w:tcBorders>
              <w:top w:val="nil"/>
              <w:left w:val="nil"/>
              <w:bottom w:val="single" w:sz="4" w:space="0" w:color="auto"/>
              <w:right w:val="single" w:sz="4" w:space="0" w:color="auto"/>
            </w:tcBorders>
            <w:shd w:val="clear" w:color="000000" w:fill="E0E0E0"/>
            <w:vAlign w:val="center"/>
            <w:hideMark/>
          </w:tcPr>
          <w:p>
            <w:pPr>
              <w:jc w:val="center"/>
              <w:rPr>
                <w:noProof/>
                <w:color w:val="000000"/>
                <w:sz w:val="20"/>
              </w:rPr>
            </w:pPr>
            <w:r>
              <w:rPr>
                <w:noProof/>
                <w:color w:val="000000"/>
                <w:sz w:val="20"/>
              </w:rPr>
              <w:t>(2)</w:t>
            </w:r>
          </w:p>
        </w:tc>
        <w:tc>
          <w:tcPr>
            <w:tcW w:w="1500" w:type="dxa"/>
            <w:tcBorders>
              <w:top w:val="nil"/>
              <w:left w:val="nil"/>
              <w:bottom w:val="single" w:sz="4" w:space="0" w:color="auto"/>
              <w:right w:val="single" w:sz="4" w:space="0" w:color="auto"/>
            </w:tcBorders>
            <w:shd w:val="clear" w:color="000000" w:fill="E0E0E0"/>
            <w:vAlign w:val="center"/>
            <w:hideMark/>
          </w:tcPr>
          <w:p>
            <w:pPr>
              <w:jc w:val="center"/>
              <w:rPr>
                <w:noProof/>
                <w:color w:val="000000"/>
                <w:sz w:val="20"/>
              </w:rPr>
            </w:pPr>
            <w:r>
              <w:rPr>
                <w:noProof/>
                <w:color w:val="000000"/>
                <w:sz w:val="20"/>
              </w:rPr>
              <w:t>(3)</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BE</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6 151,1</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6 108,2</w:t>
            </w:r>
          </w:p>
        </w:tc>
        <w:tc>
          <w:tcPr>
            <w:tcW w:w="1500" w:type="dxa"/>
            <w:tcBorders>
              <w:top w:val="single" w:sz="4" w:space="0" w:color="auto"/>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6 096,5</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BG</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565,3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560,2</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605,0</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CZ</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2 012,3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1 993,3</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2 028,3</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DK</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2 811,0</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2 782,1</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2 801,5</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DE</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30 494,7</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30 164,5</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29 792,7</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EE</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253,3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250,9</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263,1</w:t>
            </w:r>
          </w:p>
        </w:tc>
      </w:tr>
      <w:tr>
        <w:trPr>
          <w:trHeight w:val="300"/>
          <w:jc w:val="center"/>
        </w:trPr>
        <w:tc>
          <w:tcPr>
            <w:tcW w:w="960" w:type="dxa"/>
            <w:tcBorders>
              <w:top w:val="single" w:sz="4" w:space="0" w:color="auto"/>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IE</w:t>
            </w:r>
          </w:p>
        </w:tc>
        <w:tc>
          <w:tcPr>
            <w:tcW w:w="1460" w:type="dxa"/>
            <w:tcBorders>
              <w:top w:val="single" w:sz="4" w:space="0" w:color="auto"/>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2 478,4</w:t>
            </w:r>
          </w:p>
        </w:tc>
        <w:tc>
          <w:tcPr>
            <w:tcW w:w="1520" w:type="dxa"/>
            <w:tcBorders>
              <w:top w:val="single" w:sz="4" w:space="0" w:color="auto"/>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2 453,9</w:t>
            </w:r>
          </w:p>
        </w:tc>
        <w:tc>
          <w:tcPr>
            <w:tcW w:w="1500" w:type="dxa"/>
            <w:tcBorders>
              <w:top w:val="single" w:sz="4" w:space="0" w:color="auto"/>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2 485,6</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EL</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1 746,1</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1 728,6</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1 759,2</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ES</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12 172,1</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12 056,6</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12 161,9</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FR</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22 592,6</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22 364,4</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22 592,4</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HR</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496,6</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491,8</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494,6</w:t>
            </w:r>
          </w:p>
        </w:tc>
      </w:tr>
      <w:tr>
        <w:trPr>
          <w:trHeight w:val="300"/>
          <w:jc w:val="center"/>
        </w:trPr>
        <w:tc>
          <w:tcPr>
            <w:tcW w:w="960" w:type="dxa"/>
            <w:tcBorders>
              <w:top w:val="nil"/>
              <w:left w:val="single" w:sz="8" w:space="0" w:color="auto"/>
              <w:bottom w:val="single" w:sz="4" w:space="0" w:color="auto"/>
              <w:right w:val="single" w:sz="4" w:space="0" w:color="auto"/>
            </w:tcBorders>
            <w:shd w:val="clear" w:color="auto" w:fill="auto"/>
            <w:vAlign w:val="center"/>
            <w:hideMark/>
          </w:tcPr>
          <w:p>
            <w:pPr>
              <w:jc w:val="center"/>
              <w:rPr>
                <w:b/>
                <w:bCs/>
                <w:noProof/>
                <w:color w:val="000000"/>
                <w:sz w:val="20"/>
              </w:rPr>
            </w:pPr>
            <w:r>
              <w:rPr>
                <w:b/>
                <w:noProof/>
                <w:color w:val="000000"/>
                <w:sz w:val="20"/>
              </w:rPr>
              <w:t>IT</w:t>
            </w:r>
          </w:p>
        </w:tc>
        <w:tc>
          <w:tcPr>
            <w:tcW w:w="1460" w:type="dxa"/>
            <w:tcBorders>
              <w:top w:val="nil"/>
              <w:left w:val="nil"/>
              <w:bottom w:val="single" w:sz="4" w:space="0" w:color="auto"/>
              <w:right w:val="single" w:sz="4" w:space="0" w:color="auto"/>
            </w:tcBorders>
            <w:shd w:val="clear" w:color="auto" w:fill="auto"/>
            <w:noWrap/>
            <w:vAlign w:val="bottom"/>
          </w:tcPr>
          <w:p>
            <w:pPr>
              <w:jc w:val="right"/>
              <w:rPr>
                <w:noProof/>
                <w:color w:val="000000"/>
                <w:sz w:val="20"/>
              </w:rPr>
            </w:pPr>
            <w:r>
              <w:rPr>
                <w:noProof/>
                <w:color w:val="000000"/>
                <w:sz w:val="20"/>
              </w:rPr>
              <w:t>17 008,2</w:t>
            </w:r>
          </w:p>
        </w:tc>
        <w:tc>
          <w:tcPr>
            <w:tcW w:w="1520" w:type="dxa"/>
            <w:tcBorders>
              <w:top w:val="nil"/>
              <w:left w:val="nil"/>
              <w:bottom w:val="single" w:sz="4" w:space="0" w:color="auto"/>
              <w:right w:val="single" w:sz="4" w:space="0" w:color="auto"/>
            </w:tcBorders>
            <w:shd w:val="clear" w:color="auto" w:fill="auto"/>
            <w:noWrap/>
            <w:vAlign w:val="bottom"/>
          </w:tcPr>
          <w:p>
            <w:pPr>
              <w:jc w:val="right"/>
              <w:rPr>
                <w:noProof/>
                <w:color w:val="000000"/>
                <w:sz w:val="20"/>
              </w:rPr>
            </w:pPr>
            <w:r>
              <w:rPr>
                <w:noProof/>
                <w:color w:val="000000"/>
                <w:sz w:val="20"/>
              </w:rPr>
              <w:t>16 840,7</w:t>
            </w:r>
          </w:p>
        </w:tc>
        <w:tc>
          <w:tcPr>
            <w:tcW w:w="1500" w:type="dxa"/>
            <w:tcBorders>
              <w:top w:val="nil"/>
              <w:left w:val="nil"/>
              <w:bottom w:val="single" w:sz="4" w:space="0" w:color="auto"/>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16 772,0</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CY</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202,2</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200,3</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206,7</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LV</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288,5</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285,7</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301,3</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LT</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459,3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455,2</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481,5</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LU</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376,9</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373,1</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382,6</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HU</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1 285,1</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1 272,7</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1 349,3</w:t>
            </w:r>
          </w:p>
        </w:tc>
      </w:tr>
      <w:tr>
        <w:trPr>
          <w:trHeight w:val="300"/>
          <w:jc w:val="center"/>
        </w:trPr>
        <w:tc>
          <w:tcPr>
            <w:tcW w:w="960" w:type="dxa"/>
            <w:tcBorders>
              <w:top w:val="single" w:sz="4" w:space="0" w:color="auto"/>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MT</w:t>
            </w:r>
          </w:p>
        </w:tc>
        <w:tc>
          <w:tcPr>
            <w:tcW w:w="1460" w:type="dxa"/>
            <w:tcBorders>
              <w:top w:val="single" w:sz="4" w:space="0" w:color="auto"/>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116,7</w:t>
            </w:r>
          </w:p>
        </w:tc>
        <w:tc>
          <w:tcPr>
            <w:tcW w:w="1520" w:type="dxa"/>
            <w:tcBorders>
              <w:top w:val="single" w:sz="4" w:space="0" w:color="auto"/>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115,6</w:t>
            </w:r>
          </w:p>
        </w:tc>
        <w:tc>
          <w:tcPr>
            <w:tcW w:w="1500" w:type="dxa"/>
            <w:tcBorders>
              <w:top w:val="single" w:sz="4" w:space="0" w:color="auto"/>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119,3</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NL</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7 707,0</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7 633,3</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7 668,9</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AT</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3 437,6</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3 400,7</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3 398,3</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PL</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4 934,2</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4 888,0</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5 072,7</w:t>
            </w:r>
          </w:p>
        </w:tc>
      </w:tr>
      <w:tr>
        <w:trPr>
          <w:trHeight w:val="300"/>
          <w:jc w:val="center"/>
        </w:trPr>
        <w:tc>
          <w:tcPr>
            <w:tcW w:w="960" w:type="dxa"/>
            <w:tcBorders>
              <w:top w:val="nil"/>
              <w:left w:val="single" w:sz="8" w:space="0" w:color="auto"/>
              <w:bottom w:val="single" w:sz="4" w:space="0" w:color="auto"/>
              <w:right w:val="single" w:sz="4" w:space="0" w:color="auto"/>
            </w:tcBorders>
            <w:shd w:val="clear" w:color="auto" w:fill="auto"/>
            <w:vAlign w:val="center"/>
            <w:hideMark/>
          </w:tcPr>
          <w:p>
            <w:pPr>
              <w:jc w:val="center"/>
              <w:rPr>
                <w:b/>
                <w:bCs/>
                <w:noProof/>
                <w:color w:val="000000"/>
                <w:sz w:val="20"/>
              </w:rPr>
            </w:pPr>
            <w:r>
              <w:rPr>
                <w:b/>
                <w:noProof/>
                <w:color w:val="000000"/>
                <w:sz w:val="20"/>
              </w:rPr>
              <w:t>PT</w:t>
            </w:r>
          </w:p>
        </w:tc>
        <w:tc>
          <w:tcPr>
            <w:tcW w:w="1460" w:type="dxa"/>
            <w:tcBorders>
              <w:top w:val="nil"/>
              <w:left w:val="nil"/>
              <w:bottom w:val="single" w:sz="4" w:space="0" w:color="auto"/>
              <w:right w:val="single" w:sz="4" w:space="0" w:color="auto"/>
            </w:tcBorders>
            <w:shd w:val="clear" w:color="auto" w:fill="auto"/>
            <w:noWrap/>
            <w:vAlign w:val="bottom"/>
          </w:tcPr>
          <w:p>
            <w:pPr>
              <w:jc w:val="right"/>
              <w:rPr>
                <w:noProof/>
                <w:color w:val="000000"/>
                <w:sz w:val="20"/>
              </w:rPr>
            </w:pPr>
            <w:r>
              <w:rPr>
                <w:noProof/>
                <w:color w:val="000000"/>
                <w:sz w:val="20"/>
              </w:rPr>
              <w:t>1 914,7</w:t>
            </w:r>
          </w:p>
        </w:tc>
        <w:tc>
          <w:tcPr>
            <w:tcW w:w="1520" w:type="dxa"/>
            <w:tcBorders>
              <w:top w:val="nil"/>
              <w:left w:val="nil"/>
              <w:bottom w:val="single" w:sz="4" w:space="0" w:color="auto"/>
              <w:right w:val="single" w:sz="4" w:space="0" w:color="auto"/>
            </w:tcBorders>
            <w:shd w:val="clear" w:color="auto" w:fill="auto"/>
            <w:noWrap/>
            <w:vAlign w:val="bottom"/>
          </w:tcPr>
          <w:p>
            <w:pPr>
              <w:jc w:val="right"/>
              <w:rPr>
                <w:noProof/>
                <w:color w:val="000000"/>
                <w:sz w:val="20"/>
              </w:rPr>
            </w:pPr>
            <w:r>
              <w:rPr>
                <w:noProof/>
                <w:color w:val="000000"/>
                <w:sz w:val="20"/>
              </w:rPr>
              <w:t>1 896,0</w:t>
            </w:r>
          </w:p>
        </w:tc>
        <w:tc>
          <w:tcPr>
            <w:tcW w:w="1500" w:type="dxa"/>
            <w:tcBorders>
              <w:top w:val="nil"/>
              <w:left w:val="nil"/>
              <w:bottom w:val="single" w:sz="4" w:space="0" w:color="auto"/>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1 932,0</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RO</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1 916,6</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1 897,1</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1 948,8</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SI</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480,2</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475,8</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488,1</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SK</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868,0</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 xml:space="preserve"> 859,3</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873,2</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FI</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2 186,3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2 163,9</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2 166,7</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SE</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3 859,3</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3 815,1</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3 883,5</w:t>
            </w:r>
          </w:p>
        </w:tc>
      </w:tr>
      <w:tr>
        <w:trPr>
          <w:trHeight w:val="300"/>
          <w:jc w:val="center"/>
        </w:trPr>
        <w:tc>
          <w:tcPr>
            <w:tcW w:w="960" w:type="dxa"/>
            <w:tcBorders>
              <w:top w:val="nil"/>
              <w:left w:val="single" w:sz="8" w:space="0" w:color="auto"/>
              <w:bottom w:val="nil"/>
              <w:right w:val="single" w:sz="4" w:space="0" w:color="auto"/>
            </w:tcBorders>
            <w:shd w:val="clear" w:color="auto" w:fill="auto"/>
            <w:vAlign w:val="center"/>
            <w:hideMark/>
          </w:tcPr>
          <w:p>
            <w:pPr>
              <w:jc w:val="center"/>
              <w:rPr>
                <w:b/>
                <w:bCs/>
                <w:noProof/>
                <w:color w:val="000000"/>
                <w:sz w:val="20"/>
              </w:rPr>
            </w:pPr>
            <w:r>
              <w:rPr>
                <w:b/>
                <w:noProof/>
                <w:color w:val="000000"/>
                <w:sz w:val="20"/>
              </w:rPr>
              <w:t>UK</w:t>
            </w:r>
          </w:p>
        </w:tc>
        <w:tc>
          <w:tcPr>
            <w:tcW w:w="146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17 490,2</w:t>
            </w:r>
          </w:p>
        </w:tc>
        <w:tc>
          <w:tcPr>
            <w:tcW w:w="1520" w:type="dxa"/>
            <w:tcBorders>
              <w:top w:val="nil"/>
              <w:left w:val="nil"/>
              <w:bottom w:val="nil"/>
              <w:right w:val="single" w:sz="4" w:space="0" w:color="auto"/>
            </w:tcBorders>
            <w:shd w:val="clear" w:color="auto" w:fill="auto"/>
            <w:noWrap/>
            <w:vAlign w:val="bottom"/>
          </w:tcPr>
          <w:p>
            <w:pPr>
              <w:jc w:val="right"/>
              <w:rPr>
                <w:noProof/>
                <w:color w:val="000000"/>
                <w:sz w:val="20"/>
              </w:rPr>
            </w:pPr>
            <w:r>
              <w:rPr>
                <w:noProof/>
                <w:color w:val="000000"/>
                <w:sz w:val="20"/>
              </w:rPr>
              <w:t>17 268,1</w:t>
            </w:r>
          </w:p>
        </w:tc>
        <w:tc>
          <w:tcPr>
            <w:tcW w:w="1500" w:type="dxa"/>
            <w:tcBorders>
              <w:top w:val="nil"/>
              <w:left w:val="nil"/>
              <w:bottom w:val="nil"/>
              <w:right w:val="single" w:sz="4" w:space="0" w:color="auto"/>
            </w:tcBorders>
            <w:shd w:val="clear" w:color="auto" w:fill="FFFFFF" w:themeFill="background1"/>
            <w:noWrap/>
            <w:vAlign w:val="bottom"/>
          </w:tcPr>
          <w:p>
            <w:pPr>
              <w:jc w:val="right"/>
              <w:rPr>
                <w:noProof/>
                <w:sz w:val="20"/>
                <w:szCs w:val="20"/>
                <w:highlight w:val="yellow"/>
              </w:rPr>
            </w:pPr>
            <w:r>
              <w:rPr>
                <w:noProof/>
                <w:color w:val="000000"/>
                <w:sz w:val="20"/>
              </w:rPr>
              <w:t>16 614,1</w:t>
            </w:r>
          </w:p>
        </w:tc>
      </w:tr>
      <w:tr>
        <w:trPr>
          <w:trHeight w:val="315"/>
          <w:jc w:val="center"/>
        </w:trPr>
        <w:tc>
          <w:tcPr>
            <w:tcW w:w="960" w:type="dxa"/>
            <w:tcBorders>
              <w:top w:val="single" w:sz="4" w:space="0" w:color="auto"/>
              <w:left w:val="single" w:sz="8" w:space="0" w:color="auto"/>
              <w:bottom w:val="single" w:sz="8" w:space="0" w:color="auto"/>
              <w:right w:val="single" w:sz="4" w:space="0" w:color="auto"/>
            </w:tcBorders>
            <w:shd w:val="clear" w:color="auto" w:fill="auto"/>
            <w:hideMark/>
          </w:tcPr>
          <w:p>
            <w:pPr>
              <w:jc w:val="center"/>
              <w:rPr>
                <w:b/>
                <w:bCs/>
                <w:noProof/>
                <w:color w:val="000000"/>
                <w:sz w:val="22"/>
                <w:szCs w:val="22"/>
              </w:rPr>
            </w:pPr>
            <w:r>
              <w:rPr>
                <w:b/>
                <w:noProof/>
                <w:color w:val="000000"/>
                <w:sz w:val="22"/>
              </w:rPr>
              <w:t>EÚ</w:t>
            </w:r>
          </w:p>
        </w:tc>
        <w:tc>
          <w:tcPr>
            <w:tcW w:w="1460" w:type="dxa"/>
            <w:tcBorders>
              <w:top w:val="single" w:sz="4" w:space="0" w:color="auto"/>
              <w:left w:val="nil"/>
              <w:bottom w:val="single" w:sz="8" w:space="0" w:color="auto"/>
              <w:right w:val="single" w:sz="4" w:space="0" w:color="auto"/>
            </w:tcBorders>
            <w:shd w:val="clear" w:color="auto" w:fill="auto"/>
          </w:tcPr>
          <w:p>
            <w:pPr>
              <w:jc w:val="right"/>
              <w:rPr>
                <w:b/>
                <w:bCs/>
                <w:noProof/>
                <w:sz w:val="22"/>
                <w:szCs w:val="22"/>
              </w:rPr>
            </w:pPr>
            <w:r>
              <w:rPr>
                <w:b/>
                <w:noProof/>
                <w:color w:val="000000"/>
                <w:sz w:val="22"/>
              </w:rPr>
              <w:t>146 304,5</w:t>
            </w:r>
          </w:p>
        </w:tc>
        <w:tc>
          <w:tcPr>
            <w:tcW w:w="1520" w:type="dxa"/>
            <w:tcBorders>
              <w:top w:val="single" w:sz="4" w:space="0" w:color="auto"/>
              <w:left w:val="nil"/>
              <w:bottom w:val="single" w:sz="8" w:space="0" w:color="auto"/>
              <w:right w:val="single" w:sz="4" w:space="0" w:color="auto"/>
            </w:tcBorders>
            <w:shd w:val="clear" w:color="auto" w:fill="auto"/>
          </w:tcPr>
          <w:p>
            <w:pPr>
              <w:jc w:val="right"/>
              <w:rPr>
                <w:b/>
                <w:bCs/>
                <w:noProof/>
                <w:sz w:val="22"/>
                <w:szCs w:val="22"/>
              </w:rPr>
            </w:pPr>
            <w:r>
              <w:rPr>
                <w:b/>
                <w:noProof/>
                <w:color w:val="000000"/>
                <w:sz w:val="22"/>
              </w:rPr>
              <w:t>144 795,1</w:t>
            </w:r>
          </w:p>
        </w:tc>
        <w:tc>
          <w:tcPr>
            <w:tcW w:w="1500" w:type="dxa"/>
            <w:tcBorders>
              <w:top w:val="single" w:sz="4" w:space="0" w:color="auto"/>
              <w:left w:val="nil"/>
              <w:bottom w:val="single" w:sz="8" w:space="0" w:color="auto"/>
              <w:right w:val="single" w:sz="4" w:space="0" w:color="auto"/>
            </w:tcBorders>
            <w:shd w:val="clear" w:color="auto" w:fill="FFFFFF" w:themeFill="background1"/>
          </w:tcPr>
          <w:p>
            <w:pPr>
              <w:jc w:val="right"/>
              <w:rPr>
                <w:b/>
                <w:noProof/>
                <w:sz w:val="22"/>
                <w:szCs w:val="22"/>
              </w:rPr>
            </w:pPr>
            <w:r>
              <w:rPr>
                <w:b/>
                <w:noProof/>
                <w:sz w:val="22"/>
              </w:rPr>
              <w:t>144 739,5</w:t>
            </w:r>
          </w:p>
        </w:tc>
      </w:tr>
    </w:tbl>
    <w:p>
      <w:pPr>
        <w:rPr>
          <w:rFonts w:eastAsia="Calibri"/>
          <w:b/>
          <w:noProof/>
        </w:rPr>
      </w:pPr>
      <w:r>
        <w:rPr>
          <w:noProof/>
        </w:rPr>
        <w:br w:type="page"/>
      </w:r>
    </w:p>
    <w:p>
      <w:pPr>
        <w:keepNext/>
        <w:tabs>
          <w:tab w:val="left" w:pos="850"/>
        </w:tabs>
        <w:spacing w:before="360" w:after="120"/>
        <w:ind w:left="850" w:hanging="850"/>
        <w:jc w:val="both"/>
        <w:outlineLvl w:val="1"/>
        <w:rPr>
          <w:rFonts w:eastAsia="Calibri"/>
          <w:b/>
          <w:noProof/>
        </w:rPr>
      </w:pPr>
      <w:bookmarkStart w:id="63" w:name="_Toc12621013"/>
      <w:bookmarkStart w:id="64" w:name="_Toc13832643"/>
      <w:r>
        <w:rPr>
          <w:b/>
          <w:noProof/>
        </w:rPr>
        <w:t>3.2</w:t>
      </w:r>
      <w:r>
        <w:rPr>
          <w:noProof/>
        </w:rPr>
        <w:tab/>
      </w:r>
      <w:r>
        <w:rPr>
          <w:b/>
          <w:noProof/>
        </w:rPr>
        <w:t>Revízia odhadov TVZ a základov DPH a HND</w:t>
      </w:r>
      <w:bookmarkEnd w:id="61"/>
      <w:bookmarkEnd w:id="62"/>
      <w:bookmarkEnd w:id="63"/>
      <w:bookmarkEnd w:id="64"/>
    </w:p>
    <w:p>
      <w:pPr>
        <w:spacing w:before="120" w:after="120"/>
        <w:jc w:val="both"/>
        <w:rPr>
          <w:noProof/>
        </w:rPr>
      </w:pPr>
      <w:r>
        <w:rPr>
          <w:noProof/>
        </w:rPr>
        <w:t>V súlade so zaužívanou praxou Komisia navrhuje revíziu financovania rozpočtu na základe aktuálnejších hospodárskych prognóz</w:t>
      </w:r>
      <w:r>
        <w:rPr>
          <w:rStyle w:val="FootnoteReference"/>
          <w:noProof/>
        </w:rPr>
        <w:footnoteReference w:id="20"/>
      </w:r>
      <w:r>
        <w:rPr>
          <w:noProof/>
        </w:rPr>
        <w:t>, ktoré boli dohodnuté s členskými štátmi na zasadnutí výboru ACOR.</w:t>
      </w:r>
    </w:p>
    <w:p>
      <w:pPr>
        <w:spacing w:before="120" w:after="120"/>
        <w:jc w:val="both"/>
        <w:rPr>
          <w:noProof/>
        </w:rPr>
      </w:pPr>
      <w:r>
        <w:rPr>
          <w:noProof/>
        </w:rPr>
        <w:t>Revízia sa týka odhadu TVZ, ktoré majú byť uhradené do rozpočtu v roku 2019, ako aj odhadu základov DPH a HND na rok 2019. Odhad v rozpočte na rok 2019 bol stanovený na 172. zasadnutí výboru ACOR 18. mája 2018. Revízia v tomto NOR zohľadňuje odhady dohodnuté na 175. zasadnutí výboru ACOR, ktoré sa uskutočnilo 24. mája 2019. Použitie aktualizovaného odhadu vlastných zdrojov zlepšuje presnosť odhadov príjmov, a tým aj platieb, ktoré majú členské štáty odviesť do rozpočtu EÚ počas rozpočtového roka.</w:t>
      </w:r>
    </w:p>
    <w:p>
      <w:pPr>
        <w:spacing w:before="120" w:after="120"/>
        <w:jc w:val="both"/>
        <w:rPr>
          <w:noProof/>
        </w:rPr>
      </w:pPr>
      <w:r>
        <w:rPr>
          <w:noProof/>
        </w:rPr>
        <w:t>V porovnaní s odhadom dohodnutým v máji 2018 sa v odhade na rok 2019 vykonali tieto zmeny:</w:t>
      </w:r>
    </w:p>
    <w:p>
      <w:pPr>
        <w:numPr>
          <w:ilvl w:val="0"/>
          <w:numId w:val="2"/>
        </w:numPr>
        <w:spacing w:before="120" w:after="240"/>
        <w:jc w:val="both"/>
        <w:rPr>
          <w:noProof/>
        </w:rPr>
      </w:pPr>
      <w:r>
        <w:rPr>
          <w:noProof/>
        </w:rPr>
        <w:t>Celková výška čistých ciel za rok 2019 sa v súčasnosti odhaduje na 21 206,0 mil. EUR (po odpočítaní 20 % nákladov na výber), čo predstavuje zníženie o 1,23 % v porovnaní s odhadom vo výške 21 471,2 mil. EUR, ktorý bol zahrnutý v rozpočte na rok 2019. Komisia porovnala výsledky tradičnej metódy výboru ACOR používanej na vypracovávanie odhadov (založenej na makroekonomickej prognóze z jari 2019) s výsledkami extrapolačnej metódy založenej na aktuálnych výsledných údajoch o vybraných clách (január – apríl 2019). Podobne ako v predchádzajúcich rokoch sa dohodlo, že sa uplatní konzervatívny prístup a použije sa najnižšia odhadovaná výška TVZ, aby sa zabezpečilo správne rozpočtové riadenie v kontexte vysokej hospodárskej neistoty a potenciálnych narušení v štruktúre obchodu.</w:t>
      </w:r>
    </w:p>
    <w:p>
      <w:pPr>
        <w:numPr>
          <w:ilvl w:val="0"/>
          <w:numId w:val="2"/>
        </w:numPr>
        <w:spacing w:before="120" w:after="120"/>
        <w:jc w:val="both"/>
        <w:rPr>
          <w:noProof/>
        </w:rPr>
      </w:pPr>
      <w:r>
        <w:rPr>
          <w:noProof/>
        </w:rPr>
        <w:t xml:space="preserve">Celkový neobmedzený základ DPH EÚ na rok 2019 sa v súčasnosti odhaduje na 7 085 193,6 mil. EUR, čo predstavuje zvýšenie o 2,30 % v porovnaní s odhadom vo výške 6 925 637,5 mil. EUR z mája 2018. Celkový </w:t>
      </w:r>
      <w:r>
        <w:rPr>
          <w:i/>
          <w:noProof/>
        </w:rPr>
        <w:t>obmedzený</w:t>
      </w:r>
      <w:r>
        <w:rPr>
          <w:noProof/>
        </w:rPr>
        <w:t xml:space="preserve"> základ DPH EÚ</w:t>
      </w:r>
      <w:r>
        <w:rPr>
          <w:noProof/>
          <w:vertAlign w:val="superscript"/>
        </w:rPr>
        <w:footnoteReference w:id="21"/>
      </w:r>
      <w:r>
        <w:rPr>
          <w:noProof/>
        </w:rPr>
        <w:t xml:space="preserve"> na rok 2019 sa odhaduje na 7 057 535,1 mil. EUR, čo predstavuje zvýšenie o 2,20 % v porovnaní s odhadom vo výške 6 905 892,6 mil. EUR z mája 2018.</w:t>
      </w:r>
    </w:p>
    <w:p>
      <w:pPr>
        <w:numPr>
          <w:ilvl w:val="0"/>
          <w:numId w:val="2"/>
        </w:numPr>
        <w:spacing w:before="120" w:after="120"/>
        <w:jc w:val="both"/>
        <w:rPr>
          <w:noProof/>
        </w:rPr>
      </w:pPr>
      <w:r>
        <w:rPr>
          <w:noProof/>
        </w:rPr>
        <w:t>Celkový základ HND EÚ na rok 2019 sa odhaduje na 16 347 197,8 mil. EUR, čo predstavuje zníženie (o -0,60 %) v porovnaní s odhadom vo výške 16 446 111,0 mil. EUR z mája 2018.</w:t>
      </w:r>
    </w:p>
    <w:p>
      <w:pPr>
        <w:spacing w:before="120" w:after="120"/>
        <w:jc w:val="both"/>
        <w:rPr>
          <w:noProof/>
        </w:rPr>
      </w:pPr>
      <w:r>
        <w:rPr>
          <w:noProof/>
        </w:rPr>
        <w:t>Pri prepočte odhadovaných základov DPH a HND v národných menách na eurá (v prípade deviatich členských štátov, ktoré nie sú členmi eurozóny) boli použité výmenné kurzy platné 31. decembra 2018. Takto nedôjde k skresleniu údajov, keďže práve tento výmenný kurz sa používa na prepočet platieb vlastných zdrojov zahrnutých do rozpočtu z eur na národné meny pri ich výbere (ako sa stanovuje v článku 10a ods. 1 nariadenia Rady č. 609/2014).</w:t>
      </w:r>
    </w:p>
    <w:p>
      <w:pPr>
        <w:spacing w:before="120" w:after="120"/>
        <w:jc w:val="both"/>
        <w:rPr>
          <w:noProof/>
        </w:rPr>
      </w:pPr>
      <w:r>
        <w:rPr>
          <w:noProof/>
        </w:rPr>
        <w:t>V nasledujúcej tabuľke sú uvedené revidované odhady TVZ, neobmedzených základov DPH a základov HND na rok 2019, schválené 24. mája 2019 na 175. zasadnutí výboru ACOR.</w:t>
      </w:r>
    </w:p>
    <w:p>
      <w:pPr>
        <w:keepNext/>
        <w:jc w:val="center"/>
        <w:rPr>
          <w:b/>
          <w:i/>
          <w:noProof/>
        </w:rPr>
      </w:pPr>
      <w:r>
        <w:rPr>
          <w:b/>
          <w:noProof/>
        </w:rPr>
        <w:t xml:space="preserve">Revidované prognózy TVZ a základov DPH a HND na rok 2019 </w:t>
      </w:r>
      <w:r>
        <w:rPr>
          <w:b/>
          <w:i/>
          <w:noProof/>
        </w:rPr>
        <w:t>(v mil. EUR</w:t>
      </w:r>
      <w:r>
        <w:rPr>
          <w:b/>
          <w:noProof/>
        </w:rPr>
        <w:t>)</w:t>
      </w:r>
    </w:p>
    <w:p>
      <w:pPr>
        <w:keepNext/>
        <w:jc w:val="center"/>
        <w:rPr>
          <w:b/>
          <w:i/>
          <w:noProof/>
        </w:rPr>
      </w:pPr>
    </w:p>
    <w:tbl>
      <w:tblPr>
        <w:tblW w:w="0" w:type="auto"/>
        <w:jc w:val="center"/>
        <w:tblLayout w:type="fixed"/>
        <w:tblLook w:val="0000" w:firstRow="0" w:lastRow="0" w:firstColumn="0" w:lastColumn="0" w:noHBand="0" w:noVBand="0"/>
      </w:tblPr>
      <w:tblGrid>
        <w:gridCol w:w="829"/>
        <w:gridCol w:w="1404"/>
        <w:gridCol w:w="1404"/>
        <w:gridCol w:w="1404"/>
        <w:gridCol w:w="1404"/>
      </w:tblGrid>
      <w:tr>
        <w:trPr>
          <w:trHeight w:val="742"/>
          <w:tblHeader/>
          <w:jc w:val="center"/>
        </w:trPr>
        <w:tc>
          <w:tcPr>
            <w:tcW w:w="829" w:type="dxa"/>
            <w:tcBorders>
              <w:bottom w:val="single" w:sz="12" w:space="0" w:color="auto"/>
              <w:right w:val="single" w:sz="12" w:space="0" w:color="000000"/>
            </w:tcBorders>
          </w:tcPr>
          <w:p>
            <w:pPr>
              <w:keepNext/>
              <w:autoSpaceDE w:val="0"/>
              <w:autoSpaceDN w:val="0"/>
              <w:adjustRightInd w:val="0"/>
              <w:jc w:val="right"/>
              <w:rPr>
                <w:b/>
                <w:bCs/>
                <w:noProof/>
                <w:color w:val="000000"/>
                <w:sz w:val="20"/>
              </w:rPr>
            </w:pPr>
            <w:bookmarkStart w:id="65" w:name="OLE_LINK1"/>
            <w:bookmarkStart w:id="66" w:name="_Toc421699312"/>
            <w:bookmarkStart w:id="67" w:name="_Toc461544621"/>
            <w:bookmarkStart w:id="68" w:name="_Toc462410060"/>
            <w:bookmarkStart w:id="69" w:name="_Toc525202234"/>
            <w:bookmarkStart w:id="70" w:name="_Toc390436796"/>
            <w:bookmarkStart w:id="71" w:name="_Toc420941901"/>
            <w:bookmarkStart w:id="72" w:name="_Toc294673193"/>
            <w:bookmarkStart w:id="73" w:name="_Toc357005413"/>
            <w:bookmarkStart w:id="74" w:name="_Toc358885561"/>
          </w:p>
        </w:tc>
        <w:tc>
          <w:tcPr>
            <w:tcW w:w="1404" w:type="dxa"/>
            <w:tcBorders>
              <w:top w:val="single" w:sz="12" w:space="0" w:color="auto"/>
              <w:left w:val="single" w:sz="2" w:space="0" w:color="000000"/>
              <w:bottom w:val="single" w:sz="12" w:space="0" w:color="auto"/>
              <w:right w:val="single" w:sz="2" w:space="0" w:color="000000"/>
            </w:tcBorders>
            <w:shd w:val="clear" w:color="auto" w:fill="E0E0E0"/>
            <w:vAlign w:val="center"/>
          </w:tcPr>
          <w:p>
            <w:pPr>
              <w:keepNext/>
              <w:autoSpaceDE w:val="0"/>
              <w:autoSpaceDN w:val="0"/>
              <w:adjustRightInd w:val="0"/>
              <w:jc w:val="center"/>
              <w:rPr>
                <w:b/>
                <w:bCs/>
                <w:noProof/>
                <w:color w:val="000000"/>
                <w:sz w:val="20"/>
              </w:rPr>
            </w:pPr>
            <w:r>
              <w:rPr>
                <w:b/>
                <w:noProof/>
                <w:color w:val="000000"/>
                <w:sz w:val="20"/>
              </w:rPr>
              <w:t>Clá</w:t>
            </w:r>
          </w:p>
          <w:p>
            <w:pPr>
              <w:keepNext/>
              <w:autoSpaceDE w:val="0"/>
              <w:autoSpaceDN w:val="0"/>
              <w:adjustRightInd w:val="0"/>
              <w:jc w:val="center"/>
              <w:rPr>
                <w:b/>
                <w:bCs/>
                <w:i/>
                <w:iCs/>
                <w:noProof/>
                <w:color w:val="000000"/>
                <w:sz w:val="20"/>
              </w:rPr>
            </w:pPr>
            <w:r>
              <w:rPr>
                <w:b/>
                <w:i/>
                <w:noProof/>
                <w:color w:val="000000"/>
                <w:sz w:val="20"/>
              </w:rPr>
              <w:t>(80 %)</w:t>
            </w:r>
          </w:p>
        </w:tc>
        <w:tc>
          <w:tcPr>
            <w:tcW w:w="1404" w:type="dxa"/>
            <w:tcBorders>
              <w:top w:val="single" w:sz="12" w:space="0" w:color="auto"/>
              <w:left w:val="single" w:sz="2" w:space="0" w:color="000000"/>
              <w:bottom w:val="single" w:sz="12" w:space="0" w:color="auto"/>
              <w:right w:val="single" w:sz="2" w:space="0" w:color="000000"/>
            </w:tcBorders>
            <w:shd w:val="clear" w:color="auto" w:fill="E0E0E0"/>
            <w:vAlign w:val="center"/>
          </w:tcPr>
          <w:p>
            <w:pPr>
              <w:keepNext/>
              <w:autoSpaceDE w:val="0"/>
              <w:autoSpaceDN w:val="0"/>
              <w:adjustRightInd w:val="0"/>
              <w:ind w:left="-57" w:right="-57"/>
              <w:jc w:val="center"/>
              <w:rPr>
                <w:b/>
                <w:bCs/>
                <w:noProof/>
                <w:color w:val="000000"/>
                <w:sz w:val="20"/>
              </w:rPr>
            </w:pPr>
            <w:r>
              <w:rPr>
                <w:b/>
                <w:noProof/>
                <w:color w:val="000000"/>
                <w:sz w:val="20"/>
              </w:rPr>
              <w:t>Neobmedzené základy DPH</w:t>
            </w:r>
          </w:p>
        </w:tc>
        <w:tc>
          <w:tcPr>
            <w:tcW w:w="1404" w:type="dxa"/>
            <w:tcBorders>
              <w:top w:val="single" w:sz="12" w:space="0" w:color="auto"/>
              <w:left w:val="single" w:sz="2" w:space="0" w:color="000000"/>
              <w:bottom w:val="single" w:sz="12" w:space="0" w:color="auto"/>
              <w:right w:val="single" w:sz="2" w:space="0" w:color="000000"/>
            </w:tcBorders>
            <w:shd w:val="clear" w:color="auto" w:fill="E0E0E0"/>
            <w:vAlign w:val="center"/>
          </w:tcPr>
          <w:p>
            <w:pPr>
              <w:keepNext/>
              <w:autoSpaceDE w:val="0"/>
              <w:autoSpaceDN w:val="0"/>
              <w:adjustRightInd w:val="0"/>
              <w:jc w:val="center"/>
              <w:rPr>
                <w:b/>
                <w:bCs/>
                <w:noProof/>
                <w:color w:val="000000"/>
                <w:sz w:val="20"/>
              </w:rPr>
            </w:pPr>
            <w:r>
              <w:rPr>
                <w:b/>
                <w:noProof/>
                <w:color w:val="000000"/>
                <w:sz w:val="20"/>
              </w:rPr>
              <w:t>Základy HND</w:t>
            </w:r>
          </w:p>
        </w:tc>
        <w:tc>
          <w:tcPr>
            <w:tcW w:w="1404" w:type="dxa"/>
            <w:tcBorders>
              <w:top w:val="single" w:sz="12" w:space="0" w:color="auto"/>
              <w:left w:val="single" w:sz="2" w:space="0" w:color="000000"/>
              <w:bottom w:val="single" w:sz="12" w:space="0" w:color="auto"/>
              <w:right w:val="single" w:sz="12" w:space="0" w:color="auto"/>
            </w:tcBorders>
            <w:shd w:val="clear" w:color="auto" w:fill="E0E0E0"/>
            <w:vAlign w:val="center"/>
          </w:tcPr>
          <w:p>
            <w:pPr>
              <w:keepNext/>
              <w:autoSpaceDE w:val="0"/>
              <w:autoSpaceDN w:val="0"/>
              <w:adjustRightInd w:val="0"/>
              <w:jc w:val="center"/>
              <w:rPr>
                <w:b/>
                <w:bCs/>
                <w:i/>
                <w:iCs/>
                <w:noProof/>
                <w:color w:val="000000"/>
                <w:sz w:val="20"/>
              </w:rPr>
            </w:pPr>
            <w:r>
              <w:rPr>
                <w:b/>
                <w:i/>
                <w:noProof/>
                <w:color w:val="000000"/>
                <w:sz w:val="20"/>
              </w:rPr>
              <w:t>Obmedzené</w:t>
            </w:r>
          </w:p>
          <w:p>
            <w:pPr>
              <w:keepNext/>
              <w:autoSpaceDE w:val="0"/>
              <w:autoSpaceDN w:val="0"/>
              <w:adjustRightInd w:val="0"/>
              <w:jc w:val="center"/>
              <w:rPr>
                <w:b/>
                <w:bCs/>
                <w:i/>
                <w:iCs/>
                <w:noProof/>
                <w:color w:val="000000"/>
                <w:sz w:val="20"/>
              </w:rPr>
            </w:pPr>
            <w:r>
              <w:rPr>
                <w:b/>
                <w:i/>
                <w:noProof/>
                <w:color w:val="000000"/>
                <w:sz w:val="20"/>
              </w:rPr>
              <w:t>základy DPH</w:t>
            </w:r>
            <w:r>
              <w:rPr>
                <w:b/>
                <w:i/>
                <w:noProof/>
                <w:color w:val="000000"/>
                <w:sz w:val="20"/>
                <w:vertAlign w:val="superscript"/>
              </w:rPr>
              <w:footnoteReference w:id="22"/>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BE</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2 173,3</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200 164,5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469 186,6</w:t>
            </w:r>
          </w:p>
        </w:tc>
        <w:tc>
          <w:tcPr>
            <w:tcW w:w="1404" w:type="dxa"/>
            <w:tcBorders>
              <w:top w:val="single" w:sz="12" w:space="0" w:color="auto"/>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200 164,5</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BG</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104,7</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27 671,8</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58 500,4</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27 671,8</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CZ</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293,2</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90 821,9</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205 917,4</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90 821,9</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DK</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357,7</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119 452,0</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313 973,3</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119 452,0</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DE</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4 133,0</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1 453 699,2</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3 551 074,7</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1 453 699,2</w:t>
            </w:r>
          </w:p>
        </w:tc>
      </w:tr>
      <w:tr>
        <w:trPr>
          <w:trHeight w:val="247"/>
          <w:jc w:val="center"/>
        </w:trPr>
        <w:tc>
          <w:tcPr>
            <w:tcW w:w="829" w:type="dxa"/>
            <w:tcBorders>
              <w:top w:val="single" w:sz="2" w:space="0" w:color="000000"/>
              <w:left w:val="single" w:sz="12" w:space="0" w:color="auto"/>
              <w:bottom w:val="single" w:sz="2" w:space="0" w:color="auto"/>
              <w:right w:val="single" w:sz="12" w:space="0" w:color="auto"/>
            </w:tcBorders>
          </w:tcPr>
          <w:p>
            <w:pPr>
              <w:autoSpaceDE w:val="0"/>
              <w:autoSpaceDN w:val="0"/>
              <w:adjustRightInd w:val="0"/>
              <w:ind w:left="20"/>
              <w:contextualSpacing/>
              <w:rPr>
                <w:b/>
                <w:bCs/>
                <w:noProof/>
                <w:color w:val="000000"/>
                <w:sz w:val="20"/>
              </w:rPr>
            </w:pPr>
            <w:r>
              <w:rPr>
                <w:b/>
                <w:noProof/>
                <w:color w:val="000000"/>
                <w:sz w:val="20"/>
              </w:rPr>
              <w:t>EE</w:t>
            </w:r>
          </w:p>
        </w:tc>
        <w:tc>
          <w:tcPr>
            <w:tcW w:w="1404" w:type="dxa"/>
            <w:tcBorders>
              <w:top w:val="single" w:sz="2" w:space="0" w:color="000000"/>
              <w:left w:val="single" w:sz="2" w:space="0" w:color="000000"/>
              <w:bottom w:val="single" w:sz="2" w:space="0" w:color="auto"/>
              <w:right w:val="single" w:sz="2" w:space="0" w:color="000000"/>
            </w:tcBorders>
            <w:vAlign w:val="bottom"/>
          </w:tcPr>
          <w:p>
            <w:pPr>
              <w:jc w:val="right"/>
              <w:rPr>
                <w:noProof/>
                <w:color w:val="000000"/>
                <w:sz w:val="20"/>
              </w:rPr>
            </w:pPr>
            <w:r>
              <w:rPr>
                <w:noProof/>
                <w:color w:val="000000"/>
                <w:sz w:val="20"/>
              </w:rPr>
              <w:t xml:space="preserve">  34,9</w:t>
            </w:r>
          </w:p>
        </w:tc>
        <w:tc>
          <w:tcPr>
            <w:tcW w:w="1404" w:type="dxa"/>
            <w:tcBorders>
              <w:top w:val="single" w:sz="2" w:space="0" w:color="000000"/>
              <w:left w:val="single" w:sz="2" w:space="0" w:color="000000"/>
              <w:bottom w:val="single" w:sz="2" w:space="0" w:color="auto"/>
              <w:right w:val="single" w:sz="2" w:space="0" w:color="000000"/>
            </w:tcBorders>
            <w:vAlign w:val="bottom"/>
          </w:tcPr>
          <w:p>
            <w:pPr>
              <w:jc w:val="right"/>
              <w:rPr>
                <w:noProof/>
                <w:color w:val="000000"/>
                <w:sz w:val="20"/>
              </w:rPr>
            </w:pPr>
            <w:r>
              <w:rPr>
                <w:noProof/>
                <w:color w:val="000000"/>
                <w:sz w:val="20"/>
              </w:rPr>
              <w:t xml:space="preserve"> 13 074,3</w:t>
            </w:r>
          </w:p>
        </w:tc>
        <w:tc>
          <w:tcPr>
            <w:tcW w:w="1404" w:type="dxa"/>
            <w:tcBorders>
              <w:top w:val="single" w:sz="2" w:space="0" w:color="000000"/>
              <w:left w:val="single" w:sz="2" w:space="0" w:color="000000"/>
              <w:bottom w:val="single" w:sz="2" w:space="0" w:color="auto"/>
              <w:right w:val="single" w:sz="2" w:space="0" w:color="000000"/>
            </w:tcBorders>
            <w:vAlign w:val="bottom"/>
          </w:tcPr>
          <w:p>
            <w:pPr>
              <w:jc w:val="right"/>
              <w:rPr>
                <w:noProof/>
                <w:color w:val="000000"/>
                <w:sz w:val="20"/>
              </w:rPr>
            </w:pPr>
            <w:r>
              <w:rPr>
                <w:noProof/>
                <w:color w:val="000000"/>
                <w:sz w:val="20"/>
              </w:rPr>
              <w:t xml:space="preserve"> 26 649,8</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13 074,3</w:t>
            </w:r>
          </w:p>
        </w:tc>
      </w:tr>
      <w:tr>
        <w:trPr>
          <w:trHeight w:val="247"/>
          <w:jc w:val="center"/>
        </w:trPr>
        <w:tc>
          <w:tcPr>
            <w:tcW w:w="829" w:type="dxa"/>
            <w:tcBorders>
              <w:top w:val="single" w:sz="2" w:space="0" w:color="auto"/>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IE</w:t>
            </w:r>
          </w:p>
        </w:tc>
        <w:tc>
          <w:tcPr>
            <w:tcW w:w="1404" w:type="dxa"/>
            <w:tcBorders>
              <w:top w:val="single" w:sz="2"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308,7</w:t>
            </w:r>
          </w:p>
        </w:tc>
        <w:tc>
          <w:tcPr>
            <w:tcW w:w="1404" w:type="dxa"/>
            <w:tcBorders>
              <w:top w:val="single" w:sz="2"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91 474,4</w:t>
            </w:r>
          </w:p>
        </w:tc>
        <w:tc>
          <w:tcPr>
            <w:tcW w:w="1404" w:type="dxa"/>
            <w:tcBorders>
              <w:top w:val="single" w:sz="2"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265 877,4</w:t>
            </w:r>
          </w:p>
        </w:tc>
        <w:tc>
          <w:tcPr>
            <w:tcW w:w="1404" w:type="dxa"/>
            <w:tcBorders>
              <w:top w:val="single" w:sz="2" w:space="0" w:color="000000"/>
              <w:left w:val="single" w:sz="2" w:space="0" w:color="000000"/>
              <w:bottom w:val="single" w:sz="2" w:space="0" w:color="auto"/>
              <w:right w:val="single" w:sz="12" w:space="0" w:color="auto"/>
            </w:tcBorders>
            <w:shd w:val="clear" w:color="auto" w:fill="auto"/>
            <w:vAlign w:val="bottom"/>
          </w:tcPr>
          <w:p>
            <w:pPr>
              <w:jc w:val="right"/>
              <w:rPr>
                <w:noProof/>
                <w:color w:val="000000"/>
                <w:sz w:val="20"/>
              </w:rPr>
            </w:pPr>
            <w:r>
              <w:rPr>
                <w:noProof/>
                <w:color w:val="000000"/>
                <w:sz w:val="20"/>
              </w:rPr>
              <w:t xml:space="preserve"> 91 474,4</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EL</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185,6</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75 007,5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190 421,6</w:t>
            </w:r>
          </w:p>
        </w:tc>
        <w:tc>
          <w:tcPr>
            <w:tcW w:w="1404" w:type="dxa"/>
            <w:tcBorders>
              <w:top w:val="single" w:sz="2" w:space="0" w:color="auto"/>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75 007,5</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ES</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1 573,9</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572 646,4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1 252 795,0</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572 646,4</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FR</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1 746,2</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1 112 113,9</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2 472 604,4</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1 112 113,9</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HR</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39,0</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33 740,9</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52 961,9</w:t>
            </w:r>
          </w:p>
        </w:tc>
        <w:tc>
          <w:tcPr>
            <w:tcW w:w="140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bottom"/>
          </w:tcPr>
          <w:p>
            <w:pPr>
              <w:jc w:val="right"/>
              <w:rPr>
                <w:noProof/>
                <w:color w:val="000000"/>
                <w:sz w:val="20"/>
              </w:rPr>
            </w:pPr>
            <w:r>
              <w:rPr>
                <w:noProof/>
                <w:color w:val="000000"/>
                <w:sz w:val="20"/>
              </w:rPr>
              <w:t xml:space="preserve"> 26 481,0</w:t>
            </w:r>
          </w:p>
        </w:tc>
      </w:tr>
      <w:tr>
        <w:trPr>
          <w:trHeight w:val="247"/>
          <w:jc w:val="center"/>
        </w:trPr>
        <w:tc>
          <w:tcPr>
            <w:tcW w:w="829" w:type="dxa"/>
            <w:tcBorders>
              <w:top w:val="single" w:sz="2" w:space="0" w:color="000000"/>
              <w:left w:val="single" w:sz="12" w:space="0" w:color="auto"/>
              <w:bottom w:val="single" w:sz="4" w:space="0" w:color="auto"/>
              <w:right w:val="single" w:sz="12" w:space="0" w:color="auto"/>
            </w:tcBorders>
          </w:tcPr>
          <w:p>
            <w:pPr>
              <w:autoSpaceDE w:val="0"/>
              <w:autoSpaceDN w:val="0"/>
              <w:adjustRightInd w:val="0"/>
              <w:ind w:left="20"/>
              <w:contextualSpacing/>
              <w:rPr>
                <w:b/>
                <w:bCs/>
                <w:noProof/>
                <w:color w:val="000000"/>
                <w:sz w:val="20"/>
              </w:rPr>
            </w:pPr>
            <w:r>
              <w:rPr>
                <w:b/>
                <w:noProof/>
                <w:color w:val="000000"/>
                <w:sz w:val="20"/>
              </w:rPr>
              <w:t>IT</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 xml:space="preserve"> 1 901,2</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 xml:space="preserve"> 718 519,6</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1 793 427,3</w:t>
            </w:r>
          </w:p>
        </w:tc>
        <w:tc>
          <w:tcPr>
            <w:tcW w:w="1404" w:type="dxa"/>
            <w:tcBorders>
              <w:top w:val="single" w:sz="2" w:space="0" w:color="000000"/>
              <w:left w:val="single" w:sz="2" w:space="0" w:color="000000"/>
              <w:bottom w:val="single" w:sz="4" w:space="0" w:color="auto"/>
              <w:right w:val="single" w:sz="12" w:space="0" w:color="auto"/>
            </w:tcBorders>
            <w:shd w:val="clear" w:color="auto" w:fill="auto"/>
            <w:vAlign w:val="bottom"/>
          </w:tcPr>
          <w:p>
            <w:pPr>
              <w:jc w:val="right"/>
              <w:rPr>
                <w:noProof/>
                <w:color w:val="000000"/>
                <w:sz w:val="20"/>
              </w:rPr>
            </w:pPr>
            <w:r>
              <w:rPr>
                <w:noProof/>
                <w:color w:val="000000"/>
                <w:sz w:val="20"/>
              </w:rPr>
              <w:t xml:space="preserve"> 718 519,6</w:t>
            </w:r>
          </w:p>
        </w:tc>
      </w:tr>
      <w:tr>
        <w:trPr>
          <w:trHeight w:val="247"/>
          <w:jc w:val="center"/>
        </w:trPr>
        <w:tc>
          <w:tcPr>
            <w:tcW w:w="829" w:type="dxa"/>
            <w:tcBorders>
              <w:top w:val="single" w:sz="4" w:space="0" w:color="auto"/>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CY</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25,3</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14 284,0</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21 070,6</w:t>
            </w:r>
          </w:p>
        </w:tc>
        <w:tc>
          <w:tcPr>
            <w:tcW w:w="1404" w:type="dxa"/>
            <w:tcBorders>
              <w:top w:val="single" w:sz="4" w:space="0" w:color="auto"/>
              <w:left w:val="single" w:sz="2" w:space="0" w:color="000000"/>
              <w:bottom w:val="single" w:sz="2" w:space="0" w:color="000000"/>
              <w:right w:val="single" w:sz="12" w:space="0" w:color="auto"/>
            </w:tcBorders>
            <w:shd w:val="clear" w:color="auto" w:fill="D9D9D9" w:themeFill="background1" w:themeFillShade="D9"/>
            <w:vAlign w:val="bottom"/>
          </w:tcPr>
          <w:p>
            <w:pPr>
              <w:jc w:val="right"/>
              <w:rPr>
                <w:noProof/>
                <w:color w:val="000000"/>
                <w:sz w:val="20"/>
              </w:rPr>
            </w:pPr>
            <w:r>
              <w:rPr>
                <w:noProof/>
                <w:color w:val="000000"/>
                <w:sz w:val="20"/>
              </w:rPr>
              <w:t xml:space="preserve"> 10 535,3</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LV</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44,8</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12 079,5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31 194,7</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12 079,5</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LT</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99,5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19 008,6</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45 938,8</w:t>
            </w:r>
          </w:p>
        </w:tc>
        <w:tc>
          <w:tcPr>
            <w:tcW w:w="1404" w:type="dxa"/>
            <w:tcBorders>
              <w:top w:val="single" w:sz="2" w:space="0" w:color="000000"/>
              <w:left w:val="single" w:sz="2" w:space="0" w:color="000000"/>
              <w:bottom w:val="single" w:sz="2" w:space="0" w:color="000000"/>
              <w:right w:val="single" w:sz="12" w:space="0" w:color="auto"/>
            </w:tcBorders>
            <w:shd w:val="clear" w:color="auto" w:fill="auto"/>
            <w:vAlign w:val="bottom"/>
          </w:tcPr>
          <w:p>
            <w:pPr>
              <w:jc w:val="right"/>
              <w:rPr>
                <w:noProof/>
                <w:color w:val="000000"/>
                <w:sz w:val="20"/>
              </w:rPr>
            </w:pPr>
            <w:r>
              <w:rPr>
                <w:noProof/>
                <w:color w:val="000000"/>
                <w:sz w:val="20"/>
              </w:rPr>
              <w:t xml:space="preserve"> 19 008,6</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LU</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17,6</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30 710,0</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42 445,3</w:t>
            </w:r>
          </w:p>
        </w:tc>
        <w:tc>
          <w:tcPr>
            <w:tcW w:w="140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bottom"/>
          </w:tcPr>
          <w:p>
            <w:pPr>
              <w:jc w:val="right"/>
              <w:rPr>
                <w:noProof/>
                <w:color w:val="000000"/>
                <w:sz w:val="20"/>
              </w:rPr>
            </w:pPr>
            <w:r>
              <w:rPr>
                <w:noProof/>
                <w:color w:val="000000"/>
                <w:sz w:val="20"/>
              </w:rPr>
              <w:t xml:space="preserve"> 21 222,7</w:t>
            </w:r>
          </w:p>
        </w:tc>
      </w:tr>
      <w:tr>
        <w:trPr>
          <w:trHeight w:val="247"/>
          <w:jc w:val="center"/>
        </w:trPr>
        <w:tc>
          <w:tcPr>
            <w:tcW w:w="829" w:type="dxa"/>
            <w:tcBorders>
              <w:top w:val="single" w:sz="2" w:space="0" w:color="000000"/>
              <w:left w:val="single" w:sz="12" w:space="0" w:color="auto"/>
              <w:bottom w:val="single" w:sz="4" w:space="0" w:color="auto"/>
              <w:right w:val="single" w:sz="12" w:space="0" w:color="auto"/>
            </w:tcBorders>
          </w:tcPr>
          <w:p>
            <w:pPr>
              <w:autoSpaceDE w:val="0"/>
              <w:autoSpaceDN w:val="0"/>
              <w:adjustRightInd w:val="0"/>
              <w:ind w:left="20"/>
              <w:contextualSpacing/>
              <w:rPr>
                <w:b/>
                <w:bCs/>
                <w:noProof/>
                <w:color w:val="000000"/>
                <w:sz w:val="20"/>
              </w:rPr>
            </w:pPr>
            <w:r>
              <w:rPr>
                <w:b/>
                <w:noProof/>
                <w:color w:val="000000"/>
                <w:sz w:val="20"/>
              </w:rPr>
              <w:t>HU</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 xml:space="preserve">  210,4</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 xml:space="preserve"> 57 991,8</w:t>
            </w:r>
          </w:p>
        </w:tc>
        <w:tc>
          <w:tcPr>
            <w:tcW w:w="1404" w:type="dxa"/>
            <w:tcBorders>
              <w:top w:val="single" w:sz="2" w:space="0" w:color="000000"/>
              <w:left w:val="single" w:sz="2" w:space="0" w:color="000000"/>
              <w:bottom w:val="single" w:sz="4" w:space="0" w:color="auto"/>
              <w:right w:val="single" w:sz="2" w:space="0" w:color="000000"/>
            </w:tcBorders>
            <w:vAlign w:val="bottom"/>
          </w:tcPr>
          <w:p>
            <w:pPr>
              <w:jc w:val="right"/>
              <w:rPr>
                <w:noProof/>
                <w:color w:val="000000"/>
                <w:sz w:val="20"/>
              </w:rPr>
            </w:pPr>
            <w:r>
              <w:rPr>
                <w:noProof/>
                <w:color w:val="000000"/>
                <w:sz w:val="20"/>
              </w:rPr>
              <w:t xml:space="preserve"> 135 913,0</w:t>
            </w:r>
          </w:p>
        </w:tc>
        <w:tc>
          <w:tcPr>
            <w:tcW w:w="1404" w:type="dxa"/>
            <w:tcBorders>
              <w:top w:val="single" w:sz="2" w:space="0" w:color="000000"/>
              <w:left w:val="single" w:sz="2" w:space="0" w:color="000000"/>
              <w:bottom w:val="single" w:sz="4" w:space="0" w:color="auto"/>
              <w:right w:val="single" w:sz="12" w:space="0" w:color="auto"/>
            </w:tcBorders>
            <w:shd w:val="clear" w:color="auto" w:fill="auto"/>
            <w:vAlign w:val="bottom"/>
          </w:tcPr>
          <w:p>
            <w:pPr>
              <w:jc w:val="right"/>
              <w:rPr>
                <w:noProof/>
                <w:color w:val="000000"/>
                <w:sz w:val="20"/>
              </w:rPr>
            </w:pPr>
            <w:r>
              <w:rPr>
                <w:noProof/>
                <w:color w:val="000000"/>
                <w:sz w:val="20"/>
              </w:rPr>
              <w:t xml:space="preserve"> 57 991,8</w:t>
            </w:r>
          </w:p>
        </w:tc>
      </w:tr>
      <w:tr>
        <w:trPr>
          <w:trHeight w:val="247"/>
          <w:jc w:val="center"/>
        </w:trPr>
        <w:tc>
          <w:tcPr>
            <w:tcW w:w="829" w:type="dxa"/>
            <w:tcBorders>
              <w:top w:val="single" w:sz="4" w:space="0" w:color="auto"/>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MT</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13,8</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8 893,3</w:t>
            </w:r>
          </w:p>
        </w:tc>
        <w:tc>
          <w:tcPr>
            <w:tcW w:w="1404" w:type="dxa"/>
            <w:tcBorders>
              <w:top w:val="single" w:sz="4"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12 257,9</w:t>
            </w:r>
          </w:p>
        </w:tc>
        <w:tc>
          <w:tcPr>
            <w:tcW w:w="1404" w:type="dxa"/>
            <w:tcBorders>
              <w:top w:val="single" w:sz="4" w:space="0" w:color="auto"/>
              <w:left w:val="single" w:sz="2" w:space="0" w:color="000000"/>
              <w:bottom w:val="single" w:sz="2" w:space="0" w:color="000000"/>
              <w:right w:val="single" w:sz="12" w:space="0" w:color="auto"/>
            </w:tcBorders>
            <w:shd w:val="clear" w:color="auto" w:fill="D9D9D9" w:themeFill="background1" w:themeFillShade="D9"/>
            <w:vAlign w:val="bottom"/>
          </w:tcPr>
          <w:p>
            <w:pPr>
              <w:jc w:val="right"/>
              <w:rPr>
                <w:noProof/>
                <w:color w:val="000000"/>
                <w:sz w:val="20"/>
              </w:rPr>
            </w:pPr>
            <w:r>
              <w:rPr>
                <w:noProof/>
                <w:color w:val="000000"/>
                <w:sz w:val="20"/>
              </w:rPr>
              <w:t xml:space="preserve"> 6 129,0</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NL</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2 607,3</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331 589,2</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806 725,1</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331 589,2</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AT</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217,5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180 376,1</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399 095,3</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180 376,1</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PL</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781,4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248 536,4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502 207,3</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248 536,4</w:t>
            </w:r>
          </w:p>
        </w:tc>
      </w:tr>
      <w:tr>
        <w:trPr>
          <w:trHeight w:val="247"/>
          <w:jc w:val="center"/>
        </w:trPr>
        <w:tc>
          <w:tcPr>
            <w:tcW w:w="829" w:type="dxa"/>
            <w:tcBorders>
              <w:top w:val="dotted" w:sz="6" w:space="0" w:color="auto"/>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PT</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188,2</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105 998,5</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203 200,7</w:t>
            </w:r>
          </w:p>
        </w:tc>
        <w:tc>
          <w:tcPr>
            <w:tcW w:w="140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bottom"/>
          </w:tcPr>
          <w:p>
            <w:pPr>
              <w:jc w:val="right"/>
              <w:rPr>
                <w:noProof/>
                <w:color w:val="000000"/>
                <w:sz w:val="20"/>
                <w:szCs w:val="20"/>
              </w:rPr>
            </w:pPr>
            <w:r>
              <w:rPr>
                <w:noProof/>
                <w:color w:val="000000"/>
                <w:sz w:val="20"/>
              </w:rPr>
              <w:t xml:space="preserve"> 101 600,4</w:t>
            </w:r>
          </w:p>
        </w:tc>
      </w:tr>
      <w:tr>
        <w:trPr>
          <w:trHeight w:val="247"/>
          <w:jc w:val="center"/>
        </w:trPr>
        <w:tc>
          <w:tcPr>
            <w:tcW w:w="829" w:type="dxa"/>
            <w:tcBorders>
              <w:top w:val="dotted" w:sz="6" w:space="0" w:color="auto"/>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RO</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194,6</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76 044,3</w:t>
            </w:r>
          </w:p>
        </w:tc>
        <w:tc>
          <w:tcPr>
            <w:tcW w:w="1404" w:type="dxa"/>
            <w:tcBorders>
              <w:top w:val="dotted" w:sz="6" w:space="0" w:color="auto"/>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215 341,6</w:t>
            </w:r>
          </w:p>
        </w:tc>
        <w:tc>
          <w:tcPr>
            <w:tcW w:w="1404" w:type="dxa"/>
            <w:tcBorders>
              <w:top w:val="dotted" w:sz="6" w:space="0" w:color="auto"/>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76 044,3</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SI</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81,0</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22 413,4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47 995,2</w:t>
            </w:r>
          </w:p>
        </w:tc>
        <w:tc>
          <w:tcPr>
            <w:tcW w:w="1404" w:type="dxa"/>
            <w:tcBorders>
              <w:top w:val="single" w:sz="2" w:space="0" w:color="000000"/>
              <w:left w:val="single" w:sz="2" w:space="0" w:color="000000"/>
              <w:bottom w:val="single" w:sz="2" w:space="0" w:color="000000"/>
              <w:right w:val="single" w:sz="12" w:space="0" w:color="auto"/>
            </w:tcBorders>
            <w:shd w:val="clear" w:color="C0C0C0" w:fill="auto"/>
            <w:vAlign w:val="bottom"/>
          </w:tcPr>
          <w:p>
            <w:pPr>
              <w:jc w:val="right"/>
              <w:rPr>
                <w:noProof/>
                <w:color w:val="000000"/>
                <w:sz w:val="20"/>
              </w:rPr>
            </w:pPr>
            <w:r>
              <w:rPr>
                <w:noProof/>
                <w:color w:val="000000"/>
                <w:sz w:val="20"/>
              </w:rPr>
              <w:t xml:space="preserve"> 22 413,4</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SK</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100,5</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34 473,4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94 317,1</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34 473,4</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FI</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150,6</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102 046,6</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240 879,6</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102 046,6</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SE</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520,7</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211 575,9</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491 990,2</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 xml:space="preserve"> 211 575,9</w:t>
            </w:r>
          </w:p>
        </w:tc>
      </w:tr>
      <w:tr>
        <w:trPr>
          <w:trHeight w:val="247"/>
          <w:jc w:val="center"/>
        </w:trPr>
        <w:tc>
          <w:tcPr>
            <w:tcW w:w="829" w:type="dxa"/>
            <w:tcBorders>
              <w:top w:val="single" w:sz="2" w:space="0" w:color="000000"/>
              <w:left w:val="single" w:sz="12" w:space="0" w:color="auto"/>
              <w:bottom w:val="single" w:sz="2" w:space="0" w:color="000000"/>
              <w:right w:val="single" w:sz="12" w:space="0" w:color="auto"/>
            </w:tcBorders>
          </w:tcPr>
          <w:p>
            <w:pPr>
              <w:autoSpaceDE w:val="0"/>
              <w:autoSpaceDN w:val="0"/>
              <w:adjustRightInd w:val="0"/>
              <w:ind w:left="20"/>
              <w:contextualSpacing/>
              <w:rPr>
                <w:b/>
                <w:bCs/>
                <w:noProof/>
                <w:color w:val="000000"/>
                <w:sz w:val="20"/>
              </w:rPr>
            </w:pPr>
            <w:r>
              <w:rPr>
                <w:b/>
                <w:noProof/>
                <w:color w:val="000000"/>
                <w:sz w:val="20"/>
              </w:rPr>
              <w:t>UK</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 xml:space="preserve"> 3 101,4</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1 120 786,2</w:t>
            </w:r>
          </w:p>
        </w:tc>
        <w:tc>
          <w:tcPr>
            <w:tcW w:w="1404" w:type="dxa"/>
            <w:tcBorders>
              <w:top w:val="single" w:sz="2" w:space="0" w:color="000000"/>
              <w:left w:val="single" w:sz="2" w:space="0" w:color="000000"/>
              <w:bottom w:val="single" w:sz="2" w:space="0" w:color="000000"/>
              <w:right w:val="single" w:sz="2" w:space="0" w:color="000000"/>
            </w:tcBorders>
            <w:vAlign w:val="bottom"/>
          </w:tcPr>
          <w:p>
            <w:pPr>
              <w:jc w:val="right"/>
              <w:rPr>
                <w:noProof/>
                <w:color w:val="000000"/>
                <w:sz w:val="20"/>
              </w:rPr>
            </w:pPr>
            <w:r>
              <w:rPr>
                <w:noProof/>
                <w:color w:val="000000"/>
                <w:sz w:val="20"/>
              </w:rPr>
              <w:t>2 403 235,6</w:t>
            </w:r>
          </w:p>
        </w:tc>
        <w:tc>
          <w:tcPr>
            <w:tcW w:w="1404" w:type="dxa"/>
            <w:tcBorders>
              <w:top w:val="single" w:sz="2" w:space="0" w:color="000000"/>
              <w:left w:val="single" w:sz="2" w:space="0" w:color="000000"/>
              <w:bottom w:val="single" w:sz="2" w:space="0" w:color="000000"/>
              <w:right w:val="single" w:sz="12" w:space="0" w:color="auto"/>
            </w:tcBorders>
            <w:vAlign w:val="bottom"/>
          </w:tcPr>
          <w:p>
            <w:pPr>
              <w:jc w:val="right"/>
              <w:rPr>
                <w:noProof/>
                <w:color w:val="000000"/>
                <w:sz w:val="20"/>
              </w:rPr>
            </w:pPr>
            <w:r>
              <w:rPr>
                <w:noProof/>
                <w:color w:val="000000"/>
                <w:sz w:val="20"/>
              </w:rPr>
              <w:t>1 120 786,2</w:t>
            </w:r>
          </w:p>
        </w:tc>
      </w:tr>
      <w:tr>
        <w:trPr>
          <w:trHeight w:val="276"/>
          <w:jc w:val="center"/>
        </w:trPr>
        <w:tc>
          <w:tcPr>
            <w:tcW w:w="829" w:type="dxa"/>
            <w:tcBorders>
              <w:top w:val="single" w:sz="12" w:space="0" w:color="auto"/>
              <w:left w:val="single" w:sz="12" w:space="0" w:color="auto"/>
              <w:bottom w:val="single" w:sz="12" w:space="0" w:color="auto"/>
              <w:right w:val="single" w:sz="12" w:space="0" w:color="auto"/>
            </w:tcBorders>
          </w:tcPr>
          <w:p>
            <w:pPr>
              <w:autoSpaceDE w:val="0"/>
              <w:autoSpaceDN w:val="0"/>
              <w:adjustRightInd w:val="0"/>
              <w:ind w:left="20"/>
              <w:contextualSpacing/>
              <w:rPr>
                <w:b/>
                <w:bCs/>
                <w:noProof/>
                <w:color w:val="000000"/>
                <w:sz w:val="20"/>
              </w:rPr>
            </w:pPr>
            <w:r>
              <w:rPr>
                <w:b/>
                <w:noProof/>
                <w:color w:val="000000"/>
                <w:sz w:val="20"/>
              </w:rPr>
              <w:t>EÚ28</w:t>
            </w:r>
          </w:p>
        </w:tc>
        <w:tc>
          <w:tcPr>
            <w:tcW w:w="1404" w:type="dxa"/>
            <w:tcBorders>
              <w:top w:val="single" w:sz="12" w:space="0" w:color="auto"/>
              <w:left w:val="single" w:sz="2" w:space="0" w:color="000000"/>
              <w:bottom w:val="single" w:sz="12" w:space="0" w:color="auto"/>
              <w:right w:val="single" w:sz="2" w:space="0" w:color="000000"/>
            </w:tcBorders>
            <w:vAlign w:val="bottom"/>
          </w:tcPr>
          <w:p>
            <w:pPr>
              <w:jc w:val="right"/>
              <w:rPr>
                <w:b/>
                <w:bCs/>
                <w:noProof/>
                <w:color w:val="000000"/>
                <w:sz w:val="20"/>
              </w:rPr>
            </w:pPr>
            <w:r>
              <w:rPr>
                <w:b/>
                <w:noProof/>
                <w:color w:val="000000"/>
                <w:sz w:val="20"/>
              </w:rPr>
              <w:t xml:space="preserve"> 21 206,0</w:t>
            </w:r>
          </w:p>
        </w:tc>
        <w:tc>
          <w:tcPr>
            <w:tcW w:w="1404" w:type="dxa"/>
            <w:tcBorders>
              <w:top w:val="single" w:sz="12" w:space="0" w:color="auto"/>
              <w:left w:val="single" w:sz="2" w:space="0" w:color="000000"/>
              <w:bottom w:val="single" w:sz="12" w:space="0" w:color="auto"/>
              <w:right w:val="single" w:sz="2" w:space="0" w:color="000000"/>
            </w:tcBorders>
            <w:vAlign w:val="bottom"/>
          </w:tcPr>
          <w:p>
            <w:pPr>
              <w:jc w:val="right"/>
              <w:rPr>
                <w:b/>
                <w:bCs/>
                <w:noProof/>
                <w:color w:val="000000"/>
                <w:sz w:val="20"/>
              </w:rPr>
            </w:pPr>
            <w:r>
              <w:rPr>
                <w:b/>
                <w:noProof/>
                <w:color w:val="000000"/>
                <w:sz w:val="20"/>
              </w:rPr>
              <w:t>7 085 193,6</w:t>
            </w:r>
          </w:p>
        </w:tc>
        <w:tc>
          <w:tcPr>
            <w:tcW w:w="1404" w:type="dxa"/>
            <w:tcBorders>
              <w:top w:val="single" w:sz="12" w:space="0" w:color="auto"/>
              <w:left w:val="single" w:sz="2" w:space="0" w:color="000000"/>
              <w:bottom w:val="single" w:sz="12" w:space="0" w:color="auto"/>
              <w:right w:val="single" w:sz="2" w:space="0" w:color="000000"/>
            </w:tcBorders>
            <w:vAlign w:val="bottom"/>
          </w:tcPr>
          <w:p>
            <w:pPr>
              <w:jc w:val="right"/>
              <w:rPr>
                <w:b/>
                <w:bCs/>
                <w:noProof/>
                <w:color w:val="000000"/>
                <w:sz w:val="20"/>
              </w:rPr>
            </w:pPr>
            <w:r>
              <w:rPr>
                <w:b/>
                <w:noProof/>
                <w:color w:val="000000"/>
                <w:sz w:val="20"/>
              </w:rPr>
              <w:t>16 347 197,8</w:t>
            </w:r>
          </w:p>
        </w:tc>
        <w:tc>
          <w:tcPr>
            <w:tcW w:w="1404" w:type="dxa"/>
            <w:tcBorders>
              <w:top w:val="single" w:sz="12" w:space="0" w:color="auto"/>
              <w:left w:val="single" w:sz="2" w:space="0" w:color="000000"/>
              <w:bottom w:val="single" w:sz="12" w:space="0" w:color="auto"/>
              <w:right w:val="single" w:sz="12" w:space="0" w:color="auto"/>
            </w:tcBorders>
            <w:vAlign w:val="bottom"/>
          </w:tcPr>
          <w:p>
            <w:pPr>
              <w:jc w:val="right"/>
              <w:rPr>
                <w:b/>
                <w:bCs/>
                <w:noProof/>
                <w:color w:val="000000"/>
                <w:sz w:val="20"/>
              </w:rPr>
            </w:pPr>
            <w:r>
              <w:rPr>
                <w:b/>
                <w:noProof/>
                <w:color w:val="000000"/>
                <w:sz w:val="20"/>
              </w:rPr>
              <w:t>7 057 535,1</w:t>
            </w:r>
          </w:p>
        </w:tc>
      </w:tr>
    </w:tbl>
    <w:p>
      <w:pPr>
        <w:keepNext/>
        <w:tabs>
          <w:tab w:val="left" w:pos="850"/>
        </w:tabs>
        <w:spacing w:before="360" w:after="120"/>
        <w:ind w:left="850" w:hanging="850"/>
        <w:jc w:val="both"/>
        <w:outlineLvl w:val="1"/>
        <w:rPr>
          <w:rFonts w:eastAsia="Calibri"/>
          <w:b/>
          <w:noProof/>
        </w:rPr>
      </w:pPr>
      <w:bookmarkStart w:id="75" w:name="_Toc12621014"/>
      <w:bookmarkStart w:id="76" w:name="_Toc13832644"/>
      <w:bookmarkEnd w:id="65"/>
      <w:r>
        <w:rPr>
          <w:b/>
          <w:noProof/>
        </w:rPr>
        <w:t>3.3</w:t>
      </w:r>
      <w:r>
        <w:rPr>
          <w:noProof/>
        </w:rPr>
        <w:tab/>
      </w:r>
      <w:r>
        <w:rPr>
          <w:b/>
          <w:noProof/>
        </w:rPr>
        <w:t>Korekcia pre Spojené kráľovstvo za roky 2018 a 2015</w:t>
      </w:r>
      <w:bookmarkEnd w:id="66"/>
      <w:bookmarkEnd w:id="67"/>
      <w:bookmarkEnd w:id="68"/>
      <w:bookmarkEnd w:id="69"/>
      <w:bookmarkEnd w:id="75"/>
      <w:bookmarkEnd w:id="76"/>
    </w:p>
    <w:p>
      <w:pPr>
        <w:keepNext/>
        <w:tabs>
          <w:tab w:val="left" w:pos="850"/>
        </w:tabs>
        <w:spacing w:before="240" w:after="120"/>
        <w:ind w:left="850" w:hanging="850"/>
        <w:jc w:val="both"/>
        <w:outlineLvl w:val="1"/>
        <w:rPr>
          <w:rFonts w:eastAsia="Calibri"/>
          <w:i/>
          <w:noProof/>
        </w:rPr>
      </w:pPr>
      <w:bookmarkStart w:id="77" w:name="_Toc294673194"/>
      <w:bookmarkStart w:id="78" w:name="_Toc357005414"/>
      <w:bookmarkStart w:id="79" w:name="_Toc390436797"/>
      <w:bookmarkStart w:id="80" w:name="_Toc420941902"/>
      <w:bookmarkStart w:id="81" w:name="_Toc461544622"/>
      <w:bookmarkStart w:id="82" w:name="_Toc12621015"/>
      <w:bookmarkStart w:id="83" w:name="_Toc13832645"/>
      <w:bookmarkEnd w:id="70"/>
      <w:bookmarkEnd w:id="71"/>
      <w:r>
        <w:rPr>
          <w:i/>
          <w:noProof/>
        </w:rPr>
        <w:t>3.3.1</w:t>
      </w:r>
      <w:r>
        <w:rPr>
          <w:noProof/>
        </w:rPr>
        <w:tab/>
      </w:r>
      <w:r>
        <w:rPr>
          <w:i/>
          <w:noProof/>
        </w:rPr>
        <w:t>Úvod</w:t>
      </w:r>
      <w:bookmarkEnd w:id="77"/>
      <w:bookmarkEnd w:id="78"/>
      <w:bookmarkEnd w:id="79"/>
      <w:bookmarkEnd w:id="80"/>
      <w:bookmarkEnd w:id="81"/>
      <w:bookmarkEnd w:id="82"/>
      <w:bookmarkEnd w:id="83"/>
    </w:p>
    <w:p>
      <w:pPr>
        <w:spacing w:before="120" w:after="120"/>
        <w:jc w:val="both"/>
        <w:rPr>
          <w:noProof/>
        </w:rPr>
      </w:pPr>
      <w:r>
        <w:rPr>
          <w:noProof/>
        </w:rPr>
        <w:t>Korekcia rozpočtovej nerovnováhy v prospech Spojeného kráľovstva (korekcia pre Spojené kráľovstvo), ktorá má byť zahrnutá do rozpočtu v rámci predkladaného NOR, sa týka dvoch rokov: 2015 a 2018.</w:t>
      </w:r>
    </w:p>
    <w:p>
      <w:pPr>
        <w:jc w:val="both"/>
        <w:rPr>
          <w:noProof/>
        </w:rPr>
      </w:pPr>
      <w:r>
        <w:rPr>
          <w:noProof/>
        </w:rPr>
        <w:t>Korekcia pre Spojené kráľovstvo za rok 2015 a rok 2018 sa riadi pravidlami uvedenými v rozhodnutí Rady 2014/335/EÚ o systéme vlastných zdrojov Európskej únie</w:t>
      </w:r>
      <w:r>
        <w:rPr>
          <w:rStyle w:val="FootnoteReference"/>
          <w:noProof/>
        </w:rPr>
        <w:footnoteReference w:id="23"/>
      </w:r>
      <w:r>
        <w:rPr>
          <w:noProof/>
        </w:rPr>
        <w:t xml:space="preserve"> a jeho sprievodného pracovného dokumentu </w:t>
      </w:r>
      <w:r>
        <w:rPr>
          <w:i/>
          <w:noProof/>
        </w:rPr>
        <w:t>Metodika výpočtu 2014</w:t>
      </w:r>
      <w:r>
        <w:rPr>
          <w:noProof/>
          <w:vertAlign w:val="superscript"/>
        </w:rPr>
        <w:footnoteReference w:id="24"/>
      </w:r>
      <w:r>
        <w:rPr>
          <w:noProof/>
        </w:rPr>
        <w:t>. Podľa pravidiel stanovených v uvedenom rozhodnutí sa čisté „neočakávané zisky“ Spojeného kráľovstva z TVZ, ktoré vyplývajú zo zvýšenia percentuálneho podielu TVZ, ktoré si členské štáty od roku 2001 ponechávajú na krytie nákladov na ich výber, neutralizujú a pridelené výdavky sa upravujú o celkové pridelené výdavky v členských štátoch, ktoré pristúpili k EÚ po 30. apríli 2004, s výnimkou priamych poľnohospodárskych platieb a výdavkov súvisiacich s trhom, ako aj tej časti výdavkov na rozvoj vidieka, ktorá pochádza zo záručnej sekcie EPUZF.</w:t>
      </w:r>
    </w:p>
    <w:p>
      <w:pPr>
        <w:spacing w:before="120" w:after="120"/>
        <w:jc w:val="both"/>
        <w:rPr>
          <w:noProof/>
        </w:rPr>
      </w:pPr>
      <w:r>
        <w:rPr>
          <w:noProof/>
        </w:rPr>
        <w:t>Okrem toho sa podiel Rakúska, Nemecka, Holandska a Švédska na financovaní korekcie pre Spojené kráľovstvo znižuje na jednu štvrtinu ich bežného podielu. Toto zníženie financujú ostatné členské štáty okrem Spojeného kráľovstva.</w:t>
      </w:r>
    </w:p>
    <w:p>
      <w:pPr>
        <w:spacing w:before="120" w:after="120"/>
        <w:jc w:val="both"/>
        <w:rPr>
          <w:noProof/>
        </w:rPr>
      </w:pPr>
      <w:r>
        <w:rPr>
          <w:noProof/>
        </w:rPr>
        <w:t xml:space="preserve">V predkladanom NOR je zahrnutý výpočet a financovanie </w:t>
      </w:r>
      <w:r>
        <w:rPr>
          <w:i/>
          <w:noProof/>
        </w:rPr>
        <w:t>prvej aktualizácie</w:t>
      </w:r>
      <w:r>
        <w:rPr>
          <w:noProof/>
        </w:rPr>
        <w:t xml:space="preserve"> korekcie pre Spojené kráľovstvo </w:t>
      </w:r>
      <w:r>
        <w:rPr>
          <w:i/>
          <w:noProof/>
        </w:rPr>
        <w:t>za rok 2018</w:t>
      </w:r>
      <w:r>
        <w:rPr>
          <w:noProof/>
        </w:rPr>
        <w:t xml:space="preserve">, ako aj </w:t>
      </w:r>
      <w:r>
        <w:rPr>
          <w:i/>
          <w:noProof/>
        </w:rPr>
        <w:t>konečnej sumy</w:t>
      </w:r>
      <w:r>
        <w:rPr>
          <w:noProof/>
        </w:rPr>
        <w:t xml:space="preserve"> korekcie pre Spojené kráľovstvo </w:t>
      </w:r>
      <w:r>
        <w:rPr>
          <w:i/>
          <w:noProof/>
        </w:rPr>
        <w:t>za rok 2015</w:t>
      </w:r>
      <w:r>
        <w:rPr>
          <w:noProof/>
        </w:rPr>
        <w:t>.</w:t>
      </w:r>
    </w:p>
    <w:p>
      <w:pPr>
        <w:spacing w:before="120" w:after="120"/>
        <w:jc w:val="both"/>
        <w:rPr>
          <w:noProof/>
        </w:rPr>
      </w:pPr>
      <w:r>
        <w:rPr>
          <w:noProof/>
        </w:rPr>
        <w:t xml:space="preserve">Rozdiel medzi </w:t>
      </w:r>
      <w:r>
        <w:rPr>
          <w:i/>
          <w:noProof/>
        </w:rPr>
        <w:t>konečnou sumou</w:t>
      </w:r>
      <w:r>
        <w:rPr>
          <w:noProof/>
        </w:rPr>
        <w:t xml:space="preserve"> </w:t>
      </w:r>
      <w:r>
        <w:rPr>
          <w:i/>
          <w:noProof/>
        </w:rPr>
        <w:t>korekcie pre Spojené kráľovstvo</w:t>
      </w:r>
      <w:r>
        <w:rPr>
          <w:noProof/>
        </w:rPr>
        <w:t xml:space="preserve"> </w:t>
      </w:r>
      <w:r>
        <w:rPr>
          <w:i/>
          <w:noProof/>
        </w:rPr>
        <w:t>za rok 2015</w:t>
      </w:r>
      <w:r>
        <w:rPr>
          <w:noProof/>
        </w:rPr>
        <w:t xml:space="preserve"> a sumou pôvodne zahrnutou do rozpočtu (</w:t>
      </w:r>
      <w:r>
        <w:rPr>
          <w:i/>
          <w:noProof/>
        </w:rPr>
        <w:t>prvá aktualizácia</w:t>
      </w:r>
      <w:r>
        <w:rPr>
          <w:noProof/>
        </w:rPr>
        <w:t xml:space="preserve"> zahrnutá v OR č. 5/2016) je zahrnutý do kapitoly 35 (Výsledok konečného výpočtu financovania korekcie rozpočtovej nerovnováhy pre Spojené kráľovstvo) tohto NOR.</w:t>
      </w:r>
    </w:p>
    <w:p>
      <w:pPr>
        <w:spacing w:before="120" w:after="120"/>
        <w:jc w:val="both"/>
        <w:rPr>
          <w:noProof/>
        </w:rPr>
      </w:pPr>
      <w:r>
        <w:rPr>
          <w:i/>
          <w:noProof/>
        </w:rPr>
        <w:t>Prvá aktualizácia sumy korekcie pre Spojené kráľovstvo za rok 2018</w:t>
      </w:r>
      <w:r>
        <w:rPr>
          <w:noProof/>
        </w:rPr>
        <w:t xml:space="preserve"> je zahrnutá do kapitoly 15 (Korekcia rozpočtovej nerovnováhy) tohto NOR a nahrádza </w:t>
      </w:r>
      <w:r>
        <w:rPr>
          <w:i/>
          <w:noProof/>
        </w:rPr>
        <w:t>predbežnú sumu</w:t>
      </w:r>
      <w:r>
        <w:rPr>
          <w:noProof/>
        </w:rPr>
        <w:t>, ktorá bola pôvodne zahrnutá do rozpočtu.</w:t>
      </w:r>
    </w:p>
    <w:p>
      <w:pPr>
        <w:keepNext/>
        <w:tabs>
          <w:tab w:val="left" w:pos="850"/>
        </w:tabs>
        <w:spacing w:before="240" w:after="120"/>
        <w:ind w:left="850" w:hanging="850"/>
        <w:jc w:val="both"/>
        <w:outlineLvl w:val="1"/>
        <w:rPr>
          <w:rFonts w:eastAsia="Calibri"/>
          <w:i/>
          <w:noProof/>
        </w:rPr>
      </w:pPr>
      <w:bookmarkStart w:id="84" w:name="_Toc231879704"/>
      <w:bookmarkStart w:id="85" w:name="_Toc293417236"/>
      <w:bookmarkStart w:id="86" w:name="_Toc294673195"/>
      <w:bookmarkStart w:id="87" w:name="_Toc357005415"/>
      <w:bookmarkStart w:id="88" w:name="_Toc390436798"/>
      <w:bookmarkStart w:id="89" w:name="_Toc420941903"/>
      <w:bookmarkStart w:id="90" w:name="_Toc461544623"/>
      <w:bookmarkStart w:id="91" w:name="_Toc12621016"/>
      <w:bookmarkStart w:id="92" w:name="_Toc13832646"/>
      <w:r>
        <w:rPr>
          <w:i/>
          <w:noProof/>
        </w:rPr>
        <w:t>3.3.2</w:t>
      </w:r>
      <w:r>
        <w:rPr>
          <w:noProof/>
        </w:rPr>
        <w:tab/>
      </w:r>
      <w:r>
        <w:rPr>
          <w:i/>
          <w:noProof/>
        </w:rPr>
        <w:t>Výpočet korekcií</w:t>
      </w:r>
      <w:bookmarkEnd w:id="84"/>
      <w:bookmarkEnd w:id="85"/>
      <w:bookmarkEnd w:id="86"/>
      <w:bookmarkEnd w:id="87"/>
      <w:bookmarkEnd w:id="88"/>
      <w:bookmarkEnd w:id="89"/>
      <w:bookmarkEnd w:id="90"/>
      <w:bookmarkEnd w:id="91"/>
      <w:bookmarkEnd w:id="92"/>
    </w:p>
    <w:p>
      <w:pPr>
        <w:spacing w:before="120" w:after="120"/>
        <w:jc w:val="both"/>
        <w:rPr>
          <w:noProof/>
        </w:rPr>
      </w:pPr>
      <w:r>
        <w:rPr>
          <w:noProof/>
        </w:rPr>
        <w:t>Aktualizácia korekcií za roky 2015 a 2018 vyplýva najmä z aktualizácie základov DPH a HND podľa údajov predložených členskými štátmi na jeseň 2018. Okrem toho aktualizácia korekcie za rok 2018 zohľadňuje aj pridelené výdavky za rok 2018.</w:t>
      </w:r>
    </w:p>
    <w:p>
      <w:pPr>
        <w:tabs>
          <w:tab w:val="left" w:pos="851"/>
        </w:tabs>
        <w:spacing w:before="120" w:after="120"/>
        <w:rPr>
          <w:bCs/>
          <w:noProof/>
          <w:szCs w:val="28"/>
          <w:u w:val="single"/>
        </w:rPr>
      </w:pPr>
      <w:bookmarkStart w:id="93" w:name="_Toc231879705"/>
      <w:r>
        <w:rPr>
          <w:noProof/>
          <w:u w:val="single"/>
        </w:rPr>
        <w:t>3.3.2.1</w:t>
      </w:r>
      <w:r>
        <w:rPr>
          <w:noProof/>
        </w:rPr>
        <w:tab/>
      </w:r>
      <w:r>
        <w:rPr>
          <w:noProof/>
          <w:u w:val="single"/>
        </w:rPr>
        <w:t>Korekcia pre Spojené kráľovstvo za rok 2018</w:t>
      </w:r>
    </w:p>
    <w:bookmarkEnd w:id="93"/>
    <w:p>
      <w:pPr>
        <w:spacing w:before="120" w:after="120"/>
        <w:jc w:val="both"/>
        <w:rPr>
          <w:noProof/>
        </w:rPr>
      </w:pPr>
      <w:r>
        <w:rPr>
          <w:noProof/>
        </w:rPr>
        <w:t xml:space="preserve">V nasledujúcej tabuľke sú uvedené zmeny medzi </w:t>
      </w:r>
      <w:r>
        <w:rPr>
          <w:i/>
          <w:noProof/>
        </w:rPr>
        <w:t>predbežnou sumou</w:t>
      </w:r>
      <w:r>
        <w:rPr>
          <w:noProof/>
        </w:rPr>
        <w:t xml:space="preserve"> korekcie pre Spojené kráľovstvo za rok 2018 zahrnutou do rozpočtu na rok 2019 a </w:t>
      </w:r>
      <w:r>
        <w:rPr>
          <w:i/>
          <w:noProof/>
        </w:rPr>
        <w:t>prvou aktualizáciou</w:t>
      </w:r>
      <w:r>
        <w:rPr>
          <w:noProof/>
        </w:rPr>
        <w:t xml:space="preserve"> korekcie pre Spojené kráľovstvo za rok 2018, ktorá sa má zahrnúť do tohto NOR.</w:t>
      </w:r>
    </w:p>
    <w:tbl>
      <w:tblPr>
        <w:tblW w:w="9135" w:type="dxa"/>
        <w:jc w:val="center"/>
        <w:tblLayout w:type="fixed"/>
        <w:tblLook w:val="0000" w:firstRow="0" w:lastRow="0" w:firstColumn="0" w:lastColumn="0" w:noHBand="0" w:noVBand="0"/>
      </w:tblPr>
      <w:tblGrid>
        <w:gridCol w:w="550"/>
        <w:gridCol w:w="3185"/>
        <w:gridCol w:w="1800"/>
        <w:gridCol w:w="1800"/>
        <w:gridCol w:w="1800"/>
      </w:tblGrid>
      <w:tr>
        <w:trPr>
          <w:trHeight w:val="727"/>
          <w:tblHeader/>
          <w:jc w:val="center"/>
        </w:trPr>
        <w:tc>
          <w:tcPr>
            <w:tcW w:w="550" w:type="dxa"/>
            <w:vMerge w:val="restart"/>
            <w:tcBorders>
              <w:top w:val="nil"/>
              <w:left w:val="nil"/>
              <w:bottom w:val="double" w:sz="6" w:space="0" w:color="auto"/>
              <w:right w:val="nil"/>
            </w:tcBorders>
            <w:shd w:val="clear" w:color="auto" w:fill="auto"/>
            <w:noWrap/>
            <w:vAlign w:val="bottom"/>
          </w:tcPr>
          <w:p>
            <w:pPr>
              <w:jc w:val="center"/>
              <w:rPr>
                <w:noProof/>
                <w:sz w:val="20"/>
              </w:rPr>
            </w:pPr>
          </w:p>
        </w:tc>
        <w:tc>
          <w:tcPr>
            <w:tcW w:w="3185" w:type="dxa"/>
            <w:vMerge w:val="restart"/>
            <w:tcBorders>
              <w:top w:val="nil"/>
              <w:left w:val="nil"/>
              <w:bottom w:val="double" w:sz="6" w:space="0" w:color="auto"/>
              <w:right w:val="nil"/>
            </w:tcBorders>
            <w:shd w:val="clear" w:color="auto" w:fill="auto"/>
            <w:noWrap/>
            <w:vAlign w:val="center"/>
          </w:tcPr>
          <w:p>
            <w:pPr>
              <w:autoSpaceDE w:val="0"/>
              <w:autoSpaceDN w:val="0"/>
              <w:adjustRightInd w:val="0"/>
              <w:jc w:val="center"/>
              <w:rPr>
                <w:b/>
                <w:noProof/>
                <w:color w:val="000000"/>
              </w:rPr>
            </w:pPr>
            <w:r>
              <w:rPr>
                <w:b/>
                <w:noProof/>
                <w:color w:val="000000"/>
              </w:rPr>
              <w:t>Korekcia pre Spojené kráľovstvo za rok 2018</w:t>
            </w:r>
          </w:p>
        </w:tc>
        <w:tc>
          <w:tcPr>
            <w:tcW w:w="1800" w:type="dxa"/>
            <w:tcBorders>
              <w:top w:val="double" w:sz="6" w:space="0" w:color="auto"/>
              <w:left w:val="double" w:sz="6" w:space="0" w:color="auto"/>
              <w:bottom w:val="double" w:sz="6" w:space="0" w:color="auto"/>
              <w:right w:val="single" w:sz="4" w:space="0" w:color="auto"/>
            </w:tcBorders>
            <w:shd w:val="clear" w:color="auto" w:fill="E0E0E0"/>
            <w:vAlign w:val="center"/>
          </w:tcPr>
          <w:p>
            <w:pPr>
              <w:autoSpaceDE w:val="0"/>
              <w:autoSpaceDN w:val="0"/>
              <w:adjustRightInd w:val="0"/>
              <w:jc w:val="center"/>
              <w:rPr>
                <w:b/>
                <w:bCs/>
                <w:noProof/>
                <w:color w:val="000000"/>
                <w:sz w:val="20"/>
              </w:rPr>
            </w:pPr>
            <w:r>
              <w:rPr>
                <w:b/>
                <w:noProof/>
                <w:color w:val="000000"/>
                <w:sz w:val="20"/>
              </w:rPr>
              <w:t>Korekcia pre Spojené kráľovstvo za rok 2018</w:t>
            </w:r>
          </w:p>
          <w:p>
            <w:pPr>
              <w:autoSpaceDE w:val="0"/>
              <w:autoSpaceDN w:val="0"/>
              <w:adjustRightInd w:val="0"/>
              <w:jc w:val="center"/>
              <w:rPr>
                <w:noProof/>
                <w:color w:val="000000"/>
                <w:sz w:val="20"/>
              </w:rPr>
            </w:pPr>
            <w:r>
              <w:rPr>
                <w:b/>
                <w:noProof/>
                <w:color w:val="000000"/>
                <w:sz w:val="20"/>
              </w:rPr>
              <w:t>PREDBEŽNÁ SUMA</w:t>
            </w:r>
          </w:p>
          <w:p>
            <w:pPr>
              <w:autoSpaceDE w:val="0"/>
              <w:autoSpaceDN w:val="0"/>
              <w:adjustRightInd w:val="0"/>
              <w:jc w:val="center"/>
              <w:rPr>
                <w:b/>
                <w:noProof/>
                <w:color w:val="000000"/>
                <w:sz w:val="20"/>
              </w:rPr>
            </w:pPr>
            <w:r>
              <w:rPr>
                <w:b/>
                <w:noProof/>
                <w:color w:val="000000"/>
                <w:sz w:val="20"/>
              </w:rPr>
              <w:t>Rozpočet 2019</w:t>
            </w:r>
          </w:p>
        </w:tc>
        <w:tc>
          <w:tcPr>
            <w:tcW w:w="1800" w:type="dxa"/>
            <w:tcBorders>
              <w:top w:val="double" w:sz="6" w:space="0" w:color="auto"/>
              <w:left w:val="nil"/>
              <w:bottom w:val="double" w:sz="6" w:space="0" w:color="auto"/>
              <w:right w:val="double" w:sz="6" w:space="0" w:color="auto"/>
            </w:tcBorders>
            <w:shd w:val="clear" w:color="auto" w:fill="E0E0E0"/>
            <w:vAlign w:val="center"/>
          </w:tcPr>
          <w:p>
            <w:pPr>
              <w:autoSpaceDE w:val="0"/>
              <w:autoSpaceDN w:val="0"/>
              <w:adjustRightInd w:val="0"/>
              <w:jc w:val="center"/>
              <w:rPr>
                <w:b/>
                <w:bCs/>
                <w:noProof/>
                <w:color w:val="000000"/>
                <w:sz w:val="20"/>
              </w:rPr>
            </w:pPr>
            <w:r>
              <w:rPr>
                <w:b/>
                <w:noProof/>
                <w:color w:val="000000"/>
                <w:sz w:val="20"/>
              </w:rPr>
              <w:t>Korekcia pre Spojené kráľovstvo za rok 2018</w:t>
            </w:r>
          </w:p>
          <w:p>
            <w:pPr>
              <w:autoSpaceDE w:val="0"/>
              <w:autoSpaceDN w:val="0"/>
              <w:adjustRightInd w:val="0"/>
              <w:jc w:val="center"/>
              <w:rPr>
                <w:b/>
                <w:bCs/>
                <w:noProof/>
                <w:color w:val="000000"/>
                <w:sz w:val="20"/>
              </w:rPr>
            </w:pPr>
            <w:r>
              <w:rPr>
                <w:b/>
                <w:noProof/>
                <w:color w:val="000000"/>
                <w:sz w:val="20"/>
              </w:rPr>
              <w:t>PRVÁ AKTUALIZÁCIA</w:t>
            </w:r>
          </w:p>
          <w:p>
            <w:pPr>
              <w:autoSpaceDE w:val="0"/>
              <w:autoSpaceDN w:val="0"/>
              <w:adjustRightInd w:val="0"/>
              <w:jc w:val="center"/>
              <w:rPr>
                <w:b/>
                <w:noProof/>
                <w:color w:val="000000"/>
                <w:sz w:val="20"/>
              </w:rPr>
            </w:pPr>
            <w:r>
              <w:rPr>
                <w:b/>
                <w:noProof/>
                <w:color w:val="000000"/>
                <w:sz w:val="20"/>
              </w:rPr>
              <w:t xml:space="preserve">NOR </w:t>
            </w:r>
            <w:r>
              <w:rPr>
                <w:b/>
                <w:noProof/>
                <w:sz w:val="20"/>
              </w:rPr>
              <w:t>4</w:t>
            </w:r>
            <w:r>
              <w:rPr>
                <w:b/>
                <w:noProof/>
                <w:color w:val="000000"/>
                <w:sz w:val="20"/>
              </w:rPr>
              <w:t>/2019</w:t>
            </w:r>
          </w:p>
        </w:tc>
        <w:tc>
          <w:tcPr>
            <w:tcW w:w="1800" w:type="dxa"/>
            <w:tcBorders>
              <w:top w:val="double" w:sz="6" w:space="0" w:color="auto"/>
              <w:left w:val="nil"/>
              <w:bottom w:val="double" w:sz="6" w:space="0" w:color="auto"/>
              <w:right w:val="double" w:sz="6" w:space="0" w:color="auto"/>
            </w:tcBorders>
            <w:shd w:val="clear" w:color="auto" w:fill="E0E0E0"/>
            <w:noWrap/>
            <w:vAlign w:val="center"/>
          </w:tcPr>
          <w:p>
            <w:pPr>
              <w:autoSpaceDE w:val="0"/>
              <w:autoSpaceDN w:val="0"/>
              <w:adjustRightInd w:val="0"/>
              <w:jc w:val="center"/>
              <w:rPr>
                <w:b/>
                <w:i/>
                <w:noProof/>
                <w:color w:val="000000"/>
                <w:sz w:val="20"/>
              </w:rPr>
            </w:pPr>
            <w:r>
              <w:rPr>
                <w:b/>
                <w:i/>
                <w:noProof/>
                <w:color w:val="000000"/>
                <w:sz w:val="20"/>
              </w:rPr>
              <w:t>Rozdiel</w:t>
            </w:r>
          </w:p>
        </w:tc>
      </w:tr>
      <w:tr>
        <w:trPr>
          <w:jc w:val="center"/>
        </w:trPr>
        <w:tc>
          <w:tcPr>
            <w:tcW w:w="550" w:type="dxa"/>
            <w:vMerge/>
            <w:tcBorders>
              <w:bottom w:val="double" w:sz="6" w:space="0" w:color="auto"/>
              <w:right w:val="nil"/>
            </w:tcBorders>
            <w:shd w:val="clear" w:color="auto" w:fill="auto"/>
            <w:noWrap/>
            <w:vAlign w:val="center"/>
          </w:tcPr>
          <w:p>
            <w:pPr>
              <w:jc w:val="center"/>
              <w:rPr>
                <w:noProof/>
                <w:sz w:val="20"/>
              </w:rPr>
            </w:pPr>
          </w:p>
        </w:tc>
        <w:tc>
          <w:tcPr>
            <w:tcW w:w="3185" w:type="dxa"/>
            <w:vMerge/>
            <w:tcBorders>
              <w:left w:val="nil"/>
              <w:bottom w:val="double" w:sz="6" w:space="0" w:color="auto"/>
              <w:right w:val="double" w:sz="6" w:space="0" w:color="auto"/>
            </w:tcBorders>
            <w:shd w:val="clear" w:color="auto" w:fill="auto"/>
          </w:tcPr>
          <w:p>
            <w:pPr>
              <w:autoSpaceDE w:val="0"/>
              <w:autoSpaceDN w:val="0"/>
              <w:adjustRightInd w:val="0"/>
              <w:rPr>
                <w:noProof/>
                <w:color w:val="000000"/>
                <w:sz w:val="20"/>
              </w:rPr>
            </w:pPr>
          </w:p>
        </w:tc>
        <w:tc>
          <w:tcPr>
            <w:tcW w:w="1800" w:type="dxa"/>
            <w:tcBorders>
              <w:top w:val="double" w:sz="6" w:space="0" w:color="auto"/>
              <w:left w:val="nil"/>
              <w:bottom w:val="nil"/>
              <w:right w:val="single" w:sz="4" w:space="0" w:color="auto"/>
            </w:tcBorders>
            <w:shd w:val="clear" w:color="auto" w:fill="auto"/>
            <w:noWrap/>
            <w:vAlign w:val="center"/>
          </w:tcPr>
          <w:p>
            <w:pPr>
              <w:jc w:val="center"/>
              <w:rPr>
                <w:noProof/>
                <w:sz w:val="20"/>
              </w:rPr>
            </w:pPr>
            <w:r>
              <w:rPr>
                <w:noProof/>
                <w:sz w:val="20"/>
              </w:rPr>
              <w:t>(1)</w:t>
            </w:r>
          </w:p>
        </w:tc>
        <w:tc>
          <w:tcPr>
            <w:tcW w:w="1800" w:type="dxa"/>
            <w:tcBorders>
              <w:top w:val="double" w:sz="6" w:space="0" w:color="auto"/>
              <w:left w:val="nil"/>
              <w:bottom w:val="nil"/>
              <w:right w:val="double" w:sz="6" w:space="0" w:color="auto"/>
            </w:tcBorders>
            <w:shd w:val="clear" w:color="auto" w:fill="auto"/>
            <w:noWrap/>
            <w:vAlign w:val="center"/>
          </w:tcPr>
          <w:p>
            <w:pPr>
              <w:jc w:val="center"/>
              <w:rPr>
                <w:noProof/>
                <w:sz w:val="20"/>
              </w:rPr>
            </w:pPr>
            <w:r>
              <w:rPr>
                <w:noProof/>
                <w:sz w:val="20"/>
              </w:rPr>
              <w:t>(2)</w:t>
            </w:r>
          </w:p>
        </w:tc>
        <w:tc>
          <w:tcPr>
            <w:tcW w:w="1800" w:type="dxa"/>
            <w:tcBorders>
              <w:top w:val="double" w:sz="6" w:space="0" w:color="auto"/>
              <w:left w:val="nil"/>
              <w:bottom w:val="nil"/>
              <w:right w:val="double" w:sz="6" w:space="0" w:color="auto"/>
            </w:tcBorders>
            <w:shd w:val="clear" w:color="auto" w:fill="auto"/>
            <w:noWrap/>
            <w:vAlign w:val="center"/>
          </w:tcPr>
          <w:p>
            <w:pPr>
              <w:jc w:val="center"/>
              <w:rPr>
                <w:noProof/>
                <w:sz w:val="20"/>
              </w:rPr>
            </w:pPr>
            <w:r>
              <w:rPr>
                <w:noProof/>
                <w:sz w:val="20"/>
              </w:rPr>
              <w:t>(2)-(1)</w:t>
            </w:r>
          </w:p>
        </w:tc>
      </w:tr>
      <w:tr>
        <w:trPr>
          <w:jc w:val="center"/>
        </w:trPr>
        <w:tc>
          <w:tcPr>
            <w:tcW w:w="550" w:type="dxa"/>
            <w:tcBorders>
              <w:top w:val="double" w:sz="6" w:space="0" w:color="auto"/>
              <w:left w:val="double" w:sz="6" w:space="0" w:color="auto"/>
              <w:bottom w:val="nil"/>
              <w:right w:val="nil"/>
            </w:tcBorders>
            <w:shd w:val="clear" w:color="auto" w:fill="auto"/>
            <w:noWrap/>
            <w:vAlign w:val="center"/>
          </w:tcPr>
          <w:p>
            <w:pPr>
              <w:jc w:val="center"/>
              <w:rPr>
                <w:noProof/>
                <w:sz w:val="20"/>
              </w:rPr>
            </w:pPr>
            <w:r>
              <w:rPr>
                <w:noProof/>
                <w:sz w:val="20"/>
              </w:rPr>
              <w:t>(1)</w:t>
            </w:r>
          </w:p>
        </w:tc>
        <w:tc>
          <w:tcPr>
            <w:tcW w:w="3185" w:type="dxa"/>
            <w:tcBorders>
              <w:top w:val="double" w:sz="6" w:space="0" w:color="auto"/>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Podiel Spojeného kráľovstva na neobmedzenom základe DPH</w:t>
            </w:r>
          </w:p>
        </w:tc>
        <w:tc>
          <w:tcPr>
            <w:tcW w:w="1800" w:type="dxa"/>
            <w:tcBorders>
              <w:top w:val="double" w:sz="6" w:space="0" w:color="auto"/>
              <w:left w:val="nil"/>
              <w:bottom w:val="nil"/>
              <w:right w:val="single" w:sz="4" w:space="0" w:color="auto"/>
            </w:tcBorders>
            <w:shd w:val="clear" w:color="auto" w:fill="auto"/>
            <w:noWrap/>
            <w:vAlign w:val="center"/>
          </w:tcPr>
          <w:p>
            <w:pPr>
              <w:jc w:val="right"/>
              <w:rPr>
                <w:noProof/>
                <w:sz w:val="20"/>
              </w:rPr>
            </w:pPr>
            <w:r>
              <w:rPr>
                <w:noProof/>
                <w:sz w:val="20"/>
              </w:rPr>
              <w:t>16,1945 %</w:t>
            </w:r>
          </w:p>
        </w:tc>
        <w:tc>
          <w:tcPr>
            <w:tcW w:w="1800" w:type="dxa"/>
            <w:tcBorders>
              <w:top w:val="double" w:sz="6" w:space="0" w:color="auto"/>
              <w:left w:val="nil"/>
              <w:bottom w:val="nil"/>
              <w:right w:val="double" w:sz="6" w:space="0" w:color="auto"/>
            </w:tcBorders>
            <w:shd w:val="clear" w:color="auto" w:fill="auto"/>
            <w:noWrap/>
            <w:vAlign w:val="center"/>
          </w:tcPr>
          <w:p>
            <w:pPr>
              <w:jc w:val="right"/>
              <w:rPr>
                <w:noProof/>
                <w:sz w:val="20"/>
              </w:rPr>
            </w:pPr>
            <w:r>
              <w:rPr>
                <w:noProof/>
                <w:sz w:val="20"/>
              </w:rPr>
              <w:t>15,9617 %</w:t>
            </w:r>
          </w:p>
        </w:tc>
        <w:tc>
          <w:tcPr>
            <w:tcW w:w="1800" w:type="dxa"/>
            <w:tcBorders>
              <w:top w:val="double" w:sz="6" w:space="0" w:color="auto"/>
              <w:left w:val="nil"/>
              <w:bottom w:val="nil"/>
              <w:right w:val="double" w:sz="6" w:space="0" w:color="auto"/>
            </w:tcBorders>
            <w:shd w:val="clear" w:color="auto" w:fill="auto"/>
            <w:noWrap/>
            <w:vAlign w:val="center"/>
          </w:tcPr>
          <w:p>
            <w:pPr>
              <w:jc w:val="right"/>
              <w:rPr>
                <w:i/>
                <w:noProof/>
                <w:sz w:val="20"/>
              </w:rPr>
            </w:pPr>
            <w:r>
              <w:rPr>
                <w:i/>
                <w:noProof/>
                <w:sz w:val="20"/>
              </w:rPr>
              <w:t>-0,2329 %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(2)</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Podiel Spojeného kráľovstva na celkových pridelených výdavkoch upravených v nadväznosti na rozšírenie</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7,3577 %</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6,7300 %</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-0,6277 %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(3)</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18"/>
                <w:szCs w:val="18"/>
              </w:rPr>
            </w:pPr>
            <w:r>
              <w:rPr>
                <w:noProof/>
                <w:color w:val="000000"/>
                <w:sz w:val="18"/>
              </w:rPr>
              <w:t>= (1) - (2)</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8,8368 %</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9,2317 %</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+0,3948 %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(4)</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Celkové pridelené výdavky</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127 599 039 596</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129 786 633 964</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+ 2 187 594 368</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Výdavky spojené s rozšírením</w:t>
            </w:r>
            <w:r>
              <w:rPr>
                <w:noProof/>
                <w:sz w:val="20"/>
              </w:rPr>
              <w:br/>
              <w:t>= (5a) + (5b)</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27 076 886 462</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31 101 300 166</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+ 4 024 413 704</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(5a)</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Predvstupové výdavky</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0</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0</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0</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(5b)</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Výdavky spojené s článkom 4 ods. 1 písm. g)</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27 076 886 462</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31 101 300 166</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+ 4 024 413 704</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(6)</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Celkové pridelené výdavky upravené v nadväznosti na rozšírenie = (4) – (5)</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100 522 153 134</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98 685 333 798</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- 1 836 819 336</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(7)</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Pôvodná suma korekcie pre Spojené kráľovstvo = (3) x (6) x 0,66</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5 862 761 188</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6 012 789 482</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+ 150 028 294</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(8)</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Výhoda pre Spojené kráľovstvo</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854 326 562</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616 616 471</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- 237 710 091</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(9)</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Základná korekcia pre Spojené kráľovstvo = (7) – (8)</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5 008 434 626</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5 396 173 012</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+ 387 738 385</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(10)</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Neočakávané zisky pochádzajúce z TVZ</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- 15 094 049</w:t>
            </w:r>
          </w:p>
        </w:tc>
        <w:tc>
          <w:tcPr>
            <w:tcW w:w="1800" w:type="dxa"/>
            <w:tcBorders>
              <w:top w:val="nil"/>
              <w:left w:val="nil"/>
              <w:bottom w:val="nil"/>
              <w:right w:val="double" w:sz="6" w:space="0" w:color="auto"/>
            </w:tcBorders>
            <w:shd w:val="clear" w:color="auto" w:fill="auto"/>
            <w:noWrap/>
            <w:vAlign w:val="center"/>
          </w:tcPr>
          <w:p>
            <w:pPr>
              <w:jc w:val="right"/>
              <w:rPr>
                <w:noProof/>
                <w:sz w:val="20"/>
              </w:rPr>
            </w:pPr>
            <w:r>
              <w:rPr>
                <w:noProof/>
                <w:sz w:val="20"/>
              </w:rPr>
              <w:t>- 35 957 064</w:t>
            </w:r>
          </w:p>
        </w:tc>
        <w:tc>
          <w:tcPr>
            <w:tcW w:w="180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- 20 863 015</w:t>
            </w:r>
          </w:p>
        </w:tc>
      </w:tr>
      <w:tr>
        <w:trPr>
          <w:jc w:val="center"/>
        </w:trPr>
        <w:tc>
          <w:tcPr>
            <w:tcW w:w="550" w:type="dxa"/>
            <w:tcBorders>
              <w:top w:val="nil"/>
              <w:left w:val="double" w:sz="6" w:space="0" w:color="auto"/>
              <w:bottom w:val="double" w:sz="6" w:space="0" w:color="auto"/>
              <w:right w:val="nil"/>
            </w:tcBorders>
            <w:shd w:val="clear" w:color="auto" w:fill="auto"/>
            <w:noWrap/>
            <w:vAlign w:val="center"/>
          </w:tcPr>
          <w:p>
            <w:pPr>
              <w:jc w:val="center"/>
              <w:rPr>
                <w:noProof/>
                <w:sz w:val="20"/>
              </w:rPr>
            </w:pPr>
            <w:r>
              <w:rPr>
                <w:noProof/>
                <w:sz w:val="20"/>
              </w:rPr>
              <w:t>(11)</w:t>
            </w:r>
          </w:p>
        </w:tc>
        <w:tc>
          <w:tcPr>
            <w:tcW w:w="3185" w:type="dxa"/>
            <w:tcBorders>
              <w:top w:val="nil"/>
              <w:left w:val="nil"/>
              <w:bottom w:val="double" w:sz="6" w:space="0" w:color="auto"/>
              <w:right w:val="double" w:sz="6" w:space="0" w:color="auto"/>
            </w:tcBorders>
            <w:shd w:val="clear" w:color="auto" w:fill="auto"/>
          </w:tcPr>
          <w:p>
            <w:pPr>
              <w:autoSpaceDE w:val="0"/>
              <w:autoSpaceDN w:val="0"/>
              <w:adjustRightInd w:val="0"/>
              <w:rPr>
                <w:noProof/>
                <w:color w:val="000000"/>
                <w:sz w:val="20"/>
              </w:rPr>
            </w:pPr>
            <w:r>
              <w:rPr>
                <w:noProof/>
                <w:color w:val="000000"/>
                <w:sz w:val="20"/>
              </w:rPr>
              <w:t>Korekcia pre Spojené kráľovstvo = (9) – (10)</w:t>
            </w:r>
          </w:p>
        </w:tc>
        <w:tc>
          <w:tcPr>
            <w:tcW w:w="1800" w:type="dxa"/>
            <w:tcBorders>
              <w:top w:val="nil"/>
              <w:left w:val="nil"/>
              <w:bottom w:val="double" w:sz="6" w:space="0" w:color="auto"/>
              <w:right w:val="single" w:sz="4" w:space="0" w:color="auto"/>
            </w:tcBorders>
            <w:shd w:val="clear" w:color="auto" w:fill="auto"/>
            <w:noWrap/>
            <w:vAlign w:val="center"/>
          </w:tcPr>
          <w:p>
            <w:pPr>
              <w:jc w:val="right"/>
              <w:rPr>
                <w:noProof/>
                <w:sz w:val="20"/>
              </w:rPr>
            </w:pPr>
            <w:r>
              <w:rPr>
                <w:noProof/>
                <w:sz w:val="20"/>
              </w:rPr>
              <w:t>5 023 528 676</w:t>
            </w:r>
          </w:p>
        </w:tc>
        <w:tc>
          <w:tcPr>
            <w:tcW w:w="1800" w:type="dxa"/>
            <w:tcBorders>
              <w:top w:val="nil"/>
              <w:left w:val="nil"/>
              <w:bottom w:val="double" w:sz="6" w:space="0" w:color="auto"/>
              <w:right w:val="double" w:sz="6" w:space="0" w:color="auto"/>
            </w:tcBorders>
            <w:shd w:val="clear" w:color="auto" w:fill="auto"/>
            <w:noWrap/>
            <w:vAlign w:val="center"/>
          </w:tcPr>
          <w:p>
            <w:pPr>
              <w:jc w:val="right"/>
              <w:rPr>
                <w:noProof/>
                <w:sz w:val="20"/>
              </w:rPr>
            </w:pPr>
            <w:r>
              <w:rPr>
                <w:noProof/>
                <w:sz w:val="20"/>
              </w:rPr>
              <w:t>5 432 130 075</w:t>
            </w:r>
          </w:p>
        </w:tc>
        <w:tc>
          <w:tcPr>
            <w:tcW w:w="1800" w:type="dxa"/>
            <w:tcBorders>
              <w:top w:val="nil"/>
              <w:left w:val="nil"/>
              <w:bottom w:val="double" w:sz="6" w:space="0" w:color="auto"/>
              <w:right w:val="double" w:sz="6" w:space="0" w:color="auto"/>
            </w:tcBorders>
            <w:shd w:val="clear" w:color="auto" w:fill="auto"/>
            <w:noWrap/>
            <w:vAlign w:val="center"/>
          </w:tcPr>
          <w:p>
            <w:pPr>
              <w:jc w:val="right"/>
              <w:rPr>
                <w:i/>
                <w:noProof/>
                <w:sz w:val="20"/>
              </w:rPr>
            </w:pPr>
            <w:r>
              <w:rPr>
                <w:i/>
                <w:noProof/>
                <w:sz w:val="20"/>
              </w:rPr>
              <w:t>+ 408 601 399</w:t>
            </w:r>
          </w:p>
        </w:tc>
      </w:tr>
    </w:tbl>
    <w:p>
      <w:pPr>
        <w:tabs>
          <w:tab w:val="num" w:pos="851"/>
        </w:tabs>
        <w:spacing w:before="120" w:after="120"/>
        <w:jc w:val="both"/>
        <w:rPr>
          <w:noProof/>
        </w:rPr>
      </w:pPr>
      <w:r>
        <w:rPr>
          <w:i/>
          <w:noProof/>
        </w:rPr>
        <w:t>Prvá aktualizácia</w:t>
      </w:r>
      <w:r>
        <w:rPr>
          <w:noProof/>
        </w:rPr>
        <w:t xml:space="preserve"> korekcie pre Spojené kráľovstvo za rok 2018 je v porovnaní s </w:t>
      </w:r>
      <w:r>
        <w:rPr>
          <w:i/>
          <w:noProof/>
        </w:rPr>
        <w:t>predbežnou sumou</w:t>
      </w:r>
      <w:r>
        <w:rPr>
          <w:noProof/>
        </w:rPr>
        <w:t xml:space="preserve"> korekcie pre Spojené kráľovstvo za rok 2018 zahrnutou do rozpočtu na rok 2019 vyššia o približne 409 mil. EUR.</w:t>
      </w:r>
    </w:p>
    <w:p>
      <w:pPr>
        <w:tabs>
          <w:tab w:val="left" w:pos="851"/>
        </w:tabs>
        <w:rPr>
          <w:bCs/>
          <w:noProof/>
          <w:szCs w:val="28"/>
          <w:u w:val="single"/>
        </w:rPr>
      </w:pPr>
      <w:r>
        <w:rPr>
          <w:noProof/>
          <w:u w:val="single"/>
        </w:rPr>
        <w:t>3.3.2.2</w:t>
      </w:r>
      <w:r>
        <w:rPr>
          <w:noProof/>
        </w:rPr>
        <w:tab/>
      </w:r>
      <w:r>
        <w:rPr>
          <w:noProof/>
          <w:u w:val="single"/>
        </w:rPr>
        <w:t>Korekcia pre Spojené kráľovstvo za rok 2015</w:t>
      </w:r>
    </w:p>
    <w:p>
      <w:pPr>
        <w:spacing w:before="120" w:after="120"/>
        <w:jc w:val="both"/>
        <w:rPr>
          <w:noProof/>
        </w:rPr>
      </w:pPr>
      <w:r>
        <w:rPr>
          <w:noProof/>
        </w:rPr>
        <w:t xml:space="preserve">V nasledujúcej tabuľke sú uvedené zmeny medzi </w:t>
      </w:r>
      <w:r>
        <w:rPr>
          <w:i/>
          <w:noProof/>
        </w:rPr>
        <w:t>prvou aktualizáciou</w:t>
      </w:r>
      <w:r>
        <w:rPr>
          <w:noProof/>
        </w:rPr>
        <w:t xml:space="preserve"> korekcie pre Spojené kráľovstvo za rok 2015 zahrnutou do opravného rozpočtu č. 5/2016 a </w:t>
      </w:r>
      <w:r>
        <w:rPr>
          <w:i/>
          <w:noProof/>
        </w:rPr>
        <w:t>konečnou sumou</w:t>
      </w:r>
      <w:r>
        <w:rPr>
          <w:noProof/>
        </w:rPr>
        <w:t xml:space="preserve"> korekcie pre Spojené kráľovstvo za rok 2015, ktorá sa má zahrnúť do tohto NOR.</w:t>
      </w:r>
    </w:p>
    <w:tbl>
      <w:tblPr>
        <w:tblW w:w="9135" w:type="dxa"/>
        <w:jc w:val="center"/>
        <w:tblLayout w:type="fixed"/>
        <w:tblLook w:val="0000" w:firstRow="0" w:lastRow="0" w:firstColumn="0" w:lastColumn="0" w:noHBand="0" w:noVBand="0"/>
      </w:tblPr>
      <w:tblGrid>
        <w:gridCol w:w="550"/>
        <w:gridCol w:w="3185"/>
        <w:gridCol w:w="1800"/>
        <w:gridCol w:w="1680"/>
        <w:gridCol w:w="1920"/>
      </w:tblGrid>
      <w:tr>
        <w:trPr>
          <w:trHeight w:val="831"/>
          <w:tblHeader/>
          <w:jc w:val="center"/>
        </w:trPr>
        <w:tc>
          <w:tcPr>
            <w:tcW w:w="550" w:type="dxa"/>
            <w:tcBorders>
              <w:top w:val="nil"/>
              <w:left w:val="nil"/>
              <w:right w:val="nil"/>
            </w:tcBorders>
            <w:shd w:val="clear" w:color="auto" w:fill="auto"/>
            <w:noWrap/>
            <w:vAlign w:val="bottom"/>
          </w:tcPr>
          <w:p>
            <w:pPr>
              <w:rPr>
                <w:noProof/>
                <w:sz w:val="20"/>
                <w:highlight w:val="yellow"/>
              </w:rPr>
            </w:pPr>
          </w:p>
        </w:tc>
        <w:tc>
          <w:tcPr>
            <w:tcW w:w="3185" w:type="dxa"/>
            <w:tcBorders>
              <w:top w:val="nil"/>
              <w:left w:val="nil"/>
              <w:right w:val="nil"/>
            </w:tcBorders>
            <w:shd w:val="clear" w:color="auto" w:fill="auto"/>
            <w:noWrap/>
            <w:vAlign w:val="center"/>
          </w:tcPr>
          <w:p>
            <w:pPr>
              <w:autoSpaceDE w:val="0"/>
              <w:autoSpaceDN w:val="0"/>
              <w:adjustRightInd w:val="0"/>
              <w:jc w:val="center"/>
              <w:rPr>
                <w:b/>
                <w:noProof/>
                <w:color w:val="000000"/>
              </w:rPr>
            </w:pPr>
            <w:r>
              <w:rPr>
                <w:b/>
                <w:noProof/>
                <w:color w:val="000000"/>
              </w:rPr>
              <w:t>Korekcia pre Spojené kráľovstvo za rok 2015</w:t>
            </w:r>
          </w:p>
          <w:p>
            <w:pPr>
              <w:rPr>
                <w:noProof/>
              </w:rPr>
            </w:pPr>
          </w:p>
        </w:tc>
        <w:tc>
          <w:tcPr>
            <w:tcW w:w="1800" w:type="dxa"/>
            <w:tcBorders>
              <w:top w:val="double" w:sz="6" w:space="0" w:color="auto"/>
              <w:left w:val="double" w:sz="6" w:space="0" w:color="auto"/>
              <w:bottom w:val="double" w:sz="6" w:space="0" w:color="auto"/>
              <w:right w:val="single" w:sz="4" w:space="0" w:color="auto"/>
            </w:tcBorders>
            <w:shd w:val="clear" w:color="auto" w:fill="E0E0E0"/>
            <w:vAlign w:val="center"/>
          </w:tcPr>
          <w:p>
            <w:pPr>
              <w:jc w:val="center"/>
              <w:rPr>
                <w:b/>
                <w:bCs/>
                <w:noProof/>
                <w:sz w:val="20"/>
              </w:rPr>
            </w:pPr>
            <w:r>
              <w:rPr>
                <w:b/>
                <w:noProof/>
                <w:sz w:val="20"/>
              </w:rPr>
              <w:t>Korekcia pre Spojené kráľovstvo za rok 2015</w:t>
            </w:r>
            <w:r>
              <w:rPr>
                <w:b/>
                <w:bCs/>
                <w:noProof/>
                <w:sz w:val="20"/>
              </w:rPr>
              <w:br/>
            </w:r>
            <w:r>
              <w:rPr>
                <w:b/>
                <w:noProof/>
                <w:sz w:val="20"/>
              </w:rPr>
              <w:t xml:space="preserve">PRVÁ AKTUALIZÁCIA </w:t>
            </w:r>
            <w:r>
              <w:rPr>
                <w:b/>
                <w:bCs/>
                <w:noProof/>
                <w:sz w:val="20"/>
              </w:rPr>
              <w:br/>
            </w:r>
            <w:r>
              <w:rPr>
                <w:b/>
                <w:noProof/>
                <w:sz w:val="20"/>
              </w:rPr>
              <w:t>OR č. 5/2016</w:t>
            </w:r>
          </w:p>
        </w:tc>
        <w:tc>
          <w:tcPr>
            <w:tcW w:w="1680" w:type="dxa"/>
            <w:tcBorders>
              <w:top w:val="double" w:sz="6" w:space="0" w:color="auto"/>
              <w:left w:val="nil"/>
              <w:bottom w:val="double" w:sz="6" w:space="0" w:color="auto"/>
              <w:right w:val="double" w:sz="6" w:space="0" w:color="auto"/>
            </w:tcBorders>
            <w:shd w:val="clear" w:color="auto" w:fill="E0E0E0"/>
            <w:vAlign w:val="center"/>
          </w:tcPr>
          <w:p>
            <w:pPr>
              <w:jc w:val="center"/>
              <w:rPr>
                <w:b/>
                <w:bCs/>
                <w:noProof/>
                <w:sz w:val="20"/>
              </w:rPr>
            </w:pPr>
            <w:r>
              <w:rPr>
                <w:b/>
                <w:noProof/>
                <w:sz w:val="20"/>
              </w:rPr>
              <w:t>Korekcia pre Spojené kráľovstvo za rok 2015</w:t>
            </w:r>
            <w:r>
              <w:rPr>
                <w:b/>
                <w:bCs/>
                <w:noProof/>
                <w:sz w:val="20"/>
              </w:rPr>
              <w:br/>
            </w:r>
            <w:r>
              <w:rPr>
                <w:b/>
                <w:noProof/>
                <w:sz w:val="20"/>
              </w:rPr>
              <w:t>KONEČNÁ SUMA</w:t>
            </w:r>
            <w:r>
              <w:rPr>
                <w:b/>
                <w:bCs/>
                <w:noProof/>
                <w:sz w:val="20"/>
              </w:rPr>
              <w:br/>
            </w:r>
            <w:r>
              <w:rPr>
                <w:b/>
                <w:noProof/>
                <w:sz w:val="20"/>
              </w:rPr>
              <w:t>NOR 4/2019</w:t>
            </w:r>
          </w:p>
        </w:tc>
        <w:tc>
          <w:tcPr>
            <w:tcW w:w="1920" w:type="dxa"/>
            <w:tcBorders>
              <w:top w:val="double" w:sz="6" w:space="0" w:color="auto"/>
              <w:left w:val="nil"/>
              <w:bottom w:val="double" w:sz="6" w:space="0" w:color="auto"/>
              <w:right w:val="double" w:sz="6" w:space="0" w:color="auto"/>
            </w:tcBorders>
            <w:shd w:val="clear" w:color="auto" w:fill="E0E0E0"/>
            <w:noWrap/>
            <w:vAlign w:val="center"/>
          </w:tcPr>
          <w:p>
            <w:pPr>
              <w:jc w:val="center"/>
              <w:rPr>
                <w:b/>
                <w:bCs/>
                <w:i/>
                <w:iCs/>
                <w:noProof/>
                <w:sz w:val="20"/>
              </w:rPr>
            </w:pPr>
            <w:r>
              <w:rPr>
                <w:b/>
                <w:i/>
                <w:noProof/>
                <w:sz w:val="20"/>
              </w:rPr>
              <w:t>Rozdiel</w:t>
            </w:r>
          </w:p>
        </w:tc>
      </w:tr>
      <w:tr>
        <w:trPr>
          <w:jc w:val="center"/>
        </w:trPr>
        <w:tc>
          <w:tcPr>
            <w:tcW w:w="550" w:type="dxa"/>
            <w:tcBorders>
              <w:bottom w:val="double" w:sz="6" w:space="0" w:color="auto"/>
              <w:right w:val="nil"/>
            </w:tcBorders>
            <w:shd w:val="clear" w:color="auto" w:fill="auto"/>
            <w:noWrap/>
            <w:vAlign w:val="center"/>
          </w:tcPr>
          <w:p>
            <w:pPr>
              <w:jc w:val="center"/>
              <w:rPr>
                <w:noProof/>
                <w:sz w:val="20"/>
              </w:rPr>
            </w:pPr>
          </w:p>
        </w:tc>
        <w:tc>
          <w:tcPr>
            <w:tcW w:w="3185" w:type="dxa"/>
            <w:tcBorders>
              <w:left w:val="nil"/>
              <w:bottom w:val="double" w:sz="6" w:space="0" w:color="auto"/>
              <w:right w:val="double" w:sz="6" w:space="0" w:color="auto"/>
            </w:tcBorders>
            <w:shd w:val="clear" w:color="auto" w:fill="auto"/>
          </w:tcPr>
          <w:p>
            <w:pPr>
              <w:autoSpaceDE w:val="0"/>
              <w:autoSpaceDN w:val="0"/>
              <w:adjustRightInd w:val="0"/>
              <w:rPr>
                <w:noProof/>
                <w:color w:val="000000"/>
                <w:sz w:val="20"/>
              </w:rPr>
            </w:pPr>
          </w:p>
        </w:tc>
        <w:tc>
          <w:tcPr>
            <w:tcW w:w="1800" w:type="dxa"/>
            <w:tcBorders>
              <w:top w:val="double" w:sz="6" w:space="0" w:color="auto"/>
              <w:left w:val="nil"/>
              <w:bottom w:val="nil"/>
              <w:right w:val="single" w:sz="4" w:space="0" w:color="auto"/>
            </w:tcBorders>
            <w:shd w:val="clear" w:color="auto" w:fill="auto"/>
            <w:noWrap/>
            <w:vAlign w:val="center"/>
          </w:tcPr>
          <w:p>
            <w:pPr>
              <w:jc w:val="center"/>
              <w:rPr>
                <w:noProof/>
                <w:sz w:val="20"/>
              </w:rPr>
            </w:pPr>
            <w:r>
              <w:rPr>
                <w:noProof/>
                <w:sz w:val="20"/>
              </w:rPr>
              <w:t>(1)</w:t>
            </w:r>
          </w:p>
        </w:tc>
        <w:tc>
          <w:tcPr>
            <w:tcW w:w="1680" w:type="dxa"/>
            <w:tcBorders>
              <w:top w:val="double" w:sz="6" w:space="0" w:color="auto"/>
              <w:left w:val="nil"/>
              <w:bottom w:val="nil"/>
              <w:right w:val="double" w:sz="6" w:space="0" w:color="auto"/>
            </w:tcBorders>
            <w:shd w:val="clear" w:color="auto" w:fill="auto"/>
            <w:noWrap/>
            <w:vAlign w:val="center"/>
          </w:tcPr>
          <w:p>
            <w:pPr>
              <w:jc w:val="center"/>
              <w:rPr>
                <w:noProof/>
                <w:sz w:val="20"/>
              </w:rPr>
            </w:pPr>
            <w:r>
              <w:rPr>
                <w:noProof/>
                <w:sz w:val="20"/>
              </w:rPr>
              <w:t>(2)</w:t>
            </w:r>
          </w:p>
        </w:tc>
        <w:tc>
          <w:tcPr>
            <w:tcW w:w="1920" w:type="dxa"/>
            <w:tcBorders>
              <w:top w:val="double" w:sz="6" w:space="0" w:color="auto"/>
              <w:left w:val="nil"/>
              <w:bottom w:val="nil"/>
              <w:right w:val="double" w:sz="6" w:space="0" w:color="auto"/>
            </w:tcBorders>
            <w:shd w:val="clear" w:color="auto" w:fill="auto"/>
            <w:noWrap/>
            <w:vAlign w:val="center"/>
          </w:tcPr>
          <w:p>
            <w:pPr>
              <w:jc w:val="center"/>
              <w:rPr>
                <w:noProof/>
                <w:sz w:val="20"/>
              </w:rPr>
            </w:pPr>
            <w:r>
              <w:rPr>
                <w:noProof/>
                <w:sz w:val="20"/>
              </w:rPr>
              <w:t>(2)-(1)</w:t>
            </w:r>
          </w:p>
        </w:tc>
      </w:tr>
      <w:tr>
        <w:trPr>
          <w:jc w:val="center"/>
        </w:trPr>
        <w:tc>
          <w:tcPr>
            <w:tcW w:w="550" w:type="dxa"/>
            <w:tcBorders>
              <w:top w:val="double" w:sz="6" w:space="0" w:color="auto"/>
              <w:left w:val="double" w:sz="6" w:space="0" w:color="auto"/>
              <w:bottom w:val="nil"/>
              <w:right w:val="nil"/>
            </w:tcBorders>
            <w:shd w:val="clear" w:color="auto" w:fill="auto"/>
            <w:noWrap/>
            <w:vAlign w:val="center"/>
          </w:tcPr>
          <w:p>
            <w:pPr>
              <w:jc w:val="center"/>
              <w:rPr>
                <w:noProof/>
                <w:sz w:val="20"/>
              </w:rPr>
            </w:pPr>
            <w:r>
              <w:rPr>
                <w:noProof/>
                <w:sz w:val="20"/>
              </w:rPr>
              <w:t>(1)</w:t>
            </w:r>
          </w:p>
        </w:tc>
        <w:tc>
          <w:tcPr>
            <w:tcW w:w="3185" w:type="dxa"/>
            <w:tcBorders>
              <w:top w:val="double" w:sz="6" w:space="0" w:color="auto"/>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Podiel Spojeného kráľovstva na neobmedzenom základe DPH</w:t>
            </w:r>
          </w:p>
        </w:tc>
        <w:tc>
          <w:tcPr>
            <w:tcW w:w="1800" w:type="dxa"/>
            <w:tcBorders>
              <w:top w:val="double" w:sz="6" w:space="0" w:color="auto"/>
              <w:left w:val="nil"/>
              <w:bottom w:val="nil"/>
              <w:right w:val="single" w:sz="4" w:space="0" w:color="auto"/>
            </w:tcBorders>
            <w:shd w:val="clear" w:color="auto" w:fill="auto"/>
            <w:noWrap/>
            <w:vAlign w:val="center"/>
          </w:tcPr>
          <w:p>
            <w:pPr>
              <w:jc w:val="right"/>
              <w:rPr>
                <w:noProof/>
                <w:sz w:val="20"/>
              </w:rPr>
            </w:pPr>
            <w:r>
              <w:rPr>
                <w:noProof/>
                <w:sz w:val="20"/>
              </w:rPr>
              <w:t>19,2145 %</w:t>
            </w:r>
          </w:p>
        </w:tc>
        <w:tc>
          <w:tcPr>
            <w:tcW w:w="1680" w:type="dxa"/>
            <w:tcBorders>
              <w:top w:val="double" w:sz="6" w:space="0" w:color="auto"/>
              <w:left w:val="nil"/>
              <w:bottom w:val="nil"/>
              <w:right w:val="double" w:sz="6" w:space="0" w:color="auto"/>
            </w:tcBorders>
            <w:shd w:val="clear" w:color="auto" w:fill="auto"/>
            <w:noWrap/>
            <w:vAlign w:val="center"/>
          </w:tcPr>
          <w:p>
            <w:pPr>
              <w:jc w:val="right"/>
              <w:rPr>
                <w:noProof/>
                <w:sz w:val="20"/>
              </w:rPr>
            </w:pPr>
            <w:r>
              <w:rPr>
                <w:noProof/>
                <w:sz w:val="20"/>
              </w:rPr>
              <w:t>19,1419 %</w:t>
            </w:r>
          </w:p>
        </w:tc>
        <w:tc>
          <w:tcPr>
            <w:tcW w:w="1920" w:type="dxa"/>
            <w:tcBorders>
              <w:top w:val="double" w:sz="6" w:space="0" w:color="auto"/>
              <w:left w:val="nil"/>
              <w:bottom w:val="nil"/>
              <w:right w:val="double" w:sz="6" w:space="0" w:color="auto"/>
            </w:tcBorders>
            <w:shd w:val="clear" w:color="auto" w:fill="auto"/>
            <w:noWrap/>
            <w:vAlign w:val="center"/>
          </w:tcPr>
          <w:p>
            <w:pPr>
              <w:jc w:val="right"/>
              <w:rPr>
                <w:i/>
                <w:noProof/>
                <w:sz w:val="20"/>
              </w:rPr>
            </w:pPr>
            <w:r>
              <w:rPr>
                <w:i/>
                <w:noProof/>
                <w:sz w:val="20"/>
              </w:rPr>
              <w:t>- 0,0726 %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(2)</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Podiel Spojeného kráľovstva na celkových pridelených výdavkoch upravených v nadväznosti na rozšírenie</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7,5910 %</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7,5894 %</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- 0,0016 %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(3)</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18"/>
                <w:szCs w:val="18"/>
              </w:rPr>
            </w:pPr>
            <w:r>
              <w:rPr>
                <w:noProof/>
                <w:color w:val="000000"/>
                <w:sz w:val="18"/>
              </w:rPr>
              <w:t>= (1) - (2)</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11,6235 %</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11,5525 %</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- 0,0710 %</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(4)</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Celkové pridelené výdavky</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129 194 773 448</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129 135 893 336</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- 58 880 112</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Výdavky spojené s rozšírením</w:t>
            </w:r>
            <w:r>
              <w:rPr>
                <w:noProof/>
                <w:sz w:val="20"/>
              </w:rPr>
              <w:br/>
              <w:t>= (5a) + (5b)</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31 733 179 803</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31 639 878 296</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- 93 301 507</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(5a)</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Predvstupové výdavky</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0</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0</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0</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(5b)</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Výdavky spojené s článkom 4 ods. 1 písm. g)</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31 733 179 803</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31 639 878 296</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- 93 301 507</w:t>
            </w:r>
          </w:p>
        </w:tc>
      </w:tr>
      <w:tr>
        <w:trPr>
          <w:jc w:val="center"/>
        </w:trPr>
        <w:tc>
          <w:tcPr>
            <w:tcW w:w="550" w:type="dxa"/>
            <w:tcBorders>
              <w:top w:val="nil"/>
              <w:left w:val="double" w:sz="6" w:space="0" w:color="auto"/>
              <w:bottom w:val="nil"/>
              <w:right w:val="nil"/>
            </w:tcBorders>
            <w:shd w:val="clear" w:color="auto" w:fill="auto"/>
            <w:noWrap/>
            <w:vAlign w:val="center"/>
          </w:tcPr>
          <w:p>
            <w:pPr>
              <w:autoSpaceDE w:val="0"/>
              <w:autoSpaceDN w:val="0"/>
              <w:adjustRightInd w:val="0"/>
              <w:rPr>
                <w:noProof/>
                <w:color w:val="000000"/>
                <w:sz w:val="20"/>
              </w:rPr>
            </w:pPr>
            <w:r>
              <w:rPr>
                <w:noProof/>
                <w:color w:val="000000"/>
                <w:sz w:val="20"/>
              </w:rPr>
              <w:t>(6)</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Celkové pridelené výdavky upravené v nadväznosti na rozšírenie = (4) – (5)</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97 461 593 645</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97 496 015 040</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+ 34 421 395</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(7)</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Pôvodná suma korekcie pre Spojené kráľovstvo = (3) x (6) x 0,66</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7 476 753 663</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7 433 724 758</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- 43 028 905</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(8)</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Výhoda pre Spojené kráľovstvo</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1 496 521 393</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1 381 345 015</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- 115 176 378</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(9)</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Základná korekcia pre Spojené kráľovstvo = (7) – (8)</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5 980 232 270</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6 052 379 743</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+ 72 147 473</w:t>
            </w:r>
          </w:p>
        </w:tc>
      </w:tr>
      <w:tr>
        <w:trPr>
          <w:jc w:val="center"/>
        </w:trPr>
        <w:tc>
          <w:tcPr>
            <w:tcW w:w="550" w:type="dxa"/>
            <w:tcBorders>
              <w:top w:val="nil"/>
              <w:left w:val="double" w:sz="6" w:space="0" w:color="auto"/>
              <w:bottom w:val="nil"/>
              <w:right w:val="nil"/>
            </w:tcBorders>
            <w:shd w:val="clear" w:color="auto" w:fill="auto"/>
            <w:noWrap/>
            <w:vAlign w:val="center"/>
          </w:tcPr>
          <w:p>
            <w:pPr>
              <w:jc w:val="center"/>
              <w:rPr>
                <w:noProof/>
                <w:sz w:val="20"/>
              </w:rPr>
            </w:pPr>
            <w:r>
              <w:rPr>
                <w:noProof/>
                <w:sz w:val="20"/>
              </w:rPr>
              <w:t>(10)</w:t>
            </w:r>
          </w:p>
        </w:tc>
        <w:tc>
          <w:tcPr>
            <w:tcW w:w="3185" w:type="dxa"/>
            <w:tcBorders>
              <w:top w:val="nil"/>
              <w:left w:val="nil"/>
              <w:bottom w:val="nil"/>
              <w:right w:val="double" w:sz="6" w:space="0" w:color="auto"/>
            </w:tcBorders>
            <w:shd w:val="clear" w:color="auto" w:fill="auto"/>
          </w:tcPr>
          <w:p>
            <w:pPr>
              <w:autoSpaceDE w:val="0"/>
              <w:autoSpaceDN w:val="0"/>
              <w:adjustRightInd w:val="0"/>
              <w:rPr>
                <w:noProof/>
                <w:color w:val="000000"/>
                <w:sz w:val="20"/>
              </w:rPr>
            </w:pPr>
            <w:r>
              <w:rPr>
                <w:noProof/>
                <w:color w:val="000000"/>
                <w:sz w:val="20"/>
              </w:rPr>
              <w:t>Neočakávané zisky pochádzajúce z TVZ</w:t>
            </w:r>
          </w:p>
        </w:tc>
        <w:tc>
          <w:tcPr>
            <w:tcW w:w="1800" w:type="dxa"/>
            <w:tcBorders>
              <w:top w:val="nil"/>
              <w:left w:val="nil"/>
              <w:bottom w:val="nil"/>
              <w:right w:val="single" w:sz="4" w:space="0" w:color="auto"/>
            </w:tcBorders>
            <w:shd w:val="clear" w:color="auto" w:fill="auto"/>
            <w:noWrap/>
            <w:vAlign w:val="center"/>
          </w:tcPr>
          <w:p>
            <w:pPr>
              <w:jc w:val="right"/>
              <w:rPr>
                <w:noProof/>
                <w:sz w:val="20"/>
              </w:rPr>
            </w:pPr>
            <w:r>
              <w:rPr>
                <w:noProof/>
                <w:sz w:val="20"/>
              </w:rPr>
              <w:t>-76 109 576</w:t>
            </w:r>
          </w:p>
        </w:tc>
        <w:tc>
          <w:tcPr>
            <w:tcW w:w="1680" w:type="dxa"/>
            <w:tcBorders>
              <w:top w:val="nil"/>
              <w:left w:val="nil"/>
              <w:bottom w:val="nil"/>
              <w:right w:val="double" w:sz="6" w:space="0" w:color="auto"/>
            </w:tcBorders>
            <w:shd w:val="clear" w:color="auto" w:fill="auto"/>
            <w:noWrap/>
            <w:vAlign w:val="center"/>
          </w:tcPr>
          <w:p>
            <w:pPr>
              <w:jc w:val="right"/>
              <w:rPr>
                <w:noProof/>
                <w:sz w:val="20"/>
              </w:rPr>
            </w:pPr>
            <w:r>
              <w:rPr>
                <w:noProof/>
                <w:sz w:val="20"/>
              </w:rPr>
              <w:t>-74 320 246</w:t>
            </w:r>
          </w:p>
        </w:tc>
        <w:tc>
          <w:tcPr>
            <w:tcW w:w="1920" w:type="dxa"/>
            <w:tcBorders>
              <w:top w:val="nil"/>
              <w:left w:val="nil"/>
              <w:bottom w:val="nil"/>
              <w:right w:val="double" w:sz="6" w:space="0" w:color="auto"/>
            </w:tcBorders>
            <w:shd w:val="clear" w:color="auto" w:fill="auto"/>
            <w:noWrap/>
            <w:vAlign w:val="center"/>
          </w:tcPr>
          <w:p>
            <w:pPr>
              <w:jc w:val="right"/>
              <w:rPr>
                <w:i/>
                <w:noProof/>
                <w:sz w:val="20"/>
              </w:rPr>
            </w:pPr>
            <w:r>
              <w:rPr>
                <w:i/>
                <w:noProof/>
                <w:sz w:val="20"/>
              </w:rPr>
              <w:t>+ 1 789 330</w:t>
            </w:r>
          </w:p>
        </w:tc>
      </w:tr>
      <w:tr>
        <w:trPr>
          <w:jc w:val="center"/>
        </w:trPr>
        <w:tc>
          <w:tcPr>
            <w:tcW w:w="550" w:type="dxa"/>
            <w:tcBorders>
              <w:top w:val="nil"/>
              <w:left w:val="double" w:sz="6" w:space="0" w:color="auto"/>
              <w:bottom w:val="double" w:sz="6" w:space="0" w:color="auto"/>
              <w:right w:val="nil"/>
            </w:tcBorders>
            <w:shd w:val="clear" w:color="auto" w:fill="auto"/>
            <w:noWrap/>
            <w:vAlign w:val="center"/>
          </w:tcPr>
          <w:p>
            <w:pPr>
              <w:jc w:val="center"/>
              <w:rPr>
                <w:noProof/>
                <w:sz w:val="20"/>
              </w:rPr>
            </w:pPr>
            <w:r>
              <w:rPr>
                <w:noProof/>
                <w:sz w:val="20"/>
              </w:rPr>
              <w:t>(11)</w:t>
            </w:r>
          </w:p>
        </w:tc>
        <w:tc>
          <w:tcPr>
            <w:tcW w:w="3185" w:type="dxa"/>
            <w:tcBorders>
              <w:top w:val="nil"/>
              <w:left w:val="nil"/>
              <w:bottom w:val="double" w:sz="6" w:space="0" w:color="auto"/>
              <w:right w:val="double" w:sz="6" w:space="0" w:color="auto"/>
            </w:tcBorders>
            <w:shd w:val="clear" w:color="auto" w:fill="auto"/>
          </w:tcPr>
          <w:p>
            <w:pPr>
              <w:autoSpaceDE w:val="0"/>
              <w:autoSpaceDN w:val="0"/>
              <w:adjustRightInd w:val="0"/>
              <w:rPr>
                <w:noProof/>
                <w:color w:val="000000"/>
                <w:sz w:val="20"/>
              </w:rPr>
            </w:pPr>
            <w:r>
              <w:rPr>
                <w:noProof/>
                <w:color w:val="000000"/>
                <w:sz w:val="20"/>
              </w:rPr>
              <w:t>Korekcia pre Spojené kráľovstvo = (9) – (10)</w:t>
            </w:r>
          </w:p>
        </w:tc>
        <w:tc>
          <w:tcPr>
            <w:tcW w:w="1800" w:type="dxa"/>
            <w:tcBorders>
              <w:top w:val="nil"/>
              <w:left w:val="nil"/>
              <w:bottom w:val="double" w:sz="6" w:space="0" w:color="auto"/>
              <w:right w:val="single" w:sz="4" w:space="0" w:color="auto"/>
            </w:tcBorders>
            <w:shd w:val="clear" w:color="auto" w:fill="auto"/>
            <w:noWrap/>
            <w:vAlign w:val="center"/>
          </w:tcPr>
          <w:p>
            <w:pPr>
              <w:jc w:val="right"/>
              <w:rPr>
                <w:noProof/>
                <w:sz w:val="20"/>
              </w:rPr>
            </w:pPr>
            <w:r>
              <w:rPr>
                <w:noProof/>
                <w:sz w:val="20"/>
              </w:rPr>
              <w:t>6 056 341 847</w:t>
            </w:r>
          </w:p>
        </w:tc>
        <w:tc>
          <w:tcPr>
            <w:tcW w:w="1680" w:type="dxa"/>
            <w:tcBorders>
              <w:top w:val="nil"/>
              <w:left w:val="nil"/>
              <w:bottom w:val="double" w:sz="6" w:space="0" w:color="auto"/>
              <w:right w:val="double" w:sz="6" w:space="0" w:color="auto"/>
            </w:tcBorders>
            <w:shd w:val="clear" w:color="auto" w:fill="auto"/>
            <w:noWrap/>
            <w:vAlign w:val="center"/>
          </w:tcPr>
          <w:p>
            <w:pPr>
              <w:jc w:val="right"/>
              <w:rPr>
                <w:noProof/>
                <w:sz w:val="20"/>
              </w:rPr>
            </w:pPr>
            <w:r>
              <w:rPr>
                <w:noProof/>
                <w:sz w:val="20"/>
              </w:rPr>
              <w:t>6 126 699 989</w:t>
            </w:r>
          </w:p>
        </w:tc>
        <w:tc>
          <w:tcPr>
            <w:tcW w:w="1920" w:type="dxa"/>
            <w:tcBorders>
              <w:top w:val="nil"/>
              <w:left w:val="nil"/>
              <w:bottom w:val="double" w:sz="6" w:space="0" w:color="auto"/>
              <w:right w:val="double" w:sz="6" w:space="0" w:color="auto"/>
            </w:tcBorders>
            <w:shd w:val="clear" w:color="auto" w:fill="auto"/>
            <w:noWrap/>
            <w:vAlign w:val="center"/>
          </w:tcPr>
          <w:p>
            <w:pPr>
              <w:jc w:val="right"/>
              <w:rPr>
                <w:i/>
                <w:noProof/>
                <w:sz w:val="20"/>
              </w:rPr>
            </w:pPr>
            <w:r>
              <w:rPr>
                <w:i/>
                <w:noProof/>
                <w:sz w:val="20"/>
              </w:rPr>
              <w:t>+70 358 142</w:t>
            </w:r>
          </w:p>
        </w:tc>
      </w:tr>
    </w:tbl>
    <w:p>
      <w:pPr>
        <w:spacing w:before="120" w:after="120"/>
        <w:jc w:val="both"/>
        <w:rPr>
          <w:noProof/>
        </w:rPr>
      </w:pPr>
      <w:r>
        <w:rPr>
          <w:i/>
          <w:noProof/>
        </w:rPr>
        <w:t>Konečná suma</w:t>
      </w:r>
      <w:r>
        <w:rPr>
          <w:noProof/>
        </w:rPr>
        <w:t xml:space="preserve"> korekcie pre Spojené kráľovstvo za rok 2015 je približne o 70 mil. EUR vyššia ako </w:t>
      </w:r>
      <w:r>
        <w:rPr>
          <w:i/>
          <w:noProof/>
        </w:rPr>
        <w:t>prvá aktualizácia</w:t>
      </w:r>
      <w:r>
        <w:rPr>
          <w:noProof/>
        </w:rPr>
        <w:t xml:space="preserve"> korekcie pre Spojené kráľovstvo za rok 2015 zahrnutá do OR č. 5/2016, a to najmä v dôsledku aktualizácií základov DPH a HND predložených členskými štátmi na jeseň 2018.</w:t>
      </w:r>
    </w:p>
    <w:p>
      <w:pPr>
        <w:keepNext/>
        <w:tabs>
          <w:tab w:val="left" w:pos="850"/>
        </w:tabs>
        <w:spacing w:before="240" w:after="120"/>
        <w:ind w:left="850" w:hanging="850"/>
        <w:jc w:val="both"/>
        <w:outlineLvl w:val="1"/>
        <w:rPr>
          <w:i/>
          <w:noProof/>
        </w:rPr>
      </w:pPr>
      <w:bookmarkStart w:id="94" w:name="_Toc231879708"/>
      <w:bookmarkStart w:id="95" w:name="_Toc293417237"/>
      <w:bookmarkStart w:id="96" w:name="_Toc294673196"/>
      <w:bookmarkStart w:id="97" w:name="_Toc357005416"/>
      <w:bookmarkStart w:id="98" w:name="_Toc390436799"/>
      <w:bookmarkStart w:id="99" w:name="_Toc420941904"/>
      <w:bookmarkStart w:id="100" w:name="_Toc461544624"/>
      <w:bookmarkStart w:id="101" w:name="_Toc12621017"/>
      <w:bookmarkStart w:id="102" w:name="_Toc13832647"/>
      <w:r>
        <w:rPr>
          <w:i/>
          <w:noProof/>
        </w:rPr>
        <w:t>3.3.3</w:t>
      </w:r>
      <w:r>
        <w:rPr>
          <w:noProof/>
        </w:rPr>
        <w:tab/>
      </w:r>
      <w:r>
        <w:rPr>
          <w:i/>
          <w:noProof/>
        </w:rPr>
        <w:t>Zahrnutie prvej aktualizácie korekcie pre Spojené kráľovstvo za rok 2018 a konečnej sumy korekcie pre Spojené kráľovstvo za rok 2015 do NOR č. 4/2019</w:t>
      </w:r>
      <w:bookmarkEnd w:id="94"/>
      <w:bookmarkEnd w:id="95"/>
      <w:bookmarkEnd w:id="96"/>
      <w:bookmarkEnd w:id="97"/>
      <w:bookmarkEnd w:id="98"/>
      <w:bookmarkEnd w:id="99"/>
      <w:bookmarkEnd w:id="100"/>
      <w:bookmarkEnd w:id="101"/>
      <w:bookmarkEnd w:id="102"/>
    </w:p>
    <w:p>
      <w:pPr>
        <w:tabs>
          <w:tab w:val="left" w:pos="851"/>
        </w:tabs>
        <w:spacing w:before="120" w:after="120"/>
        <w:rPr>
          <w:bCs/>
          <w:noProof/>
          <w:szCs w:val="28"/>
          <w:u w:val="single"/>
        </w:rPr>
      </w:pPr>
      <w:bookmarkStart w:id="103" w:name="_Toc231879709"/>
      <w:r>
        <w:rPr>
          <w:noProof/>
          <w:u w:val="single"/>
        </w:rPr>
        <w:t>3.3.3.1</w:t>
      </w:r>
      <w:r>
        <w:rPr>
          <w:noProof/>
        </w:rPr>
        <w:tab/>
      </w:r>
      <w:r>
        <w:rPr>
          <w:noProof/>
          <w:u w:val="single"/>
        </w:rPr>
        <w:t>Korekcia pre Spojené kráľovstvo za rok 2015 (kapitola 35)</w:t>
      </w:r>
    </w:p>
    <w:p>
      <w:pPr>
        <w:spacing w:before="120" w:after="120"/>
        <w:jc w:val="both"/>
        <w:rPr>
          <w:noProof/>
        </w:rPr>
      </w:pPr>
      <w:r>
        <w:rPr>
          <w:noProof/>
        </w:rPr>
        <w:t xml:space="preserve">Suma korekcie pre Spojené kráľovstvo, ktorá sa má zahrnúť do kapitoly 35 v rámci tohto NOR, je rozdielom medzi </w:t>
      </w:r>
      <w:r>
        <w:rPr>
          <w:i/>
          <w:noProof/>
        </w:rPr>
        <w:t>konečnou sumou</w:t>
      </w:r>
      <w:r>
        <w:rPr>
          <w:noProof/>
        </w:rPr>
        <w:t xml:space="preserve"> korekcie pre Spojené kráľovstvo za rok 2015 (t. j. 6 126 699 989 EUR) a </w:t>
      </w:r>
      <w:r>
        <w:rPr>
          <w:i/>
          <w:noProof/>
        </w:rPr>
        <w:t>prvou aktualizáciou</w:t>
      </w:r>
      <w:r>
        <w:rPr>
          <w:noProof/>
        </w:rPr>
        <w:t xml:space="preserve"> korekcie pre Spojené kráľovstvo za rok 2015 (t. j. 6 056 341 847 EUR zahrnutých do OR č. 5/2016), ktorý predstavuje 70 358 142 EUR.</w:t>
      </w:r>
    </w:p>
    <w:p>
      <w:pPr>
        <w:spacing w:before="120" w:after="240"/>
        <w:jc w:val="both"/>
        <w:rPr>
          <w:noProof/>
        </w:rPr>
      </w:pPr>
      <w:r>
        <w:rPr>
          <w:noProof/>
        </w:rPr>
        <w:t>Táto suma sa má financovať v súlade s revidovanými základmi HND za rok 2015 podľa údajov ku koncu roka 2018. Zahrnutie tejto sumy do rozpočtu v kapitole 35 je zhrnuté v nasledujúcej tabuľke:</w:t>
      </w:r>
    </w:p>
    <w:tbl>
      <w:tblPr>
        <w:tblW w:w="4220" w:type="dxa"/>
        <w:jc w:val="center"/>
        <w:tblLook w:val="0000" w:firstRow="0" w:lastRow="0" w:firstColumn="0" w:lastColumn="0" w:noHBand="0" w:noVBand="0"/>
      </w:tblPr>
      <w:tblGrid>
        <w:gridCol w:w="549"/>
        <w:gridCol w:w="1383"/>
        <w:gridCol w:w="809"/>
        <w:gridCol w:w="1479"/>
      </w:tblGrid>
      <w:tr>
        <w:trPr>
          <w:tblHeader/>
          <w:jc w:val="center"/>
        </w:trPr>
        <w:tc>
          <w:tcPr>
            <w:tcW w:w="4220" w:type="dxa"/>
            <w:gridSpan w:val="4"/>
            <w:tcBorders>
              <w:top w:val="single" w:sz="8" w:space="0" w:color="auto"/>
              <w:left w:val="single" w:sz="8" w:space="0" w:color="auto"/>
              <w:bottom w:val="single" w:sz="8" w:space="0" w:color="auto"/>
              <w:right w:val="single" w:sz="8" w:space="0" w:color="000000"/>
            </w:tcBorders>
            <w:shd w:val="clear" w:color="auto" w:fill="E0E0E0"/>
            <w:vAlign w:val="bottom"/>
          </w:tcPr>
          <w:p>
            <w:pPr>
              <w:keepNext/>
              <w:keepLines/>
              <w:jc w:val="center"/>
              <w:rPr>
                <w:b/>
                <w:bCs/>
                <w:noProof/>
                <w:sz w:val="20"/>
              </w:rPr>
            </w:pPr>
            <w:r>
              <w:rPr>
                <w:b/>
                <w:noProof/>
                <w:sz w:val="20"/>
              </w:rPr>
              <w:t>Korekcia pre Spojené kráľovstvo za rok 2015 – kapitola 35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keepLines/>
              <w:jc w:val="center"/>
              <w:rPr>
                <w:b/>
                <w:noProof/>
                <w:sz w:val="20"/>
              </w:rPr>
            </w:pPr>
            <w:r>
              <w:rPr>
                <w:b/>
                <w:noProof/>
                <w:sz w:val="20"/>
              </w:rPr>
              <w:t>BE</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1 267 154</w:t>
            </w:r>
          </w:p>
        </w:tc>
        <w:tc>
          <w:tcPr>
            <w:tcW w:w="809" w:type="dxa"/>
            <w:tcBorders>
              <w:top w:val="nil"/>
              <w:left w:val="nil"/>
              <w:bottom w:val="nil"/>
              <w:right w:val="nil"/>
            </w:tcBorders>
            <w:shd w:val="clear" w:color="auto" w:fill="auto"/>
            <w:noWrap/>
          </w:tcPr>
          <w:p>
            <w:pPr>
              <w:jc w:val="center"/>
              <w:rPr>
                <w:b/>
                <w:noProof/>
                <w:sz w:val="20"/>
              </w:rPr>
            </w:pPr>
            <w:r>
              <w:rPr>
                <w:b/>
                <w:noProof/>
                <w:sz w:val="20"/>
              </w:rPr>
              <w:t>LU</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866 089</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keepLines/>
              <w:jc w:val="center"/>
              <w:rPr>
                <w:b/>
                <w:noProof/>
                <w:sz w:val="20"/>
              </w:rPr>
            </w:pPr>
            <w:r>
              <w:rPr>
                <w:b/>
                <w:noProof/>
                <w:sz w:val="20"/>
              </w:rPr>
              <w:t>BG</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3 148 896</w:t>
            </w:r>
          </w:p>
        </w:tc>
        <w:tc>
          <w:tcPr>
            <w:tcW w:w="809" w:type="dxa"/>
            <w:tcBorders>
              <w:top w:val="nil"/>
              <w:left w:val="nil"/>
              <w:bottom w:val="nil"/>
              <w:right w:val="nil"/>
            </w:tcBorders>
            <w:shd w:val="clear" w:color="auto" w:fill="auto"/>
            <w:noWrap/>
          </w:tcPr>
          <w:p>
            <w:pPr>
              <w:jc w:val="center"/>
              <w:rPr>
                <w:b/>
                <w:noProof/>
                <w:sz w:val="20"/>
              </w:rPr>
            </w:pPr>
            <w:r>
              <w:rPr>
                <w:b/>
                <w:noProof/>
                <w:sz w:val="20"/>
              </w:rPr>
              <w:t>HU</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2 764 651</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CZ</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4 903 895</w:t>
            </w:r>
          </w:p>
        </w:tc>
        <w:tc>
          <w:tcPr>
            <w:tcW w:w="809" w:type="dxa"/>
            <w:tcBorders>
              <w:top w:val="nil"/>
              <w:left w:val="nil"/>
              <w:bottom w:val="nil"/>
              <w:right w:val="nil"/>
            </w:tcBorders>
            <w:shd w:val="clear" w:color="auto" w:fill="auto"/>
            <w:noWrap/>
          </w:tcPr>
          <w:p>
            <w:pPr>
              <w:jc w:val="center"/>
              <w:rPr>
                <w:b/>
                <w:noProof/>
                <w:sz w:val="20"/>
              </w:rPr>
            </w:pPr>
            <w:r>
              <w:rPr>
                <w:b/>
                <w:noProof/>
                <w:sz w:val="20"/>
              </w:rPr>
              <w:t>MT</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310 080</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DK</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6 556 672</w:t>
            </w:r>
          </w:p>
        </w:tc>
        <w:tc>
          <w:tcPr>
            <w:tcW w:w="809" w:type="dxa"/>
            <w:tcBorders>
              <w:top w:val="nil"/>
              <w:left w:val="nil"/>
              <w:bottom w:val="nil"/>
              <w:right w:val="nil"/>
            </w:tcBorders>
            <w:shd w:val="clear" w:color="auto" w:fill="auto"/>
            <w:noWrap/>
          </w:tcPr>
          <w:p>
            <w:pPr>
              <w:jc w:val="center"/>
              <w:rPr>
                <w:b/>
                <w:noProof/>
                <w:sz w:val="20"/>
              </w:rPr>
            </w:pPr>
            <w:r>
              <w:rPr>
                <w:b/>
                <w:noProof/>
                <w:sz w:val="20"/>
              </w:rPr>
              <w:t>NL</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-260 138</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DE</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4 385 985</w:t>
            </w:r>
          </w:p>
        </w:tc>
        <w:tc>
          <w:tcPr>
            <w:tcW w:w="809" w:type="dxa"/>
            <w:tcBorders>
              <w:top w:val="nil"/>
              <w:left w:val="nil"/>
              <w:bottom w:val="nil"/>
              <w:right w:val="nil"/>
            </w:tcBorders>
            <w:shd w:val="clear" w:color="auto" w:fill="auto"/>
            <w:noWrap/>
          </w:tcPr>
          <w:p>
            <w:pPr>
              <w:jc w:val="center"/>
              <w:rPr>
                <w:b/>
                <w:noProof/>
                <w:sz w:val="20"/>
              </w:rPr>
            </w:pPr>
            <w:r>
              <w:rPr>
                <w:b/>
                <w:noProof/>
                <w:sz w:val="20"/>
              </w:rPr>
              <w:t>AT</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1 362 429</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EE</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303 635</w:t>
            </w:r>
          </w:p>
        </w:tc>
        <w:tc>
          <w:tcPr>
            <w:tcW w:w="809" w:type="dxa"/>
            <w:tcBorders>
              <w:top w:val="nil"/>
              <w:left w:val="nil"/>
              <w:bottom w:val="nil"/>
              <w:right w:val="nil"/>
            </w:tcBorders>
            <w:shd w:val="clear" w:color="auto" w:fill="auto"/>
            <w:noWrap/>
          </w:tcPr>
          <w:p>
            <w:pPr>
              <w:jc w:val="center"/>
              <w:rPr>
                <w:b/>
                <w:noProof/>
                <w:sz w:val="20"/>
              </w:rPr>
            </w:pPr>
            <w:r>
              <w:rPr>
                <w:b/>
                <w:noProof/>
                <w:sz w:val="20"/>
              </w:rPr>
              <w:t>PL</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-9 542 201</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color w:val="000000"/>
                <w:sz w:val="20"/>
              </w:rPr>
            </w:pPr>
            <w:r>
              <w:rPr>
                <w:b/>
                <w:noProof/>
                <w:color w:val="000000"/>
                <w:sz w:val="20"/>
              </w:rPr>
              <w:t>IE</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20 284 145</w:t>
            </w:r>
          </w:p>
        </w:tc>
        <w:tc>
          <w:tcPr>
            <w:tcW w:w="809" w:type="dxa"/>
            <w:tcBorders>
              <w:top w:val="nil"/>
              <w:left w:val="nil"/>
              <w:bottom w:val="nil"/>
              <w:right w:val="nil"/>
            </w:tcBorders>
            <w:shd w:val="clear" w:color="auto" w:fill="auto"/>
            <w:noWrap/>
          </w:tcPr>
          <w:p>
            <w:pPr>
              <w:jc w:val="center"/>
              <w:rPr>
                <w:b/>
                <w:noProof/>
                <w:sz w:val="20"/>
              </w:rPr>
            </w:pPr>
            <w:r>
              <w:rPr>
                <w:b/>
                <w:noProof/>
                <w:sz w:val="20"/>
              </w:rPr>
              <w:t>PT</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476 355</w:t>
            </w:r>
          </w:p>
        </w:tc>
      </w:tr>
      <w:tr>
        <w:trPr>
          <w:trHeight w:val="255"/>
          <w:jc w:val="center"/>
        </w:trPr>
        <w:tc>
          <w:tcPr>
            <w:tcW w:w="549" w:type="dxa"/>
            <w:tcBorders>
              <w:top w:val="nil"/>
              <w:left w:val="single" w:sz="8" w:space="0" w:color="auto"/>
              <w:right w:val="nil"/>
            </w:tcBorders>
            <w:shd w:val="clear" w:color="auto" w:fill="auto"/>
            <w:noWrap/>
            <w:vAlign w:val="center"/>
          </w:tcPr>
          <w:p>
            <w:pPr>
              <w:jc w:val="center"/>
              <w:rPr>
                <w:b/>
                <w:noProof/>
                <w:color w:val="000000"/>
                <w:sz w:val="20"/>
              </w:rPr>
            </w:pPr>
            <w:r>
              <w:rPr>
                <w:b/>
                <w:noProof/>
                <w:color w:val="000000"/>
                <w:sz w:val="20"/>
              </w:rPr>
              <w:t>EL</w:t>
            </w:r>
          </w:p>
        </w:tc>
        <w:tc>
          <w:tcPr>
            <w:tcW w:w="1383" w:type="dxa"/>
            <w:tcBorders>
              <w:top w:val="nil"/>
              <w:left w:val="nil"/>
              <w:right w:val="nil"/>
            </w:tcBorders>
            <w:shd w:val="clear" w:color="auto" w:fill="auto"/>
            <w:noWrap/>
            <w:vAlign w:val="center"/>
          </w:tcPr>
          <w:p>
            <w:pPr>
              <w:jc w:val="right"/>
              <w:rPr>
                <w:noProof/>
                <w:sz w:val="20"/>
              </w:rPr>
            </w:pPr>
            <w:r>
              <w:rPr>
                <w:noProof/>
                <w:sz w:val="20"/>
              </w:rPr>
              <w:t>504 408</w:t>
            </w:r>
          </w:p>
        </w:tc>
        <w:tc>
          <w:tcPr>
            <w:tcW w:w="809" w:type="dxa"/>
            <w:tcBorders>
              <w:top w:val="nil"/>
              <w:left w:val="nil"/>
              <w:right w:val="nil"/>
            </w:tcBorders>
            <w:shd w:val="clear" w:color="auto" w:fill="auto"/>
            <w:noWrap/>
          </w:tcPr>
          <w:p>
            <w:pPr>
              <w:jc w:val="center"/>
              <w:rPr>
                <w:b/>
                <w:noProof/>
                <w:sz w:val="20"/>
              </w:rPr>
            </w:pPr>
            <w:r>
              <w:rPr>
                <w:b/>
                <w:noProof/>
                <w:sz w:val="20"/>
              </w:rPr>
              <w:t>RO</w:t>
            </w:r>
          </w:p>
        </w:tc>
        <w:tc>
          <w:tcPr>
            <w:tcW w:w="1479" w:type="dxa"/>
            <w:tcBorders>
              <w:top w:val="nil"/>
              <w:left w:val="nil"/>
              <w:right w:val="single" w:sz="8" w:space="0" w:color="auto"/>
            </w:tcBorders>
            <w:shd w:val="clear" w:color="auto" w:fill="auto"/>
            <w:noWrap/>
            <w:vAlign w:val="center"/>
          </w:tcPr>
          <w:p>
            <w:pPr>
              <w:jc w:val="right"/>
              <w:rPr>
                <w:noProof/>
                <w:sz w:val="20"/>
              </w:rPr>
            </w:pPr>
            <w:r>
              <w:rPr>
                <w:noProof/>
                <w:sz w:val="20"/>
              </w:rPr>
              <w:t>1 609 226</w:t>
            </w:r>
          </w:p>
        </w:tc>
      </w:tr>
      <w:tr>
        <w:trPr>
          <w:trHeight w:val="255"/>
          <w:jc w:val="center"/>
        </w:trPr>
        <w:tc>
          <w:tcPr>
            <w:tcW w:w="549" w:type="dxa"/>
            <w:tcBorders>
              <w:top w:val="nil"/>
              <w:left w:val="single" w:sz="8" w:space="0" w:color="auto"/>
              <w:right w:val="nil"/>
            </w:tcBorders>
            <w:shd w:val="clear" w:color="auto" w:fill="auto"/>
            <w:noWrap/>
            <w:vAlign w:val="center"/>
          </w:tcPr>
          <w:p>
            <w:pPr>
              <w:jc w:val="center"/>
              <w:rPr>
                <w:b/>
                <w:noProof/>
                <w:color w:val="000000"/>
                <w:sz w:val="20"/>
              </w:rPr>
            </w:pPr>
            <w:r>
              <w:rPr>
                <w:b/>
                <w:noProof/>
                <w:color w:val="000000"/>
                <w:sz w:val="20"/>
              </w:rPr>
              <w:t>ES</w:t>
            </w:r>
          </w:p>
        </w:tc>
        <w:tc>
          <w:tcPr>
            <w:tcW w:w="1383" w:type="dxa"/>
            <w:tcBorders>
              <w:top w:val="nil"/>
              <w:left w:val="nil"/>
              <w:right w:val="nil"/>
            </w:tcBorders>
            <w:shd w:val="clear" w:color="auto" w:fill="auto"/>
            <w:noWrap/>
            <w:vAlign w:val="center"/>
          </w:tcPr>
          <w:p>
            <w:pPr>
              <w:jc w:val="right"/>
              <w:rPr>
                <w:noProof/>
                <w:sz w:val="20"/>
              </w:rPr>
            </w:pPr>
            <w:r>
              <w:rPr>
                <w:noProof/>
                <w:sz w:val="20"/>
              </w:rPr>
              <w:t>1 272 857</w:t>
            </w:r>
          </w:p>
        </w:tc>
        <w:tc>
          <w:tcPr>
            <w:tcW w:w="809" w:type="dxa"/>
            <w:tcBorders>
              <w:top w:val="nil"/>
              <w:left w:val="nil"/>
              <w:right w:val="nil"/>
            </w:tcBorders>
            <w:shd w:val="clear" w:color="auto" w:fill="auto"/>
            <w:noWrap/>
          </w:tcPr>
          <w:p>
            <w:pPr>
              <w:jc w:val="center"/>
              <w:rPr>
                <w:b/>
                <w:noProof/>
                <w:sz w:val="20"/>
              </w:rPr>
            </w:pPr>
            <w:r>
              <w:rPr>
                <w:b/>
                <w:noProof/>
                <w:sz w:val="20"/>
              </w:rPr>
              <w:t>SI</w:t>
            </w:r>
          </w:p>
        </w:tc>
        <w:tc>
          <w:tcPr>
            <w:tcW w:w="1479" w:type="dxa"/>
            <w:tcBorders>
              <w:top w:val="nil"/>
              <w:left w:val="nil"/>
              <w:right w:val="single" w:sz="8" w:space="0" w:color="auto"/>
            </w:tcBorders>
            <w:shd w:val="clear" w:color="auto" w:fill="auto"/>
            <w:noWrap/>
            <w:vAlign w:val="center"/>
          </w:tcPr>
          <w:p>
            <w:pPr>
              <w:jc w:val="right"/>
              <w:rPr>
                <w:noProof/>
                <w:sz w:val="20"/>
              </w:rPr>
            </w:pPr>
            <w:r>
              <w:rPr>
                <w:noProof/>
                <w:sz w:val="20"/>
              </w:rPr>
              <w:t>123 083</w:t>
            </w:r>
          </w:p>
        </w:tc>
      </w:tr>
      <w:tr>
        <w:trPr>
          <w:trHeight w:val="255"/>
          <w:jc w:val="center"/>
        </w:trPr>
        <w:tc>
          <w:tcPr>
            <w:tcW w:w="549" w:type="dxa"/>
            <w:tcBorders>
              <w:left w:val="single" w:sz="8" w:space="0" w:color="auto"/>
              <w:bottom w:val="nil"/>
              <w:right w:val="nil"/>
            </w:tcBorders>
            <w:shd w:val="clear" w:color="auto" w:fill="auto"/>
            <w:noWrap/>
            <w:vAlign w:val="center"/>
          </w:tcPr>
          <w:p>
            <w:pPr>
              <w:jc w:val="center"/>
              <w:rPr>
                <w:b/>
                <w:noProof/>
                <w:color w:val="000000"/>
                <w:sz w:val="20"/>
              </w:rPr>
            </w:pPr>
            <w:r>
              <w:rPr>
                <w:b/>
                <w:noProof/>
                <w:color w:val="000000"/>
                <w:sz w:val="20"/>
              </w:rPr>
              <w:t>FR</w:t>
            </w:r>
          </w:p>
        </w:tc>
        <w:tc>
          <w:tcPr>
            <w:tcW w:w="1383" w:type="dxa"/>
            <w:tcBorders>
              <w:left w:val="nil"/>
              <w:bottom w:val="nil"/>
              <w:right w:val="nil"/>
            </w:tcBorders>
            <w:shd w:val="clear" w:color="auto" w:fill="auto"/>
            <w:noWrap/>
            <w:vAlign w:val="center"/>
          </w:tcPr>
          <w:p>
            <w:pPr>
              <w:jc w:val="right"/>
              <w:rPr>
                <w:noProof/>
                <w:sz w:val="20"/>
              </w:rPr>
            </w:pPr>
            <w:r>
              <w:rPr>
                <w:noProof/>
                <w:sz w:val="20"/>
              </w:rPr>
              <w:t>5 838 257</w:t>
            </w:r>
          </w:p>
        </w:tc>
        <w:tc>
          <w:tcPr>
            <w:tcW w:w="809" w:type="dxa"/>
            <w:tcBorders>
              <w:left w:val="nil"/>
              <w:bottom w:val="nil"/>
              <w:right w:val="nil"/>
            </w:tcBorders>
            <w:shd w:val="clear" w:color="auto" w:fill="auto"/>
            <w:noWrap/>
          </w:tcPr>
          <w:p>
            <w:pPr>
              <w:jc w:val="center"/>
              <w:rPr>
                <w:b/>
                <w:noProof/>
                <w:sz w:val="20"/>
              </w:rPr>
            </w:pPr>
            <w:r>
              <w:rPr>
                <w:b/>
                <w:noProof/>
                <w:sz w:val="20"/>
              </w:rPr>
              <w:t>SK</w:t>
            </w:r>
          </w:p>
        </w:tc>
        <w:tc>
          <w:tcPr>
            <w:tcW w:w="1479" w:type="dxa"/>
            <w:tcBorders>
              <w:left w:val="nil"/>
              <w:bottom w:val="nil"/>
              <w:right w:val="single" w:sz="8" w:space="0" w:color="auto"/>
            </w:tcBorders>
            <w:shd w:val="clear" w:color="auto" w:fill="auto"/>
            <w:noWrap/>
            <w:vAlign w:val="center"/>
          </w:tcPr>
          <w:p>
            <w:pPr>
              <w:jc w:val="right"/>
              <w:rPr>
                <w:noProof/>
                <w:sz w:val="20"/>
              </w:rPr>
            </w:pPr>
            <w:r>
              <w:rPr>
                <w:noProof/>
                <w:sz w:val="20"/>
              </w:rPr>
              <w:t>1 555 233</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color w:val="000000"/>
                <w:sz w:val="20"/>
              </w:rPr>
            </w:pPr>
            <w:r>
              <w:rPr>
                <w:b/>
                <w:noProof/>
                <w:color w:val="000000"/>
                <w:sz w:val="20"/>
              </w:rPr>
              <w:t>HR</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1 207 446</w:t>
            </w:r>
          </w:p>
        </w:tc>
        <w:tc>
          <w:tcPr>
            <w:tcW w:w="809" w:type="dxa"/>
            <w:tcBorders>
              <w:top w:val="nil"/>
              <w:left w:val="nil"/>
              <w:bottom w:val="nil"/>
              <w:right w:val="nil"/>
            </w:tcBorders>
            <w:shd w:val="clear" w:color="auto" w:fill="auto"/>
            <w:noWrap/>
          </w:tcPr>
          <w:p>
            <w:pPr>
              <w:jc w:val="center"/>
              <w:rPr>
                <w:b/>
                <w:noProof/>
                <w:sz w:val="20"/>
              </w:rPr>
            </w:pPr>
            <w:r>
              <w:rPr>
                <w:b/>
                <w:noProof/>
                <w:sz w:val="20"/>
              </w:rPr>
              <w:t>FI</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4 733 265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IT</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19 287 491</w:t>
            </w:r>
          </w:p>
        </w:tc>
        <w:tc>
          <w:tcPr>
            <w:tcW w:w="809" w:type="dxa"/>
            <w:tcBorders>
              <w:top w:val="nil"/>
              <w:left w:val="nil"/>
              <w:bottom w:val="nil"/>
              <w:right w:val="nil"/>
            </w:tcBorders>
            <w:shd w:val="clear" w:color="auto" w:fill="auto"/>
            <w:noWrap/>
          </w:tcPr>
          <w:p>
            <w:pPr>
              <w:jc w:val="center"/>
              <w:rPr>
                <w:b/>
                <w:noProof/>
                <w:sz w:val="20"/>
              </w:rPr>
            </w:pPr>
            <w:r>
              <w:rPr>
                <w:b/>
                <w:noProof/>
                <w:sz w:val="20"/>
              </w:rPr>
              <w:t>SE</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-2 400 255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CY</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627 536</w:t>
            </w:r>
          </w:p>
        </w:tc>
        <w:tc>
          <w:tcPr>
            <w:tcW w:w="809" w:type="dxa"/>
            <w:tcBorders>
              <w:top w:val="nil"/>
              <w:left w:val="nil"/>
              <w:bottom w:val="nil"/>
              <w:right w:val="nil"/>
            </w:tcBorders>
            <w:shd w:val="clear" w:color="auto" w:fill="auto"/>
            <w:noWrap/>
          </w:tcPr>
          <w:p>
            <w:pPr>
              <w:jc w:val="center"/>
              <w:rPr>
                <w:b/>
                <w:noProof/>
                <w:sz w:val="20"/>
              </w:rPr>
            </w:pPr>
          </w:p>
        </w:tc>
        <w:tc>
          <w:tcPr>
            <w:tcW w:w="1479" w:type="dxa"/>
            <w:tcBorders>
              <w:top w:val="nil"/>
              <w:left w:val="nil"/>
              <w:bottom w:val="nil"/>
              <w:right w:val="single" w:sz="8" w:space="0" w:color="auto"/>
            </w:tcBorders>
            <w:shd w:val="clear" w:color="auto" w:fill="auto"/>
            <w:noWrap/>
            <w:vAlign w:val="center"/>
          </w:tcPr>
          <w:p>
            <w:pPr>
              <w:jc w:val="right"/>
              <w:rPr>
                <w:noProof/>
                <w:sz w:val="20"/>
              </w:rPr>
            </w:pPr>
          </w:p>
        </w:tc>
      </w:tr>
      <w:tr>
        <w:trPr>
          <w:trHeight w:val="270"/>
          <w:jc w:val="center"/>
        </w:trPr>
        <w:tc>
          <w:tcPr>
            <w:tcW w:w="549" w:type="dxa"/>
            <w:tcBorders>
              <w:top w:val="nil"/>
              <w:left w:val="single" w:sz="8" w:space="0" w:color="auto"/>
              <w:bottom w:val="nil"/>
              <w:right w:val="nil"/>
            </w:tcBorders>
            <w:shd w:val="clear" w:color="auto" w:fill="auto"/>
            <w:noWrap/>
            <w:vAlign w:val="center"/>
          </w:tcPr>
          <w:p>
            <w:pPr>
              <w:jc w:val="center"/>
              <w:rPr>
                <w:b/>
                <w:noProof/>
                <w:sz w:val="20"/>
              </w:rPr>
            </w:pPr>
            <w:r>
              <w:rPr>
                <w:b/>
                <w:noProof/>
                <w:sz w:val="20"/>
              </w:rPr>
              <w:t>LV</w:t>
            </w:r>
          </w:p>
        </w:tc>
        <w:tc>
          <w:tcPr>
            <w:tcW w:w="1383" w:type="dxa"/>
            <w:tcBorders>
              <w:top w:val="nil"/>
              <w:left w:val="nil"/>
              <w:bottom w:val="nil"/>
              <w:right w:val="nil"/>
            </w:tcBorders>
            <w:shd w:val="clear" w:color="auto" w:fill="auto"/>
            <w:noWrap/>
            <w:vAlign w:val="center"/>
          </w:tcPr>
          <w:p>
            <w:pPr>
              <w:jc w:val="right"/>
              <w:rPr>
                <w:noProof/>
                <w:sz w:val="20"/>
              </w:rPr>
            </w:pPr>
            <w:r>
              <w:rPr>
                <w:noProof/>
                <w:sz w:val="20"/>
              </w:rPr>
              <w:t>-619 579</w:t>
            </w:r>
          </w:p>
        </w:tc>
        <w:tc>
          <w:tcPr>
            <w:tcW w:w="809" w:type="dxa"/>
            <w:tcBorders>
              <w:top w:val="nil"/>
              <w:left w:val="nil"/>
              <w:bottom w:val="nil"/>
              <w:right w:val="nil"/>
            </w:tcBorders>
            <w:shd w:val="clear" w:color="auto" w:fill="auto"/>
            <w:noWrap/>
          </w:tcPr>
          <w:p>
            <w:pPr>
              <w:jc w:val="center"/>
              <w:rPr>
                <w:b/>
                <w:noProof/>
                <w:sz w:val="20"/>
              </w:rPr>
            </w:pPr>
            <w:r>
              <w:rPr>
                <w:b/>
                <w:noProof/>
                <w:sz w:val="20"/>
              </w:rPr>
              <w:t>UK</w:t>
            </w:r>
          </w:p>
        </w:tc>
        <w:tc>
          <w:tcPr>
            <w:tcW w:w="1479" w:type="dxa"/>
            <w:tcBorders>
              <w:top w:val="nil"/>
              <w:left w:val="nil"/>
              <w:bottom w:val="nil"/>
              <w:right w:val="single" w:sz="8" w:space="0" w:color="auto"/>
            </w:tcBorders>
            <w:shd w:val="clear" w:color="auto" w:fill="auto"/>
            <w:noWrap/>
            <w:vAlign w:val="center"/>
          </w:tcPr>
          <w:p>
            <w:pPr>
              <w:jc w:val="right"/>
              <w:rPr>
                <w:noProof/>
                <w:sz w:val="20"/>
              </w:rPr>
            </w:pPr>
            <w:r>
              <w:rPr>
                <w:noProof/>
                <w:sz w:val="20"/>
              </w:rPr>
              <w:t>- 70 358 142</w:t>
            </w:r>
          </w:p>
        </w:tc>
      </w:tr>
      <w:tr>
        <w:trPr>
          <w:trHeight w:val="270"/>
          <w:jc w:val="center"/>
        </w:trPr>
        <w:tc>
          <w:tcPr>
            <w:tcW w:w="549" w:type="dxa"/>
            <w:tcBorders>
              <w:top w:val="nil"/>
              <w:left w:val="single" w:sz="8" w:space="0" w:color="auto"/>
              <w:bottom w:val="single" w:sz="8" w:space="0" w:color="auto"/>
              <w:right w:val="nil"/>
            </w:tcBorders>
            <w:shd w:val="clear" w:color="auto" w:fill="auto"/>
            <w:noWrap/>
            <w:vAlign w:val="center"/>
          </w:tcPr>
          <w:p>
            <w:pPr>
              <w:jc w:val="center"/>
              <w:rPr>
                <w:b/>
                <w:noProof/>
                <w:sz w:val="20"/>
              </w:rPr>
            </w:pPr>
            <w:r>
              <w:rPr>
                <w:b/>
                <w:noProof/>
                <w:sz w:val="20"/>
              </w:rPr>
              <w:t>LT</w:t>
            </w:r>
          </w:p>
        </w:tc>
        <w:tc>
          <w:tcPr>
            <w:tcW w:w="1383" w:type="dxa"/>
            <w:tcBorders>
              <w:top w:val="nil"/>
              <w:left w:val="nil"/>
              <w:bottom w:val="single" w:sz="8" w:space="0" w:color="auto"/>
              <w:right w:val="nil"/>
            </w:tcBorders>
            <w:shd w:val="clear" w:color="auto" w:fill="auto"/>
            <w:noWrap/>
            <w:vAlign w:val="center"/>
          </w:tcPr>
          <w:p>
            <w:pPr>
              <w:jc w:val="right"/>
              <w:rPr>
                <w:noProof/>
                <w:sz w:val="20"/>
              </w:rPr>
            </w:pPr>
            <w:r>
              <w:rPr>
                <w:noProof/>
                <w:sz w:val="20"/>
              </w:rPr>
              <w:t>-208 473</w:t>
            </w:r>
          </w:p>
        </w:tc>
        <w:tc>
          <w:tcPr>
            <w:tcW w:w="809" w:type="dxa"/>
            <w:tcBorders>
              <w:top w:val="single" w:sz="8" w:space="0" w:color="auto"/>
              <w:left w:val="single" w:sz="8" w:space="0" w:color="auto"/>
              <w:bottom w:val="single" w:sz="8" w:space="0" w:color="auto"/>
              <w:right w:val="nil"/>
            </w:tcBorders>
            <w:shd w:val="clear" w:color="auto" w:fill="auto"/>
            <w:noWrap/>
          </w:tcPr>
          <w:p>
            <w:pPr>
              <w:jc w:val="center"/>
              <w:rPr>
                <w:b/>
                <w:noProof/>
                <w:sz w:val="20"/>
              </w:rPr>
            </w:pPr>
            <w:r>
              <w:rPr>
                <w:b/>
                <w:noProof/>
                <w:sz w:val="20"/>
              </w:rPr>
              <w:t>Spolu</w:t>
            </w:r>
          </w:p>
        </w:tc>
        <w:tc>
          <w:tcPr>
            <w:tcW w:w="1479" w:type="dxa"/>
            <w:tcBorders>
              <w:top w:val="single" w:sz="8" w:space="0" w:color="auto"/>
              <w:left w:val="nil"/>
              <w:bottom w:val="single" w:sz="8" w:space="0" w:color="auto"/>
              <w:right w:val="single" w:sz="8" w:space="0" w:color="auto"/>
            </w:tcBorders>
            <w:shd w:val="clear" w:color="auto" w:fill="auto"/>
            <w:noWrap/>
          </w:tcPr>
          <w:p>
            <w:pPr>
              <w:jc w:val="right"/>
              <w:rPr>
                <w:b/>
                <w:noProof/>
                <w:sz w:val="20"/>
              </w:rPr>
            </w:pPr>
            <w:r>
              <w:rPr>
                <w:b/>
                <w:noProof/>
                <w:sz w:val="20"/>
              </w:rPr>
              <w:t>0</w:t>
            </w:r>
          </w:p>
        </w:tc>
      </w:tr>
    </w:tbl>
    <w:p>
      <w:pPr>
        <w:tabs>
          <w:tab w:val="left" w:pos="851"/>
        </w:tabs>
        <w:spacing w:before="120" w:after="120"/>
        <w:rPr>
          <w:bCs/>
          <w:noProof/>
          <w:szCs w:val="28"/>
          <w:u w:val="single"/>
        </w:rPr>
      </w:pPr>
      <w:r>
        <w:rPr>
          <w:noProof/>
          <w:u w:val="single"/>
        </w:rPr>
        <w:t>3.3.3.2</w:t>
      </w:r>
      <w:r>
        <w:rPr>
          <w:noProof/>
        </w:rPr>
        <w:tab/>
      </w:r>
      <w:r>
        <w:rPr>
          <w:noProof/>
          <w:u w:val="single"/>
        </w:rPr>
        <w:t>Korekcia pre Spojené kráľovstvo za rok 2018 (kapitola 15)</w:t>
      </w:r>
    </w:p>
    <w:bookmarkEnd w:id="103"/>
    <w:p>
      <w:pPr>
        <w:spacing w:before="120" w:after="120"/>
        <w:jc w:val="both"/>
        <w:rPr>
          <w:noProof/>
        </w:rPr>
      </w:pPr>
      <w:r>
        <w:rPr>
          <w:i/>
          <w:noProof/>
        </w:rPr>
        <w:t>Prvá aktualizácia</w:t>
      </w:r>
      <w:r>
        <w:rPr>
          <w:noProof/>
        </w:rPr>
        <w:t xml:space="preserve"> korekcie pre Spojené kráľovstvo za rok 2018 predstavuje 5 432 130 075 EUR a je o 408 601 399 mil. EUR vyššia než suma zahrnutá do rozpočtu na rok 2019 (5 023 528 676 EUR).</w:t>
      </w:r>
    </w:p>
    <w:p>
      <w:pPr>
        <w:spacing w:before="120" w:after="240"/>
        <w:jc w:val="both"/>
        <w:rPr>
          <w:noProof/>
        </w:rPr>
      </w:pPr>
      <w:r>
        <w:rPr>
          <w:noProof/>
        </w:rPr>
        <w:t>Táto suma sa má financovať v súlade s revidovanými základmi HND za rok 2019 podľa tohto NOR. Zahrnutie tejto sumy do rozpočtu v kapitole 15 je zhrnuté v nasledujúcej tabuľke:</w:t>
      </w:r>
    </w:p>
    <w:p>
      <w:pPr>
        <w:spacing w:before="120" w:after="240"/>
        <w:jc w:val="both"/>
        <w:rPr>
          <w:noProof/>
        </w:rPr>
      </w:pPr>
    </w:p>
    <w:tbl>
      <w:tblPr>
        <w:tblW w:w="4540" w:type="dxa"/>
        <w:jc w:val="center"/>
        <w:tblLook w:val="0000" w:firstRow="0" w:lastRow="0" w:firstColumn="0" w:lastColumn="0" w:noHBand="0" w:noVBand="0"/>
      </w:tblPr>
      <w:tblGrid>
        <w:gridCol w:w="549"/>
        <w:gridCol w:w="1666"/>
        <w:gridCol w:w="793"/>
        <w:gridCol w:w="1532"/>
      </w:tblGrid>
      <w:tr>
        <w:trPr>
          <w:jc w:val="center"/>
        </w:trPr>
        <w:tc>
          <w:tcPr>
            <w:tcW w:w="4540" w:type="dxa"/>
            <w:gridSpan w:val="4"/>
            <w:tcBorders>
              <w:top w:val="single" w:sz="8" w:space="0" w:color="auto"/>
              <w:left w:val="single" w:sz="8" w:space="0" w:color="auto"/>
              <w:bottom w:val="single" w:sz="8" w:space="0" w:color="auto"/>
              <w:right w:val="single" w:sz="8" w:space="0" w:color="000000"/>
            </w:tcBorders>
            <w:shd w:val="clear" w:color="auto" w:fill="E0E0E0"/>
            <w:vAlign w:val="bottom"/>
          </w:tcPr>
          <w:p>
            <w:pPr>
              <w:jc w:val="center"/>
              <w:rPr>
                <w:noProof/>
                <w:sz w:val="20"/>
                <w:szCs w:val="20"/>
              </w:rPr>
            </w:pPr>
            <w:r>
              <w:rPr>
                <w:b/>
                <w:noProof/>
                <w:sz w:val="20"/>
              </w:rPr>
              <w:t>Korekcia pre Spojené kráľovstvo za rok 2018 – kapitola 15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BE</w:t>
            </w:r>
          </w:p>
        </w:tc>
        <w:tc>
          <w:tcPr>
            <w:tcW w:w="1666" w:type="dxa"/>
            <w:tcBorders>
              <w:top w:val="nil"/>
              <w:left w:val="nil"/>
              <w:bottom w:val="nil"/>
              <w:right w:val="nil"/>
            </w:tcBorders>
            <w:shd w:val="clear" w:color="auto" w:fill="auto"/>
            <w:noWrap/>
          </w:tcPr>
          <w:p>
            <w:pPr>
              <w:jc w:val="right"/>
              <w:rPr>
                <w:noProof/>
                <w:sz w:val="20"/>
              </w:rPr>
            </w:pPr>
            <w:r>
              <w:rPr>
                <w:noProof/>
                <w:sz w:val="20"/>
              </w:rPr>
              <w:t>265 533 515</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LU</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24 021 679</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BG</w:t>
            </w:r>
          </w:p>
        </w:tc>
        <w:tc>
          <w:tcPr>
            <w:tcW w:w="1666" w:type="dxa"/>
            <w:tcBorders>
              <w:top w:val="nil"/>
              <w:left w:val="nil"/>
              <w:bottom w:val="nil"/>
              <w:right w:val="nil"/>
            </w:tcBorders>
            <w:shd w:val="clear" w:color="auto" w:fill="auto"/>
            <w:noWrap/>
          </w:tcPr>
          <w:p>
            <w:pPr>
              <w:jc w:val="right"/>
              <w:rPr>
                <w:noProof/>
                <w:sz w:val="20"/>
              </w:rPr>
            </w:pPr>
            <w:r>
              <w:rPr>
                <w:noProof/>
                <w:sz w:val="20"/>
              </w:rPr>
              <w:t xml:space="preserve"> 33 107 972</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HU</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76 919 197</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CZ</w:t>
            </w:r>
          </w:p>
        </w:tc>
        <w:tc>
          <w:tcPr>
            <w:tcW w:w="1666" w:type="dxa"/>
            <w:tcBorders>
              <w:top w:val="nil"/>
              <w:left w:val="nil"/>
              <w:bottom w:val="nil"/>
              <w:right w:val="nil"/>
            </w:tcBorders>
            <w:shd w:val="clear" w:color="auto" w:fill="auto"/>
            <w:noWrap/>
          </w:tcPr>
          <w:p>
            <w:pPr>
              <w:jc w:val="right"/>
              <w:rPr>
                <w:noProof/>
                <w:sz w:val="20"/>
              </w:rPr>
            </w:pPr>
            <w:r>
              <w:rPr>
                <w:noProof/>
                <w:sz w:val="20"/>
              </w:rPr>
              <w:t>116 537 793</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MT</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6 937 290</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DK</w:t>
            </w:r>
          </w:p>
        </w:tc>
        <w:tc>
          <w:tcPr>
            <w:tcW w:w="1666" w:type="dxa"/>
            <w:tcBorders>
              <w:top w:val="nil"/>
              <w:left w:val="nil"/>
              <w:bottom w:val="nil"/>
              <w:right w:val="nil"/>
            </w:tcBorders>
            <w:shd w:val="clear" w:color="auto" w:fill="auto"/>
            <w:noWrap/>
          </w:tcPr>
          <w:p>
            <w:pPr>
              <w:jc w:val="right"/>
              <w:rPr>
                <w:noProof/>
                <w:sz w:val="20"/>
              </w:rPr>
            </w:pPr>
            <w:r>
              <w:rPr>
                <w:noProof/>
                <w:sz w:val="20"/>
              </w:rPr>
              <w:t>177 691 422</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NL</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78 568 695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DE</w:t>
            </w:r>
          </w:p>
        </w:tc>
        <w:tc>
          <w:tcPr>
            <w:tcW w:w="1666" w:type="dxa"/>
            <w:tcBorders>
              <w:top w:val="nil"/>
              <w:left w:val="nil"/>
              <w:bottom w:val="nil"/>
              <w:right w:val="nil"/>
            </w:tcBorders>
            <w:shd w:val="clear" w:color="auto" w:fill="auto"/>
            <w:noWrap/>
          </w:tcPr>
          <w:p>
            <w:pPr>
              <w:jc w:val="right"/>
              <w:rPr>
                <w:noProof/>
                <w:sz w:val="20"/>
              </w:rPr>
            </w:pPr>
            <w:r>
              <w:rPr>
                <w:noProof/>
                <w:sz w:val="20"/>
              </w:rPr>
              <w:t>345 846 816</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AT</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38 868 751</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EE</w:t>
            </w:r>
          </w:p>
        </w:tc>
        <w:tc>
          <w:tcPr>
            <w:tcW w:w="1666" w:type="dxa"/>
            <w:tcBorders>
              <w:top w:val="nil"/>
              <w:left w:val="nil"/>
              <w:bottom w:val="nil"/>
              <w:right w:val="nil"/>
            </w:tcBorders>
            <w:shd w:val="clear" w:color="auto" w:fill="auto"/>
            <w:noWrap/>
          </w:tcPr>
          <w:p>
            <w:pPr>
              <w:jc w:val="right"/>
              <w:rPr>
                <w:noProof/>
                <w:sz w:val="20"/>
              </w:rPr>
            </w:pPr>
            <w:r>
              <w:rPr>
                <w:noProof/>
                <w:sz w:val="20"/>
              </w:rPr>
              <w:t>15 082 304</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PL</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284 221 395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color w:val="000000"/>
                <w:sz w:val="20"/>
              </w:rPr>
            </w:pPr>
            <w:r>
              <w:rPr>
                <w:b/>
                <w:noProof/>
                <w:color w:val="000000"/>
                <w:sz w:val="20"/>
              </w:rPr>
              <w:t>IE</w:t>
            </w:r>
          </w:p>
        </w:tc>
        <w:tc>
          <w:tcPr>
            <w:tcW w:w="1666" w:type="dxa"/>
            <w:tcBorders>
              <w:top w:val="nil"/>
              <w:left w:val="nil"/>
              <w:bottom w:val="nil"/>
              <w:right w:val="nil"/>
            </w:tcBorders>
            <w:shd w:val="clear" w:color="auto" w:fill="auto"/>
            <w:noWrap/>
          </w:tcPr>
          <w:p>
            <w:pPr>
              <w:jc w:val="right"/>
              <w:rPr>
                <w:noProof/>
                <w:sz w:val="20"/>
              </w:rPr>
            </w:pPr>
            <w:r>
              <w:rPr>
                <w:noProof/>
                <w:sz w:val="20"/>
              </w:rPr>
              <w:t>150 471 818</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PT</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115 000 292</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color w:val="000000"/>
                <w:sz w:val="20"/>
              </w:rPr>
            </w:pPr>
            <w:r>
              <w:rPr>
                <w:b/>
                <w:noProof/>
                <w:color w:val="000000"/>
                <w:sz w:val="20"/>
              </w:rPr>
              <w:t>EL</w:t>
            </w:r>
          </w:p>
        </w:tc>
        <w:tc>
          <w:tcPr>
            <w:tcW w:w="1666" w:type="dxa"/>
            <w:tcBorders>
              <w:top w:val="nil"/>
              <w:left w:val="nil"/>
              <w:bottom w:val="nil"/>
              <w:right w:val="nil"/>
            </w:tcBorders>
            <w:shd w:val="clear" w:color="auto" w:fill="auto"/>
            <w:noWrap/>
          </w:tcPr>
          <w:p>
            <w:pPr>
              <w:jc w:val="right"/>
              <w:rPr>
                <w:noProof/>
                <w:sz w:val="20"/>
              </w:rPr>
            </w:pPr>
            <w:r>
              <w:rPr>
                <w:noProof/>
                <w:sz w:val="20"/>
              </w:rPr>
              <w:t>107 768 033</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RO</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121 871 366</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color w:val="000000"/>
                <w:sz w:val="20"/>
              </w:rPr>
            </w:pPr>
            <w:r>
              <w:rPr>
                <w:b/>
                <w:noProof/>
                <w:color w:val="000000"/>
                <w:sz w:val="20"/>
              </w:rPr>
              <w:t>ES</w:t>
            </w:r>
          </w:p>
        </w:tc>
        <w:tc>
          <w:tcPr>
            <w:tcW w:w="1666" w:type="dxa"/>
            <w:tcBorders>
              <w:top w:val="nil"/>
              <w:left w:val="nil"/>
              <w:bottom w:val="nil"/>
              <w:right w:val="nil"/>
            </w:tcBorders>
            <w:shd w:val="clear" w:color="auto" w:fill="auto"/>
            <w:noWrap/>
          </w:tcPr>
          <w:p>
            <w:pPr>
              <w:jc w:val="right"/>
              <w:rPr>
                <w:noProof/>
                <w:sz w:val="20"/>
              </w:rPr>
            </w:pPr>
            <w:r>
              <w:rPr>
                <w:noProof/>
                <w:sz w:val="20"/>
              </w:rPr>
              <w:t>709 012 279</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SI</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27 162 613</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color w:val="000000"/>
                <w:sz w:val="20"/>
              </w:rPr>
            </w:pPr>
            <w:r>
              <w:rPr>
                <w:b/>
                <w:noProof/>
                <w:color w:val="000000"/>
                <w:sz w:val="20"/>
              </w:rPr>
              <w:t xml:space="preserve">FR </w:t>
            </w:r>
          </w:p>
        </w:tc>
        <w:tc>
          <w:tcPr>
            <w:tcW w:w="1666" w:type="dxa"/>
            <w:tcBorders>
              <w:top w:val="nil"/>
              <w:left w:val="nil"/>
              <w:bottom w:val="nil"/>
              <w:right w:val="nil"/>
            </w:tcBorders>
            <w:shd w:val="clear" w:color="auto" w:fill="auto"/>
            <w:noWrap/>
          </w:tcPr>
          <w:p>
            <w:pPr>
              <w:jc w:val="right"/>
              <w:rPr>
                <w:noProof/>
                <w:sz w:val="20"/>
              </w:rPr>
            </w:pPr>
            <w:r>
              <w:rPr>
                <w:noProof/>
                <w:sz w:val="20"/>
              </w:rPr>
              <w:t>1 399 356 542</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SK</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53 378 232</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color w:val="000000"/>
                <w:sz w:val="20"/>
              </w:rPr>
            </w:pPr>
            <w:r>
              <w:rPr>
                <w:b/>
                <w:noProof/>
                <w:color w:val="000000"/>
                <w:sz w:val="20"/>
              </w:rPr>
              <w:t>HR</w:t>
            </w:r>
          </w:p>
        </w:tc>
        <w:tc>
          <w:tcPr>
            <w:tcW w:w="1666" w:type="dxa"/>
            <w:tcBorders>
              <w:top w:val="nil"/>
              <w:left w:val="nil"/>
              <w:bottom w:val="nil"/>
              <w:right w:val="nil"/>
            </w:tcBorders>
            <w:shd w:val="clear" w:color="auto" w:fill="auto"/>
            <w:noWrap/>
          </w:tcPr>
          <w:p>
            <w:pPr>
              <w:jc w:val="right"/>
              <w:rPr>
                <w:noProof/>
                <w:sz w:val="20"/>
              </w:rPr>
            </w:pPr>
            <w:r>
              <w:rPr>
                <w:noProof/>
                <w:sz w:val="20"/>
              </w:rPr>
              <w:t>29 973 489</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FI</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136 324 454</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IT</w:t>
            </w:r>
          </w:p>
        </w:tc>
        <w:tc>
          <w:tcPr>
            <w:tcW w:w="1666" w:type="dxa"/>
            <w:tcBorders>
              <w:top w:val="nil"/>
              <w:left w:val="nil"/>
              <w:bottom w:val="nil"/>
              <w:right w:val="nil"/>
            </w:tcBorders>
            <w:shd w:val="clear" w:color="auto" w:fill="auto"/>
            <w:noWrap/>
          </w:tcPr>
          <w:p>
            <w:pPr>
              <w:jc w:val="right"/>
              <w:rPr>
                <w:noProof/>
                <w:sz w:val="20"/>
              </w:rPr>
            </w:pPr>
            <w:r>
              <w:rPr>
                <w:noProof/>
                <w:sz w:val="20"/>
              </w:rPr>
              <w:t>1 014 980 086</w:t>
            </w:r>
          </w:p>
        </w:tc>
        <w:tc>
          <w:tcPr>
            <w:tcW w:w="793" w:type="dxa"/>
            <w:tcBorders>
              <w:top w:val="nil"/>
              <w:left w:val="nil"/>
              <w:bottom w:val="nil"/>
              <w:right w:val="nil"/>
            </w:tcBorders>
            <w:shd w:val="clear" w:color="auto" w:fill="auto"/>
            <w:noWrap/>
            <w:vAlign w:val="center"/>
          </w:tcPr>
          <w:p>
            <w:pPr>
              <w:jc w:val="center"/>
              <w:rPr>
                <w:b/>
                <w:bCs/>
                <w:noProof/>
                <w:sz w:val="20"/>
              </w:rPr>
            </w:pPr>
            <w:r>
              <w:rPr>
                <w:b/>
                <w:noProof/>
                <w:sz w:val="20"/>
              </w:rPr>
              <w:t>SE</w:t>
            </w:r>
          </w:p>
        </w:tc>
        <w:tc>
          <w:tcPr>
            <w:tcW w:w="1532" w:type="dxa"/>
            <w:tcBorders>
              <w:top w:val="nil"/>
              <w:left w:val="nil"/>
              <w:bottom w:val="nil"/>
              <w:right w:val="single" w:sz="8" w:space="0" w:color="auto"/>
            </w:tcBorders>
            <w:shd w:val="clear" w:color="auto" w:fill="auto"/>
            <w:noWrap/>
            <w:vAlign w:val="bottom"/>
          </w:tcPr>
          <w:p>
            <w:pPr>
              <w:jc w:val="right"/>
              <w:rPr>
                <w:noProof/>
                <w:sz w:val="20"/>
              </w:rPr>
            </w:pPr>
            <w:r>
              <w:rPr>
                <w:noProof/>
                <w:sz w:val="20"/>
              </w:rPr>
              <w:t>47 915 985</w:t>
            </w:r>
          </w:p>
        </w:tc>
      </w:tr>
      <w:tr>
        <w:trPr>
          <w:trHeight w:val="255"/>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CY</w:t>
            </w:r>
          </w:p>
        </w:tc>
        <w:tc>
          <w:tcPr>
            <w:tcW w:w="1666" w:type="dxa"/>
            <w:tcBorders>
              <w:top w:val="nil"/>
              <w:left w:val="nil"/>
              <w:bottom w:val="nil"/>
              <w:right w:val="nil"/>
            </w:tcBorders>
            <w:shd w:val="clear" w:color="auto" w:fill="auto"/>
            <w:noWrap/>
          </w:tcPr>
          <w:p>
            <w:pPr>
              <w:jc w:val="right"/>
              <w:rPr>
                <w:noProof/>
                <w:sz w:val="20"/>
              </w:rPr>
            </w:pPr>
            <w:r>
              <w:rPr>
                <w:noProof/>
                <w:sz w:val="20"/>
              </w:rPr>
              <w:t>11 924 787</w:t>
            </w:r>
          </w:p>
        </w:tc>
        <w:tc>
          <w:tcPr>
            <w:tcW w:w="793" w:type="dxa"/>
            <w:vMerge w:val="restart"/>
            <w:tcBorders>
              <w:top w:val="nil"/>
              <w:left w:val="nil"/>
              <w:right w:val="nil"/>
            </w:tcBorders>
            <w:shd w:val="clear" w:color="auto" w:fill="auto"/>
            <w:noWrap/>
            <w:vAlign w:val="center"/>
          </w:tcPr>
          <w:p>
            <w:pPr>
              <w:jc w:val="center"/>
              <w:rPr>
                <w:b/>
                <w:bCs/>
                <w:noProof/>
                <w:sz w:val="20"/>
              </w:rPr>
            </w:pPr>
            <w:r>
              <w:rPr>
                <w:b/>
                <w:noProof/>
                <w:sz w:val="20"/>
              </w:rPr>
              <w:t>UK</w:t>
            </w:r>
          </w:p>
        </w:tc>
        <w:tc>
          <w:tcPr>
            <w:tcW w:w="1532" w:type="dxa"/>
            <w:vMerge w:val="restart"/>
            <w:tcBorders>
              <w:top w:val="nil"/>
              <w:left w:val="nil"/>
              <w:right w:val="single" w:sz="8" w:space="0" w:color="auto"/>
            </w:tcBorders>
            <w:shd w:val="clear" w:color="auto" w:fill="auto"/>
            <w:noWrap/>
            <w:vAlign w:val="center"/>
          </w:tcPr>
          <w:p>
            <w:pPr>
              <w:jc w:val="center"/>
              <w:rPr>
                <w:noProof/>
                <w:sz w:val="20"/>
              </w:rPr>
            </w:pPr>
            <w:r>
              <w:rPr>
                <w:noProof/>
                <w:sz w:val="20"/>
              </w:rPr>
              <w:t>- 5 432 130 075</w:t>
            </w:r>
          </w:p>
        </w:tc>
      </w:tr>
      <w:tr>
        <w:trPr>
          <w:trHeight w:val="270"/>
          <w:jc w:val="center"/>
        </w:trPr>
        <w:tc>
          <w:tcPr>
            <w:tcW w:w="549" w:type="dxa"/>
            <w:tcBorders>
              <w:top w:val="nil"/>
              <w:left w:val="single" w:sz="8" w:space="0" w:color="auto"/>
              <w:bottom w:val="nil"/>
              <w:right w:val="nil"/>
            </w:tcBorders>
            <w:shd w:val="clear" w:color="auto" w:fill="auto"/>
            <w:noWrap/>
            <w:vAlign w:val="center"/>
          </w:tcPr>
          <w:p>
            <w:pPr>
              <w:keepNext/>
              <w:jc w:val="center"/>
              <w:rPr>
                <w:b/>
                <w:noProof/>
                <w:sz w:val="20"/>
              </w:rPr>
            </w:pPr>
            <w:r>
              <w:rPr>
                <w:b/>
                <w:noProof/>
                <w:sz w:val="20"/>
              </w:rPr>
              <w:t>LV</w:t>
            </w:r>
          </w:p>
        </w:tc>
        <w:tc>
          <w:tcPr>
            <w:tcW w:w="1666" w:type="dxa"/>
            <w:tcBorders>
              <w:top w:val="nil"/>
              <w:left w:val="nil"/>
              <w:bottom w:val="nil"/>
              <w:right w:val="nil"/>
            </w:tcBorders>
            <w:shd w:val="clear" w:color="auto" w:fill="auto"/>
            <w:noWrap/>
          </w:tcPr>
          <w:p>
            <w:pPr>
              <w:jc w:val="right"/>
              <w:rPr>
                <w:noProof/>
                <w:sz w:val="20"/>
              </w:rPr>
            </w:pPr>
            <w:r>
              <w:rPr>
                <w:noProof/>
                <w:sz w:val="20"/>
              </w:rPr>
              <w:t>17 654 465</w:t>
            </w:r>
          </w:p>
        </w:tc>
        <w:tc>
          <w:tcPr>
            <w:tcW w:w="793" w:type="dxa"/>
            <w:vMerge/>
            <w:tcBorders>
              <w:left w:val="nil"/>
              <w:bottom w:val="nil"/>
              <w:right w:val="nil"/>
            </w:tcBorders>
            <w:shd w:val="clear" w:color="auto" w:fill="auto"/>
            <w:noWrap/>
            <w:vAlign w:val="center"/>
          </w:tcPr>
          <w:p>
            <w:pPr>
              <w:jc w:val="center"/>
              <w:rPr>
                <w:b/>
                <w:bCs/>
                <w:noProof/>
                <w:sz w:val="20"/>
              </w:rPr>
            </w:pPr>
          </w:p>
        </w:tc>
        <w:tc>
          <w:tcPr>
            <w:tcW w:w="1532" w:type="dxa"/>
            <w:vMerge/>
            <w:tcBorders>
              <w:left w:val="nil"/>
              <w:bottom w:val="nil"/>
              <w:right w:val="single" w:sz="8" w:space="0" w:color="auto"/>
            </w:tcBorders>
            <w:shd w:val="clear" w:color="auto" w:fill="auto"/>
            <w:noWrap/>
            <w:vAlign w:val="bottom"/>
          </w:tcPr>
          <w:p>
            <w:pPr>
              <w:jc w:val="right"/>
              <w:rPr>
                <w:noProof/>
                <w:sz w:val="20"/>
              </w:rPr>
            </w:pPr>
          </w:p>
        </w:tc>
      </w:tr>
      <w:tr>
        <w:trPr>
          <w:trHeight w:val="193"/>
          <w:jc w:val="center"/>
        </w:trPr>
        <w:tc>
          <w:tcPr>
            <w:tcW w:w="549" w:type="dxa"/>
            <w:tcBorders>
              <w:top w:val="nil"/>
              <w:left w:val="single" w:sz="8" w:space="0" w:color="auto"/>
              <w:bottom w:val="single" w:sz="8" w:space="0" w:color="auto"/>
              <w:right w:val="nil"/>
            </w:tcBorders>
            <w:shd w:val="clear" w:color="auto" w:fill="auto"/>
            <w:noWrap/>
            <w:vAlign w:val="center"/>
          </w:tcPr>
          <w:p>
            <w:pPr>
              <w:jc w:val="center"/>
              <w:rPr>
                <w:b/>
                <w:noProof/>
                <w:sz w:val="20"/>
              </w:rPr>
            </w:pPr>
            <w:r>
              <w:rPr>
                <w:b/>
                <w:noProof/>
                <w:sz w:val="20"/>
              </w:rPr>
              <w:t>LT</w:t>
            </w:r>
          </w:p>
        </w:tc>
        <w:tc>
          <w:tcPr>
            <w:tcW w:w="1666" w:type="dxa"/>
            <w:tcBorders>
              <w:top w:val="nil"/>
              <w:left w:val="nil"/>
              <w:bottom w:val="single" w:sz="8" w:space="0" w:color="auto"/>
              <w:right w:val="nil"/>
            </w:tcBorders>
            <w:shd w:val="clear" w:color="auto" w:fill="auto"/>
            <w:noWrap/>
          </w:tcPr>
          <w:p>
            <w:pPr>
              <w:jc w:val="right"/>
              <w:rPr>
                <w:noProof/>
                <w:sz w:val="20"/>
              </w:rPr>
            </w:pPr>
            <w:r>
              <w:rPr>
                <w:noProof/>
                <w:sz w:val="20"/>
              </w:rPr>
              <w:t>25 998 805</w:t>
            </w:r>
          </w:p>
        </w:tc>
        <w:tc>
          <w:tcPr>
            <w:tcW w:w="793" w:type="dxa"/>
            <w:tcBorders>
              <w:top w:val="single" w:sz="8" w:space="0" w:color="auto"/>
              <w:left w:val="single" w:sz="8" w:space="0" w:color="auto"/>
              <w:bottom w:val="single" w:sz="8" w:space="0" w:color="auto"/>
              <w:right w:val="nil"/>
            </w:tcBorders>
            <w:shd w:val="clear" w:color="auto" w:fill="auto"/>
            <w:noWrap/>
            <w:vAlign w:val="center"/>
          </w:tcPr>
          <w:p>
            <w:pPr>
              <w:jc w:val="center"/>
              <w:rPr>
                <w:b/>
                <w:bCs/>
                <w:noProof/>
                <w:sz w:val="20"/>
              </w:rPr>
            </w:pPr>
            <w:r>
              <w:rPr>
                <w:b/>
                <w:noProof/>
                <w:sz w:val="20"/>
              </w:rPr>
              <w:t xml:space="preserve">Spolu </w:t>
            </w:r>
          </w:p>
        </w:tc>
        <w:tc>
          <w:tcPr>
            <w:tcW w:w="1532" w:type="dxa"/>
            <w:tcBorders>
              <w:top w:val="single" w:sz="8" w:space="0" w:color="auto"/>
              <w:left w:val="nil"/>
              <w:bottom w:val="single" w:sz="8" w:space="0" w:color="auto"/>
              <w:right w:val="single" w:sz="8" w:space="0" w:color="auto"/>
            </w:tcBorders>
            <w:shd w:val="clear" w:color="auto" w:fill="auto"/>
            <w:noWrap/>
            <w:vAlign w:val="bottom"/>
          </w:tcPr>
          <w:p>
            <w:pPr>
              <w:jc w:val="right"/>
              <w:rPr>
                <w:b/>
                <w:bCs/>
                <w:noProof/>
                <w:sz w:val="20"/>
              </w:rPr>
            </w:pPr>
            <w:r>
              <w:rPr>
                <w:b/>
                <w:noProof/>
                <w:sz w:val="20"/>
              </w:rPr>
              <w:t>0</w:t>
            </w:r>
          </w:p>
        </w:tc>
      </w:tr>
    </w:tbl>
    <w:p>
      <w:pPr>
        <w:pStyle w:val="ManualHeading1"/>
        <w:pageBreakBefore/>
        <w:rPr>
          <w:noProof/>
        </w:rPr>
      </w:pPr>
      <w:bookmarkStart w:id="104" w:name="_Toc514181802"/>
      <w:bookmarkStart w:id="105" w:name="_Toc12621018"/>
      <w:bookmarkStart w:id="106" w:name="_Toc13832648"/>
      <w:bookmarkEnd w:id="53"/>
      <w:bookmarkEnd w:id="54"/>
      <w:bookmarkEnd w:id="55"/>
      <w:bookmarkEnd w:id="72"/>
      <w:bookmarkEnd w:id="73"/>
      <w:bookmarkEnd w:id="74"/>
      <w:r>
        <w:rPr>
          <w:noProof/>
        </w:rPr>
        <w:t>4.</w:t>
      </w:r>
      <w:r>
        <w:rPr>
          <w:noProof/>
        </w:rPr>
        <w:tab/>
        <w:t>Súhrnná tabuľka podľa okruhov VFR</w:t>
      </w:r>
      <w:bookmarkEnd w:id="104"/>
      <w:bookmarkEnd w:id="105"/>
      <w:bookmarkEnd w:id="106"/>
    </w:p>
    <w:tbl>
      <w:tblPr>
        <w:tblW w:w="10780" w:type="dxa"/>
        <w:jc w:val="center"/>
        <w:tblLook w:val="04A0" w:firstRow="1" w:lastRow="0" w:firstColumn="1" w:lastColumn="0" w:noHBand="0" w:noVBand="1"/>
      </w:tblPr>
      <w:tblGrid>
        <w:gridCol w:w="356"/>
        <w:gridCol w:w="2680"/>
        <w:gridCol w:w="1360"/>
        <w:gridCol w:w="1360"/>
        <w:gridCol w:w="1200"/>
        <w:gridCol w:w="1200"/>
        <w:gridCol w:w="1347"/>
        <w:gridCol w:w="1278"/>
      </w:tblGrid>
      <w:tr>
        <w:trPr>
          <w:trHeight w:val="180"/>
          <w:jc w:val="center"/>
        </w:trPr>
        <w:tc>
          <w:tcPr>
            <w:tcW w:w="10780" w:type="dxa"/>
            <w:gridSpan w:val="8"/>
            <w:tcBorders>
              <w:top w:val="nil"/>
              <w:left w:val="nil"/>
              <w:bottom w:val="single" w:sz="4" w:space="0" w:color="auto"/>
              <w:right w:val="nil"/>
            </w:tcBorders>
            <w:shd w:val="clear" w:color="auto" w:fill="auto"/>
            <w:noWrap/>
            <w:vAlign w:val="bottom"/>
            <w:hideMark/>
          </w:tcPr>
          <w:bookmarkEnd w:id="3"/>
          <w:bookmarkEnd w:id="4"/>
          <w:bookmarkEnd w:id="11"/>
          <w:bookmarkEnd w:id="12"/>
          <w:bookmarkEnd w:id="15"/>
          <w:bookmarkEnd w:id="16"/>
          <w:p>
            <w:pPr>
              <w:jc w:val="right"/>
              <w:rPr>
                <w:i/>
                <w:iCs/>
                <w:noProof/>
                <w:color w:val="000000"/>
                <w:sz w:val="14"/>
                <w:szCs w:val="14"/>
              </w:rPr>
            </w:pPr>
            <w:r>
              <w:rPr>
                <w:i/>
                <w:noProof/>
                <w:color w:val="000000"/>
                <w:sz w:val="14"/>
              </w:rPr>
              <w:t>v EUR</w:t>
            </w:r>
          </w:p>
        </w:tc>
      </w:tr>
      <w:tr>
        <w:trPr>
          <w:trHeight w:val="210"/>
          <w:jc w:val="center"/>
        </w:trPr>
        <w:tc>
          <w:tcPr>
            <w:tcW w:w="2940"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Rozpočtový riadok</w:t>
            </w:r>
          </w:p>
        </w:tc>
        <w:tc>
          <w:tcPr>
            <w:tcW w:w="2720" w:type="dxa"/>
            <w:gridSpan w:val="2"/>
            <w:tcBorders>
              <w:top w:val="single" w:sz="4" w:space="0" w:color="auto"/>
              <w:left w:val="nil"/>
              <w:bottom w:val="nil"/>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Rozpočet 2019</w:t>
            </w:r>
          </w:p>
        </w:tc>
        <w:tc>
          <w:tcPr>
            <w:tcW w:w="2400"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Návrh opravného rozpočtu č. 4/2019</w:t>
            </w:r>
          </w:p>
        </w:tc>
        <w:tc>
          <w:tcPr>
            <w:tcW w:w="2720" w:type="dxa"/>
            <w:gridSpan w:val="2"/>
            <w:tcBorders>
              <w:top w:val="single" w:sz="4" w:space="0" w:color="auto"/>
              <w:left w:val="nil"/>
              <w:bottom w:val="nil"/>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Rozpočet 2019</w:t>
            </w:r>
          </w:p>
        </w:tc>
      </w:tr>
      <w:tr>
        <w:trPr>
          <w:trHeight w:val="210"/>
          <w:jc w:val="center"/>
        </w:trPr>
        <w:tc>
          <w:tcPr>
            <w:tcW w:w="2940" w:type="dxa"/>
            <w:gridSpan w:val="2"/>
            <w:vMerge/>
            <w:tcBorders>
              <w:top w:val="single" w:sz="4" w:space="0" w:color="auto"/>
              <w:left w:val="single" w:sz="4" w:space="0" w:color="auto"/>
              <w:bottom w:val="single" w:sz="4" w:space="0" w:color="000000"/>
              <w:right w:val="single" w:sz="4" w:space="0" w:color="000000"/>
            </w:tcBorders>
            <w:vAlign w:val="center"/>
            <w:hideMark/>
          </w:tcPr>
          <w:p>
            <w:pPr>
              <w:rPr>
                <w:b/>
                <w:bCs/>
                <w:noProof/>
                <w:color w:val="000000"/>
                <w:sz w:val="14"/>
                <w:szCs w:val="14"/>
              </w:rPr>
            </w:pPr>
          </w:p>
        </w:tc>
        <w:tc>
          <w:tcPr>
            <w:tcW w:w="2720" w:type="dxa"/>
            <w:gridSpan w:val="2"/>
            <w:tcBorders>
              <w:top w:val="nil"/>
              <w:left w:val="nil"/>
              <w:bottom w:val="single" w:sz="4" w:space="0" w:color="auto"/>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(vrátane NOR č. 1 – 3/2019)</w:t>
            </w:r>
          </w:p>
        </w:tc>
        <w:tc>
          <w:tcPr>
            <w:tcW w:w="2400" w:type="dxa"/>
            <w:gridSpan w:val="2"/>
            <w:vMerge/>
            <w:tcBorders>
              <w:top w:val="single" w:sz="4" w:space="0" w:color="auto"/>
              <w:left w:val="single" w:sz="4" w:space="0" w:color="auto"/>
              <w:bottom w:val="single" w:sz="4" w:space="0" w:color="000000"/>
              <w:right w:val="single" w:sz="4" w:space="0" w:color="000000"/>
            </w:tcBorders>
            <w:vAlign w:val="center"/>
            <w:hideMark/>
          </w:tcPr>
          <w:p>
            <w:pPr>
              <w:rPr>
                <w:b/>
                <w:bCs/>
                <w:noProof/>
                <w:color w:val="000000"/>
                <w:sz w:val="14"/>
                <w:szCs w:val="14"/>
              </w:rPr>
            </w:pPr>
          </w:p>
        </w:tc>
        <w:tc>
          <w:tcPr>
            <w:tcW w:w="2720" w:type="dxa"/>
            <w:gridSpan w:val="2"/>
            <w:tcBorders>
              <w:top w:val="nil"/>
              <w:left w:val="nil"/>
              <w:bottom w:val="single" w:sz="4" w:space="0" w:color="auto"/>
              <w:right w:val="single" w:sz="4" w:space="0" w:color="000000"/>
            </w:tcBorders>
            <w:shd w:val="clear" w:color="000000" w:fill="D9D9D9"/>
            <w:vAlign w:val="center"/>
            <w:hideMark/>
          </w:tcPr>
          <w:p>
            <w:pPr>
              <w:jc w:val="center"/>
              <w:rPr>
                <w:b/>
                <w:bCs/>
                <w:noProof/>
                <w:color w:val="000000"/>
                <w:sz w:val="14"/>
                <w:szCs w:val="14"/>
              </w:rPr>
            </w:pPr>
            <w:r>
              <w:rPr>
                <w:b/>
                <w:noProof/>
                <w:color w:val="000000"/>
                <w:sz w:val="14"/>
              </w:rPr>
              <w:t>(vrátane NOR č. 1 – 4/2019)</w:t>
            </w:r>
          </w:p>
        </w:tc>
      </w:tr>
      <w:tr>
        <w:trPr>
          <w:trHeight w:val="210"/>
          <w:jc w:val="center"/>
        </w:trPr>
        <w:tc>
          <w:tcPr>
            <w:tcW w:w="2940" w:type="dxa"/>
            <w:gridSpan w:val="2"/>
            <w:vMerge/>
            <w:tcBorders>
              <w:top w:val="single" w:sz="4" w:space="0" w:color="auto"/>
              <w:left w:val="single" w:sz="4" w:space="0" w:color="auto"/>
              <w:bottom w:val="single" w:sz="4" w:space="0" w:color="000000"/>
              <w:right w:val="single" w:sz="4" w:space="0" w:color="000000"/>
            </w:tcBorders>
            <w:vAlign w:val="center"/>
            <w:hideMark/>
          </w:tcPr>
          <w:p>
            <w:pPr>
              <w:rPr>
                <w:b/>
                <w:bCs/>
                <w:noProof/>
                <w:color w:val="000000"/>
                <w:sz w:val="14"/>
                <w:szCs w:val="14"/>
              </w:rPr>
            </w:pPr>
          </w:p>
        </w:tc>
        <w:tc>
          <w:tcPr>
            <w:tcW w:w="1360" w:type="dxa"/>
            <w:tcBorders>
              <w:top w:val="nil"/>
              <w:left w:val="nil"/>
              <w:bottom w:val="nil"/>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VRP</w:t>
            </w:r>
          </w:p>
        </w:tc>
        <w:tc>
          <w:tcPr>
            <w:tcW w:w="1360" w:type="dxa"/>
            <w:tcBorders>
              <w:top w:val="nil"/>
              <w:left w:val="nil"/>
              <w:bottom w:val="single" w:sz="4" w:space="0" w:color="auto"/>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PRP</w:t>
            </w:r>
          </w:p>
        </w:tc>
        <w:tc>
          <w:tcPr>
            <w:tcW w:w="1200" w:type="dxa"/>
            <w:tcBorders>
              <w:top w:val="nil"/>
              <w:left w:val="nil"/>
              <w:bottom w:val="single" w:sz="4" w:space="0" w:color="auto"/>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VRP</w:t>
            </w:r>
          </w:p>
        </w:tc>
        <w:tc>
          <w:tcPr>
            <w:tcW w:w="1200" w:type="dxa"/>
            <w:tcBorders>
              <w:top w:val="nil"/>
              <w:left w:val="nil"/>
              <w:bottom w:val="single" w:sz="4" w:space="0" w:color="auto"/>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PRP</w:t>
            </w:r>
          </w:p>
        </w:tc>
        <w:tc>
          <w:tcPr>
            <w:tcW w:w="1360" w:type="dxa"/>
            <w:tcBorders>
              <w:top w:val="nil"/>
              <w:left w:val="nil"/>
              <w:bottom w:val="single" w:sz="4" w:space="0" w:color="auto"/>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VRP</w:t>
            </w:r>
          </w:p>
        </w:tc>
        <w:tc>
          <w:tcPr>
            <w:tcW w:w="1360" w:type="dxa"/>
            <w:tcBorders>
              <w:top w:val="nil"/>
              <w:left w:val="nil"/>
              <w:bottom w:val="single" w:sz="4" w:space="0" w:color="auto"/>
              <w:right w:val="single" w:sz="4" w:space="0" w:color="auto"/>
            </w:tcBorders>
            <w:shd w:val="clear" w:color="000000" w:fill="D9D9D9"/>
            <w:vAlign w:val="center"/>
            <w:hideMark/>
          </w:tcPr>
          <w:p>
            <w:pPr>
              <w:jc w:val="center"/>
              <w:rPr>
                <w:b/>
                <w:bCs/>
                <w:noProof/>
                <w:color w:val="000000"/>
                <w:sz w:val="14"/>
                <w:szCs w:val="14"/>
              </w:rPr>
            </w:pPr>
            <w:r>
              <w:rPr>
                <w:b/>
                <w:noProof/>
                <w:color w:val="000000"/>
                <w:sz w:val="14"/>
              </w:rPr>
              <w:t>PRP</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b/>
                <w:bCs/>
                <w:noProof/>
                <w:color w:val="000000"/>
                <w:sz w:val="14"/>
                <w:szCs w:val="14"/>
              </w:rPr>
            </w:pPr>
            <w:r>
              <w:rPr>
                <w:b/>
                <w:noProof/>
                <w:color w:val="000000"/>
                <w:sz w:val="14"/>
              </w:rPr>
              <w:t>1.</w:t>
            </w:r>
          </w:p>
        </w:tc>
        <w:tc>
          <w:tcPr>
            <w:tcW w:w="2680" w:type="dxa"/>
            <w:tcBorders>
              <w:top w:val="nil"/>
              <w:left w:val="nil"/>
              <w:bottom w:val="dotted"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Inteligentný a inkluzívny rast</w:t>
            </w:r>
          </w:p>
        </w:tc>
        <w:tc>
          <w:tcPr>
            <w:tcW w:w="1360" w:type="dxa"/>
            <w:tcBorders>
              <w:top w:val="single" w:sz="4" w:space="0" w:color="auto"/>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80 627 449 848</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67 556 947 173</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- 26 820 000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- 18 520 000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80 600 629 848</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67 538 427 173</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nástroja flexibility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178 715 475</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- 18 520 000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160 195 475</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celkovej rezervy na záväzky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524 734 373</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- 8 300 000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516 434 373</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 xml:space="preserve">Strop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79 924 000 000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79 924 000 000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noProof/>
                <w:color w:val="000000"/>
                <w:sz w:val="14"/>
                <w:szCs w:val="14"/>
              </w:rPr>
            </w:pPr>
            <w:r>
              <w:rPr>
                <w:noProof/>
                <w:color w:val="000000"/>
                <w:sz w:val="14"/>
              </w:rPr>
              <w:t>1a</w:t>
            </w:r>
          </w:p>
        </w:tc>
        <w:tc>
          <w:tcPr>
            <w:tcW w:w="2680" w:type="dxa"/>
            <w:tcBorders>
              <w:top w:val="nil"/>
              <w:left w:val="nil"/>
              <w:bottom w:val="dotted" w:sz="4" w:space="0" w:color="auto"/>
              <w:right w:val="single" w:sz="4" w:space="0" w:color="auto"/>
            </w:tcBorders>
            <w:shd w:val="clear" w:color="auto" w:fill="auto"/>
            <w:vAlign w:val="center"/>
            <w:hideMark/>
          </w:tcPr>
          <w:p>
            <w:pPr>
              <w:rPr>
                <w:noProof/>
                <w:color w:val="000000"/>
                <w:sz w:val="14"/>
                <w:szCs w:val="14"/>
              </w:rPr>
            </w:pPr>
            <w:r>
              <w:rPr>
                <w:noProof/>
                <w:color w:val="000000"/>
                <w:sz w:val="14"/>
              </w:rPr>
              <w:t>Konkurencieschopnosť pre rast a zamestnanosť</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23 435 449 848</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20 521 537 455</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- 18 520 000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- 18 520 000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23 416 929 848</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20 503 017 455</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nástroja flexibility</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xml:space="preserve"> 178 715 475</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- 18 520 000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xml:space="preserve"> 160 195 475</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celkovej rezervy na záväzky</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xml:space="preserve"> 174 734 373</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xml:space="preserve"> 174 734 373</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23 082 000 000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23 082 000 000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noProof/>
                <w:color w:val="000000"/>
                <w:sz w:val="14"/>
                <w:szCs w:val="14"/>
              </w:rPr>
            </w:pPr>
            <w:r>
              <w:rPr>
                <w:noProof/>
                <w:color w:val="000000"/>
                <w:sz w:val="14"/>
              </w:rPr>
              <w:t xml:space="preserve">1b </w:t>
            </w:r>
          </w:p>
        </w:tc>
        <w:tc>
          <w:tcPr>
            <w:tcW w:w="2680" w:type="dxa"/>
            <w:tcBorders>
              <w:top w:val="nil"/>
              <w:left w:val="nil"/>
              <w:bottom w:val="dotted" w:sz="4" w:space="0" w:color="auto"/>
              <w:right w:val="single" w:sz="4" w:space="0" w:color="auto"/>
            </w:tcBorders>
            <w:shd w:val="clear" w:color="auto" w:fill="auto"/>
            <w:vAlign w:val="center"/>
            <w:hideMark/>
          </w:tcPr>
          <w:p>
            <w:pPr>
              <w:rPr>
                <w:noProof/>
                <w:color w:val="000000"/>
                <w:sz w:val="14"/>
                <w:szCs w:val="14"/>
              </w:rPr>
            </w:pPr>
            <w:r>
              <w:rPr>
                <w:noProof/>
                <w:color w:val="000000"/>
                <w:sz w:val="14"/>
              </w:rPr>
              <w:t>Hospodárska, sociálna a územná súdržnosť</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57 192 000 000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47 035 409 718</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- 8 300 000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57 183 700 000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47 035 409 718</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celkovej rezervy na záväzky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350 000 000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- 8 300 000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341 700 000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56 842 000 000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56 842 000 000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b/>
                <w:bCs/>
                <w:noProof/>
                <w:color w:val="000000"/>
                <w:sz w:val="14"/>
                <w:szCs w:val="14"/>
              </w:rPr>
            </w:pPr>
            <w:r>
              <w:rPr>
                <w:b/>
                <w:noProof/>
                <w:color w:val="000000"/>
                <w:sz w:val="14"/>
              </w:rPr>
              <w:t>2.</w:t>
            </w:r>
          </w:p>
        </w:tc>
        <w:tc>
          <w:tcPr>
            <w:tcW w:w="2680" w:type="dxa"/>
            <w:tcBorders>
              <w:top w:val="nil"/>
              <w:left w:val="nil"/>
              <w:bottom w:val="dotted"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Udržateľný rast: prírodné zdroje</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59 642 077 986</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57 399 857 331</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59 642 077 986</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57 399 857 331</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60 344 000 000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60 344 000 000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701 922 014</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701 922 014</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34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rPr>
                <w:noProof/>
                <w:color w:val="000000"/>
                <w:sz w:val="14"/>
                <w:szCs w:val="14"/>
              </w:rPr>
            </w:pPr>
            <w:r>
              <w:rPr>
                <w:noProof/>
                <w:color w:val="000000"/>
                <w:sz w:val="14"/>
              </w:rPr>
              <w:t>Z toho: Európsky poľnohospodársky záručný fond (EPZF) – Výdavky súvisiace s trhom a priame platby</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43 191 947 000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43 116 399 417</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43 191 947 000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43 116 399 417</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Čiastkový 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43 881 000 000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43 881 000 000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Rozdiel vzniknutý zaokrúhlením nezahrnutý do výpočtu rezervy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659 000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659 000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 EPZF</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688 394 000</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688 394 000</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b/>
                <w:bCs/>
                <w:noProof/>
                <w:color w:val="000000"/>
                <w:sz w:val="14"/>
                <w:szCs w:val="14"/>
              </w:rPr>
            </w:pPr>
            <w:r>
              <w:rPr>
                <w:b/>
                <w:noProof/>
                <w:color w:val="000000"/>
                <w:sz w:val="14"/>
              </w:rPr>
              <w:t>3.</w:t>
            </w:r>
          </w:p>
        </w:tc>
        <w:tc>
          <w:tcPr>
            <w:tcW w:w="2680" w:type="dxa"/>
            <w:tcBorders>
              <w:top w:val="nil"/>
              <w:left w:val="nil"/>
              <w:bottom w:val="dotted"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Bezpečnosť a občianstvo</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3 786 629 138</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3 527 434 894</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- 55 441 000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- 47 001 514</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3 731 188 138</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3 480 433 380</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nástroja flexibility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985 629 138</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- 55 441 000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930 188 138</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2 801 000 000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2 801 000 000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b/>
                <w:bCs/>
                <w:noProof/>
                <w:color w:val="000000"/>
                <w:sz w:val="14"/>
                <w:szCs w:val="14"/>
              </w:rPr>
            </w:pPr>
            <w:r>
              <w:rPr>
                <w:b/>
                <w:noProof/>
                <w:color w:val="000000"/>
                <w:sz w:val="14"/>
              </w:rPr>
              <w:t>4.</w:t>
            </w:r>
          </w:p>
        </w:tc>
        <w:tc>
          <w:tcPr>
            <w:tcW w:w="2680" w:type="dxa"/>
            <w:tcBorders>
              <w:top w:val="nil"/>
              <w:left w:val="nil"/>
              <w:bottom w:val="dotted"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Globálna Európa</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11 319 265 627</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9 358 295 603</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- 2 000 000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11 319 265 627</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9 356 295 603</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v rámci celkovej rezervy na záväzky</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1 051 265 627</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1 051 265 627</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10 268 000 000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10 268 000 000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000000" w:fill="FFFFFF"/>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000000" w:fill="FFFFFF"/>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000000" w:fill="FFFFFF"/>
            <w:vAlign w:val="center"/>
            <w:hideMark/>
          </w:tcPr>
          <w:p>
            <w:pPr>
              <w:jc w:val="right"/>
              <w:rPr>
                <w:i/>
                <w:iCs/>
                <w:noProof/>
                <w:color w:val="000000"/>
                <w:sz w:val="14"/>
                <w:szCs w:val="14"/>
              </w:rPr>
            </w:pPr>
            <w:r>
              <w:rPr>
                <w:i/>
                <w:noProof/>
                <w:color w:val="000000"/>
                <w:sz w:val="1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60" w:type="dxa"/>
            <w:tcBorders>
              <w:top w:val="nil"/>
              <w:left w:val="single" w:sz="4" w:space="0" w:color="auto"/>
              <w:bottom w:val="dotted" w:sz="4" w:space="0" w:color="auto"/>
              <w:right w:val="nil"/>
            </w:tcBorders>
            <w:shd w:val="clear" w:color="auto" w:fill="auto"/>
            <w:vAlign w:val="center"/>
            <w:hideMark/>
          </w:tcPr>
          <w:p>
            <w:pPr>
              <w:rPr>
                <w:b/>
                <w:bCs/>
                <w:noProof/>
                <w:color w:val="000000"/>
                <w:sz w:val="14"/>
                <w:szCs w:val="14"/>
              </w:rPr>
            </w:pPr>
            <w:r>
              <w:rPr>
                <w:b/>
                <w:noProof/>
                <w:color w:val="000000"/>
                <w:sz w:val="14"/>
              </w:rPr>
              <w:t>5.</w:t>
            </w:r>
          </w:p>
        </w:tc>
        <w:tc>
          <w:tcPr>
            <w:tcW w:w="2680" w:type="dxa"/>
            <w:tcBorders>
              <w:top w:val="nil"/>
              <w:left w:val="nil"/>
              <w:bottom w:val="dotted"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Administratíva</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9 942 974 723</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9 944 904 743</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11 941 000</w:t>
            </w:r>
          </w:p>
        </w:tc>
        <w:tc>
          <w:tcPr>
            <w:tcW w:w="120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11 941 000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9 954 915 723</w:t>
            </w:r>
          </w:p>
        </w:tc>
        <w:tc>
          <w:tcPr>
            <w:tcW w:w="1360" w:type="dxa"/>
            <w:tcBorders>
              <w:top w:val="nil"/>
              <w:left w:val="nil"/>
              <w:bottom w:val="dotted"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9 956 845 743</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10 786 000 000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10 786 000 000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kompenzácia voči rezerve na nepredvídané udalosti</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- 253 882 156</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- 253 882 156</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589 143 121</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577 202 121</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360"/>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rPr>
                <w:noProof/>
                <w:color w:val="000000"/>
                <w:sz w:val="14"/>
                <w:szCs w:val="14"/>
              </w:rPr>
            </w:pPr>
            <w:r>
              <w:rPr>
                <w:noProof/>
                <w:color w:val="000000"/>
                <w:sz w:val="14"/>
              </w:rPr>
              <w:t>Z toho: administratívne výdavky inštitúcií</w:t>
            </w:r>
          </w:p>
        </w:tc>
        <w:tc>
          <w:tcPr>
            <w:tcW w:w="136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7 747 285 803</w:t>
            </w:r>
          </w:p>
        </w:tc>
        <w:tc>
          <w:tcPr>
            <w:tcW w:w="136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7 749 215 823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 </w:t>
            </w:r>
          </w:p>
        </w:tc>
        <w:tc>
          <w:tcPr>
            <w:tcW w:w="136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7 747 285 803</w:t>
            </w:r>
          </w:p>
        </w:tc>
        <w:tc>
          <w:tcPr>
            <w:tcW w:w="1360" w:type="dxa"/>
            <w:tcBorders>
              <w:top w:val="single" w:sz="4" w:space="0" w:color="auto"/>
              <w:left w:val="nil"/>
              <w:bottom w:val="dotted" w:sz="4" w:space="0" w:color="auto"/>
              <w:right w:val="single" w:sz="4" w:space="0" w:color="auto"/>
            </w:tcBorders>
            <w:shd w:val="clear" w:color="auto" w:fill="auto"/>
            <w:vAlign w:val="center"/>
            <w:hideMark/>
          </w:tcPr>
          <w:p>
            <w:pPr>
              <w:jc w:val="right"/>
              <w:rPr>
                <w:noProof/>
                <w:color w:val="000000"/>
                <w:sz w:val="14"/>
                <w:szCs w:val="14"/>
              </w:rPr>
            </w:pPr>
            <w:r>
              <w:rPr>
                <w:noProof/>
                <w:color w:val="000000"/>
                <w:sz w:val="14"/>
              </w:rPr>
              <w:t>7 749 215 823</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Čiastkový strop</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8 700 000 000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8 700 000 000</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Z toho kompenzácia voči rezerve na nepredvídané udalosti</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- 253 882 156</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- 253 882 156</w:t>
            </w:r>
          </w:p>
        </w:tc>
        <w:tc>
          <w:tcPr>
            <w:tcW w:w="1360" w:type="dxa"/>
            <w:tcBorders>
              <w:top w:val="nil"/>
              <w:left w:val="nil"/>
              <w:bottom w:val="dotted"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auto" w:fill="auto"/>
            <w:vAlign w:val="center"/>
            <w:hideMark/>
          </w:tcPr>
          <w:p>
            <w:pPr>
              <w:jc w:val="right"/>
              <w:rPr>
                <w:i/>
                <w:iCs/>
                <w:noProof/>
                <w:color w:val="000000"/>
                <w:sz w:val="14"/>
                <w:szCs w:val="14"/>
              </w:rPr>
            </w:pPr>
            <w:r>
              <w:rPr>
                <w:i/>
                <w:noProof/>
                <w:color w:val="000000"/>
                <w:sz w:val="14"/>
              </w:rPr>
              <w:t>Rezerva</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698 832 041</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20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xml:space="preserve"> 698 832 041</w:t>
            </w:r>
          </w:p>
        </w:tc>
        <w:tc>
          <w:tcPr>
            <w:tcW w:w="1360" w:type="dxa"/>
            <w:tcBorders>
              <w:top w:val="nil"/>
              <w:left w:val="nil"/>
              <w:bottom w:val="single" w:sz="4" w:space="0" w:color="auto"/>
              <w:right w:val="single" w:sz="4" w:space="0" w:color="auto"/>
            </w:tcBorders>
            <w:shd w:val="clear" w:color="auto" w:fill="auto"/>
            <w:vAlign w:val="center"/>
            <w:hideMark/>
          </w:tcPr>
          <w:p>
            <w:pPr>
              <w:jc w:val="right"/>
              <w:rPr>
                <w:i/>
                <w:iCs/>
                <w:noProof/>
                <w:color w:val="000000"/>
                <w:sz w:val="14"/>
                <w:szCs w:val="14"/>
              </w:rPr>
            </w:pPr>
            <w:r>
              <w:rPr>
                <w:i/>
                <w:noProof/>
                <w:color w:val="000000"/>
                <w:sz w:val="14"/>
              </w:rPr>
              <w:t> </w:t>
            </w:r>
          </w:p>
        </w:tc>
      </w:tr>
      <w:tr>
        <w:trPr>
          <w:trHeight w:val="225"/>
          <w:jc w:val="center"/>
        </w:trPr>
        <w:tc>
          <w:tcPr>
            <w:tcW w:w="2940" w:type="dxa"/>
            <w:gridSpan w:val="2"/>
            <w:tcBorders>
              <w:top w:val="single" w:sz="4" w:space="0" w:color="auto"/>
              <w:left w:val="single" w:sz="4" w:space="0" w:color="auto"/>
              <w:bottom w:val="dotted" w:sz="4" w:space="0" w:color="auto"/>
              <w:right w:val="single" w:sz="4" w:space="0" w:color="000000"/>
            </w:tcBorders>
            <w:shd w:val="clear" w:color="000000" w:fill="D9D9D9"/>
            <w:vAlign w:val="center"/>
            <w:hideMark/>
          </w:tcPr>
          <w:p>
            <w:pPr>
              <w:jc w:val="right"/>
              <w:rPr>
                <w:b/>
                <w:bCs/>
                <w:noProof/>
                <w:color w:val="000000"/>
                <w:sz w:val="14"/>
                <w:szCs w:val="14"/>
              </w:rPr>
            </w:pPr>
            <w:r>
              <w:rPr>
                <w:b/>
                <w:noProof/>
                <w:color w:val="000000"/>
                <w:sz w:val="14"/>
              </w:rPr>
              <w:t>Spolu</w:t>
            </w:r>
          </w:p>
        </w:tc>
        <w:tc>
          <w:tcPr>
            <w:tcW w:w="136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165 318 397 322</w:t>
            </w:r>
          </w:p>
        </w:tc>
        <w:tc>
          <w:tcPr>
            <w:tcW w:w="136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147 787 439 744</w:t>
            </w:r>
          </w:p>
        </w:tc>
        <w:tc>
          <w:tcPr>
            <w:tcW w:w="120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- 70 320 000</w:t>
            </w:r>
          </w:p>
        </w:tc>
        <w:tc>
          <w:tcPr>
            <w:tcW w:w="120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- 55 580 514</w:t>
            </w:r>
          </w:p>
        </w:tc>
        <w:tc>
          <w:tcPr>
            <w:tcW w:w="136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165 248 077 322</w:t>
            </w:r>
          </w:p>
        </w:tc>
        <w:tc>
          <w:tcPr>
            <w:tcW w:w="1360" w:type="dxa"/>
            <w:tcBorders>
              <w:top w:val="single" w:sz="4" w:space="0" w:color="auto"/>
              <w:left w:val="nil"/>
              <w:bottom w:val="dotted"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147 731 859 230</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000000" w:fill="D9D9D9"/>
            <w:vAlign w:val="center"/>
            <w:hideMark/>
          </w:tcPr>
          <w:p>
            <w:pPr>
              <w:jc w:val="right"/>
              <w:rPr>
                <w:b/>
                <w:bCs/>
                <w:i/>
                <w:iCs/>
                <w:noProof/>
                <w:color w:val="000000"/>
                <w:sz w:val="14"/>
                <w:szCs w:val="14"/>
              </w:rPr>
            </w:pPr>
            <w:r>
              <w:rPr>
                <w:b/>
                <w:i/>
                <w:noProof/>
                <w:color w:val="000000"/>
                <w:sz w:val="14"/>
              </w:rPr>
              <w:t>Z toho v rámci nástroja flexibility</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1 164 344 613</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xml:space="preserve"> 961 862 659</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- 73 961 000</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- 37 271 858</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1 090 383 613</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xml:space="preserve"> 924 590 801</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000000" w:fill="D9D9D9"/>
            <w:vAlign w:val="center"/>
            <w:hideMark/>
          </w:tcPr>
          <w:p>
            <w:pPr>
              <w:jc w:val="right"/>
              <w:rPr>
                <w:b/>
                <w:bCs/>
                <w:i/>
                <w:iCs/>
                <w:noProof/>
                <w:color w:val="000000"/>
                <w:sz w:val="14"/>
                <w:szCs w:val="14"/>
              </w:rPr>
            </w:pPr>
            <w:r>
              <w:rPr>
                <w:b/>
                <w:i/>
                <w:noProof/>
                <w:color w:val="000000"/>
                <w:sz w:val="14"/>
              </w:rPr>
              <w:t>Z toho v rámci celkovej rezervy na záväzky</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1 576 000 000</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- 8 300 000</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1 567 700 000</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000000" w:fill="D9D9D9"/>
            <w:vAlign w:val="center"/>
            <w:hideMark/>
          </w:tcPr>
          <w:p>
            <w:pPr>
              <w:jc w:val="right"/>
              <w:rPr>
                <w:b/>
                <w:bCs/>
                <w:i/>
                <w:iCs/>
                <w:noProof/>
                <w:color w:val="000000"/>
                <w:sz w:val="14"/>
                <w:szCs w:val="14"/>
              </w:rPr>
            </w:pPr>
            <w:r>
              <w:rPr>
                <w:b/>
                <w:i/>
                <w:noProof/>
                <w:color w:val="000000"/>
                <w:sz w:val="14"/>
              </w:rPr>
              <w:t>Strop</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164 123 000 000</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166 709 000 000</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xml:space="preserve">   </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164 123 000 000</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166 709 000 000</w:t>
            </w:r>
          </w:p>
        </w:tc>
      </w:tr>
      <w:tr>
        <w:trPr>
          <w:trHeight w:val="225"/>
          <w:jc w:val="center"/>
        </w:trPr>
        <w:tc>
          <w:tcPr>
            <w:tcW w:w="2940" w:type="dxa"/>
            <w:gridSpan w:val="2"/>
            <w:tcBorders>
              <w:top w:val="dotted" w:sz="4" w:space="0" w:color="auto"/>
              <w:left w:val="single" w:sz="4" w:space="0" w:color="auto"/>
              <w:bottom w:val="dotted" w:sz="4" w:space="0" w:color="auto"/>
              <w:right w:val="single" w:sz="4" w:space="0" w:color="000000"/>
            </w:tcBorders>
            <w:shd w:val="clear" w:color="000000" w:fill="D9D9D9"/>
            <w:vAlign w:val="center"/>
            <w:hideMark/>
          </w:tcPr>
          <w:p>
            <w:pPr>
              <w:jc w:val="right"/>
              <w:rPr>
                <w:b/>
                <w:bCs/>
                <w:i/>
                <w:iCs/>
                <w:noProof/>
                <w:color w:val="000000"/>
                <w:sz w:val="14"/>
                <w:szCs w:val="14"/>
              </w:rPr>
            </w:pPr>
            <w:r>
              <w:rPr>
                <w:b/>
                <w:i/>
                <w:noProof/>
                <w:color w:val="000000"/>
                <w:sz w:val="14"/>
              </w:rPr>
              <w:t>Z toho kompenzácia voči rezerve na nepredvídané udalosti</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- 253 882 156</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xml:space="preserve">   </w:t>
            </w:r>
          </w:p>
        </w:tc>
        <w:tc>
          <w:tcPr>
            <w:tcW w:w="120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- 253 882 156</w:t>
            </w:r>
          </w:p>
        </w:tc>
        <w:tc>
          <w:tcPr>
            <w:tcW w:w="1360" w:type="dxa"/>
            <w:tcBorders>
              <w:top w:val="nil"/>
              <w:left w:val="nil"/>
              <w:bottom w:val="dotted"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xml:space="preserve">   </w:t>
            </w:r>
          </w:p>
        </w:tc>
      </w:tr>
      <w:tr>
        <w:trPr>
          <w:trHeight w:val="225"/>
          <w:jc w:val="center"/>
        </w:trPr>
        <w:tc>
          <w:tcPr>
            <w:tcW w:w="2940" w:type="dxa"/>
            <w:gridSpan w:val="2"/>
            <w:tcBorders>
              <w:top w:val="dotted" w:sz="4" w:space="0" w:color="auto"/>
              <w:left w:val="single" w:sz="4" w:space="0" w:color="auto"/>
              <w:bottom w:val="single" w:sz="4" w:space="0" w:color="auto"/>
              <w:right w:val="single" w:sz="4" w:space="0" w:color="000000"/>
            </w:tcBorders>
            <w:shd w:val="clear" w:color="000000" w:fill="D9D9D9"/>
            <w:vAlign w:val="center"/>
            <w:hideMark/>
          </w:tcPr>
          <w:p>
            <w:pPr>
              <w:jc w:val="right"/>
              <w:rPr>
                <w:b/>
                <w:bCs/>
                <w:i/>
                <w:iCs/>
                <w:noProof/>
                <w:color w:val="000000"/>
                <w:sz w:val="14"/>
                <w:szCs w:val="14"/>
              </w:rPr>
            </w:pPr>
            <w:r>
              <w:rPr>
                <w:b/>
                <w:i/>
                <w:noProof/>
                <w:color w:val="000000"/>
                <w:sz w:val="14"/>
              </w:rPr>
              <w:t>Rezerva</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1 291 065 135</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19 883 422 915</w:t>
            </w:r>
          </w:p>
        </w:tc>
        <w:tc>
          <w:tcPr>
            <w:tcW w:w="120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20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 </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1 279 124 135</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i/>
                <w:iCs/>
                <w:noProof/>
                <w:color w:val="000000"/>
                <w:sz w:val="14"/>
                <w:szCs w:val="14"/>
              </w:rPr>
            </w:pPr>
            <w:r>
              <w:rPr>
                <w:b/>
                <w:i/>
                <w:noProof/>
                <w:color w:val="000000"/>
                <w:sz w:val="14"/>
              </w:rPr>
              <w:t>19 901 731 571</w:t>
            </w:r>
          </w:p>
        </w:tc>
      </w:tr>
      <w:tr>
        <w:trPr>
          <w:trHeight w:val="225"/>
          <w:jc w:val="center"/>
        </w:trPr>
        <w:tc>
          <w:tcPr>
            <w:tcW w:w="260" w:type="dxa"/>
            <w:tcBorders>
              <w:top w:val="nil"/>
              <w:left w:val="single" w:sz="4" w:space="0" w:color="auto"/>
              <w:bottom w:val="single" w:sz="4" w:space="0" w:color="auto"/>
              <w:right w:val="nil"/>
            </w:tcBorders>
            <w:shd w:val="clear" w:color="auto" w:fill="auto"/>
            <w:vAlign w:val="center"/>
            <w:hideMark/>
          </w:tcPr>
          <w:p>
            <w:pPr>
              <w:rPr>
                <w:b/>
                <w:bCs/>
                <w:noProof/>
                <w:color w:val="000000"/>
                <w:sz w:val="14"/>
                <w:szCs w:val="14"/>
              </w:rPr>
            </w:pPr>
            <w:r>
              <w:rPr>
                <w:b/>
                <w:noProof/>
                <w:color w:val="000000"/>
                <w:sz w:val="14"/>
              </w:rPr>
              <w:t> </w:t>
            </w:r>
          </w:p>
        </w:tc>
        <w:tc>
          <w:tcPr>
            <w:tcW w:w="2680" w:type="dxa"/>
            <w:tcBorders>
              <w:top w:val="nil"/>
              <w:left w:val="nil"/>
              <w:bottom w:val="single" w:sz="4" w:space="0" w:color="auto"/>
              <w:right w:val="single" w:sz="4" w:space="0" w:color="auto"/>
            </w:tcBorders>
            <w:shd w:val="clear" w:color="auto" w:fill="auto"/>
            <w:vAlign w:val="center"/>
            <w:hideMark/>
          </w:tcPr>
          <w:p>
            <w:pPr>
              <w:rPr>
                <w:b/>
                <w:bCs/>
                <w:noProof/>
                <w:color w:val="000000"/>
                <w:sz w:val="14"/>
                <w:szCs w:val="14"/>
              </w:rPr>
            </w:pPr>
            <w:r>
              <w:rPr>
                <w:b/>
                <w:noProof/>
                <w:color w:val="000000"/>
                <w:sz w:val="14"/>
              </w:rPr>
              <w:t>Iné osobitné nástroje</w:t>
            </w:r>
          </w:p>
        </w:tc>
        <w:tc>
          <w:tcPr>
            <w:tcW w:w="136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870 799 794</w:t>
            </w:r>
          </w:p>
        </w:tc>
        <w:tc>
          <w:tcPr>
            <w:tcW w:w="136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705 051 794</w:t>
            </w:r>
          </w:p>
        </w:tc>
        <w:tc>
          <w:tcPr>
            <w:tcW w:w="120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- 29 748 635</w:t>
            </w:r>
          </w:p>
        </w:tc>
        <w:tc>
          <w:tcPr>
            <w:tcW w:w="120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w:t>
            </w:r>
          </w:p>
        </w:tc>
        <w:tc>
          <w:tcPr>
            <w:tcW w:w="136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841 051 159</w:t>
            </w:r>
          </w:p>
        </w:tc>
        <w:tc>
          <w:tcPr>
            <w:tcW w:w="1360" w:type="dxa"/>
            <w:tcBorders>
              <w:top w:val="nil"/>
              <w:left w:val="nil"/>
              <w:bottom w:val="single" w:sz="4" w:space="0" w:color="auto"/>
              <w:right w:val="single" w:sz="4" w:space="0" w:color="auto"/>
            </w:tcBorders>
            <w:shd w:val="clear" w:color="auto" w:fill="auto"/>
            <w:vAlign w:val="center"/>
            <w:hideMark/>
          </w:tcPr>
          <w:p>
            <w:pPr>
              <w:jc w:val="right"/>
              <w:rPr>
                <w:b/>
                <w:bCs/>
                <w:noProof/>
                <w:color w:val="000000"/>
                <w:sz w:val="14"/>
                <w:szCs w:val="14"/>
              </w:rPr>
            </w:pPr>
            <w:r>
              <w:rPr>
                <w:b/>
                <w:noProof/>
                <w:color w:val="000000"/>
                <w:sz w:val="14"/>
              </w:rPr>
              <w:t xml:space="preserve"> 705 051 794</w:t>
            </w:r>
          </w:p>
        </w:tc>
      </w:tr>
      <w:tr>
        <w:trPr>
          <w:trHeight w:val="225"/>
          <w:jc w:val="center"/>
        </w:trPr>
        <w:tc>
          <w:tcPr>
            <w:tcW w:w="294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pPr>
              <w:jc w:val="right"/>
              <w:rPr>
                <w:b/>
                <w:bCs/>
                <w:noProof/>
                <w:color w:val="000000"/>
                <w:sz w:val="14"/>
                <w:szCs w:val="14"/>
              </w:rPr>
            </w:pPr>
            <w:r>
              <w:rPr>
                <w:b/>
                <w:noProof/>
                <w:color w:val="000000"/>
                <w:sz w:val="14"/>
              </w:rPr>
              <w:t>Spolu</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166 189 197 116</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148 492 491 538</w:t>
            </w:r>
          </w:p>
        </w:tc>
        <w:tc>
          <w:tcPr>
            <w:tcW w:w="120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- 100 068 635</w:t>
            </w:r>
          </w:p>
        </w:tc>
        <w:tc>
          <w:tcPr>
            <w:tcW w:w="120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- 55 580 514</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166 089 128 481</w:t>
            </w:r>
          </w:p>
        </w:tc>
        <w:tc>
          <w:tcPr>
            <w:tcW w:w="1360" w:type="dxa"/>
            <w:tcBorders>
              <w:top w:val="nil"/>
              <w:left w:val="nil"/>
              <w:bottom w:val="single" w:sz="4" w:space="0" w:color="auto"/>
              <w:right w:val="single" w:sz="4" w:space="0" w:color="auto"/>
            </w:tcBorders>
            <w:shd w:val="clear" w:color="000000" w:fill="D9D9D9"/>
            <w:vAlign w:val="center"/>
            <w:hideMark/>
          </w:tcPr>
          <w:p>
            <w:pPr>
              <w:jc w:val="right"/>
              <w:rPr>
                <w:b/>
                <w:bCs/>
                <w:noProof/>
                <w:color w:val="000000"/>
                <w:sz w:val="14"/>
                <w:szCs w:val="14"/>
              </w:rPr>
            </w:pPr>
            <w:r>
              <w:rPr>
                <w:b/>
                <w:noProof/>
                <w:color w:val="000000"/>
                <w:sz w:val="14"/>
              </w:rPr>
              <w:t>148 436 911 024</w:t>
            </w:r>
          </w:p>
        </w:tc>
      </w:tr>
    </w:tbl>
    <w:p>
      <w:pPr>
        <w:pStyle w:val="Text1"/>
        <w:ind w:left="0"/>
        <w:rPr>
          <w:noProof/>
        </w:rPr>
      </w:pPr>
    </w:p>
    <w:sectPr>
      <w:headerReference w:type="even" r:id="rId32"/>
      <w:headerReference w:type="default" r:id="rId33"/>
      <w:footerReference w:type="even" r:id="rId34"/>
      <w:footerReference w:type="default" r:id="rId35"/>
      <w:headerReference w:type="first" r:id="rId36"/>
      <w:footerReference w:type="first" r:id="rId37"/>
      <w:pgSz w:w="11907" w:h="1683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535"/>
        <w:tab w:val="center" w:pos="4820"/>
      </w:tabs>
      <w:spacing w:before="0"/>
      <w:ind w:left="-851" w:right="-851"/>
      <w:rPr>
        <w:rFonts w:ascii="Arial" w:hAnsi="Arial" w:cs="Arial"/>
        <w:b/>
        <w:sz w:val="48"/>
      </w:rPr>
    </w:pPr>
    <w:r>
      <w:tab/>
    </w:r>
    <w:r>
      <w:fldChar w:fldCharType="begin"/>
    </w:r>
    <w:r>
      <w:instrText xml:space="preserve"> PAGE  \* MERGEFORMAT </w:instrText>
    </w:r>
    <w:r>
      <w:fldChar w:fldCharType="separate"/>
    </w:r>
    <w:r>
      <w:rPr>
        <w:noProof/>
      </w:rPr>
      <w:t>13</w:t>
    </w:r>
    <w:r>
      <w:rPr>
        <w:noProof/>
      </w:rPr>
      <w:fldChar w:fldCharType="end"/>
    </w:r>
    <w:r>
      <w:tab/>
    </w: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spacing w:before="0"/>
      <w:ind w:left="-851" w:right="-851"/>
      <w:rPr>
        <w:rFonts w:ascii="Arial" w:hAnsi="Arial" w:cs="Arial"/>
        <w:b/>
        <w:sz w:val="48"/>
      </w:rPr>
    </w:pPr>
    <w:r>
      <w:tab/>
    </w:r>
    <w:r>
      <w:fldChar w:fldCharType="begin"/>
    </w:r>
    <w:r>
      <w:instrText xml:space="preserve"> PAGE  \* MERGEFORMAT </w:instrText>
    </w:r>
    <w:r>
      <w:fldChar w:fldCharType="separate"/>
    </w:r>
    <w:r>
      <w:rPr>
        <w:noProof/>
      </w:rPr>
      <w:t>2</w:t>
    </w:r>
    <w:r>
      <w:fldChar w:fldCharType="end"/>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spacing w:before="0"/>
      <w:ind w:left="-851" w:right="-851"/>
      <w:rPr>
        <w:rFonts w:ascii="Arial" w:hAnsi="Arial" w:cs="Arial"/>
        <w:b/>
        <w:sz w:val="48"/>
      </w:rPr>
    </w:pPr>
    <w:r>
      <w:tab/>
    </w:r>
    <w:r>
      <w:fldChar w:fldCharType="begin"/>
    </w:r>
    <w:r>
      <w:instrText xml:space="preserve"> PAGE  \* MERGEFORMAT </w:instrText>
    </w:r>
    <w:r>
      <w:fldChar w:fldCharType="separate"/>
    </w:r>
    <w:r>
      <w:rPr>
        <w:noProof/>
      </w:rPr>
      <w:t>3</w:t>
    </w:r>
    <w:r>
      <w:fldChar w:fldCharType="end"/>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footnote>
  <w:footnote w:id="2">
    <w:p>
      <w:pPr>
        <w:pStyle w:val="FootnoteText"/>
      </w:pPr>
      <w:r>
        <w:rPr>
          <w:rStyle w:val="FootnoteReference"/>
        </w:rPr>
        <w:footnoteRef/>
      </w:r>
      <w:r>
        <w:t xml:space="preserve"> </w:t>
      </w:r>
      <w:r>
        <w:tab/>
      </w:r>
      <w:r>
        <w:rPr>
          <w:sz w:val="18"/>
        </w:rPr>
        <w:t>Ú. v. EÚ L 193, 30.7.2018, s. 1.</w:t>
      </w:r>
    </w:p>
  </w:footnote>
  <w:footnote w:id="3">
    <w:p>
      <w:pPr>
        <w:pStyle w:val="FootnoteText"/>
      </w:pPr>
      <w:r>
        <w:rPr>
          <w:rStyle w:val="FootnoteReference"/>
        </w:rPr>
        <w:footnoteRef/>
      </w:r>
      <w:r>
        <w:t>.</w:t>
      </w:r>
      <w:r>
        <w:tab/>
      </w:r>
      <w:r>
        <w:rPr>
          <w:sz w:val="18"/>
        </w:rPr>
        <w:t>Ú. v. EÚ L 67, 7.3.2019.</w:t>
      </w:r>
    </w:p>
  </w:footnote>
  <w:footnote w:id="4">
    <w:p>
      <w:pPr>
        <w:pStyle w:val="FootnoteText"/>
      </w:pPr>
      <w:r>
        <w:rPr>
          <w:rStyle w:val="FootnoteReference"/>
        </w:rPr>
        <w:footnoteRef/>
      </w:r>
      <w:r>
        <w:t xml:space="preserve"> </w:t>
      </w:r>
      <w:r>
        <w:tab/>
      </w:r>
      <w:r>
        <w:rPr>
          <w:sz w:val="18"/>
        </w:rPr>
        <w:t>COM(2019) 300, 15.4.2019.</w:t>
      </w:r>
    </w:p>
  </w:footnote>
  <w:footnote w:id="5">
    <w:p>
      <w:pPr>
        <w:pStyle w:val="FootnoteText"/>
      </w:pPr>
      <w:r>
        <w:rPr>
          <w:rStyle w:val="FootnoteReference"/>
        </w:rPr>
        <w:footnoteRef/>
      </w:r>
      <w:r>
        <w:t xml:space="preserve"> </w:t>
      </w:r>
      <w:r>
        <w:tab/>
      </w:r>
      <w:r>
        <w:rPr>
          <w:sz w:val="18"/>
        </w:rPr>
        <w:t>COM(2019) 320, 15.5.2019.</w:t>
      </w:r>
    </w:p>
  </w:footnote>
  <w:footnote w:id="6">
    <w:p>
      <w:pPr>
        <w:pStyle w:val="FootnoteText"/>
      </w:pPr>
      <w:r>
        <w:rPr>
          <w:rStyle w:val="FootnoteReference"/>
        </w:rPr>
        <w:footnoteRef/>
      </w:r>
      <w:r>
        <w:t xml:space="preserve"> </w:t>
      </w:r>
      <w:r>
        <w:tab/>
      </w:r>
      <w:r>
        <w:rPr>
          <w:sz w:val="18"/>
        </w:rPr>
        <w:t>COM(2019) 205, 22.5.2019.</w:t>
      </w:r>
    </w:p>
  </w:footnote>
  <w:footnote w:id="7">
    <w:p>
      <w:pPr>
        <w:pStyle w:val="FootnoteText"/>
      </w:pPr>
      <w:r>
        <w:rPr>
          <w:rStyle w:val="FootnoteReference"/>
        </w:rPr>
        <w:footnoteRef/>
      </w:r>
      <w:r>
        <w:t xml:space="preserve"> </w:t>
      </w:r>
      <w:r>
        <w:tab/>
        <w:t>COM(2017) 536, 20.9.2017.</w:t>
      </w:r>
    </w:p>
  </w:footnote>
  <w:footnote w:id="8">
    <w:p>
      <w:pPr>
        <w:pStyle w:val="FootnoteText"/>
      </w:pPr>
      <w:r>
        <w:rPr>
          <w:rStyle w:val="FootnoteReference"/>
        </w:rPr>
        <w:footnoteRef/>
      </w:r>
      <w:r>
        <w:t xml:space="preserve"> </w:t>
      </w:r>
      <w:r>
        <w:tab/>
        <w:t>COM(2017) 331, 13.6.2017.</w:t>
      </w:r>
    </w:p>
  </w:footnote>
  <w:footnote w:id="9">
    <w:p>
      <w:pPr>
        <w:pStyle w:val="FootnoteText"/>
      </w:pPr>
      <w:r>
        <w:rPr>
          <w:rStyle w:val="FootnoteReference"/>
        </w:rPr>
        <w:footnoteRef/>
      </w:r>
      <w:r>
        <w:t xml:space="preserve"> </w:t>
      </w:r>
      <w:r>
        <w:tab/>
        <w:t>SEC(2019) 250, 5.6.2019.</w:t>
      </w:r>
    </w:p>
  </w:footnote>
  <w:footnote w:id="10">
    <w:p>
      <w:pPr>
        <w:pStyle w:val="FootnoteText"/>
      </w:pPr>
      <w:r>
        <w:rPr>
          <w:rStyle w:val="FootnoteReference"/>
        </w:rPr>
        <w:footnoteRef/>
      </w:r>
      <w:r>
        <w:t xml:space="preserve"> </w:t>
      </w:r>
      <w:r>
        <w:tab/>
        <w:t>COM(2018) 631, 12.9.2018.</w:t>
      </w:r>
    </w:p>
  </w:footnote>
  <w:footnote w:id="11">
    <w:p>
      <w:pPr>
        <w:pStyle w:val="FootnoteText"/>
      </w:pPr>
      <w:r>
        <w:rPr>
          <w:rStyle w:val="FootnoteReference"/>
        </w:rPr>
        <w:footnoteRef/>
      </w:r>
      <w:r>
        <w:t xml:space="preserve"> </w:t>
      </w:r>
      <w:r>
        <w:tab/>
        <w:t>Nariadenie Rady (EÚ) 2017/1939 z 12. októbra 2017, ktorým sa vykonáva posilnená spolupráca na účely zriadenia Európskej prokuratúry (EPPO), Ú. v. EÚ L 283, 31.10.2017.</w:t>
      </w:r>
    </w:p>
  </w:footnote>
  <w:footnote w:id="12">
    <w:p>
      <w:pPr>
        <w:pStyle w:val="FootnoteText"/>
      </w:pPr>
      <w:r>
        <w:rPr>
          <w:rStyle w:val="FootnoteReference"/>
        </w:rPr>
        <w:footnoteRef/>
      </w:r>
      <w:r>
        <w:t xml:space="preserve"> </w:t>
      </w:r>
      <w:r>
        <w:tab/>
        <w:t>SEC(2019) 250, 5.6.2019.</w:t>
      </w:r>
    </w:p>
  </w:footnote>
  <w:footnote w:id="13">
    <w:p>
      <w:pPr>
        <w:pStyle w:val="FootnoteText"/>
        <w:ind w:left="709" w:hanging="709"/>
      </w:pPr>
      <w:r>
        <w:rPr>
          <w:rStyle w:val="FootnoteReference"/>
        </w:rPr>
        <w:footnoteRef/>
      </w:r>
      <w:r>
        <w:t xml:space="preserve"> </w:t>
      </w:r>
      <w:r>
        <w:tab/>
        <w:t xml:space="preserve">Rozhodnutie Európskeho parlamentu a Rady (EÚ) 2019/420 z 13. marca 2019, ktorým sa mení rozhodnutie č. 1313/2013/EÚ o mechanizme Únie v oblasti civilnej ochrany (Ú. v. EÚ L 77, 20.3.2019, s. 1). Finančné krytie je stanovené v článku 1 ods. 11. </w:t>
      </w:r>
    </w:p>
  </w:footnote>
  <w:footnote w:id="14">
    <w:p>
      <w:pPr>
        <w:pStyle w:val="FootnoteText"/>
      </w:pPr>
      <w:r>
        <w:rPr>
          <w:rStyle w:val="FootnoteReference"/>
        </w:rPr>
        <w:footnoteRef/>
      </w:r>
      <w:r>
        <w:t xml:space="preserve"> </w:t>
      </w:r>
      <w:r>
        <w:tab/>
        <w:t>COM(2019) 252, 5.6.2019.</w:t>
      </w:r>
    </w:p>
  </w:footnote>
  <w:footnote w:id="15">
    <w:p>
      <w:pPr>
        <w:pStyle w:val="FootnoteText"/>
      </w:pPr>
      <w:r>
        <w:rPr>
          <w:rStyle w:val="FootnoteReference"/>
        </w:rPr>
        <w:footnoteRef/>
      </w:r>
      <w:r>
        <w:t xml:space="preserve"> </w:t>
      </w:r>
      <w:r>
        <w:tab/>
        <w:t>COM(2019) 600, 2.7.2019.</w:t>
      </w:r>
    </w:p>
  </w:footnote>
  <w:footnote w:id="16">
    <w:p>
      <w:pPr>
        <w:pStyle w:val="FootnoteText"/>
      </w:pPr>
      <w:r>
        <w:rPr>
          <w:rStyle w:val="FootnoteReference"/>
        </w:rPr>
        <w:footnoteRef/>
      </w:r>
      <w:r>
        <w:t xml:space="preserve"> </w:t>
      </w:r>
      <w:r>
        <w:tab/>
        <w:t>Ú. v. EÚ L54, 22.2.2019, s.3.</w:t>
      </w:r>
    </w:p>
  </w:footnote>
  <w:footnote w:id="17">
    <w:p>
      <w:pPr>
        <w:pStyle w:val="FootnoteText"/>
        <w:rPr>
          <w:sz w:val="24"/>
          <w:szCs w:val="24"/>
        </w:rPr>
      </w:pPr>
      <w:r>
        <w:rPr>
          <w:rStyle w:val="FootnoteReference"/>
        </w:rPr>
        <w:footnoteRef/>
      </w:r>
      <w:r>
        <w:rPr>
          <w:rStyle w:val="FootnoteReference"/>
        </w:rPr>
        <w:t xml:space="preserve"> </w:t>
      </w:r>
      <w:r>
        <w:tab/>
      </w:r>
      <w:r>
        <w:rPr>
          <w:sz w:val="18"/>
        </w:rPr>
        <w:t>Závery z mimoriadneho zasadnutia Európskej rady (článok 50) (10. apríla 2019) – EUCO XT 20015/19.</w:t>
      </w:r>
    </w:p>
  </w:footnote>
  <w:footnote w:id="18">
    <w:p>
      <w:pPr>
        <w:pStyle w:val="FootnoteText"/>
      </w:pPr>
      <w:r>
        <w:rPr>
          <w:rStyle w:val="FootnoteReference"/>
        </w:rPr>
        <w:footnoteRef/>
      </w:r>
      <w:r>
        <w:rPr>
          <w:rStyle w:val="FootnoteReference"/>
        </w:rPr>
        <w:t xml:space="preserve"> </w:t>
      </w:r>
      <w:r>
        <w:tab/>
      </w:r>
      <w:r>
        <w:rPr>
          <w:sz w:val="18"/>
        </w:rPr>
        <w:t>Rozhodnutie (EÚ) 2018/937 z 28. júna 2018.</w:t>
      </w:r>
    </w:p>
  </w:footnote>
  <w:footnote w:id="19">
    <w:p>
      <w:pPr>
        <w:pStyle w:val="FootnoteText"/>
      </w:pPr>
      <w:r>
        <w:rPr>
          <w:rStyle w:val="FootnoteReference"/>
        </w:rPr>
        <w:footnoteRef/>
      </w:r>
      <w:r>
        <w:t xml:space="preserve"> </w:t>
      </w:r>
      <w:r>
        <w:tab/>
        <w:t>COM(2019) 205, 22.5.2019.</w:t>
      </w:r>
    </w:p>
  </w:footnote>
  <w:footnote w:id="20">
    <w:p>
      <w:pPr>
        <w:pStyle w:val="FootnoteText"/>
        <w:ind w:left="284" w:hanging="284"/>
      </w:pPr>
      <w:r>
        <w:rPr>
          <w:rStyle w:val="FootnoteReference"/>
        </w:rPr>
        <w:footnoteRef/>
      </w:r>
      <w:r>
        <w:t xml:space="preserve"> </w:t>
      </w:r>
      <w:r>
        <w:tab/>
        <w:t xml:space="preserve">Európska komisia, hospodárske prognózy z jari 2019, </w:t>
      </w:r>
      <w:hyperlink r:id="rId1">
        <w:r>
          <w:rPr>
            <w:rStyle w:val="Hyperlink"/>
          </w:rPr>
          <w:t>https://ec.europa.eu/info/business-economy-euro/economic-performance-and-forecasts/economic-forecasts/spring-2019-economic-forecast_en</w:t>
        </w:r>
      </w:hyperlink>
      <w:r>
        <w:t xml:space="preserve"> </w:t>
      </w:r>
    </w:p>
  </w:footnote>
  <w:footnote w:id="21">
    <w:p>
      <w:pPr>
        <w:pStyle w:val="FootnoteText"/>
        <w:ind w:left="284" w:hanging="284"/>
        <w:rPr>
          <w:sz w:val="18"/>
          <w:szCs w:val="18"/>
        </w:rPr>
      </w:pPr>
      <w:r>
        <w:rPr>
          <w:rStyle w:val="FootnoteReference"/>
          <w:sz w:val="18"/>
        </w:rPr>
        <w:footnoteRef/>
      </w:r>
      <w:r>
        <w:rPr>
          <w:sz w:val="18"/>
        </w:rPr>
        <w:t xml:space="preserve"> </w:t>
      </w:r>
      <w:r>
        <w:tab/>
        <w:t>V súlade s rozhodnutím Rady 2014/335, ak základ DPH niektorého členského štátu prekročí 50 % jeho HND, obmedzí sa na úrovni týchto 50 % HND. V NOR č. 4/2019 sa základ DPH obmedzuje na úrovni 50 % HND v prípade piatich členských štátov: Chorvátska, Cypru, Luxemburska, Malty a Portugalska.</w:t>
      </w:r>
    </w:p>
  </w:footnote>
  <w:footnote w:id="22">
    <w:p>
      <w:pPr>
        <w:pStyle w:val="FootnoteText"/>
        <w:ind w:left="284" w:hanging="295"/>
        <w:rPr>
          <w:rStyle w:val="FootnoteReference"/>
          <w:sz w:val="18"/>
          <w:szCs w:val="18"/>
        </w:rPr>
      </w:pPr>
      <w:r>
        <w:rPr>
          <w:rStyle w:val="FootnoteReference"/>
          <w:sz w:val="18"/>
        </w:rPr>
        <w:footnoteRef/>
      </w:r>
      <w:r>
        <w:tab/>
        <w:t>Sumy zvýraznené sivou farbou vyplývajú z obmedzených základov DPH, ako je vysvetlené v predchádzajúcej poznámke pod čiarou.</w:t>
      </w:r>
    </w:p>
  </w:footnote>
  <w:footnote w:id="23">
    <w:p>
      <w:pPr>
        <w:pStyle w:val="FootnoteText"/>
        <w:ind w:left="284" w:hanging="284"/>
        <w:rPr>
          <w:sz w:val="18"/>
          <w:szCs w:val="18"/>
        </w:rPr>
      </w:pPr>
      <w:r>
        <w:rPr>
          <w:rStyle w:val="FootnoteReference"/>
        </w:rPr>
        <w:footnoteRef/>
      </w:r>
      <w:r>
        <w:tab/>
        <w:t>Ú. v. EÚ L 168, 7.6.2014, s. 105-111.</w:t>
      </w:r>
    </w:p>
  </w:footnote>
  <w:footnote w:id="24">
    <w:p>
      <w:pPr>
        <w:pStyle w:val="FootnoteText"/>
        <w:ind w:left="284" w:hanging="284"/>
        <w:rPr>
          <w:sz w:val="18"/>
          <w:szCs w:val="18"/>
        </w:rPr>
      </w:pPr>
      <w:r>
        <w:rPr>
          <w:rStyle w:val="FootnoteReference"/>
        </w:rPr>
        <w:footnoteRef/>
      </w:r>
      <w:r>
        <w:tab/>
        <w:t>Pracovný dokument Komisie zo 14. mája 2014 o výpočte, financovaní, platbe a zahrnutí do rozpočtu korekcií rozpočtových schodkov v prospech Spojeného kráľovstva („korekcia pre Spojené kráľovstvo“) v súlade s článkami 4 a 5 rozhodnutia Rady 2014/335/ES, Euratom o systéme vlastných zdrojov Európskej únie.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49F88"/>
    <w:lvl w:ilvl="0">
      <w:start w:val="1"/>
      <w:numFmt w:val="decimal"/>
      <w:pStyle w:val="ListNumber5"/>
      <w:lvlText w:val="%1."/>
      <w:lvlJc w:val="left"/>
      <w:pPr>
        <w:tabs>
          <w:tab w:val="num" w:pos="1492"/>
        </w:tabs>
        <w:ind w:left="1492" w:hanging="360"/>
      </w:pPr>
    </w:lvl>
  </w:abstractNum>
  <w:abstractNum w:abstractNumId="1">
    <w:nsid w:val="FFFFFF82"/>
    <w:multiLevelType w:val="singleLevel"/>
    <w:tmpl w:val="338AC504"/>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0E835770"/>
    <w:multiLevelType w:val="hybridMultilevel"/>
    <w:tmpl w:val="365E0218"/>
    <w:lvl w:ilvl="0" w:tplc="8264D7DC">
      <w:start w:val="1"/>
      <w:numFmt w:val="bullet"/>
      <w:pStyle w:val="agbullets"/>
      <w:lvlText w:val=""/>
      <w:lvlJc w:val="left"/>
      <w:pPr>
        <w:ind w:left="720" w:hanging="360"/>
      </w:pPr>
      <w:rPr>
        <w:rFonts w:ascii="Symbol" w:hAnsi="Symbol" w:hint="default"/>
      </w:rPr>
    </w:lvl>
    <w:lvl w:ilvl="1" w:tplc="B8AE865E">
      <w:numFmt w:val="decimal"/>
      <w:lvlText w:val=""/>
      <w:lvlJc w:val="left"/>
    </w:lvl>
    <w:lvl w:ilvl="2" w:tplc="581813B8">
      <w:numFmt w:val="decimal"/>
      <w:lvlText w:val=""/>
      <w:lvlJc w:val="left"/>
    </w:lvl>
    <w:lvl w:ilvl="3" w:tplc="B7C81A1E">
      <w:numFmt w:val="decimal"/>
      <w:lvlText w:val=""/>
      <w:lvlJc w:val="left"/>
    </w:lvl>
    <w:lvl w:ilvl="4" w:tplc="5030D16A">
      <w:numFmt w:val="decimal"/>
      <w:lvlText w:val=""/>
      <w:lvlJc w:val="left"/>
    </w:lvl>
    <w:lvl w:ilvl="5" w:tplc="7A1E383C">
      <w:numFmt w:val="decimal"/>
      <w:lvlText w:val=""/>
      <w:lvlJc w:val="left"/>
    </w:lvl>
    <w:lvl w:ilvl="6" w:tplc="CE08976E">
      <w:numFmt w:val="decimal"/>
      <w:lvlText w:val=""/>
      <w:lvlJc w:val="left"/>
    </w:lvl>
    <w:lvl w:ilvl="7" w:tplc="D5D01BC0">
      <w:numFmt w:val="decimal"/>
      <w:lvlText w:val=""/>
      <w:lvlJc w:val="left"/>
    </w:lvl>
    <w:lvl w:ilvl="8" w:tplc="05920FDA">
      <w:numFmt w:val="decimal"/>
      <w:lvlText w:val=""/>
      <w:lvlJc w:val="left"/>
    </w:lvl>
  </w:abstractNum>
  <w:abstractNum w:abstractNumId="3">
    <w:nsid w:val="19713AC5"/>
    <w:multiLevelType w:val="hybridMultilevel"/>
    <w:tmpl w:val="942260B6"/>
    <w:lvl w:ilvl="0" w:tplc="6450B68C">
      <w:start w:val="1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5">
    <w:nsid w:val="32A52C4F"/>
    <w:multiLevelType w:val="singleLevel"/>
    <w:tmpl w:val="CEFC5A24"/>
    <w:lvl w:ilvl="0">
      <w:start w:val="1"/>
      <w:numFmt w:val="bullet"/>
      <w:lvlRestart w:val="0"/>
      <w:pStyle w:val="Tiret0"/>
      <w:lvlText w:val="–"/>
      <w:lvlJc w:val="left"/>
      <w:pPr>
        <w:tabs>
          <w:tab w:val="num" w:pos="850"/>
        </w:tabs>
        <w:ind w:left="850" w:hanging="850"/>
      </w:pPr>
    </w:lvl>
  </w:abstractNum>
  <w:abstractNum w:abstractNumId="6">
    <w:nsid w:val="390F25DB"/>
    <w:multiLevelType w:val="hybridMultilevel"/>
    <w:tmpl w:val="E7265104"/>
    <w:lvl w:ilvl="0" w:tplc="B0DC89EA">
      <w:start w:val="1"/>
      <w:numFmt w:val="bullet"/>
      <w:pStyle w:val="agtabbullets"/>
      <w:lvlText w:val=""/>
      <w:lvlJc w:val="left"/>
      <w:pPr>
        <w:ind w:left="1080" w:hanging="360"/>
      </w:pPr>
      <w:rPr>
        <w:rFonts w:ascii="Symbol" w:hAnsi="Symbol" w:hint="default"/>
      </w:rPr>
    </w:lvl>
    <w:lvl w:ilvl="1" w:tplc="510EFC82">
      <w:numFmt w:val="decimal"/>
      <w:lvlText w:val=""/>
      <w:lvlJc w:val="left"/>
    </w:lvl>
    <w:lvl w:ilvl="2" w:tplc="98DA8758">
      <w:numFmt w:val="decimal"/>
      <w:lvlText w:val=""/>
      <w:lvlJc w:val="left"/>
    </w:lvl>
    <w:lvl w:ilvl="3" w:tplc="A8DA21E8">
      <w:numFmt w:val="decimal"/>
      <w:lvlText w:val=""/>
      <w:lvlJc w:val="left"/>
    </w:lvl>
    <w:lvl w:ilvl="4" w:tplc="4C5E1946">
      <w:numFmt w:val="decimal"/>
      <w:lvlText w:val=""/>
      <w:lvlJc w:val="left"/>
    </w:lvl>
    <w:lvl w:ilvl="5" w:tplc="DC50A908">
      <w:numFmt w:val="decimal"/>
      <w:lvlText w:val=""/>
      <w:lvlJc w:val="left"/>
    </w:lvl>
    <w:lvl w:ilvl="6" w:tplc="277AF326">
      <w:numFmt w:val="decimal"/>
      <w:lvlText w:val=""/>
      <w:lvlJc w:val="left"/>
    </w:lvl>
    <w:lvl w:ilvl="7" w:tplc="96EC6C5E">
      <w:numFmt w:val="decimal"/>
      <w:lvlText w:val=""/>
      <w:lvlJc w:val="left"/>
    </w:lvl>
    <w:lvl w:ilvl="8" w:tplc="CF347B90">
      <w:numFmt w:val="decimal"/>
      <w:lvlText w:val=""/>
      <w:lvlJc w:val="left"/>
    </w:lvl>
  </w:abstractNum>
  <w:abstractNum w:abstractNumId="7">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8">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nsid w:val="5F8C3B69"/>
    <w:multiLevelType w:val="multilevel"/>
    <w:tmpl w:val="9B14DAA8"/>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1">
    <w:nsid w:val="6D2B5511"/>
    <w:multiLevelType w:val="singleLevel"/>
    <w:tmpl w:val="74A09970"/>
    <w:name w:val="Heading__2"/>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12">
    <w:nsid w:val="7BE95D7F"/>
    <w:multiLevelType w:val="multilevel"/>
    <w:tmpl w:val="F126F78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7C966381"/>
    <w:multiLevelType w:val="multilevel"/>
    <w:tmpl w:val="DCC8806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8"/>
  </w:num>
  <w:num w:numId="3">
    <w:abstractNumId w:val="11"/>
  </w:num>
  <w:num w:numId="4">
    <w:abstractNumId w:val="7"/>
  </w:num>
  <w:num w:numId="5">
    <w:abstractNumId w:val="4"/>
  </w:num>
  <w:num w:numId="6">
    <w:abstractNumId w:val="12"/>
  </w:num>
  <w:num w:numId="7">
    <w:abstractNumId w:val="9"/>
  </w:num>
  <w:num w:numId="8">
    <w:abstractNumId w:val="13"/>
  </w:num>
  <w:num w:numId="9">
    <w:abstractNumId w:val="10"/>
  </w:num>
  <w:num w:numId="10">
    <w:abstractNumId w:val="0"/>
  </w:num>
  <w:num w:numId="11">
    <w:abstractNumId w:val="1"/>
  </w:num>
  <w:num w:numId="12">
    <w:abstractNumId w:val="2"/>
  </w:num>
  <w:num w:numId="13">
    <w:abstractNumId w:val="6"/>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DocumentType" w:val="ERR"/>
    <w:docVar w:name="FigNum" w:val="1"/>
    <w:docVar w:name="LW_CORRIGENDUM" w:val="&lt;UNUSED&gt;"/>
    <w:docVar w:name="LW_COVERPAGE_EXISTS" w:val="True"/>
    <w:docVar w:name="LW_COVERPAGE_GUID" w:val="2C6F82ED-287C-4F30-809A-B5F04209EBD5"/>
    <w:docVar w:name="LW_COVERPAGE_TYPE" w:val="1"/>
    <w:docVar w:name="LW_CROSSREFERENCE" w:val="&lt;UNUSED&gt;"/>
    <w:docVar w:name="LW_DocType" w:val="NORMAL"/>
    <w:docVar w:name="LW_EMISSION" w:val="2. 7. 2019"/>
    <w:docVar w:name="LW_EMISSION_ISODATE" w:val="2019-07-02"/>
    <w:docVar w:name="LW_EMISSION_LOCATION" w:val="BRX"/>
    <w:docVar w:name="LW_EMISSION_PREFIX" w:val="V Bruseli"/>
    <w:docVar w:name="LW_EMISSION_SUFFIX" w:val=" "/>
    <w:docVar w:name="LW_ID_DOCTYPE_NONLW" w:val="CP-035"/>
    <w:docVar w:name="LW_LANGUE" w:val="SK"/>
    <w:docVar w:name="LW_LEVEL_OF_SENSITIVITY" w:val="Standard treatment"/>
    <w:docVar w:name="LW_NOM.INST" w:val="EURÓPSKA KOMISIA"/>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61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Zní\u382?enie viazaných a platobnýcb rozpo\u269?tových prostriedkov v súlade s aktualizovanými potrebami v prípade výdavkov a aktualizáciou príjmov (vlastné zdroje)"/>
    <w:docVar w:name="LW_TITRE.OBJ.CP_PREVIOUS" w:val="&lt;UNUSED&gt;"/>
    <w:docVar w:name="LW_TYPE.DOC.CP" w:val="NÁVRH OPRAVNÉHO ROZPO\u268?TU \u269?. 4_x000b_K V\u352?EOBECNÉMU ROZPO\u268?TU NA ROK 2019"/>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sk-SK"/>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pPr>
      <w:keepNext/>
      <w:spacing w:before="240" w:after="120"/>
      <w:outlineLvl w:val="0"/>
    </w:pPr>
    <w:rPr>
      <w:rFonts w:ascii="Arial" w:hAnsi="Arial" w:cs="Arial"/>
      <w:b/>
      <w:bCs/>
      <w:kern w:val="32"/>
      <w:sz w:val="32"/>
      <w:szCs w:val="32"/>
    </w:rPr>
  </w:style>
  <w:style w:type="paragraph" w:styleId="Heading2">
    <w:name w:val="heading 2"/>
    <w:aliases w:val="Char, Char,Abschnitt"/>
    <w:basedOn w:val="Normal"/>
    <w:next w:val="Normal"/>
    <w:link w:val="Heading2Char"/>
    <w:autoRedefine/>
    <w:qFormat/>
    <w:pPr>
      <w:keepNext/>
      <w:spacing w:before="240" w:after="120"/>
      <w:ind w:left="720" w:hanging="720"/>
      <w:outlineLvl w:val="1"/>
    </w:pPr>
    <w:rPr>
      <w:rFonts w:ascii="Arial" w:hAnsi="Arial" w:cs="Arial"/>
      <w:b/>
      <w:bCs/>
      <w:i/>
      <w:iCs/>
      <w:sz w:val="28"/>
      <w:szCs w:val="28"/>
    </w:rPr>
  </w:style>
  <w:style w:type="paragraph" w:styleId="Heading3">
    <w:name w:val="heading 3"/>
    <w:aliases w:val="Heading 3 Auto"/>
    <w:basedOn w:val="Normal"/>
    <w:next w:val="Normal"/>
    <w:link w:val="Heading3Char"/>
    <w:autoRedefine/>
    <w:qFormat/>
    <w:pPr>
      <w:keepNext/>
      <w:numPr>
        <w:ilvl w:val="2"/>
      </w:numPr>
      <w:tabs>
        <w:tab w:val="num" w:pos="850"/>
      </w:tabs>
      <w:spacing w:before="120" w:after="120"/>
      <w:ind w:left="850" w:hanging="850"/>
      <w:jc w:val="both"/>
      <w:outlineLvl w:val="2"/>
    </w:pPr>
    <w:rPr>
      <w:rFonts w:ascii="Arial" w:hAnsi="Arial" w:cs="Arial"/>
      <w:b/>
      <w:bCs/>
      <w:i/>
      <w:sz w:val="26"/>
      <w:szCs w:val="26"/>
    </w:rPr>
  </w:style>
  <w:style w:type="paragraph" w:styleId="Heading4">
    <w:name w:val="heading 4"/>
    <w:basedOn w:val="Normal"/>
    <w:next w:val="Normal"/>
    <w:link w:val="Heading4Char"/>
    <w:qFormat/>
    <w:pPr>
      <w:keepNext/>
      <w:numPr>
        <w:ilvl w:val="3"/>
      </w:numPr>
      <w:tabs>
        <w:tab w:val="num" w:pos="1030"/>
      </w:tabs>
      <w:spacing w:before="120" w:after="120"/>
      <w:ind w:left="1030" w:hanging="850"/>
      <w:jc w:val="both"/>
      <w:outlineLvl w:val="3"/>
    </w:pPr>
    <w:rPr>
      <w:b/>
      <w:bCs/>
      <w:szCs w:val="28"/>
    </w:rPr>
  </w:style>
  <w:style w:type="paragraph" w:styleId="Heading5">
    <w:name w:val="heading 5"/>
    <w:basedOn w:val="Normal"/>
    <w:next w:val="Normal"/>
    <w:link w:val="Heading5Char"/>
    <w:uiPriority w:val="99"/>
    <w:qFormat/>
    <w:pPr>
      <w:spacing w:before="240" w:after="60"/>
      <w:jc w:val="both"/>
      <w:outlineLvl w:val="4"/>
    </w:pPr>
    <w:rPr>
      <w:rFonts w:ascii="Arial" w:eastAsiaTheme="majorEastAsia" w:hAnsi="Arial" w:cs="Arial"/>
      <w:sz w:val="22"/>
      <w:szCs w:val="22"/>
    </w:rPr>
  </w:style>
  <w:style w:type="paragraph" w:styleId="Heading6">
    <w:name w:val="heading 6"/>
    <w:basedOn w:val="Normal"/>
    <w:next w:val="Normal"/>
    <w:link w:val="Heading6Char"/>
    <w:uiPriority w:val="99"/>
    <w:qFormat/>
    <w:pPr>
      <w:spacing w:before="240" w:after="60"/>
      <w:jc w:val="both"/>
      <w:outlineLvl w:val="5"/>
    </w:pPr>
    <w:rPr>
      <w:rFonts w:ascii="Arial" w:eastAsiaTheme="majorEastAsia" w:hAnsi="Arial" w:cs="Arial"/>
      <w:i/>
      <w:iCs/>
      <w:sz w:val="22"/>
      <w:szCs w:val="22"/>
    </w:rPr>
  </w:style>
  <w:style w:type="paragraph" w:styleId="Heading7">
    <w:name w:val="heading 7"/>
    <w:basedOn w:val="Normal"/>
    <w:next w:val="Normal"/>
    <w:link w:val="Heading7Char"/>
    <w:uiPriority w:val="99"/>
    <w:qFormat/>
    <w:pPr>
      <w:spacing w:before="240" w:after="60"/>
      <w:jc w:val="both"/>
      <w:outlineLvl w:val="6"/>
    </w:pPr>
    <w:rPr>
      <w:rFonts w:ascii="Arial" w:eastAsiaTheme="majorEastAsia" w:hAnsi="Arial" w:cs="Arial"/>
      <w:sz w:val="22"/>
      <w:szCs w:val="20"/>
    </w:rPr>
  </w:style>
  <w:style w:type="paragraph" w:styleId="Heading8">
    <w:name w:val="heading 8"/>
    <w:basedOn w:val="Normal"/>
    <w:next w:val="Normal"/>
    <w:link w:val="Heading8Char"/>
    <w:uiPriority w:val="99"/>
    <w:qFormat/>
    <w:pPr>
      <w:spacing w:before="240" w:after="60"/>
      <w:jc w:val="both"/>
      <w:outlineLvl w:val="7"/>
    </w:pPr>
    <w:rPr>
      <w:rFonts w:ascii="Arial" w:eastAsiaTheme="majorEastAsia" w:hAnsi="Arial" w:cs="Arial"/>
      <w:i/>
      <w:iCs/>
      <w:sz w:val="22"/>
      <w:szCs w:val="20"/>
    </w:rPr>
  </w:style>
  <w:style w:type="paragraph" w:styleId="Heading9">
    <w:name w:val="heading 9"/>
    <w:basedOn w:val="Normal"/>
    <w:next w:val="Normal"/>
    <w:link w:val="Heading9Char"/>
    <w:uiPriority w:val="99"/>
    <w:qFormat/>
    <w:pPr>
      <w:spacing w:before="240" w:after="60"/>
      <w:jc w:val="both"/>
      <w:outlineLvl w:val="8"/>
    </w:pPr>
    <w:rPr>
      <w:rFonts w:ascii="Arial" w:eastAsiaTheme="majorEastAsia"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35"/>
        <w:tab w:val="right" w:pos="9071"/>
        <w:tab w:val="right" w:pos="9921"/>
      </w:tabs>
      <w:spacing w:before="360"/>
      <w:ind w:left="-850" w:right="-850"/>
    </w:pPr>
    <w:rPr>
      <w:rFonts w:eastAsiaTheme="minorHAnsi"/>
      <w:szCs w:val="22"/>
    </w:rPr>
  </w:style>
  <w:style w:type="paragraph" w:styleId="FootnoteText">
    <w:name w:val="footnote text"/>
    <w:basedOn w:val="Normal"/>
    <w:link w:val="FootnoteTextChar"/>
    <w:uiPriority w:val="99"/>
    <w:pPr>
      <w:ind w:left="720" w:hanging="720"/>
      <w:jc w:val="both"/>
    </w:pPr>
    <w:rPr>
      <w:sz w:val="20"/>
      <w:szCs w:val="20"/>
    </w:rPr>
  </w:style>
  <w:style w:type="paragraph" w:styleId="TOC1">
    <w:name w:val="toc 1"/>
    <w:basedOn w:val="Normal"/>
    <w:next w:val="Normal"/>
    <w:uiPriority w:val="39"/>
    <w:qFormat/>
    <w:pPr>
      <w:spacing w:before="120" w:after="120"/>
    </w:pPr>
    <w:rPr>
      <w:b/>
      <w:bCs/>
      <w:caps/>
      <w:sz w:val="20"/>
      <w:szCs w:val="20"/>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uiPriority w:val="99"/>
    <w:rPr>
      <w:vertAlign w:val="superscript"/>
    </w:rPr>
  </w:style>
  <w:style w:type="paragraph" w:customStyle="1" w:styleId="Text1">
    <w:name w:val="Text 1"/>
    <w:basedOn w:val="Normal"/>
    <w:pPr>
      <w:spacing w:before="120" w:after="120"/>
      <w:ind w:left="850"/>
      <w:jc w:val="both"/>
    </w:pPr>
  </w:style>
  <w:style w:type="paragraph" w:customStyle="1" w:styleId="Tiret0">
    <w:name w:val="Tiret 0"/>
    <w:basedOn w:val="Normal"/>
    <w:pPr>
      <w:numPr>
        <w:numId w:val="1"/>
      </w:numPr>
      <w:spacing w:before="120" w:after="120"/>
      <w:jc w:val="both"/>
    </w:pPr>
  </w:style>
  <w:style w:type="paragraph" w:customStyle="1" w:styleId="ManualHeading1">
    <w:name w:val="Manual Heading 1"/>
    <w:basedOn w:val="Normal"/>
    <w:next w:val="Text1"/>
    <w:pPr>
      <w:keepNext/>
      <w:tabs>
        <w:tab w:val="left" w:pos="850"/>
      </w:tabs>
      <w:spacing w:before="360" w:after="120"/>
      <w:ind w:left="850" w:hanging="850"/>
      <w:jc w:val="both"/>
      <w:outlineLvl w:val="0"/>
    </w:pPr>
    <w:rPr>
      <w:b/>
      <w:smallCaps/>
    </w:rPr>
  </w:style>
  <w:style w:type="paragraph" w:customStyle="1" w:styleId="ManualHeading2">
    <w:name w:val="Manual Heading 2"/>
    <w:basedOn w:val="Normal"/>
    <w:next w:val="Normal"/>
    <w:pPr>
      <w:keepNext/>
      <w:tabs>
        <w:tab w:val="left" w:pos="850"/>
      </w:tabs>
      <w:spacing w:before="120" w:after="120"/>
      <w:ind w:left="850" w:hanging="850"/>
      <w:jc w:val="both"/>
      <w:outlineLvl w:val="1"/>
    </w:pPr>
    <w:rPr>
      <w:b/>
    </w:rPr>
  </w:style>
  <w:style w:type="paragraph" w:customStyle="1" w:styleId="ListDash">
    <w:name w:val="List Dash"/>
    <w:basedOn w:val="Normal"/>
    <w:link w:val="ListDashChar"/>
    <w:pPr>
      <w:numPr>
        <w:numId w:val="2"/>
      </w:numPr>
      <w:spacing w:before="120" w:after="120"/>
      <w:jc w:val="both"/>
    </w:pPr>
  </w:style>
  <w:style w:type="paragraph" w:styleId="TOCHeading">
    <w:name w:val="TOC Heading"/>
    <w:basedOn w:val="Normal"/>
    <w:next w:val="Normal"/>
    <w:uiPriority w:val="39"/>
    <w:qFormat/>
    <w:pPr>
      <w:spacing w:before="120" w:after="240"/>
      <w:jc w:val="center"/>
    </w:pPr>
    <w:rPr>
      <w:b/>
      <w:sz w:val="28"/>
    </w:r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jc w:val="center"/>
    </w:pPr>
    <w:rPr>
      <w:b/>
    </w:rPr>
  </w:style>
  <w:style w:type="character" w:styleId="Hyperlink">
    <w:name w:val="Hyperlink"/>
    <w:uiPriority w:val="99"/>
    <w:rPr>
      <w:color w:val="0000FF"/>
      <w:u w:val="single"/>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before="120" w:after="120"/>
      <w:jc w:val="both"/>
    </w:pPr>
  </w:style>
  <w:style w:type="paragraph" w:styleId="Header">
    <w:name w:val="header"/>
    <w:basedOn w:val="Normal"/>
    <w:link w:val="HeaderChar"/>
    <w:unhideWhenUsed/>
    <w:pPr>
      <w:tabs>
        <w:tab w:val="center" w:pos="4535"/>
        <w:tab w:val="right" w:pos="9071"/>
      </w:tabs>
      <w:spacing w:after="120"/>
      <w:jc w:val="both"/>
    </w:pPr>
    <w:rPr>
      <w:rFonts w:eastAsiaTheme="minorHAnsi"/>
      <w:szCs w:val="22"/>
    </w:rPr>
  </w:style>
  <w:style w:type="paragraph" w:customStyle="1" w:styleId="FooterCoverPage">
    <w:name w:val="Footer Cover Page"/>
    <w:basedOn w:val="Normal"/>
    <w:pPr>
      <w:tabs>
        <w:tab w:val="center" w:pos="4535"/>
        <w:tab w:val="right" w:pos="9071"/>
        <w:tab w:val="right" w:pos="9921"/>
      </w:tabs>
      <w:spacing w:before="360"/>
      <w:ind w:left="-850" w:right="-850"/>
    </w:pPr>
  </w:style>
  <w:style w:type="paragraph" w:customStyle="1" w:styleId="HeaderCoverPage">
    <w:name w:val="Header Cover Page"/>
    <w:basedOn w:val="Normal"/>
    <w:pPr>
      <w:tabs>
        <w:tab w:val="center" w:pos="4535"/>
        <w:tab w:val="right" w:pos="9071"/>
      </w:tabs>
      <w:spacing w:after="120"/>
      <w:jc w:val="both"/>
    </w:pPr>
  </w:style>
  <w:style w:type="paragraph" w:styleId="TOC2">
    <w:name w:val="toc 2"/>
    <w:basedOn w:val="Normal"/>
    <w:next w:val="Normal"/>
    <w:autoRedefine/>
    <w:uiPriority w:val="39"/>
    <w:qFormat/>
    <w:pPr>
      <w:ind w:left="240"/>
    </w:pPr>
    <w:rPr>
      <w:smallCaps/>
      <w:sz w:val="20"/>
      <w:szCs w:val="20"/>
    </w:rPr>
  </w:style>
  <w:style w:type="paragraph" w:styleId="TOC3">
    <w:name w:val="toc 3"/>
    <w:basedOn w:val="Normal"/>
    <w:next w:val="Normal"/>
    <w:autoRedefine/>
    <w:qFormat/>
    <w:pPr>
      <w:ind w:left="480"/>
    </w:pPr>
    <w:rPr>
      <w:i/>
      <w:iCs/>
      <w:sz w:val="20"/>
      <w:szCs w:val="20"/>
    </w:rPr>
  </w:style>
  <w:style w:type="paragraph" w:styleId="TOC4">
    <w:name w:val="toc 4"/>
    <w:basedOn w:val="Normal"/>
    <w:next w:val="Normal"/>
    <w:autoRedefine/>
    <w:semiHidden/>
    <w:pPr>
      <w:ind w:left="720"/>
    </w:pPr>
    <w:rPr>
      <w:sz w:val="18"/>
      <w:szCs w:val="18"/>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styleId="ListBullet">
    <w:name w:val="List Bullet"/>
    <w:basedOn w:val="Normal"/>
    <w:pPr>
      <w:numPr>
        <w:numId w:val="3"/>
      </w:numPr>
      <w:spacing w:before="120" w:after="120"/>
      <w:jc w:val="both"/>
    </w:pPr>
  </w:style>
  <w:style w:type="paragraph" w:customStyle="1" w:styleId="ListDash2">
    <w:name w:val="List Dash 2"/>
    <w:basedOn w:val="Normal"/>
    <w:pPr>
      <w:tabs>
        <w:tab w:val="num" w:pos="1134"/>
      </w:tabs>
      <w:spacing w:before="120" w:after="120"/>
      <w:ind w:left="1134" w:hanging="283"/>
      <w:jc w:val="both"/>
    </w:pPr>
  </w:style>
  <w:style w:type="paragraph" w:customStyle="1" w:styleId="ListBullet1">
    <w:name w:val="List Bullet 1"/>
    <w:basedOn w:val="Text1"/>
    <w:pPr>
      <w:numPr>
        <w:numId w:val="4"/>
      </w:numPr>
      <w:spacing w:before="0" w:after="240"/>
    </w:pPr>
    <w:rPr>
      <w:szCs w:val="20"/>
    </w:rPr>
  </w:style>
  <w:style w:type="paragraph" w:styleId="ListBullet2">
    <w:name w:val="List Bullet 2"/>
    <w:basedOn w:val="Normal"/>
    <w:pPr>
      <w:numPr>
        <w:numId w:val="5"/>
      </w:numPr>
      <w:spacing w:after="240"/>
      <w:jc w:val="both"/>
    </w:pPr>
    <w:rPr>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u w:val="single"/>
    </w:rPr>
  </w:style>
  <w:style w:type="paragraph" w:customStyle="1" w:styleId="Typedudocument">
    <w:name w:val="Type du document"/>
    <w:basedOn w:val="Normal"/>
    <w:next w:val="Titreobjet"/>
    <w:pPr>
      <w:spacing w:before="360"/>
      <w:jc w:val="center"/>
    </w:pPr>
    <w:rPr>
      <w:b/>
    </w:rPr>
  </w:style>
  <w:style w:type="paragraph" w:customStyle="1" w:styleId="Titreobjet">
    <w:name w:val="Titre objet"/>
    <w:basedOn w:val="Normal"/>
    <w:next w:val="Normal"/>
    <w:pPr>
      <w:spacing w:before="360" w:after="360"/>
      <w:jc w:val="center"/>
    </w:pPr>
    <w:rPr>
      <w:b/>
    </w:rPr>
  </w:style>
  <w:style w:type="character" w:styleId="Emphasis">
    <w:name w:val="Emphasis"/>
    <w:qFormat/>
    <w:rPr>
      <w:i/>
      <w:iCs/>
    </w:rPr>
  </w:style>
  <w:style w:type="paragraph" w:styleId="NormalWeb">
    <w:name w:val="Normal (Web)"/>
    <w:basedOn w:val="Normal"/>
    <w:pPr>
      <w:spacing w:before="100" w:beforeAutospacing="1" w:after="100" w:afterAutospacing="1"/>
    </w:pPr>
  </w:style>
  <w:style w:type="paragraph" w:customStyle="1" w:styleId="Text2">
    <w:name w:val="Text 2"/>
    <w:basedOn w:val="Normal"/>
    <w:pPr>
      <w:spacing w:before="120" w:after="120"/>
      <w:ind w:left="850"/>
      <w:jc w:val="both"/>
    </w:pPr>
  </w:style>
  <w:style w:type="paragraph" w:styleId="BalloonText">
    <w:name w:val="Balloon Text"/>
    <w:basedOn w:val="Normal"/>
    <w:link w:val="BalloonTextChar"/>
    <w:semiHidden/>
    <w:rPr>
      <w:rFonts w:ascii="Tahoma" w:hAnsi="Tahoma" w:cs="Tahoma"/>
      <w:sz w:val="16"/>
      <w:szCs w:val="16"/>
    </w:rPr>
  </w:style>
  <w:style w:type="paragraph" w:styleId="ListNumber">
    <w:name w:val="List Number"/>
    <w:basedOn w:val="Normal"/>
    <w:pPr>
      <w:numPr>
        <w:numId w:val="7"/>
      </w:numPr>
      <w:spacing w:before="120" w:after="120"/>
      <w:jc w:val="both"/>
    </w:pPr>
  </w:style>
  <w:style w:type="paragraph" w:customStyle="1" w:styleId="ListNumberLevel2">
    <w:name w:val="List Number (Level 2)"/>
    <w:basedOn w:val="Normal"/>
    <w:pPr>
      <w:numPr>
        <w:ilvl w:val="1"/>
        <w:numId w:val="7"/>
      </w:numPr>
      <w:spacing w:before="120" w:after="120"/>
      <w:jc w:val="both"/>
    </w:pPr>
  </w:style>
  <w:style w:type="paragraph" w:customStyle="1" w:styleId="ListNumberLevel3">
    <w:name w:val="List Number (Level 3)"/>
    <w:basedOn w:val="Normal"/>
    <w:pPr>
      <w:numPr>
        <w:ilvl w:val="2"/>
        <w:numId w:val="7"/>
      </w:numPr>
      <w:spacing w:before="120" w:after="120"/>
      <w:jc w:val="both"/>
    </w:pPr>
  </w:style>
  <w:style w:type="paragraph" w:customStyle="1" w:styleId="ListNumberLevel4">
    <w:name w:val="List Number (Level 4)"/>
    <w:basedOn w:val="Normal"/>
    <w:pPr>
      <w:numPr>
        <w:ilvl w:val="3"/>
        <w:numId w:val="7"/>
      </w:numPr>
      <w:spacing w:before="120" w:after="120"/>
      <w:jc w:val="both"/>
    </w:pPr>
  </w:style>
  <w:style w:type="character" w:customStyle="1" w:styleId="ListDashChar">
    <w:name w:val="List Dash Char"/>
    <w:link w:val="ListDash"/>
    <w:rPr>
      <w:sz w:val="24"/>
      <w:szCs w:val="24"/>
      <w:lang w:eastAsia="sk-SK"/>
    </w:rPr>
  </w:style>
  <w:style w:type="paragraph" w:customStyle="1" w:styleId="StyleManualHeading2Italic">
    <w:name w:val="Style Manual Heading 2 + Italic"/>
    <w:basedOn w:val="ManualHeading2"/>
    <w:autoRedefine/>
    <w:pPr>
      <w:spacing w:before="160" w:after="160"/>
      <w:ind w:left="851" w:hanging="851"/>
    </w:pPr>
    <w:rPr>
      <w:bCs/>
      <w:i/>
      <w:iCs/>
    </w:rPr>
  </w:style>
  <w:style w:type="character" w:customStyle="1" w:styleId="FootnoteTextChar">
    <w:name w:val="Footnote Text Char"/>
    <w:link w:val="FootnoteText"/>
    <w:uiPriority w:val="99"/>
    <w:rPr>
      <w:lang w:eastAsia="sk-SK"/>
    </w:rPr>
  </w:style>
  <w:style w:type="paragraph" w:customStyle="1" w:styleId="NormalCentered">
    <w:name w:val="Normal Centered"/>
    <w:basedOn w:val="Normal"/>
    <w:uiPriority w:val="99"/>
    <w:pPr>
      <w:spacing w:before="120" w:after="120"/>
      <w:jc w:val="center"/>
    </w:pPr>
  </w:style>
  <w:style w:type="paragraph" w:customStyle="1" w:styleId="NormalRight">
    <w:name w:val="Normal Right"/>
    <w:basedOn w:val="Normal"/>
    <w:uiPriority w:val="99"/>
    <w:pPr>
      <w:spacing w:before="120" w:after="120"/>
      <w:jc w:val="right"/>
    </w:pPr>
  </w:style>
  <w:style w:type="paragraph" w:customStyle="1" w:styleId="NormalLeft">
    <w:name w:val="Normal Left"/>
    <w:basedOn w:val="Normal"/>
    <w:uiPriority w:val="99"/>
    <w:pPr>
      <w:spacing w:before="120" w:after="120"/>
    </w:pPr>
  </w:style>
  <w:style w:type="paragraph" w:customStyle="1" w:styleId="Point0number">
    <w:name w:val="Point 0 (number)"/>
    <w:basedOn w:val="Normal"/>
    <w:pPr>
      <w:numPr>
        <w:numId w:val="6"/>
      </w:numPr>
      <w:spacing w:before="120" w:after="120"/>
      <w:jc w:val="both"/>
    </w:pPr>
  </w:style>
  <w:style w:type="paragraph" w:customStyle="1" w:styleId="Point1number">
    <w:name w:val="Point 1 (number)"/>
    <w:basedOn w:val="Normal"/>
    <w:pPr>
      <w:numPr>
        <w:ilvl w:val="2"/>
        <w:numId w:val="6"/>
      </w:numPr>
      <w:spacing w:before="120" w:after="120"/>
      <w:jc w:val="both"/>
    </w:pPr>
  </w:style>
  <w:style w:type="paragraph" w:customStyle="1" w:styleId="Point2number">
    <w:name w:val="Point 2 (number)"/>
    <w:basedOn w:val="Normal"/>
    <w:pPr>
      <w:numPr>
        <w:ilvl w:val="4"/>
        <w:numId w:val="6"/>
      </w:numPr>
      <w:spacing w:before="120" w:after="120"/>
      <w:jc w:val="both"/>
    </w:pPr>
  </w:style>
  <w:style w:type="paragraph" w:customStyle="1" w:styleId="Point3number">
    <w:name w:val="Point 3 (number)"/>
    <w:basedOn w:val="Normal"/>
    <w:pPr>
      <w:numPr>
        <w:ilvl w:val="6"/>
        <w:numId w:val="6"/>
      </w:numPr>
      <w:spacing w:before="120" w:after="120"/>
      <w:jc w:val="both"/>
    </w:pPr>
  </w:style>
  <w:style w:type="paragraph" w:customStyle="1" w:styleId="Point0letter">
    <w:name w:val="Point 0 (letter)"/>
    <w:basedOn w:val="Normal"/>
    <w:pPr>
      <w:numPr>
        <w:ilvl w:val="1"/>
        <w:numId w:val="6"/>
      </w:numPr>
      <w:spacing w:before="120" w:after="120"/>
      <w:jc w:val="both"/>
    </w:pPr>
  </w:style>
  <w:style w:type="paragraph" w:customStyle="1" w:styleId="Point1letter">
    <w:name w:val="Point 1 (letter)"/>
    <w:basedOn w:val="Normal"/>
    <w:pPr>
      <w:numPr>
        <w:ilvl w:val="3"/>
        <w:numId w:val="6"/>
      </w:numPr>
      <w:spacing w:before="120" w:after="120"/>
      <w:jc w:val="both"/>
    </w:pPr>
  </w:style>
  <w:style w:type="paragraph" w:customStyle="1" w:styleId="Point2letter">
    <w:name w:val="Point 2 (letter)"/>
    <w:basedOn w:val="Normal"/>
    <w:pPr>
      <w:numPr>
        <w:ilvl w:val="5"/>
        <w:numId w:val="6"/>
      </w:numPr>
      <w:spacing w:before="120" w:after="120"/>
      <w:jc w:val="both"/>
    </w:pPr>
  </w:style>
  <w:style w:type="paragraph" w:customStyle="1" w:styleId="Point3letter">
    <w:name w:val="Point 3 (letter)"/>
    <w:basedOn w:val="Normal"/>
    <w:pPr>
      <w:numPr>
        <w:ilvl w:val="7"/>
        <w:numId w:val="6"/>
      </w:numPr>
      <w:spacing w:before="120" w:after="120"/>
      <w:jc w:val="both"/>
    </w:pPr>
  </w:style>
  <w:style w:type="paragraph" w:customStyle="1" w:styleId="Point4letter">
    <w:name w:val="Point 4 (letter)"/>
    <w:basedOn w:val="Normal"/>
    <w:pPr>
      <w:numPr>
        <w:ilvl w:val="8"/>
        <w:numId w:val="6"/>
      </w:numPr>
      <w:spacing w:before="120" w:after="120"/>
      <w:jc w:val="both"/>
    </w:pPr>
  </w:style>
  <w:style w:type="paragraph" w:customStyle="1" w:styleId="NumPar1">
    <w:name w:val="NumPar 1"/>
    <w:basedOn w:val="Normal"/>
    <w:next w:val="Text1"/>
    <w:pPr>
      <w:numPr>
        <w:numId w:val="8"/>
      </w:numPr>
      <w:spacing w:before="120" w:after="120"/>
      <w:jc w:val="both"/>
    </w:pPr>
  </w:style>
  <w:style w:type="paragraph" w:customStyle="1" w:styleId="NumPar2">
    <w:name w:val="NumPar 2"/>
    <w:basedOn w:val="Normal"/>
    <w:next w:val="Normal"/>
    <w:pPr>
      <w:numPr>
        <w:ilvl w:val="1"/>
        <w:numId w:val="8"/>
      </w:numPr>
      <w:spacing w:before="120" w:after="120"/>
      <w:jc w:val="both"/>
    </w:pPr>
  </w:style>
  <w:style w:type="paragraph" w:customStyle="1" w:styleId="NumPar3">
    <w:name w:val="NumPar 3"/>
    <w:basedOn w:val="Normal"/>
    <w:next w:val="Normal"/>
    <w:pPr>
      <w:numPr>
        <w:ilvl w:val="2"/>
        <w:numId w:val="8"/>
      </w:numPr>
      <w:spacing w:before="120" w:after="120"/>
      <w:jc w:val="both"/>
    </w:pPr>
  </w:style>
  <w:style w:type="paragraph" w:customStyle="1" w:styleId="NumPar4">
    <w:name w:val="NumPar 4"/>
    <w:basedOn w:val="Normal"/>
    <w:next w:val="Normal"/>
    <w:pPr>
      <w:numPr>
        <w:ilvl w:val="3"/>
        <w:numId w:val="8"/>
      </w:numPr>
      <w:spacing w:before="120" w:after="120"/>
      <w:jc w:val="both"/>
    </w:pPr>
  </w:style>
  <w:style w:type="paragraph" w:customStyle="1" w:styleId="Exposdesmotifstitre">
    <w:name w:val="Exposé des motifs titre"/>
    <w:basedOn w:val="Normal"/>
    <w:next w:val="Normal"/>
    <w:pPr>
      <w:spacing w:before="120" w:after="120"/>
      <w:jc w:val="center"/>
    </w:pPr>
    <w:rPr>
      <w:b/>
      <w:u w:val="single"/>
    </w:rPr>
  </w:style>
  <w:style w:type="character" w:styleId="CommentReference">
    <w:name w:val="annotation reference"/>
    <w:rPr>
      <w:sz w:val="16"/>
      <w:szCs w:val="16"/>
    </w:rPr>
  </w:style>
  <w:style w:type="paragraph" w:customStyle="1" w:styleId="Statut">
    <w:name w:val="Statut"/>
    <w:basedOn w:val="Normal"/>
    <w:next w:val="Typedudocument"/>
    <w:pPr>
      <w:spacing w:before="360"/>
      <w:jc w:val="center"/>
    </w:pPr>
    <w:rPr>
      <w:rFonts w:eastAsia="Calibri"/>
      <w:szCs w:val="22"/>
    </w:rPr>
  </w:style>
  <w:style w:type="paragraph" w:customStyle="1" w:styleId="Declassification">
    <w:name w:val="Declassification"/>
    <w:basedOn w:val="Normal"/>
    <w:next w:val="Normal"/>
    <w:pPr>
      <w:jc w:val="both"/>
    </w:pPr>
    <w:rPr>
      <w:rFonts w:eastAsiaTheme="minorHAnsi"/>
      <w:szCs w:val="22"/>
    </w:rPr>
  </w:style>
  <w:style w:type="character" w:customStyle="1" w:styleId="HeaderChar">
    <w:name w:val="Header Char"/>
    <w:basedOn w:val="DefaultParagraphFont"/>
    <w:link w:val="Header"/>
    <w:rPr>
      <w:rFonts w:eastAsiaTheme="minorHAnsi"/>
      <w:sz w:val="24"/>
      <w:szCs w:val="22"/>
      <w:lang w:eastAsia="sk-SK"/>
    </w:rPr>
  </w:style>
  <w:style w:type="paragraph" w:customStyle="1" w:styleId="HeaderLandscape">
    <w:name w:val="HeaderLandscape"/>
    <w:basedOn w:val="Normal"/>
    <w:pPr>
      <w:tabs>
        <w:tab w:val="center" w:pos="7285"/>
        <w:tab w:val="right" w:pos="14003"/>
      </w:tabs>
      <w:spacing w:after="120"/>
      <w:jc w:val="both"/>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FooterChar">
    <w:name w:val="Footer Char"/>
    <w:basedOn w:val="DefaultParagraphFont"/>
    <w:link w:val="Footer"/>
    <w:uiPriority w:val="99"/>
    <w:rPr>
      <w:rFonts w:eastAsiaTheme="minorHAnsi"/>
      <w:sz w:val="24"/>
      <w:szCs w:val="22"/>
      <w:lang w:eastAsia="sk-SK"/>
    </w:rPr>
  </w:style>
  <w:style w:type="paragraph" w:customStyle="1" w:styleId="FooterLandscape">
    <w:name w:val="FooterLandscape"/>
    <w:basedOn w:val="Normal"/>
    <w:pPr>
      <w:tabs>
        <w:tab w:val="center" w:pos="7285"/>
        <w:tab w:val="center" w:pos="10913"/>
        <w:tab w:val="right" w:pos="15137"/>
      </w:tabs>
      <w:spacing w:before="360"/>
      <w:ind w:left="-567" w:right="-567"/>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customStyle="1" w:styleId="Default">
    <w:name w:val="Default"/>
    <w:pPr>
      <w:autoSpaceDE w:val="0"/>
      <w:autoSpaceDN w:val="0"/>
      <w:adjustRightInd w:val="0"/>
    </w:pPr>
    <w:rPr>
      <w:color w:val="000000"/>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ListParagraphChar"/>
    <w:uiPriority w:val="34"/>
    <w:qFormat/>
    <w:pPr>
      <w:ind w:left="720"/>
      <w:contextualSpacing/>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rPr>
  </w:style>
  <w:style w:type="paragraph" w:styleId="Revision">
    <w:name w:val="Revision"/>
    <w:hidden/>
    <w:uiPriority w:val="99"/>
    <w:semiHidden/>
    <w:rPr>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Pr>
      <w:sz w:val="24"/>
      <w:szCs w:val="24"/>
    </w:rPr>
  </w:style>
  <w:style w:type="character" w:customStyle="1" w:styleId="Heading5Char">
    <w:name w:val="Heading 5 Char"/>
    <w:basedOn w:val="DefaultParagraphFont"/>
    <w:link w:val="Heading5"/>
    <w:uiPriority w:val="99"/>
    <w:rPr>
      <w:rFonts w:ascii="Arial" w:eastAsiaTheme="majorEastAsia" w:hAnsi="Arial" w:cs="Arial"/>
      <w:sz w:val="22"/>
      <w:szCs w:val="22"/>
      <w:lang w:eastAsia="sk-SK"/>
    </w:rPr>
  </w:style>
  <w:style w:type="character" w:customStyle="1" w:styleId="Heading6Char">
    <w:name w:val="Heading 6 Char"/>
    <w:basedOn w:val="DefaultParagraphFont"/>
    <w:link w:val="Heading6"/>
    <w:uiPriority w:val="99"/>
    <w:rPr>
      <w:rFonts w:ascii="Arial" w:eastAsiaTheme="majorEastAsia" w:hAnsi="Arial" w:cs="Arial"/>
      <w:i/>
      <w:iCs/>
      <w:sz w:val="22"/>
      <w:szCs w:val="22"/>
      <w:lang w:eastAsia="sk-SK"/>
    </w:rPr>
  </w:style>
  <w:style w:type="character" w:customStyle="1" w:styleId="Heading7Char">
    <w:name w:val="Heading 7 Char"/>
    <w:basedOn w:val="DefaultParagraphFont"/>
    <w:link w:val="Heading7"/>
    <w:uiPriority w:val="99"/>
    <w:rPr>
      <w:rFonts w:ascii="Arial" w:eastAsiaTheme="majorEastAsia" w:hAnsi="Arial" w:cs="Arial"/>
      <w:sz w:val="22"/>
      <w:lang w:eastAsia="sk-SK"/>
    </w:rPr>
  </w:style>
  <w:style w:type="character" w:customStyle="1" w:styleId="Heading8Char">
    <w:name w:val="Heading 8 Char"/>
    <w:basedOn w:val="DefaultParagraphFont"/>
    <w:link w:val="Heading8"/>
    <w:uiPriority w:val="99"/>
    <w:rPr>
      <w:rFonts w:ascii="Arial" w:eastAsiaTheme="majorEastAsia" w:hAnsi="Arial" w:cs="Arial"/>
      <w:i/>
      <w:iCs/>
      <w:sz w:val="22"/>
      <w:lang w:eastAsia="sk-SK"/>
    </w:rPr>
  </w:style>
  <w:style w:type="character" w:customStyle="1" w:styleId="Heading9Char">
    <w:name w:val="Heading 9 Char"/>
    <w:basedOn w:val="DefaultParagraphFont"/>
    <w:link w:val="Heading9"/>
    <w:uiPriority w:val="99"/>
    <w:rPr>
      <w:rFonts w:ascii="Arial" w:eastAsiaTheme="majorEastAsia" w:hAnsi="Arial" w:cs="Arial"/>
      <w:i/>
      <w:iCs/>
      <w:sz w:val="18"/>
      <w:szCs w:val="18"/>
      <w:lang w:eastAsia="sk-SK"/>
    </w:rPr>
  </w:style>
  <w:style w:type="paragraph" w:customStyle="1" w:styleId="Footnoter">
    <w:name w:val="Footnote r"/>
    <w:basedOn w:val="Normal"/>
    <w:pPr>
      <w:shd w:val="clear" w:color="auto" w:fill="F2F8FB"/>
      <w:spacing w:before="100" w:beforeAutospacing="1" w:after="100" w:afterAutospacing="1"/>
    </w:pPr>
    <w:rPr>
      <w:szCs w:val="22"/>
    </w:rPr>
  </w:style>
  <w:style w:type="character" w:customStyle="1" w:styleId="hps">
    <w:name w:val="hps"/>
  </w:style>
  <w:style w:type="paragraph" w:customStyle="1" w:styleId="Tiret2">
    <w:name w:val="Tiret 2"/>
    <w:basedOn w:val="Normal"/>
    <w:pPr>
      <w:numPr>
        <w:numId w:val="9"/>
      </w:numPr>
      <w:spacing w:before="120" w:after="120"/>
      <w:jc w:val="both"/>
    </w:pPr>
    <w:rPr>
      <w:szCs w:val="22"/>
    </w:rPr>
  </w:style>
  <w:style w:type="paragraph" w:styleId="ListNumber5">
    <w:name w:val="List Number 5"/>
    <w:basedOn w:val="Normal"/>
    <w:pPr>
      <w:numPr>
        <w:numId w:val="10"/>
      </w:numPr>
      <w:contextualSpacing/>
    </w:pPr>
  </w:style>
  <w:style w:type="character" w:styleId="Strong">
    <w:name w:val="Strong"/>
    <w:basedOn w:val="DefaultParagraphFont"/>
    <w:qFormat/>
    <w:rPr>
      <w:b/>
      <w:bCs/>
    </w:rPr>
  </w:style>
  <w:style w:type="paragraph" w:styleId="ListBullet3">
    <w:name w:val="List Bullet 3"/>
    <w:basedOn w:val="Normal"/>
    <w:uiPriority w:val="99"/>
    <w:unhideWhenUsed/>
    <w:pPr>
      <w:numPr>
        <w:numId w:val="11"/>
      </w:numPr>
      <w:spacing w:before="120" w:after="120"/>
      <w:contextualSpacing/>
      <w:jc w:val="both"/>
    </w:pPr>
    <w:rPr>
      <w:rFonts w:eastAsia="Calibri"/>
      <w:szCs w:val="22"/>
    </w:rPr>
  </w:style>
  <w:style w:type="paragraph" w:customStyle="1" w:styleId="CM4">
    <w:name w:val="CM4"/>
    <w:basedOn w:val="Normal"/>
    <w:next w:val="Normal"/>
    <w:uiPriority w:val="99"/>
    <w:pPr>
      <w:autoSpaceDE w:val="0"/>
      <w:autoSpaceDN w:val="0"/>
      <w:adjustRightInd w:val="0"/>
    </w:pPr>
    <w:rPr>
      <w:rFonts w:ascii="EUAlbertina" w:hAnsi="EUAlbertina"/>
    </w:rPr>
  </w:style>
  <w:style w:type="paragraph" w:customStyle="1" w:styleId="doc-ti">
    <w:name w:val="doc-ti"/>
    <w:basedOn w:val="Normal"/>
    <w:pPr>
      <w:spacing w:before="240" w:after="120"/>
      <w:jc w:val="center"/>
    </w:pPr>
    <w:rPr>
      <w:b/>
      <w:bCs/>
    </w:rPr>
  </w:style>
  <w:style w:type="character" w:customStyle="1" w:styleId="SubtleEmphasis1">
    <w:name w:val="Subtle Emphasis1"/>
    <w:rPr>
      <w:i/>
      <w:iCs/>
      <w:color w:val="808080"/>
    </w:rPr>
  </w:style>
  <w:style w:type="character" w:customStyle="1" w:styleId="IntenseEmphasis1">
    <w:name w:val="Intense Emphasis1"/>
    <w:rPr>
      <w:b/>
      <w:bCs/>
      <w:i/>
      <w:iCs/>
      <w:color w:val="4F81BD"/>
    </w:rPr>
  </w:style>
  <w:style w:type="character" w:customStyle="1" w:styleId="SubtleReference1">
    <w:name w:val="Subtle Reference1"/>
    <w:rPr>
      <w:smallCaps/>
      <w:color w:val="C0504D"/>
      <w:u w:val="single"/>
    </w:rPr>
  </w:style>
  <w:style w:type="character" w:customStyle="1" w:styleId="IntenseReference1">
    <w:name w:val="Intense Reference1"/>
    <w:rPr>
      <w:b/>
      <w:bCs/>
      <w:smallCaps/>
      <w:color w:val="C0504D"/>
      <w:spacing w:val="5"/>
      <w:u w:val="single"/>
    </w:rPr>
  </w:style>
  <w:style w:type="character" w:customStyle="1" w:styleId="BookTitle1">
    <w:name w:val="Book Title1"/>
    <w:rPr>
      <w:b/>
      <w:bCs/>
      <w:smallCaps/>
      <w:spacing w:val="5"/>
    </w:rPr>
  </w:style>
  <w:style w:type="paragraph" w:customStyle="1" w:styleId="TOCHeading1">
    <w:name w:val="TOC Heading1"/>
    <w:basedOn w:val="Heading1"/>
    <w:next w:val="Normal"/>
    <w:uiPriority w:val="39"/>
    <w:pPr>
      <w:keepNext w:val="0"/>
      <w:keepLines/>
      <w:spacing w:before="480" w:after="0"/>
      <w:jc w:val="both"/>
      <w:outlineLvl w:val="9"/>
    </w:pPr>
    <w:rPr>
      <w:rFonts w:ascii="Cambria" w:hAnsi="Cambria" w:cs="Times New Roman"/>
      <w:color w:val="365F91"/>
      <w:kern w:val="0"/>
      <w:sz w:val="28"/>
      <w:szCs w:val="28"/>
    </w:rPr>
  </w:style>
  <w:style w:type="character" w:customStyle="1" w:styleId="Heading1Char">
    <w:name w:val="Heading 1 Char"/>
    <w:basedOn w:val="DefaultParagraphFont"/>
    <w:link w:val="Heading1"/>
    <w:rPr>
      <w:rFonts w:ascii="Arial" w:hAnsi="Arial" w:cs="Arial"/>
      <w:b/>
      <w:bCs/>
      <w:kern w:val="32"/>
      <w:sz w:val="32"/>
      <w:szCs w:val="32"/>
    </w:rPr>
  </w:style>
  <w:style w:type="character" w:customStyle="1" w:styleId="SubtleEmphasis2">
    <w:name w:val="Subtle Emphasis2"/>
    <w:rPr>
      <w:i/>
      <w:iCs/>
      <w:color w:val="808080"/>
    </w:rPr>
  </w:style>
  <w:style w:type="character" w:customStyle="1" w:styleId="IntenseEmphasis2">
    <w:name w:val="Intense Emphasis2"/>
    <w:rPr>
      <w:b/>
      <w:bCs/>
      <w:i/>
      <w:iCs/>
      <w:color w:val="4F81BD"/>
    </w:rPr>
  </w:style>
  <w:style w:type="character" w:customStyle="1" w:styleId="SubtleReference2">
    <w:name w:val="Subtle Reference2"/>
    <w:rPr>
      <w:smallCaps/>
      <w:color w:val="C0504D"/>
      <w:u w:val="single"/>
    </w:rPr>
  </w:style>
  <w:style w:type="character" w:customStyle="1" w:styleId="IntenseReference2">
    <w:name w:val="Intense Reference2"/>
    <w:rPr>
      <w:b/>
      <w:bCs/>
      <w:smallCaps/>
      <w:color w:val="C0504D"/>
      <w:spacing w:val="5"/>
      <w:u w:val="single"/>
    </w:rPr>
  </w:style>
  <w:style w:type="character" w:customStyle="1" w:styleId="BookTitle2">
    <w:name w:val="Book Title2"/>
    <w:rPr>
      <w:b/>
      <w:bCs/>
      <w:smallCaps/>
      <w:spacing w:val="5"/>
    </w:rPr>
  </w:style>
  <w:style w:type="paragraph" w:customStyle="1" w:styleId="TOCHeading2">
    <w:name w:val="TOC Heading2"/>
    <w:basedOn w:val="Heading1"/>
    <w:next w:val="Normal"/>
    <w:uiPriority w:val="39"/>
    <w:pPr>
      <w:keepNext w:val="0"/>
      <w:keepLines/>
      <w:spacing w:before="480" w:after="0"/>
      <w:jc w:val="both"/>
      <w:outlineLvl w:val="9"/>
    </w:pPr>
    <w:rPr>
      <w:rFonts w:ascii="Cambria" w:hAnsi="Cambria" w:cs="Times New Roman"/>
      <w:color w:val="365F91"/>
      <w:kern w:val="0"/>
      <w:sz w:val="28"/>
      <w:szCs w:val="28"/>
    </w:rPr>
  </w:style>
  <w:style w:type="character" w:customStyle="1" w:styleId="Heading2Char">
    <w:name w:val="Heading 2 Char"/>
    <w:aliases w:val="Char Char, Char Char,Abschnitt Char"/>
    <w:link w:val="Heading2"/>
    <w:rPr>
      <w:rFonts w:ascii="Arial" w:hAnsi="Arial" w:cs="Arial"/>
      <w:b/>
      <w:bCs/>
      <w:i/>
      <w:iCs/>
      <w:sz w:val="28"/>
      <w:szCs w:val="28"/>
    </w:rPr>
  </w:style>
  <w:style w:type="character" w:customStyle="1" w:styleId="Heading3Char">
    <w:name w:val="Heading 3 Char"/>
    <w:aliases w:val="Heading 3 Auto Char"/>
    <w:basedOn w:val="DefaultParagraphFont"/>
    <w:link w:val="Heading3"/>
    <w:rPr>
      <w:rFonts w:ascii="Arial" w:hAnsi="Arial" w:cs="Arial"/>
      <w:b/>
      <w:bCs/>
      <w:i/>
      <w:sz w:val="26"/>
      <w:szCs w:val="26"/>
    </w:rPr>
  </w:style>
  <w:style w:type="character" w:customStyle="1" w:styleId="Heading4Char">
    <w:name w:val="Heading 4 Char"/>
    <w:basedOn w:val="DefaultParagraphFont"/>
    <w:link w:val="Heading4"/>
    <w:rPr>
      <w:b/>
      <w:bCs/>
      <w:sz w:val="24"/>
      <w:szCs w:val="28"/>
      <w:lang w:eastAsia="sk-SK"/>
    </w:rPr>
  </w:style>
  <w:style w:type="paragraph" w:styleId="Caption">
    <w:name w:val="caption"/>
    <w:basedOn w:val="Normal"/>
    <w:next w:val="Normal"/>
    <w:semiHidden/>
    <w:unhideWhenUsed/>
    <w:qFormat/>
    <w:pPr>
      <w:spacing w:after="200"/>
    </w:pPr>
    <w:rPr>
      <w:b/>
      <w:bCs/>
      <w:color w:val="4F81BD" w:themeColor="accent1"/>
      <w:sz w:val="18"/>
      <w:szCs w:val="18"/>
    </w:rPr>
  </w:style>
  <w:style w:type="paragraph" w:styleId="Title">
    <w:name w:val="Title"/>
    <w:basedOn w:val="Normal"/>
    <w:link w:val="TitleChar"/>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eastAsia="sk-SK"/>
    </w:rPr>
  </w:style>
  <w:style w:type="paragraph" w:styleId="Subtitle">
    <w:name w:val="Subtitle"/>
    <w:basedOn w:val="Normal"/>
    <w:link w:val="SubtitleChar"/>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Pr>
      <w:rFonts w:asciiTheme="majorHAnsi" w:eastAsiaTheme="majorEastAsia" w:hAnsiTheme="majorHAnsi" w:cstheme="majorBidi"/>
      <w:i/>
      <w:iCs/>
      <w:color w:val="4F81BD" w:themeColor="accent1"/>
      <w:spacing w:val="15"/>
      <w:sz w:val="24"/>
      <w:szCs w:val="24"/>
      <w:lang w:eastAsia="sk-SK"/>
    </w:rPr>
  </w:style>
  <w:style w:type="paragraph" w:customStyle="1" w:styleId="agbullets">
    <w:name w:val="ag_bullets"/>
    <w:basedOn w:val="Normal"/>
    <w:qFormat/>
    <w:pPr>
      <w:numPr>
        <w:numId w:val="12"/>
      </w:numPr>
    </w:pPr>
    <w:rPr>
      <w:sz w:val="22"/>
      <w:szCs w:val="20"/>
    </w:rPr>
  </w:style>
  <w:style w:type="paragraph" w:customStyle="1" w:styleId="agtabbullets">
    <w:name w:val="ag_tab_bullets"/>
    <w:basedOn w:val="Normal"/>
    <w:qFormat/>
    <w:pPr>
      <w:numPr>
        <w:numId w:val="13"/>
      </w:numPr>
      <w:jc w:val="both"/>
    </w:pPr>
    <w:rPr>
      <w:sz w:val="18"/>
      <w:szCs w:val="20"/>
    </w:rPr>
  </w:style>
  <w:style w:type="paragraph" w:customStyle="1" w:styleId="agfootnote">
    <w:name w:val="ag_footnote"/>
    <w:basedOn w:val="Normal"/>
    <w:qFormat/>
    <w:pPr>
      <w:spacing w:after="120"/>
      <w:jc w:val="both"/>
    </w:pPr>
    <w:rPr>
      <w:sz w:val="16"/>
      <w:szCs w:val="20"/>
    </w:rPr>
  </w:style>
  <w:style w:type="numbering" w:customStyle="1" w:styleId="NoList1">
    <w:name w:val="No List1"/>
    <w:next w:val="NoList"/>
    <w:uiPriority w:val="99"/>
    <w:semiHidden/>
    <w:unhideWhenUsed/>
  </w:style>
  <w:style w:type="character" w:customStyle="1" w:styleId="BalloonTextChar">
    <w:name w:val="Balloon Text Char"/>
    <w:basedOn w:val="DefaultParagraphFont"/>
    <w:link w:val="BalloonText"/>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sk-SK"/>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pPr>
      <w:keepNext/>
      <w:spacing w:before="240" w:after="120"/>
      <w:outlineLvl w:val="0"/>
    </w:pPr>
    <w:rPr>
      <w:rFonts w:ascii="Arial" w:hAnsi="Arial" w:cs="Arial"/>
      <w:b/>
      <w:bCs/>
      <w:kern w:val="32"/>
      <w:sz w:val="32"/>
      <w:szCs w:val="32"/>
    </w:rPr>
  </w:style>
  <w:style w:type="paragraph" w:styleId="Heading2">
    <w:name w:val="heading 2"/>
    <w:aliases w:val="Char, Char,Abschnitt"/>
    <w:basedOn w:val="Normal"/>
    <w:next w:val="Normal"/>
    <w:link w:val="Heading2Char"/>
    <w:autoRedefine/>
    <w:qFormat/>
    <w:pPr>
      <w:keepNext/>
      <w:spacing w:before="240" w:after="120"/>
      <w:ind w:left="720" w:hanging="720"/>
      <w:outlineLvl w:val="1"/>
    </w:pPr>
    <w:rPr>
      <w:rFonts w:ascii="Arial" w:hAnsi="Arial" w:cs="Arial"/>
      <w:b/>
      <w:bCs/>
      <w:i/>
      <w:iCs/>
      <w:sz w:val="28"/>
      <w:szCs w:val="28"/>
    </w:rPr>
  </w:style>
  <w:style w:type="paragraph" w:styleId="Heading3">
    <w:name w:val="heading 3"/>
    <w:aliases w:val="Heading 3 Auto"/>
    <w:basedOn w:val="Normal"/>
    <w:next w:val="Normal"/>
    <w:link w:val="Heading3Char"/>
    <w:autoRedefine/>
    <w:qFormat/>
    <w:pPr>
      <w:keepNext/>
      <w:numPr>
        <w:ilvl w:val="2"/>
      </w:numPr>
      <w:tabs>
        <w:tab w:val="num" w:pos="850"/>
      </w:tabs>
      <w:spacing w:before="120" w:after="120"/>
      <w:ind w:left="850" w:hanging="850"/>
      <w:jc w:val="both"/>
      <w:outlineLvl w:val="2"/>
    </w:pPr>
    <w:rPr>
      <w:rFonts w:ascii="Arial" w:hAnsi="Arial" w:cs="Arial"/>
      <w:b/>
      <w:bCs/>
      <w:i/>
      <w:sz w:val="26"/>
      <w:szCs w:val="26"/>
    </w:rPr>
  </w:style>
  <w:style w:type="paragraph" w:styleId="Heading4">
    <w:name w:val="heading 4"/>
    <w:basedOn w:val="Normal"/>
    <w:next w:val="Normal"/>
    <w:link w:val="Heading4Char"/>
    <w:qFormat/>
    <w:pPr>
      <w:keepNext/>
      <w:numPr>
        <w:ilvl w:val="3"/>
      </w:numPr>
      <w:tabs>
        <w:tab w:val="num" w:pos="1030"/>
      </w:tabs>
      <w:spacing w:before="120" w:after="120"/>
      <w:ind w:left="1030" w:hanging="850"/>
      <w:jc w:val="both"/>
      <w:outlineLvl w:val="3"/>
    </w:pPr>
    <w:rPr>
      <w:b/>
      <w:bCs/>
      <w:szCs w:val="28"/>
    </w:rPr>
  </w:style>
  <w:style w:type="paragraph" w:styleId="Heading5">
    <w:name w:val="heading 5"/>
    <w:basedOn w:val="Normal"/>
    <w:next w:val="Normal"/>
    <w:link w:val="Heading5Char"/>
    <w:uiPriority w:val="99"/>
    <w:qFormat/>
    <w:pPr>
      <w:spacing w:before="240" w:after="60"/>
      <w:jc w:val="both"/>
      <w:outlineLvl w:val="4"/>
    </w:pPr>
    <w:rPr>
      <w:rFonts w:ascii="Arial" w:eastAsiaTheme="majorEastAsia" w:hAnsi="Arial" w:cs="Arial"/>
      <w:sz w:val="22"/>
      <w:szCs w:val="22"/>
    </w:rPr>
  </w:style>
  <w:style w:type="paragraph" w:styleId="Heading6">
    <w:name w:val="heading 6"/>
    <w:basedOn w:val="Normal"/>
    <w:next w:val="Normal"/>
    <w:link w:val="Heading6Char"/>
    <w:uiPriority w:val="99"/>
    <w:qFormat/>
    <w:pPr>
      <w:spacing w:before="240" w:after="60"/>
      <w:jc w:val="both"/>
      <w:outlineLvl w:val="5"/>
    </w:pPr>
    <w:rPr>
      <w:rFonts w:ascii="Arial" w:eastAsiaTheme="majorEastAsia" w:hAnsi="Arial" w:cs="Arial"/>
      <w:i/>
      <w:iCs/>
      <w:sz w:val="22"/>
      <w:szCs w:val="22"/>
    </w:rPr>
  </w:style>
  <w:style w:type="paragraph" w:styleId="Heading7">
    <w:name w:val="heading 7"/>
    <w:basedOn w:val="Normal"/>
    <w:next w:val="Normal"/>
    <w:link w:val="Heading7Char"/>
    <w:uiPriority w:val="99"/>
    <w:qFormat/>
    <w:pPr>
      <w:spacing w:before="240" w:after="60"/>
      <w:jc w:val="both"/>
      <w:outlineLvl w:val="6"/>
    </w:pPr>
    <w:rPr>
      <w:rFonts w:ascii="Arial" w:eastAsiaTheme="majorEastAsia" w:hAnsi="Arial" w:cs="Arial"/>
      <w:sz w:val="22"/>
      <w:szCs w:val="20"/>
    </w:rPr>
  </w:style>
  <w:style w:type="paragraph" w:styleId="Heading8">
    <w:name w:val="heading 8"/>
    <w:basedOn w:val="Normal"/>
    <w:next w:val="Normal"/>
    <w:link w:val="Heading8Char"/>
    <w:uiPriority w:val="99"/>
    <w:qFormat/>
    <w:pPr>
      <w:spacing w:before="240" w:after="60"/>
      <w:jc w:val="both"/>
      <w:outlineLvl w:val="7"/>
    </w:pPr>
    <w:rPr>
      <w:rFonts w:ascii="Arial" w:eastAsiaTheme="majorEastAsia" w:hAnsi="Arial" w:cs="Arial"/>
      <w:i/>
      <w:iCs/>
      <w:sz w:val="22"/>
      <w:szCs w:val="20"/>
    </w:rPr>
  </w:style>
  <w:style w:type="paragraph" w:styleId="Heading9">
    <w:name w:val="heading 9"/>
    <w:basedOn w:val="Normal"/>
    <w:next w:val="Normal"/>
    <w:link w:val="Heading9Char"/>
    <w:uiPriority w:val="99"/>
    <w:qFormat/>
    <w:pPr>
      <w:spacing w:before="240" w:after="60"/>
      <w:jc w:val="both"/>
      <w:outlineLvl w:val="8"/>
    </w:pPr>
    <w:rPr>
      <w:rFonts w:ascii="Arial" w:eastAsiaTheme="majorEastAsia"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35"/>
        <w:tab w:val="right" w:pos="9071"/>
        <w:tab w:val="right" w:pos="9921"/>
      </w:tabs>
      <w:spacing w:before="360"/>
      <w:ind w:left="-850" w:right="-850"/>
    </w:pPr>
    <w:rPr>
      <w:rFonts w:eastAsiaTheme="minorHAnsi"/>
      <w:szCs w:val="22"/>
    </w:rPr>
  </w:style>
  <w:style w:type="paragraph" w:styleId="FootnoteText">
    <w:name w:val="footnote text"/>
    <w:basedOn w:val="Normal"/>
    <w:link w:val="FootnoteTextChar"/>
    <w:uiPriority w:val="99"/>
    <w:pPr>
      <w:ind w:left="720" w:hanging="720"/>
      <w:jc w:val="both"/>
    </w:pPr>
    <w:rPr>
      <w:sz w:val="20"/>
      <w:szCs w:val="20"/>
    </w:rPr>
  </w:style>
  <w:style w:type="paragraph" w:styleId="TOC1">
    <w:name w:val="toc 1"/>
    <w:basedOn w:val="Normal"/>
    <w:next w:val="Normal"/>
    <w:uiPriority w:val="39"/>
    <w:qFormat/>
    <w:pPr>
      <w:spacing w:before="120" w:after="120"/>
    </w:pPr>
    <w:rPr>
      <w:b/>
      <w:bCs/>
      <w:caps/>
      <w:sz w:val="20"/>
      <w:szCs w:val="20"/>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uiPriority w:val="99"/>
    <w:rPr>
      <w:vertAlign w:val="superscript"/>
    </w:rPr>
  </w:style>
  <w:style w:type="paragraph" w:customStyle="1" w:styleId="Text1">
    <w:name w:val="Text 1"/>
    <w:basedOn w:val="Normal"/>
    <w:pPr>
      <w:spacing w:before="120" w:after="120"/>
      <w:ind w:left="850"/>
      <w:jc w:val="both"/>
    </w:pPr>
  </w:style>
  <w:style w:type="paragraph" w:customStyle="1" w:styleId="Tiret0">
    <w:name w:val="Tiret 0"/>
    <w:basedOn w:val="Normal"/>
    <w:pPr>
      <w:numPr>
        <w:numId w:val="1"/>
      </w:numPr>
      <w:spacing w:before="120" w:after="120"/>
      <w:jc w:val="both"/>
    </w:pPr>
  </w:style>
  <w:style w:type="paragraph" w:customStyle="1" w:styleId="ManualHeading1">
    <w:name w:val="Manual Heading 1"/>
    <w:basedOn w:val="Normal"/>
    <w:next w:val="Text1"/>
    <w:pPr>
      <w:keepNext/>
      <w:tabs>
        <w:tab w:val="left" w:pos="850"/>
      </w:tabs>
      <w:spacing w:before="360" w:after="120"/>
      <w:ind w:left="850" w:hanging="850"/>
      <w:jc w:val="both"/>
      <w:outlineLvl w:val="0"/>
    </w:pPr>
    <w:rPr>
      <w:b/>
      <w:smallCaps/>
    </w:rPr>
  </w:style>
  <w:style w:type="paragraph" w:customStyle="1" w:styleId="ManualHeading2">
    <w:name w:val="Manual Heading 2"/>
    <w:basedOn w:val="Normal"/>
    <w:next w:val="Normal"/>
    <w:pPr>
      <w:keepNext/>
      <w:tabs>
        <w:tab w:val="left" w:pos="850"/>
      </w:tabs>
      <w:spacing w:before="120" w:after="120"/>
      <w:ind w:left="850" w:hanging="850"/>
      <w:jc w:val="both"/>
      <w:outlineLvl w:val="1"/>
    </w:pPr>
    <w:rPr>
      <w:b/>
    </w:rPr>
  </w:style>
  <w:style w:type="paragraph" w:customStyle="1" w:styleId="ListDash">
    <w:name w:val="List Dash"/>
    <w:basedOn w:val="Normal"/>
    <w:link w:val="ListDashChar"/>
    <w:pPr>
      <w:numPr>
        <w:numId w:val="2"/>
      </w:numPr>
      <w:spacing w:before="120" w:after="120"/>
      <w:jc w:val="both"/>
    </w:pPr>
  </w:style>
  <w:style w:type="paragraph" w:styleId="TOCHeading">
    <w:name w:val="TOC Heading"/>
    <w:basedOn w:val="Normal"/>
    <w:next w:val="Normal"/>
    <w:uiPriority w:val="39"/>
    <w:qFormat/>
    <w:pPr>
      <w:spacing w:before="120" w:after="240"/>
      <w:jc w:val="center"/>
    </w:pPr>
    <w:rPr>
      <w:b/>
      <w:sz w:val="28"/>
    </w:r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jc w:val="center"/>
    </w:pPr>
    <w:rPr>
      <w:b/>
    </w:rPr>
  </w:style>
  <w:style w:type="character" w:styleId="Hyperlink">
    <w:name w:val="Hyperlink"/>
    <w:uiPriority w:val="99"/>
    <w:rPr>
      <w:color w:val="0000FF"/>
      <w:u w:val="single"/>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before="120" w:after="120"/>
      <w:jc w:val="both"/>
    </w:pPr>
  </w:style>
  <w:style w:type="paragraph" w:styleId="Header">
    <w:name w:val="header"/>
    <w:basedOn w:val="Normal"/>
    <w:link w:val="HeaderChar"/>
    <w:unhideWhenUsed/>
    <w:pPr>
      <w:tabs>
        <w:tab w:val="center" w:pos="4535"/>
        <w:tab w:val="right" w:pos="9071"/>
      </w:tabs>
      <w:spacing w:after="120"/>
      <w:jc w:val="both"/>
    </w:pPr>
    <w:rPr>
      <w:rFonts w:eastAsiaTheme="minorHAnsi"/>
      <w:szCs w:val="22"/>
    </w:rPr>
  </w:style>
  <w:style w:type="paragraph" w:customStyle="1" w:styleId="FooterCoverPage">
    <w:name w:val="Footer Cover Page"/>
    <w:basedOn w:val="Normal"/>
    <w:pPr>
      <w:tabs>
        <w:tab w:val="center" w:pos="4535"/>
        <w:tab w:val="right" w:pos="9071"/>
        <w:tab w:val="right" w:pos="9921"/>
      </w:tabs>
      <w:spacing w:before="360"/>
      <w:ind w:left="-850" w:right="-850"/>
    </w:pPr>
  </w:style>
  <w:style w:type="paragraph" w:customStyle="1" w:styleId="HeaderCoverPage">
    <w:name w:val="Header Cover Page"/>
    <w:basedOn w:val="Normal"/>
    <w:pPr>
      <w:tabs>
        <w:tab w:val="center" w:pos="4535"/>
        <w:tab w:val="right" w:pos="9071"/>
      </w:tabs>
      <w:spacing w:after="120"/>
      <w:jc w:val="both"/>
    </w:pPr>
  </w:style>
  <w:style w:type="paragraph" w:styleId="TOC2">
    <w:name w:val="toc 2"/>
    <w:basedOn w:val="Normal"/>
    <w:next w:val="Normal"/>
    <w:autoRedefine/>
    <w:uiPriority w:val="39"/>
    <w:qFormat/>
    <w:pPr>
      <w:ind w:left="240"/>
    </w:pPr>
    <w:rPr>
      <w:smallCaps/>
      <w:sz w:val="20"/>
      <w:szCs w:val="20"/>
    </w:rPr>
  </w:style>
  <w:style w:type="paragraph" w:styleId="TOC3">
    <w:name w:val="toc 3"/>
    <w:basedOn w:val="Normal"/>
    <w:next w:val="Normal"/>
    <w:autoRedefine/>
    <w:qFormat/>
    <w:pPr>
      <w:ind w:left="480"/>
    </w:pPr>
    <w:rPr>
      <w:i/>
      <w:iCs/>
      <w:sz w:val="20"/>
      <w:szCs w:val="20"/>
    </w:rPr>
  </w:style>
  <w:style w:type="paragraph" w:styleId="TOC4">
    <w:name w:val="toc 4"/>
    <w:basedOn w:val="Normal"/>
    <w:next w:val="Normal"/>
    <w:autoRedefine/>
    <w:semiHidden/>
    <w:pPr>
      <w:ind w:left="720"/>
    </w:pPr>
    <w:rPr>
      <w:sz w:val="18"/>
      <w:szCs w:val="18"/>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styleId="ListBullet">
    <w:name w:val="List Bullet"/>
    <w:basedOn w:val="Normal"/>
    <w:pPr>
      <w:numPr>
        <w:numId w:val="3"/>
      </w:numPr>
      <w:spacing w:before="120" w:after="120"/>
      <w:jc w:val="both"/>
    </w:pPr>
  </w:style>
  <w:style w:type="paragraph" w:customStyle="1" w:styleId="ListDash2">
    <w:name w:val="List Dash 2"/>
    <w:basedOn w:val="Normal"/>
    <w:pPr>
      <w:tabs>
        <w:tab w:val="num" w:pos="1134"/>
      </w:tabs>
      <w:spacing w:before="120" w:after="120"/>
      <w:ind w:left="1134" w:hanging="283"/>
      <w:jc w:val="both"/>
    </w:pPr>
  </w:style>
  <w:style w:type="paragraph" w:customStyle="1" w:styleId="ListBullet1">
    <w:name w:val="List Bullet 1"/>
    <w:basedOn w:val="Text1"/>
    <w:pPr>
      <w:numPr>
        <w:numId w:val="4"/>
      </w:numPr>
      <w:spacing w:before="0" w:after="240"/>
    </w:pPr>
    <w:rPr>
      <w:szCs w:val="20"/>
    </w:rPr>
  </w:style>
  <w:style w:type="paragraph" w:styleId="ListBullet2">
    <w:name w:val="List Bullet 2"/>
    <w:basedOn w:val="Normal"/>
    <w:pPr>
      <w:numPr>
        <w:numId w:val="5"/>
      </w:numPr>
      <w:spacing w:after="240"/>
      <w:jc w:val="both"/>
    </w:pPr>
    <w:rPr>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u w:val="single"/>
    </w:rPr>
  </w:style>
  <w:style w:type="paragraph" w:customStyle="1" w:styleId="Typedudocument">
    <w:name w:val="Type du document"/>
    <w:basedOn w:val="Normal"/>
    <w:next w:val="Titreobjet"/>
    <w:pPr>
      <w:spacing w:before="360"/>
      <w:jc w:val="center"/>
    </w:pPr>
    <w:rPr>
      <w:b/>
    </w:rPr>
  </w:style>
  <w:style w:type="paragraph" w:customStyle="1" w:styleId="Titreobjet">
    <w:name w:val="Titre objet"/>
    <w:basedOn w:val="Normal"/>
    <w:next w:val="Normal"/>
    <w:pPr>
      <w:spacing w:before="360" w:after="360"/>
      <w:jc w:val="center"/>
    </w:pPr>
    <w:rPr>
      <w:b/>
    </w:rPr>
  </w:style>
  <w:style w:type="character" w:styleId="Emphasis">
    <w:name w:val="Emphasis"/>
    <w:qFormat/>
    <w:rPr>
      <w:i/>
      <w:iCs/>
    </w:rPr>
  </w:style>
  <w:style w:type="paragraph" w:styleId="NormalWeb">
    <w:name w:val="Normal (Web)"/>
    <w:basedOn w:val="Normal"/>
    <w:pPr>
      <w:spacing w:before="100" w:beforeAutospacing="1" w:after="100" w:afterAutospacing="1"/>
    </w:pPr>
  </w:style>
  <w:style w:type="paragraph" w:customStyle="1" w:styleId="Text2">
    <w:name w:val="Text 2"/>
    <w:basedOn w:val="Normal"/>
    <w:pPr>
      <w:spacing w:before="120" w:after="120"/>
      <w:ind w:left="850"/>
      <w:jc w:val="both"/>
    </w:pPr>
  </w:style>
  <w:style w:type="paragraph" w:styleId="BalloonText">
    <w:name w:val="Balloon Text"/>
    <w:basedOn w:val="Normal"/>
    <w:link w:val="BalloonTextChar"/>
    <w:semiHidden/>
    <w:rPr>
      <w:rFonts w:ascii="Tahoma" w:hAnsi="Tahoma" w:cs="Tahoma"/>
      <w:sz w:val="16"/>
      <w:szCs w:val="16"/>
    </w:rPr>
  </w:style>
  <w:style w:type="paragraph" w:styleId="ListNumber">
    <w:name w:val="List Number"/>
    <w:basedOn w:val="Normal"/>
    <w:pPr>
      <w:numPr>
        <w:numId w:val="7"/>
      </w:numPr>
      <w:spacing w:before="120" w:after="120"/>
      <w:jc w:val="both"/>
    </w:pPr>
  </w:style>
  <w:style w:type="paragraph" w:customStyle="1" w:styleId="ListNumberLevel2">
    <w:name w:val="List Number (Level 2)"/>
    <w:basedOn w:val="Normal"/>
    <w:pPr>
      <w:numPr>
        <w:ilvl w:val="1"/>
        <w:numId w:val="7"/>
      </w:numPr>
      <w:spacing w:before="120" w:after="120"/>
      <w:jc w:val="both"/>
    </w:pPr>
  </w:style>
  <w:style w:type="paragraph" w:customStyle="1" w:styleId="ListNumberLevel3">
    <w:name w:val="List Number (Level 3)"/>
    <w:basedOn w:val="Normal"/>
    <w:pPr>
      <w:numPr>
        <w:ilvl w:val="2"/>
        <w:numId w:val="7"/>
      </w:numPr>
      <w:spacing w:before="120" w:after="120"/>
      <w:jc w:val="both"/>
    </w:pPr>
  </w:style>
  <w:style w:type="paragraph" w:customStyle="1" w:styleId="ListNumberLevel4">
    <w:name w:val="List Number (Level 4)"/>
    <w:basedOn w:val="Normal"/>
    <w:pPr>
      <w:numPr>
        <w:ilvl w:val="3"/>
        <w:numId w:val="7"/>
      </w:numPr>
      <w:spacing w:before="120" w:after="120"/>
      <w:jc w:val="both"/>
    </w:pPr>
  </w:style>
  <w:style w:type="character" w:customStyle="1" w:styleId="ListDashChar">
    <w:name w:val="List Dash Char"/>
    <w:link w:val="ListDash"/>
    <w:rPr>
      <w:sz w:val="24"/>
      <w:szCs w:val="24"/>
      <w:lang w:eastAsia="sk-SK"/>
    </w:rPr>
  </w:style>
  <w:style w:type="paragraph" w:customStyle="1" w:styleId="StyleManualHeading2Italic">
    <w:name w:val="Style Manual Heading 2 + Italic"/>
    <w:basedOn w:val="ManualHeading2"/>
    <w:autoRedefine/>
    <w:pPr>
      <w:spacing w:before="160" w:after="160"/>
      <w:ind w:left="851" w:hanging="851"/>
    </w:pPr>
    <w:rPr>
      <w:bCs/>
      <w:i/>
      <w:iCs/>
    </w:rPr>
  </w:style>
  <w:style w:type="character" w:customStyle="1" w:styleId="FootnoteTextChar">
    <w:name w:val="Footnote Text Char"/>
    <w:link w:val="FootnoteText"/>
    <w:uiPriority w:val="99"/>
    <w:rPr>
      <w:lang w:eastAsia="sk-SK"/>
    </w:rPr>
  </w:style>
  <w:style w:type="paragraph" w:customStyle="1" w:styleId="NormalCentered">
    <w:name w:val="Normal Centered"/>
    <w:basedOn w:val="Normal"/>
    <w:uiPriority w:val="99"/>
    <w:pPr>
      <w:spacing w:before="120" w:after="120"/>
      <w:jc w:val="center"/>
    </w:pPr>
  </w:style>
  <w:style w:type="paragraph" w:customStyle="1" w:styleId="NormalRight">
    <w:name w:val="Normal Right"/>
    <w:basedOn w:val="Normal"/>
    <w:uiPriority w:val="99"/>
    <w:pPr>
      <w:spacing w:before="120" w:after="120"/>
      <w:jc w:val="right"/>
    </w:pPr>
  </w:style>
  <w:style w:type="paragraph" w:customStyle="1" w:styleId="NormalLeft">
    <w:name w:val="Normal Left"/>
    <w:basedOn w:val="Normal"/>
    <w:uiPriority w:val="99"/>
    <w:pPr>
      <w:spacing w:before="120" w:after="120"/>
    </w:pPr>
  </w:style>
  <w:style w:type="paragraph" w:customStyle="1" w:styleId="Point0number">
    <w:name w:val="Point 0 (number)"/>
    <w:basedOn w:val="Normal"/>
    <w:pPr>
      <w:numPr>
        <w:numId w:val="6"/>
      </w:numPr>
      <w:spacing w:before="120" w:after="120"/>
      <w:jc w:val="both"/>
    </w:pPr>
  </w:style>
  <w:style w:type="paragraph" w:customStyle="1" w:styleId="Point1number">
    <w:name w:val="Point 1 (number)"/>
    <w:basedOn w:val="Normal"/>
    <w:pPr>
      <w:numPr>
        <w:ilvl w:val="2"/>
        <w:numId w:val="6"/>
      </w:numPr>
      <w:spacing w:before="120" w:after="120"/>
      <w:jc w:val="both"/>
    </w:pPr>
  </w:style>
  <w:style w:type="paragraph" w:customStyle="1" w:styleId="Point2number">
    <w:name w:val="Point 2 (number)"/>
    <w:basedOn w:val="Normal"/>
    <w:pPr>
      <w:numPr>
        <w:ilvl w:val="4"/>
        <w:numId w:val="6"/>
      </w:numPr>
      <w:spacing w:before="120" w:after="120"/>
      <w:jc w:val="both"/>
    </w:pPr>
  </w:style>
  <w:style w:type="paragraph" w:customStyle="1" w:styleId="Point3number">
    <w:name w:val="Point 3 (number)"/>
    <w:basedOn w:val="Normal"/>
    <w:pPr>
      <w:numPr>
        <w:ilvl w:val="6"/>
        <w:numId w:val="6"/>
      </w:numPr>
      <w:spacing w:before="120" w:after="120"/>
      <w:jc w:val="both"/>
    </w:pPr>
  </w:style>
  <w:style w:type="paragraph" w:customStyle="1" w:styleId="Point0letter">
    <w:name w:val="Point 0 (letter)"/>
    <w:basedOn w:val="Normal"/>
    <w:pPr>
      <w:numPr>
        <w:ilvl w:val="1"/>
        <w:numId w:val="6"/>
      </w:numPr>
      <w:spacing w:before="120" w:after="120"/>
      <w:jc w:val="both"/>
    </w:pPr>
  </w:style>
  <w:style w:type="paragraph" w:customStyle="1" w:styleId="Point1letter">
    <w:name w:val="Point 1 (letter)"/>
    <w:basedOn w:val="Normal"/>
    <w:pPr>
      <w:numPr>
        <w:ilvl w:val="3"/>
        <w:numId w:val="6"/>
      </w:numPr>
      <w:spacing w:before="120" w:after="120"/>
      <w:jc w:val="both"/>
    </w:pPr>
  </w:style>
  <w:style w:type="paragraph" w:customStyle="1" w:styleId="Point2letter">
    <w:name w:val="Point 2 (letter)"/>
    <w:basedOn w:val="Normal"/>
    <w:pPr>
      <w:numPr>
        <w:ilvl w:val="5"/>
        <w:numId w:val="6"/>
      </w:numPr>
      <w:spacing w:before="120" w:after="120"/>
      <w:jc w:val="both"/>
    </w:pPr>
  </w:style>
  <w:style w:type="paragraph" w:customStyle="1" w:styleId="Point3letter">
    <w:name w:val="Point 3 (letter)"/>
    <w:basedOn w:val="Normal"/>
    <w:pPr>
      <w:numPr>
        <w:ilvl w:val="7"/>
        <w:numId w:val="6"/>
      </w:numPr>
      <w:spacing w:before="120" w:after="120"/>
      <w:jc w:val="both"/>
    </w:pPr>
  </w:style>
  <w:style w:type="paragraph" w:customStyle="1" w:styleId="Point4letter">
    <w:name w:val="Point 4 (letter)"/>
    <w:basedOn w:val="Normal"/>
    <w:pPr>
      <w:numPr>
        <w:ilvl w:val="8"/>
        <w:numId w:val="6"/>
      </w:numPr>
      <w:spacing w:before="120" w:after="120"/>
      <w:jc w:val="both"/>
    </w:pPr>
  </w:style>
  <w:style w:type="paragraph" w:customStyle="1" w:styleId="NumPar1">
    <w:name w:val="NumPar 1"/>
    <w:basedOn w:val="Normal"/>
    <w:next w:val="Text1"/>
    <w:pPr>
      <w:numPr>
        <w:numId w:val="8"/>
      </w:numPr>
      <w:spacing w:before="120" w:after="120"/>
      <w:jc w:val="both"/>
    </w:pPr>
  </w:style>
  <w:style w:type="paragraph" w:customStyle="1" w:styleId="NumPar2">
    <w:name w:val="NumPar 2"/>
    <w:basedOn w:val="Normal"/>
    <w:next w:val="Normal"/>
    <w:pPr>
      <w:numPr>
        <w:ilvl w:val="1"/>
        <w:numId w:val="8"/>
      </w:numPr>
      <w:spacing w:before="120" w:after="120"/>
      <w:jc w:val="both"/>
    </w:pPr>
  </w:style>
  <w:style w:type="paragraph" w:customStyle="1" w:styleId="NumPar3">
    <w:name w:val="NumPar 3"/>
    <w:basedOn w:val="Normal"/>
    <w:next w:val="Normal"/>
    <w:pPr>
      <w:numPr>
        <w:ilvl w:val="2"/>
        <w:numId w:val="8"/>
      </w:numPr>
      <w:spacing w:before="120" w:after="120"/>
      <w:jc w:val="both"/>
    </w:pPr>
  </w:style>
  <w:style w:type="paragraph" w:customStyle="1" w:styleId="NumPar4">
    <w:name w:val="NumPar 4"/>
    <w:basedOn w:val="Normal"/>
    <w:next w:val="Normal"/>
    <w:pPr>
      <w:numPr>
        <w:ilvl w:val="3"/>
        <w:numId w:val="8"/>
      </w:numPr>
      <w:spacing w:before="120" w:after="120"/>
      <w:jc w:val="both"/>
    </w:pPr>
  </w:style>
  <w:style w:type="paragraph" w:customStyle="1" w:styleId="Exposdesmotifstitre">
    <w:name w:val="Exposé des motifs titre"/>
    <w:basedOn w:val="Normal"/>
    <w:next w:val="Normal"/>
    <w:pPr>
      <w:spacing w:before="120" w:after="120"/>
      <w:jc w:val="center"/>
    </w:pPr>
    <w:rPr>
      <w:b/>
      <w:u w:val="single"/>
    </w:rPr>
  </w:style>
  <w:style w:type="character" w:styleId="CommentReference">
    <w:name w:val="annotation reference"/>
    <w:rPr>
      <w:sz w:val="16"/>
      <w:szCs w:val="16"/>
    </w:rPr>
  </w:style>
  <w:style w:type="paragraph" w:customStyle="1" w:styleId="Statut">
    <w:name w:val="Statut"/>
    <w:basedOn w:val="Normal"/>
    <w:next w:val="Typedudocument"/>
    <w:pPr>
      <w:spacing w:before="360"/>
      <w:jc w:val="center"/>
    </w:pPr>
    <w:rPr>
      <w:rFonts w:eastAsia="Calibri"/>
      <w:szCs w:val="22"/>
    </w:rPr>
  </w:style>
  <w:style w:type="paragraph" w:customStyle="1" w:styleId="Declassification">
    <w:name w:val="Declassification"/>
    <w:basedOn w:val="Normal"/>
    <w:next w:val="Normal"/>
    <w:pPr>
      <w:jc w:val="both"/>
    </w:pPr>
    <w:rPr>
      <w:rFonts w:eastAsiaTheme="minorHAnsi"/>
      <w:szCs w:val="22"/>
    </w:rPr>
  </w:style>
  <w:style w:type="character" w:customStyle="1" w:styleId="HeaderChar">
    <w:name w:val="Header Char"/>
    <w:basedOn w:val="DefaultParagraphFont"/>
    <w:link w:val="Header"/>
    <w:rPr>
      <w:rFonts w:eastAsiaTheme="minorHAnsi"/>
      <w:sz w:val="24"/>
      <w:szCs w:val="22"/>
      <w:lang w:eastAsia="sk-SK"/>
    </w:rPr>
  </w:style>
  <w:style w:type="paragraph" w:customStyle="1" w:styleId="HeaderLandscape">
    <w:name w:val="HeaderLandscape"/>
    <w:basedOn w:val="Normal"/>
    <w:pPr>
      <w:tabs>
        <w:tab w:val="center" w:pos="7285"/>
        <w:tab w:val="right" w:pos="14003"/>
      </w:tabs>
      <w:spacing w:after="120"/>
      <w:jc w:val="both"/>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FooterChar">
    <w:name w:val="Footer Char"/>
    <w:basedOn w:val="DefaultParagraphFont"/>
    <w:link w:val="Footer"/>
    <w:uiPriority w:val="99"/>
    <w:rPr>
      <w:rFonts w:eastAsiaTheme="minorHAnsi"/>
      <w:sz w:val="24"/>
      <w:szCs w:val="22"/>
      <w:lang w:eastAsia="sk-SK"/>
    </w:rPr>
  </w:style>
  <w:style w:type="paragraph" w:customStyle="1" w:styleId="FooterLandscape">
    <w:name w:val="FooterLandscape"/>
    <w:basedOn w:val="Normal"/>
    <w:pPr>
      <w:tabs>
        <w:tab w:val="center" w:pos="7285"/>
        <w:tab w:val="center" w:pos="10913"/>
        <w:tab w:val="right" w:pos="15137"/>
      </w:tabs>
      <w:spacing w:before="360"/>
      <w:ind w:left="-567" w:right="-567"/>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customStyle="1" w:styleId="Default">
    <w:name w:val="Default"/>
    <w:pPr>
      <w:autoSpaceDE w:val="0"/>
      <w:autoSpaceDN w:val="0"/>
      <w:adjustRightInd w:val="0"/>
    </w:pPr>
    <w:rPr>
      <w:color w:val="000000"/>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ListParagraphChar"/>
    <w:uiPriority w:val="34"/>
    <w:qFormat/>
    <w:pPr>
      <w:ind w:left="720"/>
      <w:contextualSpacing/>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rPr>
  </w:style>
  <w:style w:type="paragraph" w:styleId="Revision">
    <w:name w:val="Revision"/>
    <w:hidden/>
    <w:uiPriority w:val="99"/>
    <w:semiHidden/>
    <w:rPr>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Pr>
      <w:sz w:val="24"/>
      <w:szCs w:val="24"/>
    </w:rPr>
  </w:style>
  <w:style w:type="character" w:customStyle="1" w:styleId="Heading5Char">
    <w:name w:val="Heading 5 Char"/>
    <w:basedOn w:val="DefaultParagraphFont"/>
    <w:link w:val="Heading5"/>
    <w:uiPriority w:val="99"/>
    <w:rPr>
      <w:rFonts w:ascii="Arial" w:eastAsiaTheme="majorEastAsia" w:hAnsi="Arial" w:cs="Arial"/>
      <w:sz w:val="22"/>
      <w:szCs w:val="22"/>
      <w:lang w:eastAsia="sk-SK"/>
    </w:rPr>
  </w:style>
  <w:style w:type="character" w:customStyle="1" w:styleId="Heading6Char">
    <w:name w:val="Heading 6 Char"/>
    <w:basedOn w:val="DefaultParagraphFont"/>
    <w:link w:val="Heading6"/>
    <w:uiPriority w:val="99"/>
    <w:rPr>
      <w:rFonts w:ascii="Arial" w:eastAsiaTheme="majorEastAsia" w:hAnsi="Arial" w:cs="Arial"/>
      <w:i/>
      <w:iCs/>
      <w:sz w:val="22"/>
      <w:szCs w:val="22"/>
      <w:lang w:eastAsia="sk-SK"/>
    </w:rPr>
  </w:style>
  <w:style w:type="character" w:customStyle="1" w:styleId="Heading7Char">
    <w:name w:val="Heading 7 Char"/>
    <w:basedOn w:val="DefaultParagraphFont"/>
    <w:link w:val="Heading7"/>
    <w:uiPriority w:val="99"/>
    <w:rPr>
      <w:rFonts w:ascii="Arial" w:eastAsiaTheme="majorEastAsia" w:hAnsi="Arial" w:cs="Arial"/>
      <w:sz w:val="22"/>
      <w:lang w:eastAsia="sk-SK"/>
    </w:rPr>
  </w:style>
  <w:style w:type="character" w:customStyle="1" w:styleId="Heading8Char">
    <w:name w:val="Heading 8 Char"/>
    <w:basedOn w:val="DefaultParagraphFont"/>
    <w:link w:val="Heading8"/>
    <w:uiPriority w:val="99"/>
    <w:rPr>
      <w:rFonts w:ascii="Arial" w:eastAsiaTheme="majorEastAsia" w:hAnsi="Arial" w:cs="Arial"/>
      <w:i/>
      <w:iCs/>
      <w:sz w:val="22"/>
      <w:lang w:eastAsia="sk-SK"/>
    </w:rPr>
  </w:style>
  <w:style w:type="character" w:customStyle="1" w:styleId="Heading9Char">
    <w:name w:val="Heading 9 Char"/>
    <w:basedOn w:val="DefaultParagraphFont"/>
    <w:link w:val="Heading9"/>
    <w:uiPriority w:val="99"/>
    <w:rPr>
      <w:rFonts w:ascii="Arial" w:eastAsiaTheme="majorEastAsia" w:hAnsi="Arial" w:cs="Arial"/>
      <w:i/>
      <w:iCs/>
      <w:sz w:val="18"/>
      <w:szCs w:val="18"/>
      <w:lang w:eastAsia="sk-SK"/>
    </w:rPr>
  </w:style>
  <w:style w:type="paragraph" w:customStyle="1" w:styleId="Footnoter">
    <w:name w:val="Footnote r"/>
    <w:basedOn w:val="Normal"/>
    <w:pPr>
      <w:shd w:val="clear" w:color="auto" w:fill="F2F8FB"/>
      <w:spacing w:before="100" w:beforeAutospacing="1" w:after="100" w:afterAutospacing="1"/>
    </w:pPr>
    <w:rPr>
      <w:szCs w:val="22"/>
    </w:rPr>
  </w:style>
  <w:style w:type="character" w:customStyle="1" w:styleId="hps">
    <w:name w:val="hps"/>
  </w:style>
  <w:style w:type="paragraph" w:customStyle="1" w:styleId="Tiret2">
    <w:name w:val="Tiret 2"/>
    <w:basedOn w:val="Normal"/>
    <w:pPr>
      <w:numPr>
        <w:numId w:val="9"/>
      </w:numPr>
      <w:spacing w:before="120" w:after="120"/>
      <w:jc w:val="both"/>
    </w:pPr>
    <w:rPr>
      <w:szCs w:val="22"/>
    </w:rPr>
  </w:style>
  <w:style w:type="paragraph" w:styleId="ListNumber5">
    <w:name w:val="List Number 5"/>
    <w:basedOn w:val="Normal"/>
    <w:pPr>
      <w:numPr>
        <w:numId w:val="10"/>
      </w:numPr>
      <w:contextualSpacing/>
    </w:pPr>
  </w:style>
  <w:style w:type="character" w:styleId="Strong">
    <w:name w:val="Strong"/>
    <w:basedOn w:val="DefaultParagraphFont"/>
    <w:qFormat/>
    <w:rPr>
      <w:b/>
      <w:bCs/>
    </w:rPr>
  </w:style>
  <w:style w:type="paragraph" w:styleId="ListBullet3">
    <w:name w:val="List Bullet 3"/>
    <w:basedOn w:val="Normal"/>
    <w:uiPriority w:val="99"/>
    <w:unhideWhenUsed/>
    <w:pPr>
      <w:numPr>
        <w:numId w:val="11"/>
      </w:numPr>
      <w:spacing w:before="120" w:after="120"/>
      <w:contextualSpacing/>
      <w:jc w:val="both"/>
    </w:pPr>
    <w:rPr>
      <w:rFonts w:eastAsia="Calibri"/>
      <w:szCs w:val="22"/>
    </w:rPr>
  </w:style>
  <w:style w:type="paragraph" w:customStyle="1" w:styleId="CM4">
    <w:name w:val="CM4"/>
    <w:basedOn w:val="Normal"/>
    <w:next w:val="Normal"/>
    <w:uiPriority w:val="99"/>
    <w:pPr>
      <w:autoSpaceDE w:val="0"/>
      <w:autoSpaceDN w:val="0"/>
      <w:adjustRightInd w:val="0"/>
    </w:pPr>
    <w:rPr>
      <w:rFonts w:ascii="EUAlbertina" w:hAnsi="EUAlbertina"/>
    </w:rPr>
  </w:style>
  <w:style w:type="paragraph" w:customStyle="1" w:styleId="doc-ti">
    <w:name w:val="doc-ti"/>
    <w:basedOn w:val="Normal"/>
    <w:pPr>
      <w:spacing w:before="240" w:after="120"/>
      <w:jc w:val="center"/>
    </w:pPr>
    <w:rPr>
      <w:b/>
      <w:bCs/>
    </w:rPr>
  </w:style>
  <w:style w:type="character" w:customStyle="1" w:styleId="SubtleEmphasis1">
    <w:name w:val="Subtle Emphasis1"/>
    <w:rPr>
      <w:i/>
      <w:iCs/>
      <w:color w:val="808080"/>
    </w:rPr>
  </w:style>
  <w:style w:type="character" w:customStyle="1" w:styleId="IntenseEmphasis1">
    <w:name w:val="Intense Emphasis1"/>
    <w:rPr>
      <w:b/>
      <w:bCs/>
      <w:i/>
      <w:iCs/>
      <w:color w:val="4F81BD"/>
    </w:rPr>
  </w:style>
  <w:style w:type="character" w:customStyle="1" w:styleId="SubtleReference1">
    <w:name w:val="Subtle Reference1"/>
    <w:rPr>
      <w:smallCaps/>
      <w:color w:val="C0504D"/>
      <w:u w:val="single"/>
    </w:rPr>
  </w:style>
  <w:style w:type="character" w:customStyle="1" w:styleId="IntenseReference1">
    <w:name w:val="Intense Reference1"/>
    <w:rPr>
      <w:b/>
      <w:bCs/>
      <w:smallCaps/>
      <w:color w:val="C0504D"/>
      <w:spacing w:val="5"/>
      <w:u w:val="single"/>
    </w:rPr>
  </w:style>
  <w:style w:type="character" w:customStyle="1" w:styleId="BookTitle1">
    <w:name w:val="Book Title1"/>
    <w:rPr>
      <w:b/>
      <w:bCs/>
      <w:smallCaps/>
      <w:spacing w:val="5"/>
    </w:rPr>
  </w:style>
  <w:style w:type="paragraph" w:customStyle="1" w:styleId="TOCHeading1">
    <w:name w:val="TOC Heading1"/>
    <w:basedOn w:val="Heading1"/>
    <w:next w:val="Normal"/>
    <w:uiPriority w:val="39"/>
    <w:pPr>
      <w:keepNext w:val="0"/>
      <w:keepLines/>
      <w:spacing w:before="480" w:after="0"/>
      <w:jc w:val="both"/>
      <w:outlineLvl w:val="9"/>
    </w:pPr>
    <w:rPr>
      <w:rFonts w:ascii="Cambria" w:hAnsi="Cambria" w:cs="Times New Roman"/>
      <w:color w:val="365F91"/>
      <w:kern w:val="0"/>
      <w:sz w:val="28"/>
      <w:szCs w:val="28"/>
    </w:rPr>
  </w:style>
  <w:style w:type="character" w:customStyle="1" w:styleId="Heading1Char">
    <w:name w:val="Heading 1 Char"/>
    <w:basedOn w:val="DefaultParagraphFont"/>
    <w:link w:val="Heading1"/>
    <w:rPr>
      <w:rFonts w:ascii="Arial" w:hAnsi="Arial" w:cs="Arial"/>
      <w:b/>
      <w:bCs/>
      <w:kern w:val="32"/>
      <w:sz w:val="32"/>
      <w:szCs w:val="32"/>
    </w:rPr>
  </w:style>
  <w:style w:type="character" w:customStyle="1" w:styleId="SubtleEmphasis2">
    <w:name w:val="Subtle Emphasis2"/>
    <w:rPr>
      <w:i/>
      <w:iCs/>
      <w:color w:val="808080"/>
    </w:rPr>
  </w:style>
  <w:style w:type="character" w:customStyle="1" w:styleId="IntenseEmphasis2">
    <w:name w:val="Intense Emphasis2"/>
    <w:rPr>
      <w:b/>
      <w:bCs/>
      <w:i/>
      <w:iCs/>
      <w:color w:val="4F81BD"/>
    </w:rPr>
  </w:style>
  <w:style w:type="character" w:customStyle="1" w:styleId="SubtleReference2">
    <w:name w:val="Subtle Reference2"/>
    <w:rPr>
      <w:smallCaps/>
      <w:color w:val="C0504D"/>
      <w:u w:val="single"/>
    </w:rPr>
  </w:style>
  <w:style w:type="character" w:customStyle="1" w:styleId="IntenseReference2">
    <w:name w:val="Intense Reference2"/>
    <w:rPr>
      <w:b/>
      <w:bCs/>
      <w:smallCaps/>
      <w:color w:val="C0504D"/>
      <w:spacing w:val="5"/>
      <w:u w:val="single"/>
    </w:rPr>
  </w:style>
  <w:style w:type="character" w:customStyle="1" w:styleId="BookTitle2">
    <w:name w:val="Book Title2"/>
    <w:rPr>
      <w:b/>
      <w:bCs/>
      <w:smallCaps/>
      <w:spacing w:val="5"/>
    </w:rPr>
  </w:style>
  <w:style w:type="paragraph" w:customStyle="1" w:styleId="TOCHeading2">
    <w:name w:val="TOC Heading2"/>
    <w:basedOn w:val="Heading1"/>
    <w:next w:val="Normal"/>
    <w:uiPriority w:val="39"/>
    <w:pPr>
      <w:keepNext w:val="0"/>
      <w:keepLines/>
      <w:spacing w:before="480" w:after="0"/>
      <w:jc w:val="both"/>
      <w:outlineLvl w:val="9"/>
    </w:pPr>
    <w:rPr>
      <w:rFonts w:ascii="Cambria" w:hAnsi="Cambria" w:cs="Times New Roman"/>
      <w:color w:val="365F91"/>
      <w:kern w:val="0"/>
      <w:sz w:val="28"/>
      <w:szCs w:val="28"/>
    </w:rPr>
  </w:style>
  <w:style w:type="character" w:customStyle="1" w:styleId="Heading2Char">
    <w:name w:val="Heading 2 Char"/>
    <w:aliases w:val="Char Char, Char Char,Abschnitt Char"/>
    <w:link w:val="Heading2"/>
    <w:rPr>
      <w:rFonts w:ascii="Arial" w:hAnsi="Arial" w:cs="Arial"/>
      <w:b/>
      <w:bCs/>
      <w:i/>
      <w:iCs/>
      <w:sz w:val="28"/>
      <w:szCs w:val="28"/>
    </w:rPr>
  </w:style>
  <w:style w:type="character" w:customStyle="1" w:styleId="Heading3Char">
    <w:name w:val="Heading 3 Char"/>
    <w:aliases w:val="Heading 3 Auto Char"/>
    <w:basedOn w:val="DefaultParagraphFont"/>
    <w:link w:val="Heading3"/>
    <w:rPr>
      <w:rFonts w:ascii="Arial" w:hAnsi="Arial" w:cs="Arial"/>
      <w:b/>
      <w:bCs/>
      <w:i/>
      <w:sz w:val="26"/>
      <w:szCs w:val="26"/>
    </w:rPr>
  </w:style>
  <w:style w:type="character" w:customStyle="1" w:styleId="Heading4Char">
    <w:name w:val="Heading 4 Char"/>
    <w:basedOn w:val="DefaultParagraphFont"/>
    <w:link w:val="Heading4"/>
    <w:rPr>
      <w:b/>
      <w:bCs/>
      <w:sz w:val="24"/>
      <w:szCs w:val="28"/>
      <w:lang w:eastAsia="sk-SK"/>
    </w:rPr>
  </w:style>
  <w:style w:type="paragraph" w:styleId="Caption">
    <w:name w:val="caption"/>
    <w:basedOn w:val="Normal"/>
    <w:next w:val="Normal"/>
    <w:semiHidden/>
    <w:unhideWhenUsed/>
    <w:qFormat/>
    <w:pPr>
      <w:spacing w:after="200"/>
    </w:pPr>
    <w:rPr>
      <w:b/>
      <w:bCs/>
      <w:color w:val="4F81BD" w:themeColor="accent1"/>
      <w:sz w:val="18"/>
      <w:szCs w:val="18"/>
    </w:rPr>
  </w:style>
  <w:style w:type="paragraph" w:styleId="Title">
    <w:name w:val="Title"/>
    <w:basedOn w:val="Normal"/>
    <w:link w:val="TitleChar"/>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eastAsia="sk-SK"/>
    </w:rPr>
  </w:style>
  <w:style w:type="paragraph" w:styleId="Subtitle">
    <w:name w:val="Subtitle"/>
    <w:basedOn w:val="Normal"/>
    <w:link w:val="SubtitleChar"/>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Pr>
      <w:rFonts w:asciiTheme="majorHAnsi" w:eastAsiaTheme="majorEastAsia" w:hAnsiTheme="majorHAnsi" w:cstheme="majorBidi"/>
      <w:i/>
      <w:iCs/>
      <w:color w:val="4F81BD" w:themeColor="accent1"/>
      <w:spacing w:val="15"/>
      <w:sz w:val="24"/>
      <w:szCs w:val="24"/>
      <w:lang w:eastAsia="sk-SK"/>
    </w:rPr>
  </w:style>
  <w:style w:type="paragraph" w:customStyle="1" w:styleId="agbullets">
    <w:name w:val="ag_bullets"/>
    <w:basedOn w:val="Normal"/>
    <w:qFormat/>
    <w:pPr>
      <w:numPr>
        <w:numId w:val="12"/>
      </w:numPr>
    </w:pPr>
    <w:rPr>
      <w:sz w:val="22"/>
      <w:szCs w:val="20"/>
    </w:rPr>
  </w:style>
  <w:style w:type="paragraph" w:customStyle="1" w:styleId="agtabbullets">
    <w:name w:val="ag_tab_bullets"/>
    <w:basedOn w:val="Normal"/>
    <w:qFormat/>
    <w:pPr>
      <w:numPr>
        <w:numId w:val="13"/>
      </w:numPr>
      <w:jc w:val="both"/>
    </w:pPr>
    <w:rPr>
      <w:sz w:val="18"/>
      <w:szCs w:val="20"/>
    </w:rPr>
  </w:style>
  <w:style w:type="paragraph" w:customStyle="1" w:styleId="agfootnote">
    <w:name w:val="ag_footnote"/>
    <w:basedOn w:val="Normal"/>
    <w:qFormat/>
    <w:pPr>
      <w:spacing w:after="120"/>
      <w:jc w:val="both"/>
    </w:pPr>
    <w:rPr>
      <w:sz w:val="16"/>
      <w:szCs w:val="20"/>
    </w:rPr>
  </w:style>
  <w:style w:type="numbering" w:customStyle="1" w:styleId="NoList1">
    <w:name w:val="No List1"/>
    <w:next w:val="NoList"/>
    <w:uiPriority w:val="99"/>
    <w:semiHidden/>
    <w:unhideWhenUsed/>
  </w:style>
  <w:style w:type="character" w:customStyle="1" w:styleId="BalloonTextChar">
    <w:name w:val="Balloon Text Char"/>
    <w:basedOn w:val="DefaultParagraphFont"/>
    <w:link w:val="BalloonText"/>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4637">
      <w:bodyDiv w:val="1"/>
      <w:marLeft w:val="0"/>
      <w:marRight w:val="0"/>
      <w:marTop w:val="0"/>
      <w:marBottom w:val="0"/>
      <w:divBdr>
        <w:top w:val="none" w:sz="0" w:space="0" w:color="auto"/>
        <w:left w:val="none" w:sz="0" w:space="0" w:color="auto"/>
        <w:bottom w:val="none" w:sz="0" w:space="0" w:color="auto"/>
        <w:right w:val="none" w:sz="0" w:space="0" w:color="auto"/>
      </w:divBdr>
    </w:div>
    <w:div w:id="119494795">
      <w:bodyDiv w:val="1"/>
      <w:marLeft w:val="0"/>
      <w:marRight w:val="0"/>
      <w:marTop w:val="0"/>
      <w:marBottom w:val="0"/>
      <w:divBdr>
        <w:top w:val="none" w:sz="0" w:space="0" w:color="auto"/>
        <w:left w:val="none" w:sz="0" w:space="0" w:color="auto"/>
        <w:bottom w:val="none" w:sz="0" w:space="0" w:color="auto"/>
        <w:right w:val="none" w:sz="0" w:space="0" w:color="auto"/>
      </w:divBdr>
    </w:div>
    <w:div w:id="129058754">
      <w:bodyDiv w:val="1"/>
      <w:marLeft w:val="0"/>
      <w:marRight w:val="0"/>
      <w:marTop w:val="0"/>
      <w:marBottom w:val="0"/>
      <w:divBdr>
        <w:top w:val="none" w:sz="0" w:space="0" w:color="auto"/>
        <w:left w:val="none" w:sz="0" w:space="0" w:color="auto"/>
        <w:bottom w:val="none" w:sz="0" w:space="0" w:color="auto"/>
        <w:right w:val="none" w:sz="0" w:space="0" w:color="auto"/>
      </w:divBdr>
    </w:div>
    <w:div w:id="140775662">
      <w:bodyDiv w:val="1"/>
      <w:marLeft w:val="0"/>
      <w:marRight w:val="0"/>
      <w:marTop w:val="0"/>
      <w:marBottom w:val="0"/>
      <w:divBdr>
        <w:top w:val="none" w:sz="0" w:space="0" w:color="auto"/>
        <w:left w:val="none" w:sz="0" w:space="0" w:color="auto"/>
        <w:bottom w:val="none" w:sz="0" w:space="0" w:color="auto"/>
        <w:right w:val="none" w:sz="0" w:space="0" w:color="auto"/>
      </w:divBdr>
    </w:div>
    <w:div w:id="157232737">
      <w:bodyDiv w:val="1"/>
      <w:marLeft w:val="0"/>
      <w:marRight w:val="0"/>
      <w:marTop w:val="0"/>
      <w:marBottom w:val="0"/>
      <w:divBdr>
        <w:top w:val="none" w:sz="0" w:space="0" w:color="auto"/>
        <w:left w:val="none" w:sz="0" w:space="0" w:color="auto"/>
        <w:bottom w:val="none" w:sz="0" w:space="0" w:color="auto"/>
        <w:right w:val="none" w:sz="0" w:space="0" w:color="auto"/>
      </w:divBdr>
    </w:div>
    <w:div w:id="267927783">
      <w:bodyDiv w:val="1"/>
      <w:marLeft w:val="0"/>
      <w:marRight w:val="0"/>
      <w:marTop w:val="0"/>
      <w:marBottom w:val="0"/>
      <w:divBdr>
        <w:top w:val="none" w:sz="0" w:space="0" w:color="auto"/>
        <w:left w:val="none" w:sz="0" w:space="0" w:color="auto"/>
        <w:bottom w:val="none" w:sz="0" w:space="0" w:color="auto"/>
        <w:right w:val="none" w:sz="0" w:space="0" w:color="auto"/>
      </w:divBdr>
    </w:div>
    <w:div w:id="269511476">
      <w:bodyDiv w:val="1"/>
      <w:marLeft w:val="0"/>
      <w:marRight w:val="0"/>
      <w:marTop w:val="0"/>
      <w:marBottom w:val="0"/>
      <w:divBdr>
        <w:top w:val="none" w:sz="0" w:space="0" w:color="auto"/>
        <w:left w:val="none" w:sz="0" w:space="0" w:color="auto"/>
        <w:bottom w:val="none" w:sz="0" w:space="0" w:color="auto"/>
        <w:right w:val="none" w:sz="0" w:space="0" w:color="auto"/>
      </w:divBdr>
    </w:div>
    <w:div w:id="526875107">
      <w:bodyDiv w:val="1"/>
      <w:marLeft w:val="0"/>
      <w:marRight w:val="0"/>
      <w:marTop w:val="0"/>
      <w:marBottom w:val="0"/>
      <w:divBdr>
        <w:top w:val="none" w:sz="0" w:space="0" w:color="auto"/>
        <w:left w:val="none" w:sz="0" w:space="0" w:color="auto"/>
        <w:bottom w:val="none" w:sz="0" w:space="0" w:color="auto"/>
        <w:right w:val="none" w:sz="0" w:space="0" w:color="auto"/>
      </w:divBdr>
    </w:div>
    <w:div w:id="631600828">
      <w:bodyDiv w:val="1"/>
      <w:marLeft w:val="0"/>
      <w:marRight w:val="0"/>
      <w:marTop w:val="0"/>
      <w:marBottom w:val="0"/>
      <w:divBdr>
        <w:top w:val="none" w:sz="0" w:space="0" w:color="auto"/>
        <w:left w:val="none" w:sz="0" w:space="0" w:color="auto"/>
        <w:bottom w:val="none" w:sz="0" w:space="0" w:color="auto"/>
        <w:right w:val="none" w:sz="0" w:space="0" w:color="auto"/>
      </w:divBdr>
    </w:div>
    <w:div w:id="651643793">
      <w:bodyDiv w:val="1"/>
      <w:marLeft w:val="0"/>
      <w:marRight w:val="0"/>
      <w:marTop w:val="0"/>
      <w:marBottom w:val="0"/>
      <w:divBdr>
        <w:top w:val="none" w:sz="0" w:space="0" w:color="auto"/>
        <w:left w:val="none" w:sz="0" w:space="0" w:color="auto"/>
        <w:bottom w:val="none" w:sz="0" w:space="0" w:color="auto"/>
        <w:right w:val="none" w:sz="0" w:space="0" w:color="auto"/>
      </w:divBdr>
    </w:div>
    <w:div w:id="744688616">
      <w:bodyDiv w:val="1"/>
      <w:marLeft w:val="0"/>
      <w:marRight w:val="0"/>
      <w:marTop w:val="0"/>
      <w:marBottom w:val="0"/>
      <w:divBdr>
        <w:top w:val="none" w:sz="0" w:space="0" w:color="auto"/>
        <w:left w:val="none" w:sz="0" w:space="0" w:color="auto"/>
        <w:bottom w:val="none" w:sz="0" w:space="0" w:color="auto"/>
        <w:right w:val="none" w:sz="0" w:space="0" w:color="auto"/>
      </w:divBdr>
    </w:div>
    <w:div w:id="844714103">
      <w:bodyDiv w:val="1"/>
      <w:marLeft w:val="0"/>
      <w:marRight w:val="0"/>
      <w:marTop w:val="0"/>
      <w:marBottom w:val="0"/>
      <w:divBdr>
        <w:top w:val="none" w:sz="0" w:space="0" w:color="auto"/>
        <w:left w:val="none" w:sz="0" w:space="0" w:color="auto"/>
        <w:bottom w:val="none" w:sz="0" w:space="0" w:color="auto"/>
        <w:right w:val="none" w:sz="0" w:space="0" w:color="auto"/>
      </w:divBdr>
    </w:div>
    <w:div w:id="872612478">
      <w:bodyDiv w:val="1"/>
      <w:marLeft w:val="0"/>
      <w:marRight w:val="0"/>
      <w:marTop w:val="0"/>
      <w:marBottom w:val="0"/>
      <w:divBdr>
        <w:top w:val="none" w:sz="0" w:space="0" w:color="auto"/>
        <w:left w:val="none" w:sz="0" w:space="0" w:color="auto"/>
        <w:bottom w:val="none" w:sz="0" w:space="0" w:color="auto"/>
        <w:right w:val="none" w:sz="0" w:space="0" w:color="auto"/>
      </w:divBdr>
    </w:div>
    <w:div w:id="874540662">
      <w:bodyDiv w:val="1"/>
      <w:marLeft w:val="0"/>
      <w:marRight w:val="0"/>
      <w:marTop w:val="0"/>
      <w:marBottom w:val="0"/>
      <w:divBdr>
        <w:top w:val="none" w:sz="0" w:space="0" w:color="auto"/>
        <w:left w:val="none" w:sz="0" w:space="0" w:color="auto"/>
        <w:bottom w:val="none" w:sz="0" w:space="0" w:color="auto"/>
        <w:right w:val="none" w:sz="0" w:space="0" w:color="auto"/>
      </w:divBdr>
    </w:div>
    <w:div w:id="898131723">
      <w:bodyDiv w:val="1"/>
      <w:marLeft w:val="0"/>
      <w:marRight w:val="0"/>
      <w:marTop w:val="0"/>
      <w:marBottom w:val="0"/>
      <w:divBdr>
        <w:top w:val="none" w:sz="0" w:space="0" w:color="auto"/>
        <w:left w:val="none" w:sz="0" w:space="0" w:color="auto"/>
        <w:bottom w:val="none" w:sz="0" w:space="0" w:color="auto"/>
        <w:right w:val="none" w:sz="0" w:space="0" w:color="auto"/>
      </w:divBdr>
    </w:div>
    <w:div w:id="904336155">
      <w:bodyDiv w:val="1"/>
      <w:marLeft w:val="0"/>
      <w:marRight w:val="0"/>
      <w:marTop w:val="0"/>
      <w:marBottom w:val="0"/>
      <w:divBdr>
        <w:top w:val="none" w:sz="0" w:space="0" w:color="auto"/>
        <w:left w:val="none" w:sz="0" w:space="0" w:color="auto"/>
        <w:bottom w:val="none" w:sz="0" w:space="0" w:color="auto"/>
        <w:right w:val="none" w:sz="0" w:space="0" w:color="auto"/>
      </w:divBdr>
    </w:div>
    <w:div w:id="1000935606">
      <w:bodyDiv w:val="1"/>
      <w:marLeft w:val="0"/>
      <w:marRight w:val="0"/>
      <w:marTop w:val="0"/>
      <w:marBottom w:val="0"/>
      <w:divBdr>
        <w:top w:val="none" w:sz="0" w:space="0" w:color="auto"/>
        <w:left w:val="none" w:sz="0" w:space="0" w:color="auto"/>
        <w:bottom w:val="none" w:sz="0" w:space="0" w:color="auto"/>
        <w:right w:val="none" w:sz="0" w:space="0" w:color="auto"/>
      </w:divBdr>
    </w:div>
    <w:div w:id="1017465266">
      <w:bodyDiv w:val="1"/>
      <w:marLeft w:val="0"/>
      <w:marRight w:val="0"/>
      <w:marTop w:val="0"/>
      <w:marBottom w:val="0"/>
      <w:divBdr>
        <w:top w:val="none" w:sz="0" w:space="0" w:color="auto"/>
        <w:left w:val="none" w:sz="0" w:space="0" w:color="auto"/>
        <w:bottom w:val="none" w:sz="0" w:space="0" w:color="auto"/>
        <w:right w:val="none" w:sz="0" w:space="0" w:color="auto"/>
      </w:divBdr>
    </w:div>
    <w:div w:id="1051805765">
      <w:bodyDiv w:val="1"/>
      <w:marLeft w:val="0"/>
      <w:marRight w:val="0"/>
      <w:marTop w:val="0"/>
      <w:marBottom w:val="0"/>
      <w:divBdr>
        <w:top w:val="none" w:sz="0" w:space="0" w:color="auto"/>
        <w:left w:val="none" w:sz="0" w:space="0" w:color="auto"/>
        <w:bottom w:val="none" w:sz="0" w:space="0" w:color="auto"/>
        <w:right w:val="none" w:sz="0" w:space="0" w:color="auto"/>
      </w:divBdr>
      <w:divsChild>
        <w:div w:id="1326399010">
          <w:marLeft w:val="0"/>
          <w:marRight w:val="0"/>
          <w:marTop w:val="0"/>
          <w:marBottom w:val="0"/>
          <w:divBdr>
            <w:top w:val="none" w:sz="0" w:space="0" w:color="auto"/>
            <w:left w:val="none" w:sz="0" w:space="0" w:color="auto"/>
            <w:bottom w:val="none" w:sz="0" w:space="0" w:color="auto"/>
            <w:right w:val="none" w:sz="0" w:space="0" w:color="auto"/>
          </w:divBdr>
          <w:divsChild>
            <w:div w:id="10768024">
              <w:marLeft w:val="0"/>
              <w:marRight w:val="0"/>
              <w:marTop w:val="0"/>
              <w:marBottom w:val="0"/>
              <w:divBdr>
                <w:top w:val="none" w:sz="0" w:space="0" w:color="auto"/>
                <w:left w:val="none" w:sz="0" w:space="0" w:color="auto"/>
                <w:bottom w:val="none" w:sz="0" w:space="0" w:color="auto"/>
                <w:right w:val="none" w:sz="0" w:space="0" w:color="auto"/>
              </w:divBdr>
              <w:divsChild>
                <w:div w:id="1110509085">
                  <w:marLeft w:val="-225"/>
                  <w:marRight w:val="-225"/>
                  <w:marTop w:val="0"/>
                  <w:marBottom w:val="0"/>
                  <w:divBdr>
                    <w:top w:val="none" w:sz="0" w:space="0" w:color="auto"/>
                    <w:left w:val="none" w:sz="0" w:space="0" w:color="auto"/>
                    <w:bottom w:val="none" w:sz="0" w:space="0" w:color="auto"/>
                    <w:right w:val="none" w:sz="0" w:space="0" w:color="auto"/>
                  </w:divBdr>
                  <w:divsChild>
                    <w:div w:id="2092005566">
                      <w:marLeft w:val="0"/>
                      <w:marRight w:val="0"/>
                      <w:marTop w:val="0"/>
                      <w:marBottom w:val="0"/>
                      <w:divBdr>
                        <w:top w:val="none" w:sz="0" w:space="0" w:color="auto"/>
                        <w:left w:val="none" w:sz="0" w:space="0" w:color="auto"/>
                        <w:bottom w:val="none" w:sz="0" w:space="0" w:color="auto"/>
                        <w:right w:val="none" w:sz="0" w:space="0" w:color="auto"/>
                      </w:divBdr>
                      <w:divsChild>
                        <w:div w:id="1084764764">
                          <w:marLeft w:val="0"/>
                          <w:marRight w:val="0"/>
                          <w:marTop w:val="0"/>
                          <w:marBottom w:val="0"/>
                          <w:divBdr>
                            <w:top w:val="none" w:sz="0" w:space="0" w:color="auto"/>
                            <w:left w:val="none" w:sz="0" w:space="0" w:color="auto"/>
                            <w:bottom w:val="none" w:sz="0" w:space="0" w:color="auto"/>
                            <w:right w:val="none" w:sz="0" w:space="0" w:color="auto"/>
                          </w:divBdr>
                          <w:divsChild>
                            <w:div w:id="1888908354">
                              <w:marLeft w:val="0"/>
                              <w:marRight w:val="0"/>
                              <w:marTop w:val="0"/>
                              <w:marBottom w:val="0"/>
                              <w:divBdr>
                                <w:top w:val="none" w:sz="0" w:space="0" w:color="auto"/>
                                <w:left w:val="none" w:sz="0" w:space="0" w:color="auto"/>
                                <w:bottom w:val="none" w:sz="0" w:space="0" w:color="auto"/>
                                <w:right w:val="none" w:sz="0" w:space="0" w:color="auto"/>
                              </w:divBdr>
                              <w:divsChild>
                                <w:div w:id="982350976">
                                  <w:marLeft w:val="0"/>
                                  <w:marRight w:val="0"/>
                                  <w:marTop w:val="0"/>
                                  <w:marBottom w:val="133"/>
                                  <w:divBdr>
                                    <w:top w:val="none" w:sz="0" w:space="0" w:color="auto"/>
                                    <w:left w:val="none" w:sz="0" w:space="0" w:color="auto"/>
                                    <w:bottom w:val="none" w:sz="0" w:space="0" w:color="auto"/>
                                    <w:right w:val="none" w:sz="0" w:space="0" w:color="auto"/>
                                  </w:divBdr>
                                  <w:divsChild>
                                    <w:div w:id="49118662">
                                      <w:marLeft w:val="0"/>
                                      <w:marRight w:val="0"/>
                                      <w:marTop w:val="0"/>
                                      <w:marBottom w:val="0"/>
                                      <w:divBdr>
                                        <w:top w:val="none" w:sz="0" w:space="0" w:color="auto"/>
                                        <w:left w:val="none" w:sz="0" w:space="0" w:color="auto"/>
                                        <w:bottom w:val="none" w:sz="0" w:space="0" w:color="auto"/>
                                        <w:right w:val="none" w:sz="0" w:space="0" w:color="auto"/>
                                      </w:divBdr>
                                      <w:divsChild>
                                        <w:div w:id="834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365363">
      <w:bodyDiv w:val="1"/>
      <w:marLeft w:val="0"/>
      <w:marRight w:val="0"/>
      <w:marTop w:val="0"/>
      <w:marBottom w:val="0"/>
      <w:divBdr>
        <w:top w:val="none" w:sz="0" w:space="0" w:color="auto"/>
        <w:left w:val="none" w:sz="0" w:space="0" w:color="auto"/>
        <w:bottom w:val="none" w:sz="0" w:space="0" w:color="auto"/>
        <w:right w:val="none" w:sz="0" w:space="0" w:color="auto"/>
      </w:divBdr>
    </w:div>
    <w:div w:id="1269237249">
      <w:bodyDiv w:val="1"/>
      <w:marLeft w:val="0"/>
      <w:marRight w:val="0"/>
      <w:marTop w:val="0"/>
      <w:marBottom w:val="0"/>
      <w:divBdr>
        <w:top w:val="none" w:sz="0" w:space="0" w:color="auto"/>
        <w:left w:val="none" w:sz="0" w:space="0" w:color="auto"/>
        <w:bottom w:val="none" w:sz="0" w:space="0" w:color="auto"/>
        <w:right w:val="none" w:sz="0" w:space="0" w:color="auto"/>
      </w:divBdr>
    </w:div>
    <w:div w:id="1288586908">
      <w:bodyDiv w:val="1"/>
      <w:marLeft w:val="0"/>
      <w:marRight w:val="0"/>
      <w:marTop w:val="0"/>
      <w:marBottom w:val="0"/>
      <w:divBdr>
        <w:top w:val="none" w:sz="0" w:space="0" w:color="auto"/>
        <w:left w:val="none" w:sz="0" w:space="0" w:color="auto"/>
        <w:bottom w:val="none" w:sz="0" w:space="0" w:color="auto"/>
        <w:right w:val="none" w:sz="0" w:space="0" w:color="auto"/>
      </w:divBdr>
    </w:div>
    <w:div w:id="1691947953">
      <w:bodyDiv w:val="1"/>
      <w:marLeft w:val="0"/>
      <w:marRight w:val="0"/>
      <w:marTop w:val="0"/>
      <w:marBottom w:val="0"/>
      <w:divBdr>
        <w:top w:val="none" w:sz="0" w:space="0" w:color="auto"/>
        <w:left w:val="none" w:sz="0" w:space="0" w:color="auto"/>
        <w:bottom w:val="none" w:sz="0" w:space="0" w:color="auto"/>
        <w:right w:val="none" w:sz="0" w:space="0" w:color="auto"/>
      </w:divBdr>
    </w:div>
    <w:div w:id="1695381422">
      <w:bodyDiv w:val="1"/>
      <w:marLeft w:val="0"/>
      <w:marRight w:val="0"/>
      <w:marTop w:val="0"/>
      <w:marBottom w:val="0"/>
      <w:divBdr>
        <w:top w:val="none" w:sz="0" w:space="0" w:color="auto"/>
        <w:left w:val="none" w:sz="0" w:space="0" w:color="auto"/>
        <w:bottom w:val="none" w:sz="0" w:space="0" w:color="auto"/>
        <w:right w:val="none" w:sz="0" w:space="0" w:color="auto"/>
      </w:divBdr>
    </w:div>
    <w:div w:id="1708601875">
      <w:bodyDiv w:val="1"/>
      <w:marLeft w:val="0"/>
      <w:marRight w:val="0"/>
      <w:marTop w:val="0"/>
      <w:marBottom w:val="0"/>
      <w:divBdr>
        <w:top w:val="none" w:sz="0" w:space="0" w:color="auto"/>
        <w:left w:val="none" w:sz="0" w:space="0" w:color="auto"/>
        <w:bottom w:val="none" w:sz="0" w:space="0" w:color="auto"/>
        <w:right w:val="none" w:sz="0" w:space="0" w:color="auto"/>
      </w:divBdr>
    </w:div>
    <w:div w:id="1725518721">
      <w:bodyDiv w:val="1"/>
      <w:marLeft w:val="0"/>
      <w:marRight w:val="0"/>
      <w:marTop w:val="0"/>
      <w:marBottom w:val="0"/>
      <w:divBdr>
        <w:top w:val="none" w:sz="0" w:space="0" w:color="auto"/>
        <w:left w:val="none" w:sz="0" w:space="0" w:color="auto"/>
        <w:bottom w:val="none" w:sz="0" w:space="0" w:color="auto"/>
        <w:right w:val="none" w:sz="0" w:space="0" w:color="auto"/>
      </w:divBdr>
    </w:div>
    <w:div w:id="1777287212">
      <w:bodyDiv w:val="1"/>
      <w:marLeft w:val="0"/>
      <w:marRight w:val="0"/>
      <w:marTop w:val="0"/>
      <w:marBottom w:val="0"/>
      <w:divBdr>
        <w:top w:val="none" w:sz="0" w:space="0" w:color="auto"/>
        <w:left w:val="none" w:sz="0" w:space="0" w:color="auto"/>
        <w:bottom w:val="none" w:sz="0" w:space="0" w:color="auto"/>
        <w:right w:val="none" w:sz="0" w:space="0" w:color="auto"/>
      </w:divBdr>
    </w:div>
    <w:div w:id="1825969139">
      <w:bodyDiv w:val="1"/>
      <w:marLeft w:val="0"/>
      <w:marRight w:val="0"/>
      <w:marTop w:val="0"/>
      <w:marBottom w:val="0"/>
      <w:divBdr>
        <w:top w:val="none" w:sz="0" w:space="0" w:color="auto"/>
        <w:left w:val="none" w:sz="0" w:space="0" w:color="auto"/>
        <w:bottom w:val="none" w:sz="0" w:space="0" w:color="auto"/>
        <w:right w:val="none" w:sz="0" w:space="0" w:color="auto"/>
      </w:divBdr>
    </w:div>
    <w:div w:id="1849320990">
      <w:bodyDiv w:val="1"/>
      <w:marLeft w:val="0"/>
      <w:marRight w:val="0"/>
      <w:marTop w:val="0"/>
      <w:marBottom w:val="0"/>
      <w:divBdr>
        <w:top w:val="none" w:sz="0" w:space="0" w:color="auto"/>
        <w:left w:val="none" w:sz="0" w:space="0" w:color="auto"/>
        <w:bottom w:val="none" w:sz="0" w:space="0" w:color="auto"/>
        <w:right w:val="none" w:sz="0" w:space="0" w:color="auto"/>
      </w:divBdr>
    </w:div>
    <w:div w:id="2010595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10.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hyperlink" Target="http://eur-lex.europa.eu/budget/www/index-sk.ht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business-economy-euro/economic-performance-and-forecasts/economic-forecasts/spring-2019-economic-forecas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d9606faa-45a1-44ba-9f56-4f4a8f4034dc">EN</EC_Collab_DocumentLanguage>
    <EC_Collab_Reference xmlns="d9606faa-45a1-44ba-9f56-4f4a8f4034dc" xsi:nil="true"/>
    <EC_Collab_Status xmlns="d9606faa-45a1-44ba-9f56-4f4a8f4034dc">Not Started</EC_Collab_Status>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885EF0364217924BAD471D1695637112" ma:contentTypeVersion="1" ma:contentTypeDescription="Create a new document in this library." ma:contentTypeScope="" ma:versionID="205d5bdeabaca534a5226ddab7fc3cab">
  <xsd:schema xmlns:xsd="http://www.w3.org/2001/XMLSchema" xmlns:xs="http://www.w3.org/2001/XMLSchema" xmlns:p="http://schemas.microsoft.com/office/2006/metadata/properties" xmlns:ns3="d9606faa-45a1-44ba-9f56-4f4a8f4034dc" targetNamespace="http://schemas.microsoft.com/office/2006/metadata/properties" ma:root="true" ma:fieldsID="2dd27c47d5134ace2527d0f4f98d29d2" ns3:_="">
    <xsd:import namespace="d9606faa-45a1-44ba-9f56-4f4a8f4034dc"/>
    <xsd:element name="properties">
      <xsd:complexType>
        <xsd:sequence>
          <xsd:element name="documentManagement">
            <xsd:complexType>
              <xsd:all>
                <xsd:element ref="ns3:EC_Collab_Reference"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06faa-45a1-44ba-9f56-4f4a8f4034dc"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60D5B-412D-4C96-96FC-1DDF56CE96D9}">
  <ds:schemaRefs>
    <ds:schemaRef ds:uri="http://schemas.microsoft.com/sharepoint/v3/contenttype/forms"/>
  </ds:schemaRefs>
</ds:datastoreItem>
</file>

<file path=customXml/itemProps2.xml><?xml version="1.0" encoding="utf-8"?>
<ds:datastoreItem xmlns:ds="http://schemas.openxmlformats.org/officeDocument/2006/customXml" ds:itemID="{6287BA85-4E09-4A59-BEF7-0E1E6301EDDB}">
  <ds:schemaRefs>
    <ds:schemaRef ds:uri="http://schemas.microsoft.com/office/2006/metadata/properties"/>
    <ds:schemaRef ds:uri="http://schemas.microsoft.com/office/infopath/2007/PartnerControls"/>
    <ds:schemaRef ds:uri="d9606faa-45a1-44ba-9f56-4f4a8f4034dc"/>
  </ds:schemaRefs>
</ds:datastoreItem>
</file>

<file path=customXml/itemProps3.xml><?xml version="1.0" encoding="utf-8"?>
<ds:datastoreItem xmlns:ds="http://schemas.openxmlformats.org/officeDocument/2006/customXml" ds:itemID="{8C111116-EBCB-4080-853B-DEAA17D1E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06faa-45a1-44ba-9f56-4f4a8f403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E333C-C205-4C47-8C0E-84C0B7FA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6972</Words>
  <Characters>33954</Characters>
  <Application>Microsoft Office Word</Application>
  <DocSecurity>0</DocSecurity>
  <Lines>1697</Lines>
  <Paragraphs>1411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39515</CharactersWithSpaces>
  <SharedDoc>false</SharedDoc>
  <HLinks>
    <vt:vector size="6" baseType="variant">
      <vt:variant>
        <vt:i4>5046279</vt:i4>
      </vt:variant>
      <vt:variant>
        <vt:i4>0</vt:i4>
      </vt:variant>
      <vt:variant>
        <vt:i4>0</vt:i4>
      </vt:variant>
      <vt:variant>
        <vt:i4>5</vt:i4>
      </vt:variant>
      <vt:variant>
        <vt:lpwstr>http://eur-lex.europa.eu/budget/www/index-en.htm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27</cp:revision>
  <cp:lastPrinted>2019-04-26T13:48:00Z</cp:lastPrinted>
  <dcterms:created xsi:type="dcterms:W3CDTF">2019-07-01T14:42:00Z</dcterms:created>
  <dcterms:modified xsi:type="dcterms:W3CDTF">2019-07-15T07:20:00Z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6.0.1, Build 20180503</vt:lpwstr>
  </property>
  <property fmtid="{D5CDD505-2E9C-101B-9397-08002B2CF9AE}" pid="7" name="Created using">
    <vt:lpwstr>LW 6.0.1, Build 20180503</vt:lpwstr>
  </property>
  <property fmtid="{D5CDD505-2E9C-101B-9397-08002B2CF9AE}" pid="8" name="ContentTypeId">
    <vt:lpwstr>0x010100258AA79CEB83498886A3A0868112325000885EF0364217924BAD471D1695637112</vt:lpwstr>
  </property>
  <property name="OP_sanitized" fmtid="{D5CDD505-2E9C-101B-9397-08002B2CF9AE}" pid="9">
    <vt:lpwstr>True</vt:lpwstr>
  </property>
</Properties>
</file>