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AAE16A39-CC56-47FA-9BF0-4457DA606917" style="width:450.8pt;height:293pt">
            <v:imagedata r:id="rId12" o:title=""/>
          </v:shape>
        </w:pict>
      </w:r>
    </w:p>
    <w:bookmarkEnd w:id="0"/>
    <w:p>
      <w:pPr>
        <w:rPr>
          <w:noProof/>
        </w:rPr>
        <w:sectPr>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0"/>
          <w:cols w:space="720"/>
          <w:docGrid w:linePitch="360"/>
        </w:sectPr>
      </w:pPr>
    </w:p>
    <w:p>
      <w:pPr>
        <w:keepNext/>
        <w:keepLines/>
        <w:spacing w:before="360" w:after="240"/>
        <w:jc w:val="both"/>
        <w:outlineLvl w:val="2"/>
        <w:rPr>
          <w:rFonts w:ascii="Century Gothic" w:eastAsiaTheme="majorEastAsia" w:hAnsi="Century Gothic" w:cstheme="majorBidi"/>
          <w:bCs/>
          <w:noProof/>
          <w:color w:val="1F497D" w:themeColor="text2"/>
        </w:rPr>
      </w:pPr>
      <w:bookmarkStart w:id="1" w:name="_GoBack"/>
      <w:bookmarkEnd w:id="1"/>
      <w:r>
        <w:rPr>
          <w:rFonts w:ascii="Century Gothic" w:eastAsiaTheme="majorEastAsia" w:hAnsi="Century Gothic" w:cstheme="majorBidi"/>
          <w:noProof/>
          <w:color w:val="1F497D" w:themeColor="text2"/>
        </w:rPr>
        <w:lastRenderedPageBreak/>
        <w:t>Súvislosti</w:t>
      </w:r>
    </w:p>
    <w:p>
      <w:pPr>
        <w:spacing w:after="120"/>
        <w:jc w:val="both"/>
        <w:rPr>
          <w:rFonts w:ascii="Times New Roman" w:eastAsia="Times New Roman" w:hAnsi="Times New Roman" w:cs="Times New Roman"/>
          <w:noProof/>
          <w:color w:val="000000"/>
          <w:szCs w:val="24"/>
        </w:rPr>
      </w:pPr>
      <w:r>
        <w:rPr>
          <w:rFonts w:ascii="Times New Roman" w:hAnsi="Times New Roman"/>
          <w:b/>
          <w:noProof/>
          <w:color w:val="000000"/>
        </w:rPr>
        <w:t>Komisia prijala druhú správu o sprísnenom dohľade nad Gréckom 27. februára 2019</w:t>
      </w:r>
      <w:r>
        <w:rPr>
          <w:rStyle w:val="FootnoteReference"/>
          <w:b/>
          <w:noProof/>
          <w:color w:val="000000"/>
        </w:rPr>
        <w:footnoteReference w:id="2"/>
      </w:r>
      <w:r>
        <w:rPr>
          <w:rFonts w:ascii="Times New Roman" w:hAnsi="Times New Roman"/>
          <w:b/>
          <w:noProof/>
          <w:color w:val="000000"/>
        </w:rPr>
        <w:t xml:space="preserve">. </w:t>
      </w:r>
      <w:r>
        <w:rPr>
          <w:rFonts w:ascii="Times New Roman" w:hAnsi="Times New Roman"/>
          <w:noProof/>
          <w:color w:val="000000"/>
        </w:rPr>
        <w:t>Popri začlenení Grécka do európskeho semestra predstavuje sprísnený dohľad komplexný rámec na monitorovanie hospodárskeho vývoja a vykonávanie politík potrebných na zaistenie udržateľného oživenia hospodárstva</w:t>
      </w:r>
      <w:r>
        <w:rPr>
          <w:rStyle w:val="FootnoteReference"/>
          <w:noProof/>
          <w:color w:val="000000"/>
        </w:rPr>
        <w:footnoteReference w:id="3"/>
      </w:r>
      <w:r>
        <w:rPr>
          <w:rFonts w:ascii="Times New Roman" w:hAnsi="Times New Roman"/>
          <w:noProof/>
          <w:color w:val="000000"/>
        </w:rPr>
        <w:t>. Takisto poskytuje Komisii rámec na hodnotenie záväzku, ktorý Grécko dalo Euroskupine 22. júna 2018 a ktorý spočíva v tom, že krajina bude pokračovať v dokončovaní reforiem prijatých ako súčasť programu na podporu stability v rámci Európskeho mechanizmu pre stabilitu a zabezpečí splnenie cieľov reforiem prijatých v rámci tohto programu a programov, ktorému mu predchádzali, v súlade s článkom 3 ods. 1 nariadenia č. 472/2013.</w:t>
      </w:r>
      <w:r>
        <w:rPr>
          <w:rFonts w:ascii="Times New Roman" w:hAnsi="Times New Roman"/>
          <w:b/>
          <w:noProof/>
          <w:color w:val="000000"/>
        </w:rPr>
        <w:t xml:space="preserve"> </w:t>
      </w:r>
      <w:r>
        <w:rPr>
          <w:rFonts w:ascii="Times New Roman" w:hAnsi="Times New Roman"/>
          <w:noProof/>
          <w:color w:val="000000"/>
        </w:rPr>
        <w:t>To zahŕňa vykonávanie osobitných reformných záväzkov uvedených v prílohe k vyhláseniu Euroskupiny z 22. júna 2018 v oblasti i) fiškálnych a fiškálno-štrukturálnych politík, ii) sociálneho zabezpečenia, iii) finančnej stability, iv) trhu práce a trhu s výrobkami, v) privatizácie a vi) verejnej správy</w:t>
      </w:r>
      <w:r>
        <w:rPr>
          <w:rFonts w:ascii="Times New Roman" w:hAnsi="Times New Roman"/>
          <w:noProof/>
          <w:color w:val="000000"/>
          <w:vertAlign w:val="superscript"/>
        </w:rPr>
        <w:footnoteReference w:id="4"/>
      </w:r>
      <w:r>
        <w:rPr>
          <w:rFonts w:ascii="Times New Roman" w:hAnsi="Times New Roman"/>
          <w:noProof/>
          <w:color w:val="000000"/>
        </w:rPr>
        <w:t>.</w:t>
      </w:r>
    </w:p>
    <w:p>
      <w:pPr>
        <w:spacing w:after="120"/>
        <w:jc w:val="both"/>
        <w:rPr>
          <w:rFonts w:ascii="Calibri" w:eastAsia="Calibri" w:hAnsi="Calibri" w:cs="Times New Roman"/>
          <w:noProof/>
          <w:color w:val="1F497D"/>
        </w:rPr>
      </w:pPr>
      <w:r>
        <w:rPr>
          <w:rFonts w:ascii="Times New Roman" w:hAnsi="Times New Roman"/>
          <w:b/>
          <w:noProof/>
          <w:color w:val="000000"/>
        </w:rPr>
        <w:t xml:space="preserve">V správe o sprísnenom dohľade z 27. februára 2019 sa dospelo k záveru, že Grécko dosiahlo značný pokrok pri plnení svojich osobitných reformných záväzkov, ktoré mali splniť do konca roka 2018. </w:t>
      </w:r>
      <w:r>
        <w:rPr>
          <w:rFonts w:ascii="Times New Roman" w:hAnsi="Times New Roman"/>
          <w:noProof/>
          <w:color w:val="000000"/>
        </w:rPr>
        <w:t>Konkrétne sa dospelo k záveru, že za splnené by sa mohli považovať tieto osobitné záväzky plánované do konca roka 2018: i) prijatie rozpočtu na rok 2019, ktorým by sa mal dosiahnuť cieľ primárneho prebytku 3,5 % HDP; ii) nekumulovanie čistých nedoplatkov, hoci treba naďalej vyvíjať úsilie o likvidáciu nahromadených čistých nedoplatkov a predchádzať hromadeniu nových nedoplatkov; iii) otvorenie kritického množstva centier primárnej zdravotnej starostlivosti (TOMY); iv) dokončenie dôležitých krokov na zabezpečenie centralizovaného verejného obstarávania v oblasti zdravotnej starostlivosti; v) uvoľnenie kontrol kapitálu v súlade s dohodnutým plánom; vi) vymedzenie a prijatie stratégie Helénskeho fondu finančnej stability v oblasti odpredaja podielov, pričom sa stále uvažuje o prípadnom zapojení štátnych orgánov do záverečnej fázy odpredaja; vii) prijatie právnych predpisov umožňujúcich udeľovanie investičných licencií; viii) revízia minimálnej mzdy formálne v súlade s legislatívnym postupom, hoci rozsah zvýšenia prináša riziká pre zamestnanosť a konkurencieschopnosť; ix) dokončenie fázy I projektu elektronickej justície; x) vykonávanie strategického plánu Helénskej spoločnosti pre majetok a účasti (HCAP); xi) reštrukturalizácia dcérskej spoločnosti pôsobiacej v oblasti nehnuteľností (ETAD) a začatie vykonávania koordinačného mechanizmu pre štátom vlastnené podniky patriace do HCAP vzhľadom na oneskorenia pri presune olympijského centra (OAKA); xii) aktualizácia plánu privatizačnej agentúry (TAIPED) v oblasti vývoja aktív, dokončenie hlavných privatizačných tendrov vrátane siete na prepravu plynu (DESFA) a predĺženie koncesie pre aténske medzinárodné letisko, ako aj dokončenie kľúčových krokov týkajúcich sa projektu Hellinikon; a xiii) orgány sa dohodli s Komisiou na spôsoboch vykonávania nezávislého posúdenia procesu vymenúvania administratívnych tajomníkov a generálnych riaditeľov do polovice roka 2019 a prijali kľúčové právne predpisy na zlepšenie plánovania náboru zamestnancov vo verejnom sektore a prepojenie viacročného plánu náboru zamestnancov so strednodobou fiškálnou stratégiou.</w:t>
      </w:r>
    </w:p>
    <w:p>
      <w:pPr>
        <w:spacing w:after="120"/>
        <w:jc w:val="both"/>
        <w:rPr>
          <w:rFonts w:ascii="Times New Roman" w:hAnsi="Times New Roman"/>
          <w:noProof/>
          <w:color w:val="000000"/>
          <w:spacing w:val="-2"/>
        </w:rPr>
      </w:pPr>
      <w:r>
        <w:rPr>
          <w:rFonts w:ascii="Times New Roman" w:hAnsi="Times New Roman"/>
          <w:b/>
          <w:noProof/>
          <w:color w:val="000000"/>
          <w:spacing w:val="-2"/>
        </w:rPr>
        <w:t>V správe o sprísnenom dohľade z 27. februára 2019 sa však takisto dospelo k záveru, že niekoľko osobitných reformných záväzkov, ktoré sa mali splniť do konca roka 2018, zostáva nevyriešených, a bolo by potrebné dokončiť ich plnenie.</w:t>
      </w:r>
      <w:r>
        <w:rPr>
          <w:rFonts w:ascii="Times New Roman" w:hAnsi="Times New Roman"/>
          <w:noProof/>
          <w:color w:val="000000"/>
          <w:spacing w:val="-2"/>
        </w:rPr>
        <w:t xml:space="preserve"> Nevyriešené otázky sa v danom čase vzťahovali na opatrenia v oblasti správy príjmov, finančnej stability, energetiky, privatizácie a verejnej správy. V prípade niektorých záväzkov sa mali dokončiť technické kroky (reštrukturalizácia plynárenskej spoločnosti DEPA; diaľnica Egnatia; menovanie členov Helénskeho fondu finančnej stability), zatiaľ čo v prípade iných záväzkov stále prebiehali rozsiahle diskusie (príjmy a verejná správa; odpredaj hnedouhoľných elektrární; finančný sektor vrátane ochrany hlavnej nehnuteľnosti na bývanie).</w:t>
      </w:r>
    </w:p>
    <w:p>
      <w:pPr>
        <w:spacing w:after="120"/>
        <w:jc w:val="both"/>
        <w:rPr>
          <w:rFonts w:ascii="Times New Roman" w:eastAsia="Times New Roman" w:hAnsi="Times New Roman" w:cs="Times New Roman"/>
          <w:noProof/>
          <w:color w:val="000000"/>
          <w:szCs w:val="24"/>
        </w:rPr>
      </w:pPr>
      <w:r>
        <w:rPr>
          <w:rFonts w:ascii="Times New Roman" w:hAnsi="Times New Roman"/>
          <w:b/>
          <w:noProof/>
          <w:color w:val="000000"/>
        </w:rPr>
        <w:t xml:space="preserve">V správe o sprísnenom dohľade z 27. februára 2019 sa takisto poukázalo na to, </w:t>
      </w:r>
      <w:r>
        <w:rPr>
          <w:rFonts w:ascii="Times New Roman" w:hAnsi="Times New Roman"/>
          <w:b/>
          <w:noProof/>
          <w:color w:val="000000"/>
          <w:sz w:val="20"/>
        </w:rPr>
        <w:t>že</w:t>
      </w:r>
      <w:r>
        <w:rPr>
          <w:rFonts w:ascii="Times New Roman" w:hAnsi="Times New Roman"/>
          <w:b/>
          <w:noProof/>
          <w:color w:val="000000"/>
        </w:rPr>
        <w:t xml:space="preserve"> vývoj v niektorých oblastiach vzbudzuje obavy v súvislosti so smerovaním a vykonávaním reforiem v strednodobom horizonte. </w:t>
      </w:r>
      <w:r>
        <w:rPr>
          <w:rFonts w:ascii="Times New Roman" w:hAnsi="Times New Roman"/>
          <w:noProof/>
          <w:color w:val="000000"/>
        </w:rPr>
        <w:t>Tieto obavy si vyžadujú plnú pozornosť orgánov a týkajú sa a) úrovne ambícií pri riešení zvyšných štrukturálno-fiškálnych výziev a predchádzaní vzniku nových fiškálnych rizík, ktoré by mohli vyplynúť zo súdnych rozhodnutí, náboru zamestnancov vo verejnom sektore a potenciálnych zmien v splátkových režimoch v prípade daňového dlhu a dlhu na príspevkoch sociálneho zabezpečenia; b) tempa dosahovania pokroku a stupňa priority v prípade opatrení potrebných na obnovenie sily a odolnosti bankového sektora, najmä pokiaľ ide o kvalitu aktív; a c) záväzku zabezpečiť mzdovú konkurencieschopnosť v strednodobom horizonte a vytvoriť skutočne priaznivé podnikateľské a investičné prostredie.</w:t>
      </w:r>
    </w:p>
    <w:p>
      <w:pPr>
        <w:spacing w:after="120"/>
        <w:jc w:val="both"/>
        <w:rPr>
          <w:rFonts w:ascii="Times New Roman" w:eastAsia="Times New Roman" w:hAnsi="Times New Roman" w:cs="Times New Roman"/>
          <w:noProof/>
          <w:color w:val="000000"/>
          <w:spacing w:val="-2"/>
          <w:szCs w:val="24"/>
        </w:rPr>
      </w:pPr>
      <w:r>
        <w:rPr>
          <w:rFonts w:ascii="Times New Roman" w:hAnsi="Times New Roman"/>
          <w:b/>
          <w:noProof/>
          <w:color w:val="000000"/>
          <w:spacing w:val="-2"/>
        </w:rPr>
        <w:t xml:space="preserve">V tejto aktualizácii sa posudzuje vývoj plnenia osobitných reformných záväzkov, ktoré sa mali splniť do konca roka 2018, od prijatia správy o sprísnenom dohľade z 27. februára 2019. </w:t>
      </w:r>
      <w:r>
        <w:rPr>
          <w:rFonts w:ascii="Times New Roman" w:hAnsi="Times New Roman"/>
          <w:noProof/>
          <w:color w:val="000000"/>
          <w:spacing w:val="-2"/>
        </w:rPr>
        <w:t>Grécko predovšetkým i) prijalo primárne a sekundárne právne predpisy na posilnenie nezávislého orgánu pre verejné príjmy; ii) poskytlo relevantné aktuálne informácie o opatreniach na riešenie problémov so zlyhanými úvermi a zabezpečenie stability bankového sektora (elektronické aukcie, štátne záruky, akčný plán pre platobnú neschopnosť domácností); iii) prijalo primárne a zaviazalo sa v krátkom čase prijať aj sekundárne právne predpisy týkajúce sa nového systému na ochranu hlavnej nehnuteľnosti na bývanie; iv) prijalo potrebné kroky na obsadenie voľných pozícií v Helénskom fonde finančnej stability; v) opätovne predložilo ponuku na odpredaj časti hnedouhoľnej výrobnej kapacity štátnej elektrárenskej spoločnosti (Public Power Corporation); vi) prijalo právne predpisy týkajúce sa reštrukturalizácie DEPA, vii) prijalo opatrenia na odstránenie prekážok brániacich transakcii týkajúcej sa diaľnice Egnatia; a viii) prijalo celý rad opatrení na dosiahnutie pokroku v súvislosti s reformou verejnej správy.</w:t>
      </w:r>
    </w:p>
    <w:p>
      <w:pPr>
        <w:spacing w:after="120"/>
        <w:jc w:val="both"/>
        <w:rPr>
          <w:rFonts w:ascii="Times New Roman" w:hAnsi="Times New Roman"/>
          <w:b/>
          <w:noProof/>
          <w:color w:val="000000"/>
        </w:rPr>
      </w:pPr>
      <w:r>
        <w:rPr>
          <w:rFonts w:ascii="Times New Roman" w:hAnsi="Times New Roman"/>
          <w:b/>
          <w:noProof/>
          <w:color w:val="000000"/>
        </w:rPr>
        <w:t>Grécko prijalo potrebné opatrenia na splnenie všetkých osobitných reformných záväzkov plánovaných do konca roka 2018.</w:t>
      </w:r>
    </w:p>
    <w:p>
      <w:pPr>
        <w:spacing w:after="120"/>
        <w:jc w:val="both"/>
        <w:rPr>
          <w:rFonts w:ascii="Times New Roman" w:eastAsia="Times New Roman" w:hAnsi="Times New Roman"/>
          <w:noProof/>
          <w:color w:val="000000"/>
        </w:rPr>
      </w:pPr>
      <w:r>
        <w:rPr>
          <w:rFonts w:ascii="Times New Roman" w:hAnsi="Times New Roman"/>
          <w:b/>
          <w:noProof/>
          <w:color w:val="000000"/>
        </w:rPr>
        <w:t>Euroskupina sa 22. júna 2018 dohodla, že balík opatrení na odpustenie dlhu Grécka by mal zahŕňať motiváciu na zabezpečenie, aby krajina silným a nepretržitým spôsobom vykonávala reformné opatrenia dohodnuté v programe.</w:t>
      </w:r>
      <w:r>
        <w:rPr>
          <w:rFonts w:ascii="Times New Roman" w:hAnsi="Times New Roman"/>
          <w:noProof/>
          <w:color w:val="000000"/>
        </w:rPr>
        <w:t xml:space="preserve"> S týmto cieľom sa určité politicky podmienené dlhové opatrenia sprístupňujú Grécku na polročnom základe až do polovice roka 2022, a to pod podmienkou dodržiavania záväzkov súvisiacich s kontinuitou a dokončovaním reforiem a na základe pozitívnych správ v rámci sprísneného dohľadu. Medzi tieto dlhové opatrenia patrí: i) vrátenie súm zodpovedajúcich príjmom vyplývajúcim z hodnoty gréckych štátnych dlhopisov, ktoré majú v držbe centrálne banky v rámci programu pre trhy s cennými papiermi a dohody o čistých finančných aktívach, a ii) zníženie marže úrokovej sadzby v rámci niektorých úverov poskytovaných z Európskeho nástroja finančnej stability na nulu. Obsah správy o sprísnenom dohľade z 27. februára 2019 a jej následnú aktualizáciu by mohla použiť Euroskupina na to, aby sa dohodla na uvoľnení prvého súboru politicky podmienených dlhových opatrení.</w:t>
      </w:r>
    </w:p>
    <w:p>
      <w:pPr>
        <w:keepNext/>
        <w:keepLines/>
        <w:spacing w:before="360" w:after="240"/>
        <w:jc w:val="both"/>
        <w:outlineLvl w:val="2"/>
        <w:rPr>
          <w:rFonts w:ascii="Century Gothic" w:eastAsiaTheme="majorEastAsia" w:hAnsi="Century Gothic" w:cstheme="majorBidi"/>
          <w:bCs/>
          <w:noProof/>
          <w:color w:val="1F497D" w:themeColor="text2"/>
        </w:rPr>
      </w:pPr>
      <w:r>
        <w:rPr>
          <w:rFonts w:ascii="Century Gothic" w:eastAsiaTheme="majorEastAsia" w:hAnsi="Century Gothic" w:cstheme="majorBidi"/>
          <w:noProof/>
          <w:color w:val="1F497D" w:themeColor="text2"/>
        </w:rPr>
        <w:t>Aktualizované informácie o pokroku pri plnení osobitných reformných záväzkov</w:t>
      </w:r>
    </w:p>
    <w:p>
      <w:pPr>
        <w:spacing w:before="360" w:after="240"/>
        <w:jc w:val="both"/>
        <w:rPr>
          <w:rFonts w:ascii="Times New Roman" w:eastAsia="Times New Roman" w:hAnsi="Times New Roman" w:cs="Times New Roman"/>
          <w:i/>
          <w:noProof/>
          <w:color w:val="000000"/>
          <w:szCs w:val="24"/>
          <w:u w:val="single"/>
        </w:rPr>
      </w:pPr>
      <w:r>
        <w:rPr>
          <w:rFonts w:ascii="Times New Roman" w:hAnsi="Times New Roman"/>
          <w:i/>
          <w:noProof/>
          <w:color w:val="000000"/>
          <w:u w:val="single"/>
        </w:rPr>
        <w:t>Správa verejných príjmov</w:t>
      </w:r>
    </w:p>
    <w:p>
      <w:pPr>
        <w:spacing w:after="120"/>
        <w:jc w:val="both"/>
        <w:rPr>
          <w:rFonts w:ascii="Times New Roman" w:eastAsia="Times New Roman" w:hAnsi="Times New Roman" w:cs="Times New Roman"/>
          <w:bCs/>
          <w:noProof/>
          <w:color w:val="000000"/>
        </w:rPr>
      </w:pPr>
      <w:r>
        <w:rPr>
          <w:rFonts w:ascii="Times New Roman" w:hAnsi="Times New Roman"/>
          <w:b/>
          <w:noProof/>
          <w:color w:val="000000"/>
        </w:rPr>
        <w:t xml:space="preserve">Keďže sa zatiaľ nepodarilo splniť osobitný záväzok plánovaný do konca roka 2018, a to dosiahnuť úroveň 12 000 stálych zamestnancov v nezávislom orgáne pre verejné príjmy (koncom roka 2018 bol počet zamestnancov 11 487), príslušné orgány prijali súbor doplnkových opatrení. </w:t>
      </w:r>
      <w:r>
        <w:rPr>
          <w:rFonts w:ascii="Times New Roman" w:hAnsi="Times New Roman"/>
          <w:noProof/>
          <w:color w:val="000000"/>
        </w:rPr>
        <w:t>Prostredníctvom týchto opatrení sa podporí splnenie záväzku týkajúceho sa počtu zamestnancov, posilnenie rozsiahlejšej reformy výberu príjmov a zvýšenie celkovej operačnej kapacity a efektívnosti nezávislého orgánu pre verejné príjmy vo viacerých oblastiach. Pred predložením správy o sprísnenom dohľade 27. februára 2019 už orgány prijali niektoré z týchto opatrení [prijatie akčného plánu reforiem (ďalej len „koncepcia“) na roky 2019 – 2021; dohoda o ročnom finančnom krytí IT služieb uzavretá s Generálnym sekretariátom pre informačné systémy]. Od prijatia správy o sprísnenom dohľade 27. februára 2019 orgány ukončili zostávajúce dohodnuté doplňujúce opatrenia na posilnenie nezávislého orgánu pre verejné príjmy:</w:t>
      </w:r>
    </w:p>
    <w:p>
      <w:pPr>
        <w:numPr>
          <w:ilvl w:val="0"/>
          <w:numId w:val="1"/>
        </w:numPr>
        <w:spacing w:after="120"/>
        <w:ind w:left="714" w:hanging="357"/>
        <w:jc w:val="both"/>
        <w:rPr>
          <w:rFonts w:ascii="Times New Roman" w:eastAsia="Times New Roman" w:hAnsi="Times New Roman" w:cs="Times New Roman"/>
          <w:bCs/>
          <w:noProof/>
          <w:color w:val="000000"/>
          <w:szCs w:val="24"/>
        </w:rPr>
      </w:pPr>
      <w:r>
        <w:rPr>
          <w:rFonts w:ascii="Times New Roman" w:hAnsi="Times New Roman"/>
          <w:noProof/>
          <w:color w:val="000000"/>
        </w:rPr>
        <w:t>Zavedenie platových tried, odmeňovania a hodnotenia výkonu podľa potrieb orgánu sa považuje za podstatné pre zlepšenie vyhliadok orgánu, pokiaľ ide o prilákanie kvalifikovaných zamestnancov a umožnenie ich rozvoja a služobného postupu. Zmena právnych predpisov v prospech nezávislého orgánu pre verejné príjmy bola prijatá začiatkom marca 2019. Následne sa na základe tejto zmeny budú môcť prijať sekundárne právne predpisy, ktorými sa zavedie nový systém platových tried priamo prepojený s opismi pracovných miest. Táto reforma je úzko spojená s oblasťou reformy verejnej správy, a najmä s menovaním vyšších riadiacich pracovníkov vo verejnom sektore.</w:t>
      </w:r>
    </w:p>
    <w:p>
      <w:pPr>
        <w:numPr>
          <w:ilvl w:val="0"/>
          <w:numId w:val="1"/>
        </w:numPr>
        <w:spacing w:after="120"/>
        <w:ind w:left="714" w:hanging="357"/>
        <w:jc w:val="both"/>
        <w:rPr>
          <w:rFonts w:ascii="Times New Roman" w:hAnsi="Times New Roman"/>
          <w:noProof/>
        </w:rPr>
      </w:pPr>
      <w:r>
        <w:rPr>
          <w:rFonts w:ascii="Times New Roman" w:hAnsi="Times New Roman"/>
          <w:noProof/>
        </w:rPr>
        <w:t>Dosiahla sa dohoda o legislatívnych zmenách v oblasti ochrany zodpovednosti a uľahčenia mobility, ktoré sa prijali začiatkom marca 2019.</w:t>
      </w:r>
    </w:p>
    <w:p>
      <w:pPr>
        <w:numPr>
          <w:ilvl w:val="0"/>
          <w:numId w:val="1"/>
        </w:numPr>
        <w:spacing w:after="120"/>
        <w:ind w:left="714" w:hanging="357"/>
        <w:jc w:val="both"/>
        <w:rPr>
          <w:rFonts w:ascii="Times New Roman" w:eastAsia="Times New Roman" w:hAnsi="Times New Roman" w:cs="Times New Roman"/>
          <w:bCs/>
          <w:noProof/>
          <w:color w:val="000000"/>
          <w:szCs w:val="24"/>
        </w:rPr>
      </w:pPr>
      <w:r>
        <w:rPr>
          <w:rFonts w:ascii="Times New Roman" w:hAnsi="Times New Roman"/>
          <w:noProof/>
          <w:color w:val="000000"/>
        </w:rPr>
        <w:t>Podľa očakávaní sa začiatkom marca prijalo spoločné ministerské rozhodnutie o verejnom obstarávaní označovania palív, čím sa zabezpečí dôležitý nástroj v boji proti pašovaniu.</w:t>
      </w:r>
    </w:p>
    <w:p>
      <w:pPr>
        <w:spacing w:before="360" w:after="240"/>
        <w:jc w:val="both"/>
        <w:rPr>
          <w:rFonts w:ascii="Times New Roman" w:hAnsi="Times New Roman" w:cs="Times New Roman"/>
          <w:i/>
          <w:noProof/>
          <w:u w:val="single"/>
        </w:rPr>
      </w:pPr>
      <w:r>
        <w:rPr>
          <w:rFonts w:ascii="Times New Roman" w:hAnsi="Times New Roman"/>
          <w:i/>
          <w:noProof/>
          <w:u w:val="single"/>
        </w:rPr>
        <w:t>Rámec na riešenie otázky zlyhaných úverov</w:t>
      </w:r>
    </w:p>
    <w:p>
      <w:pPr>
        <w:spacing w:after="120"/>
        <w:jc w:val="both"/>
        <w:rPr>
          <w:rFonts w:ascii="Times New Roman" w:hAnsi="Times New Roman"/>
          <w:noProof/>
        </w:rPr>
      </w:pPr>
      <w:r>
        <w:rPr>
          <w:rFonts w:ascii="Times New Roman" w:hAnsi="Times New Roman"/>
          <w:b/>
          <w:noProof/>
        </w:rPr>
        <w:t>V správe o sprísnenom dohľade sa dospelo k záveru, že by sa mali riešiť nedostatky v právnych rámcoch relevantných pre riešenie otázky zlyhaných úverov</w:t>
      </w:r>
      <w:r>
        <w:rPr>
          <w:rFonts w:ascii="Times New Roman" w:hAnsi="Times New Roman"/>
          <w:noProof/>
        </w:rPr>
        <w:t>. Od prijatia správy o sprísnenom dohľade 27. februára 2019 orgány prijali ďalšie opatrenia vo viacerých oblastiach. Tieto opatrenia sa považujú za dostatočné na účely splnenia osobitného záväzku podporiť riešenie otázky zlyhaných úverov: v budúcnosti sa však bude vyžadovať dôkladné monitorovanie a sledovanie a európske inštitúcie o nich budú informovať v kontexte sprísneného dohľadu. Konkrétne:</w:t>
      </w:r>
    </w:p>
    <w:p>
      <w:pPr>
        <w:pStyle w:val="ListParagraph"/>
        <w:numPr>
          <w:ilvl w:val="0"/>
          <w:numId w:val="13"/>
        </w:numPr>
        <w:spacing w:after="120"/>
        <w:ind w:left="714" w:hanging="357"/>
        <w:contextualSpacing w:val="0"/>
        <w:jc w:val="both"/>
        <w:rPr>
          <w:rFonts w:ascii="Times New Roman" w:eastAsia="Times New Roman" w:hAnsi="Times New Roman" w:cs="Times New Roman"/>
          <w:noProof/>
          <w:color w:val="000000"/>
          <w:szCs w:val="24"/>
        </w:rPr>
      </w:pPr>
      <w:r>
        <w:rPr>
          <w:rFonts w:ascii="Times New Roman" w:hAnsi="Times New Roman"/>
          <w:noProof/>
          <w:color w:val="000000"/>
        </w:rPr>
        <w:t xml:space="preserve">Orgány prijali legislatívnu zmenu a poskytli aktualizovaný akčný plán týkajúci sa spracovávania </w:t>
      </w:r>
      <w:r>
        <w:rPr>
          <w:rFonts w:ascii="Times New Roman" w:hAnsi="Times New Roman"/>
          <w:b/>
          <w:noProof/>
          <w:color w:val="000000"/>
        </w:rPr>
        <w:t>štátom zaručených úverov</w:t>
      </w:r>
      <w:r>
        <w:rPr>
          <w:rFonts w:ascii="Times New Roman" w:hAnsi="Times New Roman"/>
          <w:noProof/>
          <w:color w:val="000000"/>
        </w:rPr>
        <w:t>. Jeho účinnosť v praxi smerom k úplnému vyrovnaniu zostávajúcich neuplatnených záruk sa bude posudzovať v nadchádzajúcich mesiacoch.</w:t>
      </w:r>
    </w:p>
    <w:p>
      <w:pPr>
        <w:pStyle w:val="ListParagraph"/>
        <w:numPr>
          <w:ilvl w:val="0"/>
          <w:numId w:val="13"/>
        </w:numPr>
        <w:spacing w:after="120"/>
        <w:ind w:left="714" w:hanging="357"/>
        <w:contextualSpacing w:val="0"/>
        <w:jc w:val="both"/>
        <w:rPr>
          <w:rFonts w:ascii="Times New Roman" w:hAnsi="Times New Roman"/>
          <w:noProof/>
          <w:color w:val="000000"/>
        </w:rPr>
      </w:pPr>
      <w:r>
        <w:rPr>
          <w:rFonts w:ascii="Times New Roman" w:hAnsi="Times New Roman"/>
          <w:noProof/>
          <w:color w:val="000000"/>
        </w:rPr>
        <w:t>Pokiaľ ide o </w:t>
      </w:r>
      <w:r>
        <w:rPr>
          <w:rFonts w:ascii="Times New Roman" w:hAnsi="Times New Roman"/>
          <w:b/>
          <w:noProof/>
          <w:color w:val="000000"/>
        </w:rPr>
        <w:t>elektronické aukcie</w:t>
      </w:r>
      <w:r>
        <w:rPr>
          <w:rFonts w:ascii="Times New Roman" w:hAnsi="Times New Roman"/>
          <w:noProof/>
          <w:color w:val="000000"/>
        </w:rPr>
        <w:t>, bol navrhnutý ďalší postup, ktorým by sa riešila otázka súdom objednaných aukčných odkladov, ktoré sú výsledkom podania žiadostí dlžníkov o revíziu vyvolávacej ceny v súvislosti s nadchádzajúcim hodnotením implementácie Občianskeho súdneho poriadku. Od orgánov sa očakáva, že podľa potreby predložia a prijmú v kontexte tretieho cyklu sprísneného dohľadu návrhy vykonávacích opatrení, aby zabránili procesnému zneužívaniu zo strany strategických neplatičov prostredníctvom žiadostí o odklad predložených na poslednú chvíľu v súvislosti s uplatňovaním nového systému na ochranu hlavnej nehnuteľnosti na bývanie a existujúceho zákona ministerky Katseliovej o platobnej neschopnosti domácností. Orgány takisto vykonajú ďalšiu analýzu týkajúcu sa dôvodov neúspešných aukcií a v prípade potreby ich budú riešiť, a to aj pomocou legislatívnych prostriedkov.</w:t>
      </w:r>
    </w:p>
    <w:p>
      <w:pPr>
        <w:pStyle w:val="ListParagraph"/>
        <w:numPr>
          <w:ilvl w:val="0"/>
          <w:numId w:val="13"/>
        </w:numPr>
        <w:spacing w:after="120"/>
        <w:ind w:left="714" w:hanging="357"/>
        <w:contextualSpacing w:val="0"/>
        <w:jc w:val="both"/>
        <w:rPr>
          <w:rFonts w:ascii="Times New Roman" w:eastAsia="Times New Roman" w:hAnsi="Times New Roman" w:cs="Times New Roman"/>
          <w:noProof/>
          <w:color w:val="000000"/>
          <w:szCs w:val="24"/>
        </w:rPr>
      </w:pPr>
      <w:r>
        <w:rPr>
          <w:rFonts w:ascii="Times New Roman" w:hAnsi="Times New Roman"/>
          <w:noProof/>
          <w:color w:val="000000"/>
        </w:rPr>
        <w:t>Orgány poskytli údaje o nevyriešených prípadoch súvisiacich s </w:t>
      </w:r>
      <w:r>
        <w:rPr>
          <w:rFonts w:ascii="Times New Roman" w:hAnsi="Times New Roman"/>
          <w:b/>
          <w:noProof/>
          <w:color w:val="000000"/>
        </w:rPr>
        <w:t>rámcom platobnej neschopnosti domácností</w:t>
      </w:r>
      <w:r>
        <w:rPr>
          <w:rFonts w:ascii="Times New Roman" w:hAnsi="Times New Roman"/>
          <w:noProof/>
          <w:color w:val="000000"/>
        </w:rPr>
        <w:t>, ako aj cieľovú trajektóriu na odstránenie nevybavených prípadov do roku 2021, ako sa stanovuje v akčnom pláne, vychádzajúc z predpokladu lepšej infraštruktúry. Očakáva sa, že orgány predložia revidovaný akčný plán do polovice roka 2019, pričom sa zohľadní vplyv nového systému na ochranu hlavnej nehnuteľnosti na bývanie.</w:t>
      </w:r>
    </w:p>
    <w:p>
      <w:pPr>
        <w:pStyle w:val="ListParagraph"/>
        <w:numPr>
          <w:ilvl w:val="0"/>
          <w:numId w:val="13"/>
        </w:numPr>
        <w:jc w:val="both"/>
        <w:rPr>
          <w:rFonts w:ascii="Times New Roman" w:eastAsia="Times New Roman" w:hAnsi="Times New Roman" w:cs="Times New Roman"/>
          <w:noProof/>
          <w:color w:val="000000"/>
          <w:szCs w:val="24"/>
        </w:rPr>
      </w:pPr>
      <w:r>
        <w:rPr>
          <w:rFonts w:ascii="Times New Roman" w:hAnsi="Times New Roman"/>
          <w:noProof/>
          <w:color w:val="000000"/>
        </w:rPr>
        <w:t>Pokiaľ ide o </w:t>
      </w:r>
      <w:r>
        <w:rPr>
          <w:rFonts w:ascii="Times New Roman" w:hAnsi="Times New Roman"/>
          <w:b/>
          <w:noProof/>
          <w:color w:val="000000"/>
        </w:rPr>
        <w:t>právne predpisy týkajúce sa predaja zlyhaných úverov a sekuritizácie</w:t>
      </w:r>
      <w:r>
        <w:rPr>
          <w:rFonts w:ascii="Times New Roman" w:hAnsi="Times New Roman"/>
          <w:noProof/>
          <w:color w:val="000000"/>
        </w:rPr>
        <w:t>, požadované objasnenia boli poskytnuté helénskemu združeniu bánk a uverejnené na webovom sídle ministerstva financií. Ich účinnosť sa bude posudzovať v nadchádzajúcich mesiacoch.</w:t>
      </w:r>
    </w:p>
    <w:p>
      <w:pPr>
        <w:spacing w:before="360" w:after="240"/>
        <w:jc w:val="both"/>
        <w:rPr>
          <w:rFonts w:ascii="Times New Roman" w:eastAsia="Times New Roman" w:hAnsi="Times New Roman" w:cs="Times New Roman"/>
          <w:i/>
          <w:noProof/>
          <w:color w:val="000000"/>
          <w:szCs w:val="24"/>
          <w:u w:val="single"/>
        </w:rPr>
      </w:pPr>
      <w:r>
        <w:rPr>
          <w:rFonts w:ascii="Times New Roman" w:hAnsi="Times New Roman"/>
          <w:i/>
          <w:noProof/>
          <w:color w:val="000000"/>
          <w:u w:val="single"/>
        </w:rPr>
        <w:t>Zlyhané úvery: ochrana hlavnej nehnuteľnosti na bývanie</w:t>
      </w:r>
    </w:p>
    <w:p>
      <w:pPr>
        <w:spacing w:after="120"/>
        <w:jc w:val="both"/>
        <w:rPr>
          <w:rFonts w:ascii="Times New Roman" w:eastAsia="Times New Roman" w:hAnsi="Times New Roman" w:cs="Times New Roman"/>
          <w:noProof/>
          <w:color w:val="000000"/>
          <w:szCs w:val="24"/>
        </w:rPr>
      </w:pPr>
      <w:r>
        <w:rPr>
          <w:rFonts w:ascii="Times New Roman" w:hAnsi="Times New Roman"/>
          <w:b/>
          <w:noProof/>
          <w:color w:val="000000"/>
        </w:rPr>
        <w:t xml:space="preserve">Grécko prijalo právne predpisy na zavedenie nového systému na ochranu niektorých hlavných nehnuteľností na bývanie, ktorý sa zameriava na podporu reštrukturalizácie zlyhaných úverov. </w:t>
      </w:r>
      <w:r>
        <w:rPr>
          <w:rFonts w:ascii="Times New Roman" w:hAnsi="Times New Roman"/>
          <w:noProof/>
          <w:color w:val="000000"/>
        </w:rPr>
        <w:t>Nadviazalo tým na skončenie platnosti ustanovení o ochrane hlavných nehnuteľností na bývanie uvedených v Katseliovej zákone o platobnej neschopnosti domácností, ktoré mali byť dočasné a ktorých platnosť sa skončila koncom februára 2019 po výnimočnom dvojmesačnom predĺžení. Primárne právne predpisy týkajúce sa systému boli prijaté 29. marca a čoskoro sa majú prijať sekundárne legislatívne akty týkajúce sa špecifikácií budúcej elektronickej platformy, štátnej dotácie a spôsobu oceňovania určitých aktív zahrnutých do kritérií vzťahujúcich sa na majetok.</w:t>
      </w:r>
    </w:p>
    <w:p>
      <w:pPr>
        <w:spacing w:after="120"/>
        <w:jc w:val="both"/>
        <w:rPr>
          <w:rFonts w:ascii="Times New Roman" w:hAnsi="Times New Roman"/>
          <w:noProof/>
          <w:color w:val="000000"/>
        </w:rPr>
      </w:pPr>
      <w:r>
        <w:rPr>
          <w:rFonts w:ascii="Times New Roman" w:hAnsi="Times New Roman"/>
          <w:b/>
          <w:noProof/>
          <w:color w:val="000000"/>
        </w:rPr>
        <w:t xml:space="preserve">Nový systém je špecifický pre Grécko. </w:t>
      </w:r>
      <w:r>
        <w:rPr>
          <w:rFonts w:ascii="Times New Roman" w:hAnsi="Times New Roman"/>
          <w:noProof/>
          <w:color w:val="000000"/>
        </w:rPr>
        <w:t>Stručne povedané, dlžníci, ktorí sú fyzickými osobami a ktorých úvery, neuhradené k 31. decembru 2018, sú istené zábezpekou vo forme hlavnej nehnuteľnosti na bývanie, sa môžu prostredníctvom elektronickej platformy prihlásiť do systému. Za predpokladu, že spĺňajú určité kritériá oprávnenosti, môžu požiadať o pomoc na reštrukturalizáciu a odpísanie svojich hypotekárnych dlhov (úvery na bývanie alebo podnikateľské úvery), a to buď na základe dohody o štandardizovaných návrhoch na reštrukturalizáciu, ktorú majú veritelia rozšíriť prostredníctvom online platformy, alebo, ak takáto dohoda neexistuje, prostredníctvom odvolania sa na súdy; dlžníci by boli takisto chránení pred zabavením majetku z úveru na hlavnú nehnuteľnosť na bývanie počas celého obdobia, v ktorom by uhrádzali splátky reštrukturalizovaných dlhov. Na časť splátok by dlžníci dostali štátnu dotáciu. Diskusie prebiehajúce v uplynulých týždňoch poslúžili na objasnenie kľúčových otázok s cieľom zabezpečiť, aby bol systém skutočne dočasný, správne zameraný a aby obsahoval primerané záruky na zabránenie zneužívaniu zo strany strategických neplatičov a vzniku nových nevybavených prípadov na súdoch, ako aj stimuly na podporu platobnej disciplíny.</w:t>
      </w:r>
    </w:p>
    <w:p>
      <w:pPr>
        <w:spacing w:after="120"/>
        <w:jc w:val="both"/>
        <w:rPr>
          <w:rFonts w:ascii="Times New Roman" w:eastAsia="Times New Roman" w:hAnsi="Times New Roman" w:cs="Times New Roman"/>
          <w:b/>
          <w:noProof/>
          <w:color w:val="000000"/>
          <w:szCs w:val="24"/>
        </w:rPr>
      </w:pPr>
      <w:r>
        <w:rPr>
          <w:rFonts w:ascii="Times New Roman" w:hAnsi="Times New Roman" w:cs="Times New Roman"/>
          <w:b/>
          <w:noProof/>
          <w:color w:val="000000"/>
        </w:rPr>
        <w:t>Hlavné parametre nového systému:</w:t>
      </w:r>
    </w:p>
    <w:p>
      <w:pPr>
        <w:pStyle w:val="ListParagraph"/>
        <w:numPr>
          <w:ilvl w:val="0"/>
          <w:numId w:val="18"/>
        </w:numPr>
        <w:ind w:left="714" w:hanging="357"/>
        <w:contextualSpacing w:val="0"/>
        <w:jc w:val="both"/>
        <w:rPr>
          <w:rFonts w:ascii="Times New Roman" w:hAnsi="Times New Roman" w:cs="Times New Roman"/>
          <w:noProof/>
          <w:color w:val="1F497D"/>
        </w:rPr>
      </w:pPr>
      <w:r>
        <w:rPr>
          <w:rFonts w:ascii="Times New Roman" w:hAnsi="Times New Roman" w:cs="Times New Roman"/>
          <w:b/>
          <w:noProof/>
          <w:color w:val="000000"/>
        </w:rPr>
        <w:t>Systém sa vzťahuje na úvery na bývanie i podnikateľské úvery istené zábezpekou vo forme hlavnej nehnuteľnosti na bývanie/podnikanie.</w:t>
      </w:r>
      <w:r>
        <w:rPr>
          <w:rFonts w:ascii="Times New Roman" w:hAnsi="Times New Roman" w:cs="Times New Roman"/>
          <w:noProof/>
          <w:color w:val="000000"/>
        </w:rPr>
        <w:t xml:space="preserve"> Rozšírenie okruhu na podnikateľské úvery vyvoláva osobitné obavy, ktoré boli oznámené gréckym orgánom. Vyplýva z toho potreba rozšíriť rozsah pôsobnosti ochrany hlavných nehnuteľností na bývanie na novú kategóriu dlžníkov, na ktorých sa nevzťahuje predchádzajúci zákon</w:t>
      </w:r>
      <w:r>
        <w:rPr>
          <w:rFonts w:ascii="Times New Roman" w:hAnsi="Times New Roman" w:cs="Times New Roman"/>
          <w:noProof/>
        </w:rPr>
        <w:t xml:space="preserve"> ministerky Katseliovej (príjemcovia podnikateľských úverov), a to bez posúdenia životaschopnosti podnikov: preto je menej jasné, koľko žiadostí bude predložených, a teda aj či bude postačovať kapacita systému (vrátane súdov a mechanizmu štátnej dotácie). Systém si takisto vyžaduje osobitnú pozornosť z hľadiska finančnej stability, keďže dostupné posúdenia vplyvu naznačujú, že v porovnaní s hypotekárnymi úvermi na bývanie budú potrebné väčšie odpisy dlhov, z čoho vyplýva pomerne vysoký odhadovaný vplyv na kapitál bánk. Navyše ak systém nefunguje dobre, existuje riziko, že banky budú v budúcnosti menej ochotné poskytovať úvery malým podnikom, ktoré ako zábezpeku použijú hlavnú nehnuteľnosť na bývanie, v dôsledku čoho sa môže nepriaznivo ovplyvniť zabezpečená úverová činnosť. Napokon existujú riziká, že dostupnosť nového systému v prípade podnikateľských úverov zníži motiváciu oprávnených dlžníkov využívať mimosúdny rámec, ktorý umožňuje reštrukturalizáciu potenciálnych nedoplatkov aj vo vzťahu k daniam a príspevkom na sociálne zabezpečenie. Najzáväznejším kritériom oprávnenosti je výška nesplatených úverov, ktorá je stanovená na 130 000 EUR na veriteľa v prípade hypotekárnych úverov na bývanie a 100 000 EUR v prípade podnikateľských úverov, čím sa do určitej miery zmierňujú riziká spojené s touto kategóriou úverov. Podľa dostupných odhadov by bol okruh oprávnených dlžníkov s povinnosťami vo vzťahu k viac ako jednému veriteľovi obmedzený a prijatie prahu na jedného veriteľa by zjednodušilo automatické spracúvanie žiadostí v rámci platformy. Inštitúcie vyjadrili obavy v súvislosti s povolením prahovej hodnoty pre viacerých veriteľov a požiadali orgány o dodatočné informácie o plánovanom pokrytí a vplyve.</w:t>
      </w:r>
    </w:p>
    <w:p>
      <w:pPr>
        <w:pStyle w:val="ListParagraph"/>
        <w:numPr>
          <w:ilvl w:val="0"/>
          <w:numId w:val="14"/>
        </w:numPr>
        <w:spacing w:after="120"/>
        <w:ind w:left="714" w:hanging="357"/>
        <w:contextualSpacing w:val="0"/>
        <w:jc w:val="both"/>
        <w:rPr>
          <w:rFonts w:ascii="Times New Roman" w:eastAsia="Times New Roman" w:hAnsi="Times New Roman" w:cs="Times New Roman"/>
          <w:noProof/>
          <w:color w:val="000000"/>
        </w:rPr>
      </w:pPr>
      <w:r>
        <w:rPr>
          <w:rFonts w:ascii="Times New Roman" w:hAnsi="Times New Roman" w:cs="Times New Roman"/>
          <w:b/>
          <w:noProof/>
          <w:color w:val="000000"/>
        </w:rPr>
        <w:t>V systéme sa stanovujú kritériá oprávnenosti pre príjem a finančné prostriedky domácností, iné než príjem a prostriedky v mieste hlavnej nehnuteľnosti na bývanie, ako aj prah pre hodnotu majetku.</w:t>
      </w:r>
      <w:r>
        <w:rPr>
          <w:rFonts w:ascii="Times New Roman" w:hAnsi="Times New Roman" w:cs="Times New Roman"/>
          <w:noProof/>
          <w:color w:val="000000"/>
        </w:rPr>
        <w:t xml:space="preserve"> Prahová hodnota majetku je stanovená na 15 000 EUR pre likvidné aktíva dlžníka, manžela/manželky a závislých osôb a 80 000 EUR pre nehnuteľný majetok a dopravné prostriedky v čase podania žiadosti. Európske inštitúcie upriamili pozornosť orgánov na dôsledky ich politickej voľby, pokiaľ ide o stimuly pre platobnú disciplínu a distribučné dôsledky poskytovania štátnej dotácie dlžníkom, ktorí môžu popri hlavnej nehnuteľnosti na bývanie vlastniť pomerne veľký majetok, na obdobie 20 rokov. Prahová hodnota príjmu je založená na podmienkach stanovených v zákone</w:t>
      </w:r>
      <w:r>
        <w:rPr>
          <w:rFonts w:ascii="Times New Roman" w:hAnsi="Times New Roman" w:cs="Times New Roman"/>
          <w:noProof/>
        </w:rPr>
        <w:t xml:space="preserve"> ministerky Katseliovej, t. j. stanovuje sa v závislosti od veľkosti domácnosti, pričom limit je 36 000 EUR ročne</w:t>
      </w:r>
      <w:r>
        <w:rPr>
          <w:rStyle w:val="FootnoteReference"/>
          <w:rFonts w:ascii="Times New Roman" w:hAnsi="Times New Roman" w:cs="Times New Roman"/>
          <w:noProof/>
          <w:color w:val="000000"/>
        </w:rPr>
        <w:footnoteReference w:id="5"/>
      </w:r>
      <w:r>
        <w:rPr>
          <w:rFonts w:ascii="Times New Roman" w:hAnsi="Times New Roman" w:cs="Times New Roman"/>
          <w:noProof/>
        </w:rPr>
        <w:t>. Prahová hodnota chránenej nehnuteľnosti na bývanie je stanovená na jednotnú sumu 250 000 EUR pre úvery domácnostiam, a preto má širší rozsah pôsobnosti ako Katseliovej zákon (v ktorom je stanovená prahová hodnota 180 000 EUR plus dodatky v závislosti od veľkosti rodiny). V prípade podnikateľských úverov zodpovedá stanovená prahová hodnota jednotnej sume 175 000 EUR.</w:t>
      </w:r>
    </w:p>
    <w:p>
      <w:pPr>
        <w:pStyle w:val="ListParagraph"/>
        <w:numPr>
          <w:ilvl w:val="0"/>
          <w:numId w:val="14"/>
        </w:numPr>
        <w:spacing w:after="120"/>
        <w:ind w:left="714" w:hanging="357"/>
        <w:contextualSpacing w:val="0"/>
        <w:jc w:val="both"/>
        <w:rPr>
          <w:rFonts w:ascii="Times New Roman" w:hAnsi="Times New Roman" w:cs="Times New Roman"/>
          <w:noProof/>
          <w:color w:val="000000"/>
        </w:rPr>
      </w:pPr>
      <w:r>
        <w:rPr>
          <w:rFonts w:ascii="Times New Roman" w:hAnsi="Times New Roman" w:cs="Times New Roman"/>
          <w:b/>
          <w:noProof/>
          <w:color w:val="000000"/>
        </w:rPr>
        <w:t>Systém môžu využívať dlžníci, ktorí ako zamestnanci verejnej správy nedostali hypotéku od banky, ale z verejného fondu za zvýhodnených podmienok.</w:t>
      </w:r>
      <w:r>
        <w:rPr>
          <w:rFonts w:ascii="Times New Roman" w:hAnsi="Times New Roman" w:cs="Times New Roman"/>
          <w:noProof/>
          <w:color w:val="000000"/>
        </w:rPr>
        <w:t xml:space="preserve"> Európske inštitúcie upriamili pozornosť orgánov na skutočnosť, že tento systém sa nezameriava na problém krajiny so zlyhanými úvermi, ktorý súvisí s bankovými úvermi, a že môže mať vplyv na stimuly na zachovanie platobnej disciplíny.</w:t>
      </w:r>
    </w:p>
    <w:p>
      <w:pPr>
        <w:pStyle w:val="ListParagraph"/>
        <w:numPr>
          <w:ilvl w:val="0"/>
          <w:numId w:val="14"/>
        </w:numPr>
        <w:spacing w:after="120"/>
        <w:ind w:left="714" w:hanging="357"/>
        <w:contextualSpacing w:val="0"/>
        <w:jc w:val="both"/>
        <w:rPr>
          <w:rFonts w:ascii="Times New Roman" w:eastAsia="Times New Roman" w:hAnsi="Times New Roman" w:cs="Times New Roman"/>
          <w:noProof/>
          <w:color w:val="000000"/>
          <w:szCs w:val="24"/>
        </w:rPr>
      </w:pPr>
      <w:r>
        <w:rPr>
          <w:rFonts w:ascii="Times New Roman" w:hAnsi="Times New Roman"/>
          <w:b/>
          <w:noProof/>
          <w:color w:val="000000"/>
        </w:rPr>
        <w:t>Systém je navrhnutý tak, aby fungoval dočasne.</w:t>
      </w:r>
      <w:r>
        <w:rPr>
          <w:rFonts w:ascii="Times New Roman" w:hAnsi="Times New Roman"/>
          <w:noProof/>
          <w:color w:val="000000"/>
        </w:rPr>
        <w:t xml:space="preserve"> Žiadosti je možné podať do 31. decembra 2019 v prípade úverov, pri ktorých k 31. decembru 2018 splátky meškali 90 dní alebo dlhšie. To umožní podať správu o skončení platnosti systému v kontexte monitorovania osobitných záväzkov, ktoré treba splniť do konca roka 2019, v rámci sprísneného dohľadu.</w:t>
      </w:r>
    </w:p>
    <w:p>
      <w:pPr>
        <w:pStyle w:val="ListParagraph"/>
        <w:numPr>
          <w:ilvl w:val="0"/>
          <w:numId w:val="14"/>
        </w:numPr>
        <w:spacing w:after="120"/>
        <w:ind w:left="714" w:hanging="357"/>
        <w:contextualSpacing w:val="0"/>
        <w:jc w:val="both"/>
        <w:rPr>
          <w:rFonts w:ascii="Times New Roman" w:eastAsia="Times New Roman" w:hAnsi="Times New Roman" w:cs="Times New Roman"/>
          <w:noProof/>
          <w:color w:val="000000"/>
          <w:szCs w:val="24"/>
        </w:rPr>
      </w:pPr>
      <w:r>
        <w:rPr>
          <w:rFonts w:ascii="Times New Roman" w:hAnsi="Times New Roman"/>
          <w:b/>
          <w:noProof/>
          <w:color w:val="000000"/>
        </w:rPr>
        <w:t>Na základe reštrukturalizačných ponúk bánk budú splátky podporované štátnou dotáciou, a to progresívnym spôsobom v závislosti od príjmu</w:t>
      </w:r>
      <w:r>
        <w:rPr>
          <w:noProof/>
        </w:rPr>
        <w:t xml:space="preserve"> </w:t>
      </w:r>
      <w:r>
        <w:rPr>
          <w:rFonts w:ascii="Times New Roman" w:hAnsi="Times New Roman"/>
          <w:noProof/>
          <w:color w:val="000000"/>
        </w:rPr>
        <w:t>(priemer sa odhaduje na približne 30 %). V rámci systému sa uplatňuje povinná zrážka istiny presahujúca pomer výšky úveru k hodnote zabezpečenia 120 %. Okrem toho budú mať splátky štandardnú dobu trvania 20 rokov, ktorá je obmedzená na 80. rok veku dlžníka. Prístup má potenciál pomôcť prekonať oneskorenia pri znižovaní zlyhaných úverov tým, že ponúka štandardizované riešenie. Na rozdiel od bežnej bankovej praxe však neberie plný ohľad na celkovú platobnú schopnosť dlžníka a nezohľadňuje životaschopnosť dlžníkov podnikateľských úverov, keďže sa v ňom horizontálne uplatňuje rovnaká reštrukturalizácia a odpisová hodnota. Bol navrhnutý tak, aby sa v obmedzenom čase umožnil veľký počet reštrukturalizácií.</w:t>
      </w:r>
    </w:p>
    <w:p>
      <w:pPr>
        <w:pStyle w:val="ListParagraph"/>
        <w:numPr>
          <w:ilvl w:val="0"/>
          <w:numId w:val="14"/>
        </w:numPr>
        <w:spacing w:after="120"/>
        <w:ind w:left="714" w:hanging="357"/>
        <w:contextualSpacing w:val="0"/>
        <w:jc w:val="both"/>
        <w:rPr>
          <w:rFonts w:ascii="Times New Roman" w:eastAsia="Times New Roman" w:hAnsi="Times New Roman" w:cs="Times New Roman"/>
          <w:noProof/>
          <w:color w:val="000000"/>
          <w:szCs w:val="24"/>
        </w:rPr>
      </w:pPr>
      <w:r>
        <w:rPr>
          <w:rFonts w:ascii="Times New Roman" w:hAnsi="Times New Roman"/>
          <w:b/>
          <w:noProof/>
          <w:color w:val="000000"/>
        </w:rPr>
        <w:t>Elektronická platforma by mala byť sfunkčnená do konca apríla 2019.</w:t>
      </w:r>
      <w:r>
        <w:rPr>
          <w:rFonts w:ascii="Times New Roman" w:hAnsi="Times New Roman"/>
          <w:noProof/>
          <w:color w:val="000000"/>
        </w:rPr>
        <w:t xml:space="preserve"> Je určená na plne automatizované posudzovanie súladu s kritériami oprávnenosti a umožní prístup k informáciám týkajúcim sa žiadateľov z iných databáz verejného sektora a/alebo bankového sektora. Platforma bude informovať veriteľov o nevybavených žiadostiach a umožní im získať príslušné údaje potrebné na sformulovanie ich návrhu pre dlžníkov. Platforma je tiež určená na filtrovanie nevybavených prípadov podľa zákona ministerky Katseliovej s ohľadom na ich kvantitatívne prvky; ak sa tento aspekt bude riadne využívať, pomôže to súdom objaviť zneužívajúce žiadosti podané v rámci právnych predpisov o platobnej neschopnosti domácností a umožní rýchlejšie riešenie týchto prípadov.</w:t>
      </w:r>
    </w:p>
    <w:p>
      <w:pPr>
        <w:pStyle w:val="ListParagraph"/>
        <w:numPr>
          <w:ilvl w:val="0"/>
          <w:numId w:val="14"/>
        </w:numPr>
        <w:spacing w:after="120"/>
        <w:ind w:left="714" w:hanging="357"/>
        <w:contextualSpacing w:val="0"/>
        <w:jc w:val="both"/>
        <w:rPr>
          <w:rFonts w:ascii="Times New Roman" w:eastAsia="Times New Roman" w:hAnsi="Times New Roman" w:cs="Times New Roman"/>
          <w:noProof/>
          <w:color w:val="000000"/>
          <w:szCs w:val="24"/>
        </w:rPr>
      </w:pPr>
      <w:r>
        <w:rPr>
          <w:rFonts w:ascii="Times New Roman" w:hAnsi="Times New Roman"/>
          <w:b/>
          <w:noProof/>
          <w:color w:val="000000"/>
        </w:rPr>
        <w:t>Efektívna prevádzka platformy by v zásade mohla viesť k uspokojujúcemu počtu reštrukturalizácií a k obmedzenému, ale nezanedbateľnému</w:t>
      </w:r>
      <w:r>
        <w:rPr>
          <w:noProof/>
        </w:rPr>
        <w:t xml:space="preserve"> </w:t>
      </w:r>
      <w:r>
        <w:rPr>
          <w:rFonts w:ascii="Times New Roman" w:hAnsi="Times New Roman"/>
          <w:b/>
          <w:noProof/>
          <w:color w:val="000000"/>
        </w:rPr>
        <w:t>riziku následných súdnych sporov, ktoré by sa dali pripočítať k existujúcim nedoriešeným prípadom.</w:t>
      </w:r>
      <w:r>
        <w:rPr>
          <w:rFonts w:ascii="Times New Roman" w:hAnsi="Times New Roman"/>
          <w:noProof/>
          <w:color w:val="000000"/>
        </w:rPr>
        <w:t xml:space="preserve"> Ak by sa pomocou platformy nepodarilo dospieť k dohode o reštrukturalizácii, dlžník je oprávnený podať žiadosť o reštrukturalizáciu na príslušnom zmierovacom súde. V súvislosti s pojednávaním a vydaním súdneho rozhodnutia musia byť stanovené prísne lehoty (šesť mesiacov po podaní žiadosti a tri mesiace po pojednávaní). Dočasné pozastavenia výkonu sa môžu povoliť za osobitných podmienok a v prípade dlžníkov, ktorí sa považovali za oprávnených, ale nedosiahli reštrukturalizáciu v rámci platformy, si vyžadujú vyplatenie mesačných splátok alebo vyplatenie časti nesplatenej sumy v závislosti od okolností. Právne predpisy poskytujú určité záruky proti neopodstatneným podaniam alebo podaniam </w:t>
      </w:r>
      <w:r>
        <w:rPr>
          <w:rFonts w:ascii="Times New Roman" w:hAnsi="Times New Roman"/>
          <w:i/>
          <w:noProof/>
          <w:color w:val="000000"/>
        </w:rPr>
        <w:t>mala fide</w:t>
      </w:r>
      <w:r>
        <w:rPr>
          <w:rFonts w:ascii="Times New Roman" w:hAnsi="Times New Roman"/>
          <w:noProof/>
          <w:color w:val="000000"/>
        </w:rPr>
        <w:t>, ktoré môže súd postihnúť uložením sankcie. Je však opodstatnené dôsledne monitorovať prípadné nové súdne spory vyplývajúce zo systému a vplyv na presadzovanie práva v krátkodobom i dlhodobom horizonte, keďže obidva tieto prvky sú relevantné pre budúcu úverovú činnosť a proces znižovania zlyhaných úverov.</w:t>
      </w:r>
    </w:p>
    <w:p>
      <w:pPr>
        <w:pStyle w:val="ListParagraph"/>
        <w:numPr>
          <w:ilvl w:val="0"/>
          <w:numId w:val="14"/>
        </w:numPr>
        <w:spacing w:after="120"/>
        <w:ind w:left="714" w:hanging="357"/>
        <w:contextualSpacing w:val="0"/>
        <w:jc w:val="both"/>
        <w:rPr>
          <w:rFonts w:ascii="Times New Roman" w:eastAsia="Times New Roman" w:hAnsi="Times New Roman" w:cs="Times New Roman"/>
          <w:noProof/>
          <w:color w:val="000000"/>
          <w:szCs w:val="24"/>
        </w:rPr>
      </w:pPr>
      <w:r>
        <w:rPr>
          <w:rFonts w:ascii="Times New Roman" w:hAnsi="Times New Roman"/>
          <w:b/>
          <w:noProof/>
          <w:color w:val="000000"/>
        </w:rPr>
        <w:t>Dostupné odhady potvrdzujú, že fiškálne náklady na dotáciu budú v rámci plánovaných rozpočtových prostriedkov predstavovať 150 miliónov EUR v roku 2019 a 200 miliónov EUR ročne v nasledujúcich rokoch.</w:t>
      </w:r>
      <w:r>
        <w:rPr>
          <w:rFonts w:ascii="Times New Roman" w:hAnsi="Times New Roman"/>
          <w:noProof/>
          <w:color w:val="000000"/>
        </w:rPr>
        <w:t xml:space="preserve"> Kalibrácia tejto dotácie by mala byť stanovená v sekundárnych právnych predpisoch a bude si vyžadovať dôkladné monitorovanie, keďže dostupné odhady sú vzhľadom na nekompletnosť dostupných údajov neisté.</w:t>
      </w:r>
    </w:p>
    <w:p>
      <w:pPr>
        <w:spacing w:after="120"/>
        <w:jc w:val="both"/>
        <w:rPr>
          <w:rFonts w:ascii="Times New Roman" w:eastAsia="Times New Roman" w:hAnsi="Times New Roman" w:cs="Times New Roman"/>
          <w:noProof/>
          <w:color w:val="000000"/>
          <w:spacing w:val="-2"/>
          <w:szCs w:val="24"/>
        </w:rPr>
      </w:pPr>
      <w:r>
        <w:rPr>
          <w:rFonts w:ascii="Times New Roman" w:hAnsi="Times New Roman"/>
          <w:b/>
          <w:noProof/>
          <w:color w:val="000000"/>
          <w:spacing w:val="-2"/>
        </w:rPr>
        <w:t>Celkovo má nový legislatívny systém potenciál podporovať reštrukturalizáciu zlyhaných úverov, hoci pretrvávajú niektoré riziká pre finančnú stabilitu a platobnú disciplínu.</w:t>
      </w:r>
      <w:r>
        <w:rPr>
          <w:rFonts w:ascii="Times New Roman" w:hAnsi="Times New Roman"/>
          <w:noProof/>
          <w:color w:val="000000"/>
          <w:spacing w:val="-2"/>
        </w:rPr>
        <w:t xml:space="preserve"> Značný pokrok sa dosiahol počas prípravnej fázy vypracovávania právnych predpisov, ktorá bola zameraná na zmiernenie rizík spojených s implementáciou a súdnymi spormi identifikovaných v stanovisku ECB</w:t>
      </w:r>
      <w:r>
        <w:rPr>
          <w:rStyle w:val="FootnoteReference"/>
          <w:noProof/>
          <w:color w:val="000000"/>
          <w:spacing w:val="-2"/>
        </w:rPr>
        <w:footnoteReference w:id="6"/>
      </w:r>
      <w:r>
        <w:rPr>
          <w:rFonts w:ascii="Times New Roman" w:hAnsi="Times New Roman"/>
          <w:noProof/>
          <w:color w:val="000000"/>
          <w:spacing w:val="-2"/>
        </w:rPr>
        <w:t xml:space="preserve"> k skoršiemu návrhu zákona, obáv súvisiacich s možným dosahom systému na finančnú stabilitu a platobnú disciplínu, ako aj rizík zneužívania zo strany strategických neplatičov. Treba však zdôrazniť, že tieto riziká boli prostredníctvom prijatých právnych predpisov do určitej miery zmiernené, no neboli odstránené: jedinečnosť systému spočíva v tom, že je neisté, ako bude fungovať v praxi, v dôsledku čoho je nemožné odhadnúť aj možnosť kvantifikovať tieto riziká a rozsah ich kvantifikácie.</w:t>
      </w:r>
    </w:p>
    <w:p>
      <w:pPr>
        <w:spacing w:after="120"/>
        <w:jc w:val="both"/>
        <w:rPr>
          <w:rFonts w:ascii="Times New Roman" w:eastAsia="Times New Roman" w:hAnsi="Times New Roman" w:cs="Times New Roman"/>
          <w:noProof/>
          <w:color w:val="000000"/>
          <w:szCs w:val="24"/>
        </w:rPr>
      </w:pPr>
      <w:r>
        <w:rPr>
          <w:rFonts w:ascii="Times New Roman" w:hAnsi="Times New Roman"/>
          <w:b/>
          <w:noProof/>
          <w:color w:val="000000"/>
        </w:rPr>
        <w:t>V budúcnosti by sa mali urýchlene dojednať zostávajúce technické podrobnosti, najmä pokiaľ ide o funkčnosť platformy, pričom by sa mala čo najskôr začať technická realizácia.</w:t>
      </w:r>
      <w:r>
        <w:rPr>
          <w:rFonts w:ascii="Times New Roman" w:hAnsi="Times New Roman"/>
          <w:noProof/>
          <w:color w:val="000000"/>
        </w:rPr>
        <w:t xml:space="preserve"> Uplatňovanie systému sa bude musieť dôkladne monitorovať, pokiaľ ide o operačné aspekty (fungovanie platformy, rýchlosť riešenia prípadov), vplyv na kapitál bánk, vplyv na presadzovanie práva a súdne spory a fiškálne náklady na dotáciu. Európske inštitúcie budú poskytovať aktuálne informácie o uplatňovaní systému a prípadných obavách v súvislosti so sprísneným dohľadom. Grécke orgány sa vyzývajú, aby sa zaviazali, že nebudú ďalej predlžovať trvanie ani rozsah pôsobnosti nového systému a že prijmú nápravné opatrenia vrátane právnych predpisov, ak v rámci tohto systému vzniknú problémy s implementáciou alebo právne problémy. Napokon treba pripomenúť, že nový systém si bude vyžadovať schválenie štátnej pomoci Komisiou.</w:t>
      </w:r>
    </w:p>
    <w:p>
      <w:pPr>
        <w:spacing w:after="120"/>
        <w:jc w:val="both"/>
        <w:rPr>
          <w:rFonts w:ascii="Times New Roman" w:hAnsi="Times New Roman"/>
          <w:noProof/>
          <w:color w:val="000000"/>
        </w:rPr>
      </w:pPr>
      <w:r>
        <w:rPr>
          <w:rFonts w:ascii="Times New Roman" w:hAnsi="Times New Roman"/>
          <w:b/>
          <w:noProof/>
          <w:color w:val="000000"/>
        </w:rPr>
        <w:t>V súlade s dôvodovou správou, ktorá je pripojená k právnym predpisom o novom systéme, európske inštitúcie vítajú záväzok gréckych orgánov prijať opatrenia na zjednotenie súboru zákonov, ktoré sú relevantné z hľadiska platobnej neschopnosti/konkurzu a reštrukturalizácie dlhu</w:t>
      </w:r>
      <w:r>
        <w:rPr>
          <w:rFonts w:ascii="Times New Roman" w:hAnsi="Times New Roman"/>
          <w:noProof/>
          <w:color w:val="000000"/>
        </w:rPr>
        <w:t>. Začne sa to reformou Katseliovej zákona, ktorá by sa mala dokončiť do polovice roka 2019 s cieľom zabezpečiť právnu zrozumiteľnosť a konzistentnosť, odstrániť medzery, ktoré možno zneužiť na pozastavenie alebo zablokovanie presadzovania práva, pridať záruky, ktoré sa považujú za dostatočné na to, aby sa zabránilo strategickému neplateniu, a posilniť kultúru dvojstranných alebo mnohostranných mimosúdnych reštrukturalizácií.</w:t>
      </w:r>
    </w:p>
    <w:p>
      <w:pPr>
        <w:spacing w:before="360" w:after="240"/>
        <w:jc w:val="both"/>
        <w:rPr>
          <w:rFonts w:ascii="Times New Roman" w:hAnsi="Times New Roman"/>
          <w:i/>
          <w:noProof/>
          <w:u w:val="single"/>
        </w:rPr>
      </w:pPr>
      <w:r>
        <w:rPr>
          <w:rFonts w:ascii="Times New Roman" w:hAnsi="Times New Roman"/>
          <w:i/>
          <w:noProof/>
          <w:u w:val="single"/>
        </w:rPr>
        <w:t>Helénsky fond finančnej stability</w:t>
      </w:r>
    </w:p>
    <w:p>
      <w:pPr>
        <w:jc w:val="both"/>
        <w:rPr>
          <w:rFonts w:ascii="Times New Roman" w:eastAsia="Times New Roman" w:hAnsi="Times New Roman"/>
          <w:noProof/>
          <w:spacing w:val="-6"/>
        </w:rPr>
      </w:pPr>
      <w:r>
        <w:rPr>
          <w:rFonts w:ascii="Times New Roman" w:hAnsi="Times New Roman"/>
          <w:b/>
          <w:noProof/>
          <w:spacing w:val="-6"/>
        </w:rPr>
        <w:t>Všetky záväzky týkajúce sa správy Helénskeho fondu finančnej stability boli splnené.</w:t>
      </w:r>
      <w:r>
        <w:rPr>
          <w:rFonts w:ascii="Times New Roman" w:hAnsi="Times New Roman"/>
          <w:noProof/>
          <w:spacing w:val="-6"/>
        </w:rPr>
        <w:t xml:space="preserve"> Pokiaľ ide o činnosť Helénskeho fondu finančnej stability, minister financií predložil pracovnej skupine pre Euroskupinu (EWG) formou listu zoznam kandidátov na otvorené pozície vo výkonnej rade a v generálnej rade Helénskeho fondu finančnej stability a EWG schválila kandidátov. Ministerstvo financií takisto dostalo a schválilo stanovisko štátnej rady pre právne otázky k postaveniu výberovej komisie Helénskeho fondu finančnej stability týkajúce sa pokračovania jej pôsobenia počas existencie Helénskeho fondu finančnej stability.</w:t>
      </w:r>
    </w:p>
    <w:p>
      <w:pPr>
        <w:spacing w:before="360" w:after="240"/>
        <w:jc w:val="both"/>
        <w:rPr>
          <w:rFonts w:ascii="Times New Roman" w:eastAsia="Times New Roman" w:hAnsi="Times New Roman" w:cs="Times New Roman"/>
          <w:b/>
          <w:bCs/>
          <w:i/>
          <w:noProof/>
          <w:color w:val="000000"/>
          <w:szCs w:val="24"/>
          <w:u w:val="single"/>
        </w:rPr>
      </w:pPr>
      <w:r>
        <w:rPr>
          <w:rFonts w:ascii="Times New Roman" w:hAnsi="Times New Roman"/>
          <w:i/>
          <w:noProof/>
          <w:color w:val="000000"/>
          <w:u w:val="single"/>
        </w:rPr>
        <w:t>Energetika</w:t>
      </w:r>
    </w:p>
    <w:p>
      <w:pPr>
        <w:spacing w:after="120"/>
        <w:jc w:val="both"/>
        <w:rPr>
          <w:rFonts w:ascii="Times New Roman" w:hAnsi="Times New Roman" w:cs="Times New Roman"/>
          <w:noProof/>
        </w:rPr>
      </w:pPr>
      <w:r>
        <w:rPr>
          <w:rFonts w:ascii="Times New Roman" w:hAnsi="Times New Roman"/>
          <w:b/>
          <w:noProof/>
        </w:rPr>
        <w:t>Odpredaj častí hnedouhoľnej výrobnej kapacity štátnej elektrárenskej spoločnosti (Public Power Corporation – PPC), t. j. hnedouhoľných elektrární Meliti a Megalopoli 3 a 4, ostáva pilierom gréckych energetických reforiem.</w:t>
      </w:r>
      <w:r>
        <w:rPr>
          <w:rFonts w:ascii="Times New Roman" w:hAnsi="Times New Roman"/>
          <w:noProof/>
        </w:rPr>
        <w:t xml:space="preserve"> Po neúspechu prvej verejnej súťaže vo februári 2019 orgány opätovne potvrdili svoj zámer ukončiť odpredaj a dodržať existujúci záväzok v rámci sprísneného dohľadu, vykonať antitrustové nápravné opatrenia a súvisiace opatrenia, ako aj konať v súlade so súvisiacim rozhodnutím Komisie. Na tento účel začali nové výberové konanie, pričom ako konečný termín na uzavretie dohody stanovili koniec júna, ktorý schválilo valné zhromaždenie spoločnosti PPC. Odpredaj bol zahrnutý aj do nedávnej zmeny vnútroštátneho energetického zákona, ktorou sa povinnosť dokončiť odpredaj rozšírila na akcionárov PPC. PPC môže požiadať o nové ocenenie elektrární, tentoraz so zreteľom na predaj iných elektrární spaľujúcich hnedé uhlie v EÚ, ako sa uvádza v antitrustových nápravných opatreniach, ako aj ponúk prijatých v nedávnej neúspešnej verejnej súťaži. PPC okrem toho vymenuje iného odhadcu, ktorý poskytne nestranné stanovisko k prijatým ponukám. Pokiaľ ide o podmienky predaja, dohodlo sa, že do dohôd o predaji a nákupe (SPA) nebude zahrnutý mechanizmus rozdelenia rizika, no počas procesu sa môžu s investormi prediskutovať ďalšie podmienky. Všetky tieto kroky sa podniknú s cieľom úspešne ukončiť proces odpredaja v súlade so záväzkami prijatými pri riešení tohto antitrustového prípadu a v lehote stanovenej pre nové výberové konanie.</w:t>
      </w:r>
    </w:p>
    <w:p>
      <w:pPr>
        <w:spacing w:after="120"/>
        <w:jc w:val="both"/>
        <w:rPr>
          <w:rFonts w:ascii="Times New Roman" w:hAnsi="Times New Roman" w:cs="Times New Roman"/>
          <w:noProof/>
        </w:rPr>
      </w:pPr>
      <w:r>
        <w:rPr>
          <w:rFonts w:ascii="Times New Roman" w:hAnsi="Times New Roman"/>
          <w:b/>
          <w:noProof/>
        </w:rPr>
        <w:t>Nový proces odpredaja už prebieha v súlade s plánovanými termínmi.</w:t>
      </w:r>
      <w:r>
        <w:rPr>
          <w:rFonts w:ascii="Times New Roman" w:hAnsi="Times New Roman"/>
          <w:noProof/>
        </w:rPr>
        <w:t xml:space="preserve"> Na výzvu na vyjadrenie záujmu odpovedalo šesť spoločností. Zriadil sa virtuálny dátový priestor obsahujúci SPA, ktoré budú základom pre rokovania. V nadchádzajúcich mesiacoch by malo dôjsť k sprístupneniu prvých SPA a dohode o konečnej verzii SPA a následne by sa mali predložiť záväzné ponuky. Tieto ponuky musí schváliť predstavenstvo a valné zhromaždenie spoločnosti PPC pred ukončením obdobia odpredaja, ktoré je stanovené na koniec júna 2019. Po schválení odpredaja valným zhromaždením spoločnosti PPC grécky parlament ratifikuje predaj. V nadväznosti na doterajšie včasné vykonanie plánovaných krokov bude mimoriadne dôležité zachovať obnovenú dynamiku napredujúcej transakcie odpredaja.</w:t>
      </w:r>
    </w:p>
    <w:p>
      <w:pPr>
        <w:keepNext/>
        <w:spacing w:before="360" w:after="240"/>
        <w:jc w:val="both"/>
        <w:rPr>
          <w:rFonts w:ascii="Times New Roman" w:hAnsi="Times New Roman"/>
          <w:i/>
          <w:noProof/>
          <w:color w:val="000000"/>
          <w:u w:val="single"/>
        </w:rPr>
      </w:pPr>
      <w:r>
        <w:rPr>
          <w:rFonts w:ascii="Times New Roman" w:hAnsi="Times New Roman"/>
          <w:i/>
          <w:noProof/>
          <w:color w:val="000000"/>
          <w:u w:val="single"/>
        </w:rPr>
        <w:t>Privatizácia</w:t>
      </w:r>
    </w:p>
    <w:p>
      <w:pPr>
        <w:spacing w:after="120"/>
        <w:jc w:val="both"/>
        <w:rPr>
          <w:rFonts w:ascii="Times New Roman" w:eastAsia="Times New Roman" w:hAnsi="Times New Roman" w:cs="Times New Roman"/>
          <w:noProof/>
          <w:color w:val="000000"/>
          <w:szCs w:val="24"/>
        </w:rPr>
      </w:pPr>
      <w:r>
        <w:rPr>
          <w:rFonts w:ascii="Times New Roman" w:hAnsi="Times New Roman"/>
          <w:b/>
          <w:noProof/>
          <w:color w:val="000000"/>
        </w:rPr>
        <w:t>Právne predpisy týkajúce sa podnikovej reštrukturalizácie plynárenskej spoločnosti DEPA boli prijaté 7. marca 2019.</w:t>
      </w:r>
      <w:r>
        <w:rPr>
          <w:rFonts w:ascii="Times New Roman" w:hAnsi="Times New Roman"/>
          <w:noProof/>
          <w:color w:val="000000"/>
        </w:rPr>
        <w:t xml:space="preserve"> Právne predpisy vytvárajú podmienky pre dohodnutú privatizačnú transakciu. Bude dôležité zabezpečiť, aby prechodné ustanovenia o zamestnanosti zahrnuté do právnych predpisov boli aj naďalej zamerané na súčasných zamestnancov na ich súčasných pozíciách.</w:t>
      </w:r>
    </w:p>
    <w:p>
      <w:pPr>
        <w:spacing w:after="120"/>
        <w:jc w:val="both"/>
        <w:rPr>
          <w:rFonts w:ascii="Times New Roman" w:hAnsi="Times New Roman"/>
          <w:noProof/>
          <w:color w:val="000000"/>
        </w:rPr>
      </w:pPr>
      <w:r>
        <w:rPr>
          <w:rFonts w:ascii="Times New Roman" w:hAnsi="Times New Roman"/>
          <w:b/>
          <w:noProof/>
          <w:color w:val="000000"/>
        </w:rPr>
        <w:t>Orgány sa v januári 2019 dohodli na viacerých opatreniach, ktoré sa majú urýchlene vykonať</w:t>
      </w:r>
      <w:r>
        <w:rPr>
          <w:noProof/>
        </w:rPr>
        <w:t xml:space="preserve"> s </w:t>
      </w:r>
      <w:r>
        <w:rPr>
          <w:rFonts w:ascii="Times New Roman" w:hAnsi="Times New Roman"/>
          <w:b/>
          <w:noProof/>
        </w:rPr>
        <w:t xml:space="preserve">cieľom odstrániť opakujúce sa prekážky spojené s koncesiou na prevádzkovanie diaľnice Egnatia. </w:t>
      </w:r>
      <w:r>
        <w:rPr>
          <w:rFonts w:ascii="Times New Roman" w:hAnsi="Times New Roman"/>
          <w:noProof/>
        </w:rPr>
        <w:t>Zámerom bolo umožniť pokračovanie transakcie s cieľom získať záväzné ponuky v priebehu roka 2019 v súlade s aktualizovaným plánom privatizačného fondu TAIPED v oblasti vývoja aktív. Dohodnuté opatrenia, ktoré sa doteraz prijali, sa realizovali v súlade s technickou uskutočniteľnosťou. Týka sa to najmä prijatia rozpočtu Egnatia, ukončenia parlamentného postupu na vymenovanie výkonného riaditeľa spoločnosti Egnatia, predloženia všetkých nevybavených spisov orgánu udeľujúcemu licenciu na vybudovanie tunela a predloženia potrebných informácií o politike určovania mýta Komisii.</w:t>
      </w:r>
      <w:r>
        <w:rPr>
          <w:rFonts w:ascii="Times New Roman" w:hAnsi="Times New Roman"/>
          <w:noProof/>
          <w:color w:val="000000"/>
        </w:rPr>
        <w:t xml:space="preserve"> Mal by sa naďalej uplatňovať zrýchlený postup týkajúci sa licencie na vybudovanie tunela, aby sa čo najskôr vyriešili otázky spojené s udelením licencie na vybudovanie tunela. Vo všeobecnosti bude rozhodujúce zabezpečiť, aby sa neobmedzene pokračovalo vo vykonávaní transakcie, aby sa zabránilo narušeniu celkového pozitívneho obrazu programu privatizácie.</w:t>
      </w:r>
    </w:p>
    <w:p>
      <w:pPr>
        <w:spacing w:before="360" w:after="240"/>
        <w:jc w:val="both"/>
        <w:rPr>
          <w:rFonts w:ascii="Times New Roman" w:eastAsia="Times New Roman" w:hAnsi="Times New Roman" w:cs="Times New Roman"/>
          <w:bCs/>
          <w:i/>
          <w:noProof/>
          <w:color w:val="000000"/>
          <w:szCs w:val="24"/>
          <w:u w:val="single"/>
        </w:rPr>
      </w:pPr>
      <w:r>
        <w:rPr>
          <w:rFonts w:ascii="Times New Roman" w:hAnsi="Times New Roman"/>
          <w:i/>
          <w:noProof/>
          <w:color w:val="000000"/>
          <w:u w:val="single"/>
        </w:rPr>
        <w:t>Verejná správa</w:t>
      </w:r>
    </w:p>
    <w:p>
      <w:pPr>
        <w:spacing w:after="120"/>
        <w:jc w:val="both"/>
        <w:rPr>
          <w:rFonts w:ascii="Times New Roman" w:eastAsia="Times New Roman" w:hAnsi="Times New Roman"/>
          <w:noProof/>
        </w:rPr>
      </w:pPr>
      <w:r>
        <w:rPr>
          <w:rFonts w:ascii="Times New Roman" w:hAnsi="Times New Roman"/>
          <w:b/>
          <w:noProof/>
        </w:rPr>
        <w:t>Vzhľadom na nerovnomerný pokrok pri vymenúvaní vyšších riadiacich pracovníkov sa dokončila séria doplnkových opatrení týkajúcich sa modernizácie verejnej správy</w:t>
      </w:r>
      <w:r>
        <w:rPr>
          <w:noProof/>
        </w:rPr>
        <w:t xml:space="preserve"> </w:t>
      </w:r>
      <w:r>
        <w:rPr>
          <w:rFonts w:ascii="Times New Roman" w:hAnsi="Times New Roman"/>
          <w:noProof/>
        </w:rPr>
        <w:t>vrátane prijatia zákona, ktorý umožní, aby sa dlhodobý plán náboru úzko prepojil so strednodobou fiškálnou stratégiou, a vypracovania plánu na zjednodušenie systému klasifikácie zamestnaní („klados“). Od prijatia správy o sprísnenom dohľade 27. februára 2019 orgány vykonali kľúčové opatrenia týkajúce sa reformy právnej kodifikácie vrátane vydania rozhodnutia o schválení ponuky na zriadenie „digitálneho portálu“ a predloženia právnych ustanovení týkajúcich sa „ústredného kodifikačného výboru“, od ktorých sa očakáva, že budú zohrávať kľúčovú úlohu pri dohľade nad právnou kodifikáciou. Okrem toho orgány potvrdili, že počet plánovaných prijatí do zamestnania v roku 2019 je v súlade s údajmi uvedenými v pláne náboru, čím sa umožní dodržiavanie pravidla o obsadzovaní uvoľnených miest v pomere 1:1 od roku 2019. To bude zahŕňať prerozdelenie počtu stálych zamestnancov prijatých v roku 2018, ktorým sa prekročil strop pre nábor stálych zamestnancov stanovený na základe pravidla prirodzeného úbytku v pomere 1:3 (okolo 1 000 zamestnancov), ako aj zníženie podielu dočasných zamestnancov (približne 14 %) zamerané na dosiahnutie cieľa v oblasti mzdových nákladov stanoveného v rámci strednodobej fiškálnej stratégie.</w:t>
      </w:r>
    </w:p>
    <w:p>
      <w:pPr>
        <w:spacing w:after="120"/>
        <w:contextualSpacing/>
        <w:jc w:val="both"/>
        <w:rPr>
          <w:rFonts w:ascii="Times New Roman" w:eastAsia="Times New Roman" w:hAnsi="Times New Roman" w:cs="Times New Roman"/>
          <w:noProof/>
          <w:color w:val="000000"/>
          <w:szCs w:val="24"/>
        </w:rPr>
      </w:pPr>
    </w:p>
    <w:p>
      <w:pPr>
        <w:spacing w:after="120"/>
        <w:contextualSpacing/>
        <w:jc w:val="both"/>
        <w:rPr>
          <w:rFonts w:ascii="Times New Roman" w:eastAsia="Times New Roman" w:hAnsi="Times New Roman" w:cs="Times New Roman"/>
          <w:noProof/>
          <w:color w:val="000000"/>
          <w:szCs w:val="24"/>
        </w:rPr>
        <w:sectPr>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20"/>
          <w:docGrid w:linePitch="360"/>
        </w:sectPr>
      </w:pPr>
    </w:p>
    <w:p>
      <w:pPr>
        <w:spacing w:after="240" w:line="240" w:lineRule="atLeast"/>
        <w:jc w:val="both"/>
        <w:rPr>
          <w:rFonts w:ascii="Times New Roman" w:eastAsia="Calibri" w:hAnsi="Times New Roman" w:cs="Times New Roman"/>
          <w:noProof/>
          <w:color w:val="000000"/>
          <w:sz w:val="20"/>
        </w:rPr>
      </w:pPr>
      <w:r>
        <w:rPr>
          <w:rFonts w:ascii="Times New Roman" w:hAnsi="Times New Roman"/>
          <w:noProof/>
          <w:color w:val="000000"/>
          <w:sz w:val="20"/>
        </w:rPr>
        <w:t>Pokrok pri plnení osobitných záväzkov plánovaných do konca 2018 prijatých voči Euroskupine (</w:t>
      </w:r>
      <w:hyperlink r:id="rId25">
        <w:r>
          <w:rPr>
            <w:rFonts w:ascii="Times New Roman" w:hAnsi="Times New Roman"/>
            <w:noProof/>
            <w:color w:val="0563C1"/>
            <w:sz w:val="20"/>
            <w:u w:val="single"/>
          </w:rPr>
          <w:t>Príloha k vyhláseniu Euroskupiny</w:t>
        </w:r>
      </w:hyperlink>
      <w:r>
        <w:rPr>
          <w:rFonts w:ascii="Times New Roman" w:hAnsi="Times New Roman"/>
          <w:noProof/>
          <w:color w:val="000000"/>
          <w:sz w:val="20"/>
        </w:rPr>
        <w:t xml:space="preserve"> z 22. júna 2018)</w:t>
      </w:r>
    </w:p>
    <w:p>
      <w:pPr>
        <w:spacing w:after="240" w:line="240" w:lineRule="atLeast"/>
        <w:jc w:val="both"/>
        <w:rPr>
          <w:rFonts w:ascii="Times New Roman" w:eastAsia="Calibri" w:hAnsi="Times New Roman" w:cs="Times New Roman"/>
          <w:noProof/>
          <w:color w:val="000000"/>
          <w:sz w:val="20"/>
        </w:rPr>
      </w:pPr>
      <w:r>
        <w:rPr>
          <w:rFonts w:ascii="Times New Roman" w:hAnsi="Times New Roman"/>
          <w:noProof/>
          <w:color w:val="000000"/>
          <w:sz w:val="20"/>
        </w:rPr>
        <w:t>25. marca 2019</w:t>
      </w:r>
    </w:p>
    <w:tbl>
      <w:tblPr>
        <w:tblStyle w:val="TableGrid18"/>
        <w:tblW w:w="14742" w:type="dxa"/>
        <w:tblInd w:w="-318" w:type="dxa"/>
        <w:tblLayout w:type="fixed"/>
        <w:tblLook w:val="04A0" w:firstRow="1" w:lastRow="0" w:firstColumn="1" w:lastColumn="0" w:noHBand="0" w:noVBand="1"/>
      </w:tblPr>
      <w:tblGrid>
        <w:gridCol w:w="737"/>
        <w:gridCol w:w="4312"/>
        <w:gridCol w:w="9693"/>
      </w:tblGrid>
      <w:tr>
        <w:trPr>
          <w:trHeight w:val="481"/>
          <w:tblHeader/>
        </w:trPr>
        <w:tc>
          <w:tcPr>
            <w:tcW w:w="737" w:type="dxa"/>
            <w:shd w:val="clear" w:color="auto" w:fill="FFC000"/>
            <w:vAlign w:val="center"/>
          </w:tcPr>
          <w:p>
            <w:pPr>
              <w:keepNext/>
              <w:keepLines/>
              <w:spacing w:before="120" w:after="120" w:line="240" w:lineRule="atLeast"/>
              <w:jc w:val="center"/>
              <w:outlineLvl w:val="0"/>
              <w:rPr>
                <w:rFonts w:ascii="Times New Roman" w:eastAsia="Times New Roman" w:hAnsi="Times New Roman" w:cs="Times New Roman"/>
                <w:b/>
                <w:bCs/>
                <w:noProof/>
                <w:color w:val="000000"/>
                <w:sz w:val="20"/>
                <w:szCs w:val="20"/>
              </w:rPr>
            </w:pPr>
          </w:p>
        </w:tc>
        <w:tc>
          <w:tcPr>
            <w:tcW w:w="4312" w:type="dxa"/>
            <w:shd w:val="clear" w:color="auto" w:fill="FFC000"/>
            <w:vAlign w:val="center"/>
          </w:tcPr>
          <w:p>
            <w:pPr>
              <w:keepNext/>
              <w:keepLines/>
              <w:spacing w:before="120" w:after="120" w:line="240" w:lineRule="atLeast"/>
              <w:jc w:val="center"/>
              <w:outlineLvl w:val="0"/>
              <w:rPr>
                <w:rFonts w:ascii="Times New Roman" w:eastAsia="Times New Roman" w:hAnsi="Times New Roman" w:cs="Times New Roman"/>
                <w:b/>
                <w:bCs/>
                <w:noProof/>
                <w:color w:val="000000"/>
                <w:sz w:val="20"/>
                <w:szCs w:val="20"/>
              </w:rPr>
            </w:pPr>
            <w:r>
              <w:rPr>
                <w:rFonts w:ascii="Times New Roman" w:hAnsi="Times New Roman"/>
                <w:b/>
                <w:noProof/>
                <w:color w:val="000000"/>
                <w:sz w:val="20"/>
              </w:rPr>
              <w:t>Záväzok</w:t>
            </w:r>
          </w:p>
        </w:tc>
        <w:tc>
          <w:tcPr>
            <w:tcW w:w="9693" w:type="dxa"/>
            <w:shd w:val="clear" w:color="auto" w:fill="FFC000"/>
            <w:vAlign w:val="center"/>
          </w:tcPr>
          <w:p>
            <w:pPr>
              <w:spacing w:after="240" w:line="240" w:lineRule="atLeast"/>
              <w:ind w:right="-59"/>
              <w:contextualSpacing/>
              <w:jc w:val="center"/>
              <w:rPr>
                <w:rFonts w:ascii="Times New Roman" w:eastAsia="Times New Roman" w:hAnsi="Times New Roman" w:cs="Times New Roman"/>
                <w:b/>
                <w:noProof/>
                <w:color w:val="000000"/>
                <w:sz w:val="20"/>
                <w:szCs w:val="20"/>
              </w:rPr>
            </w:pPr>
            <w:r>
              <w:rPr>
                <w:rFonts w:ascii="Times New Roman" w:hAnsi="Times New Roman"/>
                <w:b/>
                <w:noProof/>
                <w:color w:val="000000"/>
                <w:sz w:val="20"/>
              </w:rPr>
              <w:t xml:space="preserve">Súčasný stav </w:t>
            </w:r>
          </w:p>
        </w:tc>
      </w:tr>
      <w:tr>
        <w:trPr>
          <w:trHeight w:val="113"/>
        </w:trPr>
        <w:tc>
          <w:tcPr>
            <w:tcW w:w="737" w:type="dxa"/>
            <w:vAlign w:val="center"/>
          </w:tcPr>
          <w:p>
            <w:pPr>
              <w:spacing w:before="60" w:after="60"/>
              <w:jc w:val="center"/>
              <w:rPr>
                <w:rFonts w:ascii="Times New Roman" w:eastAsia="Times New Roman" w:hAnsi="Times New Roman" w:cs="Times New Roman"/>
                <w:b/>
                <w:noProof/>
                <w:color w:val="000000"/>
                <w:sz w:val="20"/>
                <w:szCs w:val="20"/>
              </w:rPr>
            </w:pPr>
            <w:r>
              <w:rPr>
                <w:rFonts w:ascii="Times New Roman" w:hAnsi="Times New Roman"/>
                <w:b/>
                <w:noProof/>
                <w:color w:val="000000"/>
                <w:sz w:val="20"/>
              </w:rPr>
              <w:t>1</w:t>
            </w:r>
          </w:p>
        </w:tc>
        <w:tc>
          <w:tcPr>
            <w:tcW w:w="4312" w:type="dxa"/>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b/>
                <w:noProof/>
                <w:color w:val="000000"/>
                <w:sz w:val="20"/>
              </w:rPr>
              <w:t>Fiškálny cieľ:</w:t>
            </w:r>
            <w:r>
              <w:rPr>
                <w:rFonts w:ascii="Times New Roman" w:hAnsi="Times New Roman"/>
                <w:noProof/>
                <w:color w:val="000000"/>
                <w:sz w:val="20"/>
              </w:rPr>
              <w:t xml:space="preserve"> v rámci ročného rozpočtu sa dosahuje cieľ strednodobého primárneho prebytku vo výške 3,5 % HDP.</w:t>
            </w:r>
          </w:p>
        </w:tc>
        <w:tc>
          <w:tcPr>
            <w:tcW w:w="9693" w:type="dxa"/>
          </w:tcPr>
          <w:p>
            <w:pPr>
              <w:spacing w:before="60" w:after="60"/>
              <w:jc w:val="both"/>
              <w:rPr>
                <w:rFonts w:ascii="Times New Roman" w:eastAsia="Times New Roman" w:hAnsi="Times New Roman" w:cs="Times New Roman"/>
                <w:noProof/>
                <w:color w:val="000000"/>
                <w:sz w:val="20"/>
                <w:szCs w:val="20"/>
              </w:rPr>
            </w:pPr>
            <w:r>
              <w:rPr>
                <w:rFonts w:ascii="Times New Roman" w:hAnsi="Times New Roman"/>
                <w:noProof/>
                <w:color w:val="000000"/>
                <w:sz w:val="20"/>
              </w:rPr>
              <w:t xml:space="preserve">Rozpočet na rok 2019 bol prijatý a je v súlade s cieľom primárneho prebytku. </w:t>
            </w:r>
          </w:p>
        </w:tc>
      </w:tr>
      <w:tr>
        <w:trPr>
          <w:trHeight w:val="113"/>
        </w:trPr>
        <w:tc>
          <w:tcPr>
            <w:tcW w:w="737" w:type="dxa"/>
            <w:vAlign w:val="center"/>
          </w:tcPr>
          <w:p>
            <w:pPr>
              <w:spacing w:before="60" w:after="60"/>
              <w:jc w:val="center"/>
              <w:rPr>
                <w:rFonts w:ascii="Times New Roman" w:eastAsia="Times New Roman" w:hAnsi="Times New Roman" w:cs="Times New Roman"/>
                <w:b/>
                <w:noProof/>
                <w:color w:val="000000"/>
                <w:sz w:val="20"/>
                <w:szCs w:val="20"/>
              </w:rPr>
            </w:pPr>
            <w:r>
              <w:rPr>
                <w:rFonts w:ascii="Times New Roman" w:hAnsi="Times New Roman"/>
                <w:b/>
                <w:noProof/>
                <w:color w:val="000000"/>
                <w:sz w:val="20"/>
              </w:rPr>
              <w:t>2</w:t>
            </w:r>
          </w:p>
        </w:tc>
        <w:tc>
          <w:tcPr>
            <w:tcW w:w="4312" w:type="dxa"/>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b/>
                <w:noProof/>
                <w:color w:val="000000"/>
                <w:sz w:val="20"/>
              </w:rPr>
              <w:t>Správa verejných príjmov:</w:t>
            </w:r>
            <w:r>
              <w:rPr>
                <w:rFonts w:ascii="Times New Roman" w:hAnsi="Times New Roman"/>
                <w:noProof/>
                <w:color w:val="000000"/>
                <w:sz w:val="20"/>
              </w:rPr>
              <w:t xml:space="preserve"> plán zvýšiť do konca roka 2018 počet stálych zamestnancov nezávislého orgánu pre verejné príjmy na 12 000</w:t>
            </w:r>
          </w:p>
        </w:tc>
        <w:tc>
          <w:tcPr>
            <w:tcW w:w="9693" w:type="dxa"/>
          </w:tcPr>
          <w:p>
            <w:pPr>
              <w:spacing w:before="60"/>
              <w:jc w:val="both"/>
              <w:rPr>
                <w:rFonts w:ascii="Times New Roman" w:hAnsi="Times New Roman"/>
                <w:noProof/>
                <w:color w:val="000000"/>
                <w:sz w:val="20"/>
              </w:rPr>
            </w:pPr>
            <w:r>
              <w:rPr>
                <w:rFonts w:ascii="Times New Roman" w:hAnsi="Times New Roman"/>
                <w:noProof/>
                <w:color w:val="000000"/>
                <w:sz w:val="20"/>
              </w:rPr>
              <w:t>Počet stálych zamestnancov na konci roka 2018 bol 11 487, teda nižší než stanovená cieľová hodnota. Orgány prijali tieto doplnkové opatrenia:</w:t>
            </w:r>
          </w:p>
          <w:p>
            <w:pPr>
              <w:numPr>
                <w:ilvl w:val="0"/>
                <w:numId w:val="10"/>
              </w:numPr>
              <w:spacing w:before="60" w:after="240" w:line="240" w:lineRule="atLeast"/>
              <w:jc w:val="both"/>
              <w:rPr>
                <w:rFonts w:ascii="Times New Roman" w:hAnsi="Times New Roman"/>
                <w:noProof/>
                <w:color w:val="000000"/>
                <w:sz w:val="20"/>
              </w:rPr>
            </w:pPr>
            <w:r>
              <w:rPr>
                <w:rFonts w:ascii="Times New Roman" w:hAnsi="Times New Roman"/>
                <w:noProof/>
                <w:color w:val="000000"/>
                <w:sz w:val="20"/>
                <w:u w:val="single"/>
              </w:rPr>
              <w:t>Koncepcia na roky 2019 – 2021</w:t>
            </w:r>
            <w:r>
              <w:rPr>
                <w:rFonts w:ascii="Times New Roman" w:hAnsi="Times New Roman"/>
                <w:noProof/>
                <w:color w:val="000000"/>
                <w:sz w:val="20"/>
              </w:rPr>
              <w:t>: Nezávislý orgán pre verejné príjmy prijal svoju „koncepciu“.</w:t>
            </w:r>
          </w:p>
          <w:p>
            <w:pPr>
              <w:numPr>
                <w:ilvl w:val="0"/>
                <w:numId w:val="10"/>
              </w:numPr>
              <w:spacing w:before="60" w:after="60" w:line="240" w:lineRule="atLeast"/>
              <w:jc w:val="both"/>
              <w:rPr>
                <w:rFonts w:ascii="Times New Roman" w:eastAsia="Times New Roman" w:hAnsi="Times New Roman" w:cs="Times New Roman"/>
                <w:noProof/>
                <w:color w:val="000000"/>
                <w:sz w:val="20"/>
                <w:szCs w:val="20"/>
              </w:rPr>
            </w:pPr>
            <w:r>
              <w:rPr>
                <w:rFonts w:ascii="Times New Roman" w:hAnsi="Times New Roman"/>
                <w:noProof/>
                <w:color w:val="000000"/>
                <w:sz w:val="20"/>
                <w:u w:val="single"/>
              </w:rPr>
              <w:t>IT:</w:t>
            </w:r>
            <w:r>
              <w:rPr>
                <w:rFonts w:ascii="Times New Roman" w:hAnsi="Times New Roman"/>
                <w:noProof/>
                <w:color w:val="000000"/>
                <w:sz w:val="20"/>
              </w:rPr>
              <w:t xml:space="preserve"> dosiahla sa dohoda medzi Generálnym sekretariátom pre informačné systémy (GSIS) a nezávislým orgánom pre verejné príjmy o ročnom objeme prostriedkov na služby nezávislého orgánu pre verejné príjmy, ktorý je súčasťou rozpočtu GSIS.</w:t>
            </w:r>
          </w:p>
          <w:p>
            <w:pPr>
              <w:numPr>
                <w:ilvl w:val="0"/>
                <w:numId w:val="10"/>
              </w:numPr>
              <w:spacing w:before="60" w:after="240" w:line="240" w:lineRule="atLeast"/>
              <w:jc w:val="both"/>
              <w:rPr>
                <w:rFonts w:ascii="Times New Roman" w:hAnsi="Times New Roman"/>
                <w:noProof/>
                <w:color w:val="000000"/>
                <w:sz w:val="20"/>
              </w:rPr>
            </w:pPr>
            <w:r>
              <w:rPr>
                <w:rFonts w:ascii="Times New Roman" w:hAnsi="Times New Roman"/>
                <w:noProof/>
                <w:color w:val="000000"/>
                <w:sz w:val="20"/>
                <w:u w:val="single"/>
              </w:rPr>
              <w:t>Reforma v oblasti ľudských zdrojov:</w:t>
            </w:r>
            <w:r>
              <w:rPr>
                <w:rFonts w:ascii="Times New Roman" w:hAnsi="Times New Roman"/>
                <w:noProof/>
                <w:color w:val="000000"/>
                <w:sz w:val="20"/>
              </w:rPr>
              <w:t xml:space="preserve"> Dňa 6. marca 2019 bola prijatá zmena právnych predpisov, ktorá umožňuje vytvorenie systému klasifikácie na základe opisu pracovných miest (FEK A 48/2019, článok 64). Toto opatrenie je prepojené s reformou v oblasti verejnej správy (záväzok č. 16).</w:t>
            </w:r>
          </w:p>
          <w:p>
            <w:pPr>
              <w:numPr>
                <w:ilvl w:val="0"/>
                <w:numId w:val="10"/>
              </w:numPr>
              <w:spacing w:before="60" w:after="240" w:line="240" w:lineRule="atLeast"/>
              <w:jc w:val="both"/>
              <w:rPr>
                <w:rFonts w:ascii="Times New Roman" w:hAnsi="Times New Roman"/>
                <w:noProof/>
                <w:color w:val="000000"/>
                <w:sz w:val="20"/>
              </w:rPr>
            </w:pPr>
            <w:r>
              <w:rPr>
                <w:rFonts w:ascii="Times New Roman" w:hAnsi="Times New Roman"/>
                <w:noProof/>
                <w:color w:val="000000"/>
                <w:sz w:val="20"/>
                <w:u w:val="single"/>
              </w:rPr>
              <w:t>Zodpovednosť daňových/colných úradníkov</w:t>
            </w:r>
            <w:r>
              <w:rPr>
                <w:rFonts w:ascii="Times New Roman" w:hAnsi="Times New Roman"/>
                <w:noProof/>
                <w:color w:val="000000"/>
                <w:sz w:val="20"/>
              </w:rPr>
              <w:t>: dosiahla sa dohoda o obsahu opatrenia. Zmena právnych predpisov (FEK A 48/2019, článok 64) bola prijatá 6. marca 2019.</w:t>
            </w:r>
          </w:p>
          <w:p>
            <w:pPr>
              <w:numPr>
                <w:ilvl w:val="0"/>
                <w:numId w:val="10"/>
              </w:numPr>
              <w:spacing w:before="60" w:after="240" w:line="240" w:lineRule="atLeast"/>
              <w:jc w:val="both"/>
              <w:rPr>
                <w:rFonts w:ascii="Times New Roman" w:eastAsia="Times New Roman" w:hAnsi="Times New Roman" w:cs="Times New Roman"/>
                <w:noProof/>
                <w:color w:val="000000"/>
                <w:sz w:val="20"/>
                <w:szCs w:val="20"/>
              </w:rPr>
            </w:pPr>
            <w:r>
              <w:rPr>
                <w:rFonts w:ascii="Times New Roman" w:hAnsi="Times New Roman"/>
                <w:noProof/>
                <w:color w:val="000000"/>
                <w:sz w:val="20"/>
                <w:u w:val="single"/>
              </w:rPr>
              <w:t>Presuny zamestnancov do nezávislého orgánu pre verejné príjmy v rámci programu mobility</w:t>
            </w:r>
            <w:r>
              <w:rPr>
                <w:rFonts w:ascii="Times New Roman" w:hAnsi="Times New Roman"/>
                <w:noProof/>
                <w:color w:val="000000"/>
                <w:sz w:val="20"/>
              </w:rPr>
              <w:t>: Majú sa prijať právne ustanovenia na uľahčenie presunu zamestnancov do nezávislého orgánu pre verejné príjmy v rámci programu mobility. Dosiahla sa dohoda o obsahu opatrenia. Zmena právnych predpisov (FEK A 48/2019, článok 64) bola prijatá 6. marca 2019.</w:t>
            </w:r>
          </w:p>
          <w:p>
            <w:pPr>
              <w:numPr>
                <w:ilvl w:val="0"/>
                <w:numId w:val="10"/>
              </w:numPr>
              <w:spacing w:before="60" w:after="60" w:line="240" w:lineRule="atLeast"/>
              <w:jc w:val="both"/>
              <w:rPr>
                <w:rFonts w:ascii="Times New Roman" w:eastAsia="Times New Roman" w:hAnsi="Times New Roman" w:cs="Times New Roman"/>
                <w:noProof/>
                <w:color w:val="000000"/>
                <w:sz w:val="20"/>
                <w:szCs w:val="20"/>
              </w:rPr>
            </w:pPr>
            <w:r>
              <w:rPr>
                <w:rFonts w:ascii="Times New Roman" w:hAnsi="Times New Roman"/>
                <w:noProof/>
                <w:color w:val="000000"/>
                <w:sz w:val="20"/>
                <w:u w:val="single"/>
              </w:rPr>
              <w:t>Spoločné ministerské rozhodnutie o „označovaní palív“:</w:t>
            </w:r>
            <w:r>
              <w:rPr>
                <w:rFonts w:ascii="Times New Roman" w:hAnsi="Times New Roman"/>
                <w:noProof/>
                <w:color w:val="000000"/>
                <w:sz w:val="20"/>
              </w:rPr>
              <w:t xml:space="preserve"> rozhodnutie bolo prijaté (FEK B 803/2019, 7. marca 2019).</w:t>
            </w:r>
          </w:p>
          <w:p>
            <w:pPr>
              <w:numPr>
                <w:ilvl w:val="0"/>
                <w:numId w:val="10"/>
              </w:numPr>
              <w:spacing w:before="60" w:after="60" w:line="240" w:lineRule="atLeast"/>
              <w:jc w:val="both"/>
              <w:rPr>
                <w:rFonts w:ascii="Times New Roman" w:eastAsia="Times New Roman" w:hAnsi="Times New Roman" w:cs="Times New Roman"/>
                <w:i/>
                <w:noProof/>
                <w:color w:val="000000"/>
                <w:sz w:val="20"/>
                <w:szCs w:val="20"/>
              </w:rPr>
            </w:pPr>
            <w:r>
              <w:rPr>
                <w:rFonts w:ascii="Times New Roman" w:hAnsi="Times New Roman"/>
                <w:noProof/>
                <w:color w:val="000000"/>
                <w:sz w:val="20"/>
                <w:u w:val="single"/>
              </w:rPr>
              <w:t>Rozhodnutie o posúdení, ktoré má vykonať nezávislý orgán pre verejné príjmy,</w:t>
            </w:r>
            <w:r>
              <w:rPr>
                <w:rFonts w:ascii="Times New Roman" w:hAnsi="Times New Roman"/>
                <w:noProof/>
                <w:color w:val="000000"/>
                <w:sz w:val="20"/>
              </w:rPr>
              <w:t xml:space="preserve"> bolo uverejnené vo vládnom vestníku (FEK B 6225/2018).</w:t>
            </w:r>
          </w:p>
        </w:tc>
      </w:tr>
      <w:tr>
        <w:trPr>
          <w:trHeight w:val="113"/>
        </w:trPr>
        <w:tc>
          <w:tcPr>
            <w:tcW w:w="737" w:type="dxa"/>
            <w:vAlign w:val="center"/>
          </w:tcPr>
          <w:p>
            <w:pPr>
              <w:spacing w:before="60" w:after="60"/>
              <w:jc w:val="center"/>
              <w:rPr>
                <w:rFonts w:ascii="Times New Roman" w:eastAsia="Times New Roman" w:hAnsi="Times New Roman" w:cs="Times New Roman"/>
                <w:b/>
                <w:noProof/>
                <w:color w:val="000000"/>
                <w:sz w:val="20"/>
                <w:szCs w:val="20"/>
              </w:rPr>
            </w:pPr>
            <w:r>
              <w:rPr>
                <w:rFonts w:ascii="Times New Roman" w:hAnsi="Times New Roman"/>
                <w:b/>
                <w:noProof/>
                <w:color w:val="000000"/>
                <w:sz w:val="20"/>
              </w:rPr>
              <w:t>3</w:t>
            </w:r>
          </w:p>
        </w:tc>
        <w:tc>
          <w:tcPr>
            <w:tcW w:w="4312" w:type="dxa"/>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b/>
                <w:noProof/>
                <w:color w:val="000000"/>
                <w:sz w:val="20"/>
              </w:rPr>
              <w:t>Riadenie verejných financií:</w:t>
            </w:r>
            <w:r>
              <w:rPr>
                <w:rFonts w:ascii="Times New Roman" w:hAnsi="Times New Roman"/>
                <w:noProof/>
                <w:color w:val="000000"/>
                <w:sz w:val="20"/>
              </w:rPr>
              <w:t xml:space="preserve"> vyhnúť sa hromadeniu čistých nedoplatkov</w:t>
            </w:r>
          </w:p>
        </w:tc>
        <w:tc>
          <w:tcPr>
            <w:tcW w:w="9693" w:type="dxa"/>
          </w:tcPr>
          <w:p>
            <w:pPr>
              <w:spacing w:before="60" w:after="60"/>
              <w:jc w:val="both"/>
              <w:rPr>
                <w:rFonts w:ascii="Times New Roman" w:eastAsia="Times New Roman" w:hAnsi="Times New Roman" w:cs="Times New Roman"/>
                <w:noProof/>
                <w:color w:val="000000"/>
                <w:sz w:val="20"/>
                <w:szCs w:val="20"/>
              </w:rPr>
            </w:pPr>
            <w:r>
              <w:rPr>
                <w:rFonts w:ascii="Times New Roman" w:hAnsi="Times New Roman"/>
                <w:noProof/>
                <w:color w:val="000000"/>
                <w:sz w:val="20"/>
              </w:rPr>
              <w:t xml:space="preserve">Údaje z decembra 2018 ukazujú, že od skončenia programu EMS sa znížil objem čistých nedoplatkov. Údaje z januára poukazujú na to, že znižovanie je plynulé, aj keď je pomalé. Pri plnení záväzku v budúcnosti treba naďalej vyvíjať úsilie o likvidáciu nahromadených čistých nedoplatkov a predchádzať hromadeniu nových nedoplatkov. </w:t>
            </w:r>
          </w:p>
        </w:tc>
      </w:tr>
      <w:tr>
        <w:trPr>
          <w:trHeight w:val="113"/>
        </w:trPr>
        <w:tc>
          <w:tcPr>
            <w:tcW w:w="737" w:type="dxa"/>
            <w:vAlign w:val="center"/>
          </w:tcPr>
          <w:p>
            <w:pPr>
              <w:spacing w:before="60" w:after="60"/>
              <w:jc w:val="center"/>
              <w:rPr>
                <w:rFonts w:ascii="Times New Roman" w:eastAsia="Times New Roman" w:hAnsi="Times New Roman" w:cs="Times New Roman"/>
                <w:b/>
                <w:noProof/>
                <w:color w:val="000000"/>
                <w:sz w:val="20"/>
                <w:szCs w:val="20"/>
              </w:rPr>
            </w:pPr>
            <w:r>
              <w:rPr>
                <w:rFonts w:ascii="Times New Roman" w:hAnsi="Times New Roman"/>
                <w:b/>
                <w:noProof/>
                <w:color w:val="000000"/>
                <w:sz w:val="20"/>
              </w:rPr>
              <w:t>4</w:t>
            </w:r>
          </w:p>
        </w:tc>
        <w:tc>
          <w:tcPr>
            <w:tcW w:w="4312" w:type="dxa"/>
            <w:shd w:val="clear" w:color="auto" w:fill="auto"/>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b/>
                <w:noProof/>
                <w:color w:val="000000"/>
                <w:sz w:val="20"/>
              </w:rPr>
              <w:t>Zdravotná starostlivosť:</w:t>
            </w:r>
            <w:r>
              <w:rPr>
                <w:rFonts w:ascii="Times New Roman" w:hAnsi="Times New Roman"/>
                <w:noProof/>
                <w:color w:val="000000"/>
                <w:sz w:val="20"/>
              </w:rPr>
              <w:t xml:space="preserve"> plán otvoriť 120 jednotiek primárnej zdravotnej starostlivosti (TOMY) do konca roka 2018</w:t>
            </w:r>
          </w:p>
        </w:tc>
        <w:tc>
          <w:tcPr>
            <w:tcW w:w="9693" w:type="dxa"/>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noProof/>
                <w:color w:val="000000"/>
                <w:sz w:val="20"/>
              </w:rPr>
              <w:t xml:space="preserve">Podľa najnovších správ bolo na celom území otvorených 120 jednotiek primárnej zdravotnej starostlivosti (TOMY). </w:t>
            </w:r>
          </w:p>
        </w:tc>
      </w:tr>
      <w:tr>
        <w:trPr>
          <w:trHeight w:val="113"/>
        </w:trPr>
        <w:tc>
          <w:tcPr>
            <w:tcW w:w="737" w:type="dxa"/>
            <w:vAlign w:val="center"/>
          </w:tcPr>
          <w:p>
            <w:pPr>
              <w:spacing w:before="60" w:after="60"/>
              <w:jc w:val="center"/>
              <w:rPr>
                <w:rFonts w:ascii="Times New Roman" w:eastAsia="Times New Roman" w:hAnsi="Times New Roman" w:cs="Times New Roman"/>
                <w:b/>
                <w:noProof/>
                <w:color w:val="000000"/>
                <w:sz w:val="20"/>
                <w:szCs w:val="20"/>
              </w:rPr>
            </w:pPr>
            <w:r>
              <w:rPr>
                <w:rFonts w:ascii="Times New Roman" w:hAnsi="Times New Roman"/>
                <w:b/>
                <w:noProof/>
                <w:color w:val="000000"/>
                <w:sz w:val="20"/>
              </w:rPr>
              <w:t>5</w:t>
            </w:r>
          </w:p>
        </w:tc>
        <w:tc>
          <w:tcPr>
            <w:tcW w:w="4312" w:type="dxa"/>
            <w:shd w:val="clear" w:color="auto" w:fill="auto"/>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b/>
                <w:noProof/>
                <w:color w:val="000000"/>
                <w:sz w:val="20"/>
              </w:rPr>
              <w:t>Zdravotná starostlivosť:</w:t>
            </w:r>
            <w:r>
              <w:rPr>
                <w:rFonts w:ascii="Times New Roman" w:hAnsi="Times New Roman"/>
                <w:noProof/>
                <w:color w:val="000000"/>
                <w:sz w:val="20"/>
              </w:rPr>
              <w:t xml:space="preserve"> plán zriadiť do konca roka 2018 hlavný orgán zodpovedný za verejné obstarávanie (EKAPY)</w:t>
            </w:r>
          </w:p>
        </w:tc>
        <w:tc>
          <w:tcPr>
            <w:tcW w:w="9693" w:type="dxa"/>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noProof/>
                <w:color w:val="000000"/>
                <w:sz w:val="20"/>
              </w:rPr>
              <w:t xml:space="preserve">Hlavný orgán zodpovedný za verejné obstarávanie (EKAPY) je funkčný a centralizované obstarávanie bolo obnovené. </w:t>
            </w:r>
          </w:p>
        </w:tc>
      </w:tr>
      <w:tr>
        <w:trPr>
          <w:trHeight w:val="2021"/>
        </w:trPr>
        <w:tc>
          <w:tcPr>
            <w:tcW w:w="737" w:type="dxa"/>
            <w:vAlign w:val="center"/>
          </w:tcPr>
          <w:p>
            <w:pPr>
              <w:spacing w:before="60" w:after="60"/>
              <w:jc w:val="center"/>
              <w:rPr>
                <w:rFonts w:ascii="Times New Roman" w:eastAsia="Times New Roman" w:hAnsi="Times New Roman" w:cs="Times New Roman"/>
                <w:b/>
                <w:noProof/>
                <w:color w:val="000000"/>
                <w:sz w:val="20"/>
                <w:szCs w:val="20"/>
              </w:rPr>
            </w:pPr>
            <w:r>
              <w:rPr>
                <w:rFonts w:ascii="Times New Roman" w:hAnsi="Times New Roman"/>
                <w:b/>
                <w:noProof/>
                <w:color w:val="000000"/>
                <w:sz w:val="20"/>
              </w:rPr>
              <w:t>6</w:t>
            </w:r>
          </w:p>
        </w:tc>
        <w:tc>
          <w:tcPr>
            <w:tcW w:w="4312" w:type="dxa"/>
            <w:shd w:val="clear" w:color="auto" w:fill="auto"/>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b/>
                <w:noProof/>
                <w:color w:val="000000"/>
                <w:sz w:val="20"/>
              </w:rPr>
              <w:t>Zlyhané úvery</w:t>
            </w:r>
            <w:r>
              <w:rPr>
                <w:rFonts w:ascii="Times New Roman" w:hAnsi="Times New Roman"/>
                <w:noProof/>
                <w:color w:val="000000"/>
                <w:sz w:val="20"/>
              </w:rPr>
              <w:t>: pokračovať vo vykonávaní reforiem zameraných na ozdravenie bankového systému vrátane úsilia o riešenie otázky zlyhaných úverov zabezpečením trvalej účinnosti príslušného právneho rámca</w:t>
            </w:r>
          </w:p>
        </w:tc>
        <w:tc>
          <w:tcPr>
            <w:tcW w:w="9693" w:type="dxa"/>
            <w:shd w:val="clear" w:color="auto" w:fill="auto"/>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noProof/>
                <w:color w:val="000000"/>
                <w:sz w:val="20"/>
                <w:u w:val="single"/>
              </w:rPr>
              <w:t>Štátom zaručené úvery</w:t>
            </w:r>
            <w:r>
              <w:rPr>
                <w:rFonts w:ascii="Times New Roman" w:hAnsi="Times New Roman"/>
                <w:noProof/>
                <w:color w:val="000000"/>
                <w:sz w:val="20"/>
              </w:rPr>
              <w:t>:</w:t>
            </w:r>
            <w:r>
              <w:rPr>
                <w:rFonts w:ascii="Times New Roman" w:hAnsi="Times New Roman"/>
                <w:noProof/>
                <w:color w:val="000000"/>
              </w:rPr>
              <w:t xml:space="preserve"> </w:t>
            </w:r>
            <w:r>
              <w:rPr>
                <w:rFonts w:ascii="Times New Roman" w:hAnsi="Times New Roman"/>
                <w:noProof/>
                <w:color w:val="000000"/>
                <w:sz w:val="20"/>
              </w:rPr>
              <w:t xml:space="preserve">európskym inštitúciám bol predložený aktualizovaný akčný plán; bola prijatá dohodnutá zmena právnych predpisov. </w:t>
            </w:r>
            <w:r>
              <w:rPr>
                <w:rFonts w:ascii="Times New Roman" w:hAnsi="Times New Roman"/>
                <w:noProof/>
                <w:color w:val="000000"/>
                <w:sz w:val="20"/>
                <w:u w:val="single"/>
              </w:rPr>
              <w:t>Elektronické aukcie</w:t>
            </w:r>
            <w:r>
              <w:rPr>
                <w:rFonts w:ascii="Times New Roman" w:hAnsi="Times New Roman"/>
                <w:noProof/>
                <w:color w:val="000000"/>
                <w:sz w:val="20"/>
              </w:rPr>
              <w:t xml:space="preserve">: dosiahla sa dohoda v súvislosti s riešením otázky súdom objednaných aukčných odkladov, ktoré sú výsledkom podania žiadostí dlžníkov o revíziu vyvolávacej ceny v súvislosti s hodnotením implementácie Občianskeho súdneho poriadku, ktoré sa má vypracovať do konca marca 2019. </w:t>
            </w:r>
            <w:r>
              <w:rPr>
                <w:rFonts w:ascii="Times New Roman" w:hAnsi="Times New Roman"/>
                <w:noProof/>
                <w:color w:val="000000"/>
                <w:sz w:val="20"/>
                <w:u w:val="single"/>
              </w:rPr>
              <w:t>Nedoriešené prípady platobnej neschopnosti domácností</w:t>
            </w:r>
            <w:r>
              <w:rPr>
                <w:rFonts w:ascii="Times New Roman" w:hAnsi="Times New Roman"/>
                <w:noProof/>
                <w:color w:val="000000"/>
                <w:sz w:val="20"/>
              </w:rPr>
              <w:t xml:space="preserve">: orgány predložili aktualizované údaje týkajúce sa vývoja nedoriešených prípadov v roku 2018. </w:t>
            </w:r>
            <w:r>
              <w:rPr>
                <w:rFonts w:ascii="Times New Roman" w:hAnsi="Times New Roman"/>
                <w:noProof/>
                <w:color w:val="000000"/>
                <w:sz w:val="20"/>
                <w:u w:val="single"/>
              </w:rPr>
              <w:t>Právne predpisy týkajúce sa predaja zlyhaných úverov a sekuritizácie</w:t>
            </w:r>
            <w:r>
              <w:rPr>
                <w:rFonts w:ascii="Times New Roman" w:hAnsi="Times New Roman"/>
                <w:noProof/>
                <w:color w:val="000000"/>
                <w:sz w:val="20"/>
              </w:rPr>
              <w:t>: požadované objasnenia týkajúce sa zákona 4354/2015 boli poskytnuté helénskemu združeniu bánk a uverejnené na webovom sídle ministerstva financií.</w:t>
            </w:r>
          </w:p>
          <w:p>
            <w:pPr>
              <w:spacing w:before="60" w:after="60"/>
              <w:jc w:val="both"/>
              <w:rPr>
                <w:rFonts w:ascii="Times New Roman" w:eastAsia="Times New Roman" w:hAnsi="Times New Roman" w:cs="Times New Roman"/>
                <w:i/>
                <w:noProof/>
                <w:color w:val="000000"/>
                <w:sz w:val="20"/>
                <w:szCs w:val="20"/>
              </w:rPr>
            </w:pPr>
            <w:r>
              <w:rPr>
                <w:rFonts w:ascii="Times New Roman" w:hAnsi="Times New Roman"/>
                <w:noProof/>
                <w:color w:val="000000"/>
                <w:sz w:val="20"/>
                <w:u w:val="single"/>
              </w:rPr>
              <w:t>Právne predpisy o platobnej neschopnosti domácností</w:t>
            </w:r>
            <w:r>
              <w:rPr>
                <w:rFonts w:ascii="Times New Roman" w:hAnsi="Times New Roman"/>
                <w:noProof/>
                <w:color w:val="000000"/>
                <w:sz w:val="20"/>
              </w:rPr>
              <w:t xml:space="preserve">: orgány vypracovali právne predpisy na ochranu hlavnej nehnuteľnosti na bývanie. Hoci má systém potenciál podporovať reštrukturalizáciu zlyhaných úverov, riziká pre finančnú stabilitu a platobnú disciplínu boli do určitej miery zmiernené, no neboli odstránené. Preto sa bude vyžadovať dôkladné monitorovanie a inštitúcie budú podávať správy v kontexte sprísneného dohľadu. Očakáva sa, že prekážky brániace uskutočňovaniu </w:t>
            </w:r>
            <w:r>
              <w:rPr>
                <w:rFonts w:ascii="Times New Roman" w:hAnsi="Times New Roman"/>
                <w:noProof/>
                <w:color w:val="000000"/>
                <w:sz w:val="20"/>
                <w:u w:val="single"/>
              </w:rPr>
              <w:t>elektronických aukcií</w:t>
            </w:r>
            <w:r>
              <w:rPr>
                <w:rFonts w:ascii="Times New Roman" w:hAnsi="Times New Roman"/>
                <w:noProof/>
                <w:color w:val="000000"/>
                <w:sz w:val="20"/>
              </w:rPr>
              <w:t xml:space="preserve"> a aktualizovaný akčný plán vzťahujúci sa na nedoriešené prípady platobnej neschopnosti domácností súvisiace so zákonom ministerky Katseliovej sa budú riešiť/sa predloží v kontexte tretieho cyklu sprísneného dohľadu, pričom sa zohľadní zrevidovaný rámec na ochranu hlavnej nehnuteľnosti na bývanie. </w:t>
            </w:r>
          </w:p>
        </w:tc>
      </w:tr>
      <w:tr>
        <w:trPr>
          <w:trHeight w:val="113"/>
        </w:trPr>
        <w:tc>
          <w:tcPr>
            <w:tcW w:w="737" w:type="dxa"/>
            <w:vAlign w:val="center"/>
          </w:tcPr>
          <w:p>
            <w:pPr>
              <w:spacing w:before="60" w:after="60"/>
              <w:jc w:val="center"/>
              <w:rPr>
                <w:rFonts w:ascii="Times New Roman" w:eastAsia="Times New Roman" w:hAnsi="Times New Roman" w:cs="Times New Roman"/>
                <w:b/>
                <w:noProof/>
                <w:color w:val="000000"/>
                <w:sz w:val="20"/>
                <w:szCs w:val="20"/>
              </w:rPr>
            </w:pPr>
            <w:r>
              <w:rPr>
                <w:rFonts w:ascii="Times New Roman" w:hAnsi="Times New Roman"/>
                <w:b/>
                <w:noProof/>
                <w:color w:val="000000"/>
                <w:sz w:val="20"/>
              </w:rPr>
              <w:t>7</w:t>
            </w:r>
          </w:p>
        </w:tc>
        <w:tc>
          <w:tcPr>
            <w:tcW w:w="4312" w:type="dxa"/>
            <w:shd w:val="clear" w:color="auto" w:fill="auto"/>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b/>
                <w:noProof/>
                <w:color w:val="000000"/>
                <w:sz w:val="20"/>
              </w:rPr>
              <w:t>Kontroly kapitálu</w:t>
            </w:r>
            <w:r>
              <w:rPr>
                <w:rFonts w:ascii="Times New Roman" w:hAnsi="Times New Roman"/>
                <w:noProof/>
                <w:color w:val="000000"/>
                <w:sz w:val="20"/>
              </w:rPr>
              <w:t>: uvoľnenie kontrol kapitálu v súlade s dohodnutým plánom z mája 2017</w:t>
            </w:r>
          </w:p>
        </w:tc>
        <w:tc>
          <w:tcPr>
            <w:tcW w:w="9693" w:type="dxa"/>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noProof/>
                <w:color w:val="000000"/>
                <w:sz w:val="20"/>
              </w:rPr>
              <w:t>Orgány naďalej rušili kontroly kapitálu v súlade s dohodnutým plánom.</w:t>
            </w:r>
          </w:p>
        </w:tc>
      </w:tr>
      <w:tr>
        <w:trPr>
          <w:trHeight w:val="113"/>
        </w:trPr>
        <w:tc>
          <w:tcPr>
            <w:tcW w:w="737" w:type="dxa"/>
            <w:vAlign w:val="center"/>
          </w:tcPr>
          <w:p>
            <w:pPr>
              <w:spacing w:before="60" w:after="60"/>
              <w:jc w:val="center"/>
              <w:rPr>
                <w:rFonts w:ascii="Times New Roman" w:eastAsia="Times New Roman" w:hAnsi="Times New Roman" w:cs="Times New Roman"/>
                <w:b/>
                <w:noProof/>
                <w:color w:val="000000"/>
                <w:sz w:val="20"/>
                <w:szCs w:val="20"/>
              </w:rPr>
            </w:pPr>
            <w:r>
              <w:rPr>
                <w:rFonts w:ascii="Times New Roman" w:hAnsi="Times New Roman"/>
                <w:b/>
                <w:noProof/>
                <w:color w:val="000000"/>
                <w:sz w:val="20"/>
              </w:rPr>
              <w:t>8</w:t>
            </w:r>
          </w:p>
        </w:tc>
        <w:tc>
          <w:tcPr>
            <w:tcW w:w="4312" w:type="dxa"/>
            <w:shd w:val="clear" w:color="auto" w:fill="auto"/>
            <w:vAlign w:val="center"/>
          </w:tcPr>
          <w:p>
            <w:pPr>
              <w:spacing w:before="60" w:after="60"/>
              <w:jc w:val="both"/>
              <w:rPr>
                <w:rFonts w:ascii="Times New Roman" w:eastAsia="Times New Roman" w:hAnsi="Times New Roman" w:cs="Times New Roman"/>
                <w:b/>
                <w:noProof/>
                <w:color w:val="000000"/>
                <w:sz w:val="20"/>
                <w:szCs w:val="20"/>
              </w:rPr>
            </w:pPr>
            <w:r>
              <w:rPr>
                <w:rFonts w:ascii="Times New Roman" w:hAnsi="Times New Roman"/>
                <w:b/>
                <w:noProof/>
                <w:color w:val="000000"/>
                <w:sz w:val="20"/>
              </w:rPr>
              <w:t>Spravodlivosť:</w:t>
            </w:r>
            <w:r>
              <w:rPr>
                <w:rFonts w:ascii="Times New Roman" w:hAnsi="Times New Roman"/>
                <w:noProof/>
                <w:color w:val="000000"/>
                <w:sz w:val="20"/>
              </w:rPr>
              <w:t xml:space="preserve"> plán dokončiť do konca roka 2018 fázu I systému elektronickej justície (OSDDY-PP)</w:t>
            </w:r>
          </w:p>
        </w:tc>
        <w:tc>
          <w:tcPr>
            <w:tcW w:w="9693" w:type="dxa"/>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noProof/>
                <w:color w:val="000000"/>
                <w:sz w:val="20"/>
              </w:rPr>
              <w:t xml:space="preserve">Fáza I projektu OMSDDY-PP bola ukončená, pričom dodávateľ do januára 2019 oficiálne splnil všetky záväzky. </w:t>
            </w:r>
          </w:p>
        </w:tc>
      </w:tr>
      <w:tr>
        <w:trPr>
          <w:trHeight w:val="113"/>
        </w:trPr>
        <w:tc>
          <w:tcPr>
            <w:tcW w:w="737" w:type="dxa"/>
            <w:vAlign w:val="center"/>
          </w:tcPr>
          <w:p>
            <w:pPr>
              <w:spacing w:before="60" w:after="60"/>
              <w:jc w:val="center"/>
              <w:rPr>
                <w:rFonts w:ascii="Times New Roman" w:eastAsia="Times New Roman" w:hAnsi="Times New Roman" w:cs="Times New Roman"/>
                <w:noProof/>
                <w:color w:val="000000"/>
                <w:sz w:val="20"/>
                <w:szCs w:val="20"/>
              </w:rPr>
            </w:pPr>
            <w:r>
              <w:rPr>
                <w:rFonts w:ascii="Times New Roman" w:hAnsi="Times New Roman"/>
                <w:b/>
                <w:noProof/>
                <w:color w:val="000000"/>
                <w:sz w:val="20"/>
              </w:rPr>
              <w:t>9</w:t>
            </w:r>
          </w:p>
        </w:tc>
        <w:tc>
          <w:tcPr>
            <w:tcW w:w="4312" w:type="dxa"/>
            <w:shd w:val="clear" w:color="auto" w:fill="auto"/>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b/>
                <w:noProof/>
                <w:color w:val="000000"/>
                <w:sz w:val="20"/>
              </w:rPr>
              <w:t>Helénsky fond finančnej stability</w:t>
            </w:r>
            <w:r>
              <w:rPr>
                <w:rFonts w:ascii="Times New Roman" w:hAnsi="Times New Roman"/>
                <w:noProof/>
                <w:color w:val="000000"/>
                <w:sz w:val="20"/>
              </w:rPr>
              <w:t xml:space="preserve"> do konca roka 2018 vypracuje stratégiu ukončenia predaja svojich podielov v systémových bankách a mandát výberovej komisie Helénskeho fondu finančnej stability sa zosúladí s mandátom fondu.</w:t>
            </w:r>
          </w:p>
        </w:tc>
        <w:tc>
          <w:tcPr>
            <w:tcW w:w="9693" w:type="dxa"/>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noProof/>
                <w:color w:val="000000"/>
                <w:sz w:val="20"/>
                <w:u w:val="single"/>
              </w:rPr>
              <w:t>Stratégia ukončenia predaja podielov</w:t>
            </w:r>
            <w:r>
              <w:rPr>
                <w:rFonts w:ascii="Times New Roman" w:hAnsi="Times New Roman"/>
                <w:noProof/>
                <w:color w:val="000000"/>
                <w:sz w:val="20"/>
              </w:rPr>
              <w:t xml:space="preserve">: generálna rada Helénskeho fondu finančnej stability schválila rámec pre odpredaj podielov fondu v štyroch systémových bankách. </w:t>
            </w:r>
            <w:r>
              <w:rPr>
                <w:rFonts w:ascii="Times New Roman" w:hAnsi="Times New Roman"/>
                <w:noProof/>
                <w:color w:val="000000"/>
                <w:sz w:val="20"/>
                <w:u w:val="single"/>
              </w:rPr>
              <w:t>Rozšírenie mandátu výberovej komisie</w:t>
            </w:r>
            <w:r>
              <w:rPr>
                <w:rFonts w:ascii="Times New Roman" w:hAnsi="Times New Roman"/>
                <w:noProof/>
                <w:color w:val="000000"/>
                <w:sz w:val="20"/>
              </w:rPr>
              <w:t xml:space="preserve">: orgány objasnili, že podľa ich názoru je mandát výberovej komisie Helénskeho fondu finančnej stability ako orgánu v súlade s nedávno rozšíreným mandátom fondu; potvrdila to aj štátna rada pre právne otázky, ktorej stanovisko schválilo ministerstvo financií. </w:t>
            </w:r>
            <w:r>
              <w:rPr>
                <w:rFonts w:ascii="Times New Roman" w:hAnsi="Times New Roman"/>
                <w:noProof/>
                <w:color w:val="000000"/>
                <w:sz w:val="20"/>
                <w:u w:val="single"/>
              </w:rPr>
              <w:t>Vymenovania</w:t>
            </w:r>
            <w:r>
              <w:rPr>
                <w:rFonts w:ascii="Times New Roman" w:hAnsi="Times New Roman"/>
                <w:noProof/>
                <w:color w:val="000000"/>
                <w:sz w:val="20"/>
              </w:rPr>
              <w:t>: pokiaľ ide o kandidátov na otvorené pozície vo výkonnej rade a v generálnej rade, EWG vo svojom liste ministrovi zo 14. marca schválila všetkých navrhnutých kandidátov. Majú byť prijaté ministerské rozhodnutia o vymenovaní týchto osôb.</w:t>
            </w:r>
            <w:r>
              <w:rPr>
                <w:rFonts w:ascii="Times New Roman" w:hAnsi="Times New Roman"/>
                <w:i/>
                <w:noProof/>
                <w:color w:val="000000"/>
                <w:sz w:val="20"/>
                <w:shd w:val="clear" w:color="auto" w:fill="D9D9D9"/>
              </w:rPr>
              <w:t xml:space="preserve"> </w:t>
            </w:r>
          </w:p>
        </w:tc>
      </w:tr>
      <w:tr>
        <w:trPr>
          <w:trHeight w:val="113"/>
        </w:trPr>
        <w:tc>
          <w:tcPr>
            <w:tcW w:w="737" w:type="dxa"/>
            <w:tcBorders>
              <w:bottom w:val="single" w:sz="4" w:space="0" w:color="auto"/>
            </w:tcBorders>
            <w:vAlign w:val="center"/>
          </w:tcPr>
          <w:p>
            <w:pPr>
              <w:spacing w:before="60" w:after="60"/>
              <w:jc w:val="center"/>
              <w:rPr>
                <w:rFonts w:ascii="Times New Roman" w:eastAsia="Times New Roman" w:hAnsi="Times New Roman" w:cs="Times New Roman"/>
                <w:b/>
                <w:iCs/>
                <w:noProof/>
                <w:color w:val="000000"/>
                <w:sz w:val="20"/>
                <w:szCs w:val="20"/>
              </w:rPr>
            </w:pPr>
            <w:r>
              <w:rPr>
                <w:rFonts w:ascii="Times New Roman" w:hAnsi="Times New Roman"/>
                <w:b/>
                <w:noProof/>
                <w:color w:val="000000"/>
                <w:sz w:val="20"/>
              </w:rPr>
              <w:t>10</w:t>
            </w:r>
          </w:p>
        </w:tc>
        <w:tc>
          <w:tcPr>
            <w:tcW w:w="4312" w:type="dxa"/>
            <w:tcBorders>
              <w:bottom w:val="single" w:sz="4" w:space="0" w:color="auto"/>
            </w:tcBorders>
            <w:shd w:val="clear" w:color="auto" w:fill="auto"/>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b/>
                <w:noProof/>
                <w:color w:val="000000"/>
                <w:sz w:val="20"/>
              </w:rPr>
              <w:t>Trh práce</w:t>
            </w:r>
            <w:r>
              <w:rPr>
                <w:rFonts w:ascii="Times New Roman" w:hAnsi="Times New Roman"/>
                <w:noProof/>
                <w:color w:val="000000"/>
                <w:sz w:val="20"/>
              </w:rPr>
              <w:t>: zachovať konkurencieschopnosť prostredníctvom ročnej aktualizácie minimálnej mzdy v súlade s ustanoveniami zákona č. 4172/2013</w:t>
            </w:r>
          </w:p>
        </w:tc>
        <w:tc>
          <w:tcPr>
            <w:tcW w:w="9693" w:type="dxa"/>
            <w:tcBorders>
              <w:bottom w:val="single" w:sz="4" w:space="0" w:color="auto"/>
            </w:tcBorders>
          </w:tcPr>
          <w:p>
            <w:pPr>
              <w:spacing w:before="60" w:after="60"/>
              <w:jc w:val="both"/>
              <w:rPr>
                <w:rFonts w:ascii="Times New Roman" w:eastAsia="Times New Roman" w:hAnsi="Times New Roman" w:cs="Times New Roman"/>
                <w:noProof/>
                <w:color w:val="000000"/>
                <w:sz w:val="20"/>
                <w:szCs w:val="20"/>
              </w:rPr>
            </w:pPr>
            <w:r>
              <w:rPr>
                <w:rFonts w:ascii="Times New Roman" w:hAnsi="Times New Roman"/>
                <w:noProof/>
                <w:color w:val="000000"/>
                <w:sz w:val="20"/>
              </w:rPr>
              <w:t xml:space="preserve">Orgány aktualizovali minimálnu mzdu v súlade s postupom stanoveným v článku 103 zákona č. 4172/2013. V dôsledku toho sa zvýšila minimálna mzda o 10,9 % a zrušila sa subminimálna mzda pre osoby vo veku do 25 rokov (čo predstavuje zvýšenie o 27 %). Rozsah tohto zvýšenia vyvoláva obavy, pokiaľ ide o vyhliadky na zamestnanie (najmä pre mladých ľudí a starých pracovníkov s nízkou kvalifikáciou) a pre konkurencieschopnosť v strednodobom horizonte. </w:t>
            </w:r>
          </w:p>
        </w:tc>
      </w:tr>
      <w:tr>
        <w:trPr>
          <w:trHeight w:val="113"/>
        </w:trPr>
        <w:tc>
          <w:tcPr>
            <w:tcW w:w="737" w:type="dxa"/>
            <w:vAlign w:val="center"/>
          </w:tcPr>
          <w:p>
            <w:pPr>
              <w:spacing w:before="60" w:after="60"/>
              <w:jc w:val="center"/>
              <w:rPr>
                <w:rFonts w:ascii="Times New Roman" w:eastAsia="Times New Roman" w:hAnsi="Times New Roman" w:cs="Times New Roman"/>
                <w:b/>
                <w:noProof/>
                <w:color w:val="000000"/>
                <w:sz w:val="20"/>
                <w:szCs w:val="20"/>
              </w:rPr>
            </w:pPr>
            <w:r>
              <w:rPr>
                <w:rFonts w:ascii="Times New Roman" w:hAnsi="Times New Roman"/>
                <w:b/>
                <w:noProof/>
                <w:color w:val="000000"/>
                <w:sz w:val="20"/>
              </w:rPr>
              <w:t>11</w:t>
            </w:r>
          </w:p>
        </w:tc>
        <w:tc>
          <w:tcPr>
            <w:tcW w:w="4312" w:type="dxa"/>
            <w:shd w:val="clear" w:color="auto" w:fill="auto"/>
            <w:vAlign w:val="center"/>
          </w:tcPr>
          <w:p>
            <w:pPr>
              <w:spacing w:before="60" w:after="60"/>
              <w:jc w:val="both"/>
              <w:rPr>
                <w:rFonts w:ascii="Times New Roman" w:eastAsia="Times New Roman" w:hAnsi="Times New Roman" w:cs="Times New Roman"/>
                <w:b/>
                <w:noProof/>
                <w:color w:val="000000"/>
                <w:sz w:val="20"/>
                <w:szCs w:val="20"/>
              </w:rPr>
            </w:pPr>
            <w:r>
              <w:rPr>
                <w:rFonts w:ascii="Times New Roman" w:hAnsi="Times New Roman"/>
                <w:b/>
                <w:noProof/>
                <w:color w:val="000000"/>
                <w:sz w:val="20"/>
              </w:rPr>
              <w:t xml:space="preserve">Udeľovanie investičných licencií: </w:t>
            </w:r>
            <w:r>
              <w:rPr>
                <w:rFonts w:ascii="Times New Roman" w:hAnsi="Times New Roman"/>
                <w:noProof/>
                <w:color w:val="000000"/>
                <w:sz w:val="20"/>
              </w:rPr>
              <w:t xml:space="preserve">prijať všetky splnomocňovacie právne predpisy týkajúce sa udeľovania investičných licencií </w:t>
            </w:r>
          </w:p>
        </w:tc>
        <w:tc>
          <w:tcPr>
            <w:tcW w:w="9693" w:type="dxa"/>
            <w:tcBorders>
              <w:bottom w:val="single" w:sz="4" w:space="0" w:color="auto"/>
            </w:tcBorders>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noProof/>
                <w:color w:val="000000"/>
                <w:sz w:val="20"/>
              </w:rPr>
              <w:t>Všetky splnomocňovacie právne predpisy boli prijaté vydaním spoločného ministerského rozhodnutia (FEK/B/436 – 14.2.2019).</w:t>
            </w:r>
          </w:p>
        </w:tc>
      </w:tr>
      <w:tr>
        <w:trPr>
          <w:trHeight w:val="113"/>
        </w:trPr>
        <w:tc>
          <w:tcPr>
            <w:tcW w:w="737" w:type="dxa"/>
            <w:vAlign w:val="center"/>
          </w:tcPr>
          <w:p>
            <w:pPr>
              <w:spacing w:before="60" w:after="60"/>
              <w:jc w:val="center"/>
              <w:rPr>
                <w:rFonts w:ascii="Times New Roman" w:eastAsia="Times New Roman" w:hAnsi="Times New Roman" w:cs="Times New Roman"/>
                <w:b/>
                <w:noProof/>
                <w:color w:val="000000"/>
                <w:sz w:val="20"/>
                <w:szCs w:val="20"/>
              </w:rPr>
            </w:pPr>
            <w:r>
              <w:rPr>
                <w:rFonts w:ascii="Times New Roman" w:hAnsi="Times New Roman"/>
                <w:b/>
                <w:noProof/>
                <w:color w:val="000000"/>
                <w:sz w:val="20"/>
              </w:rPr>
              <w:t>12</w:t>
            </w:r>
          </w:p>
        </w:tc>
        <w:tc>
          <w:tcPr>
            <w:tcW w:w="4312" w:type="dxa"/>
            <w:shd w:val="clear" w:color="auto" w:fill="auto"/>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b/>
                <w:noProof/>
                <w:color w:val="000000"/>
                <w:sz w:val="20"/>
              </w:rPr>
              <w:t>Energetika:</w:t>
            </w:r>
            <w:r>
              <w:rPr>
                <w:rFonts w:ascii="Times New Roman" w:hAnsi="Times New Roman"/>
                <w:noProof/>
                <w:color w:val="000000"/>
                <w:sz w:val="20"/>
              </w:rPr>
              <w:t xml:space="preserve"> ukončiť do konca roka 2018 dohodnutý odpredaj časti hnedouhoľnej výrobnej kapacity štátnej elektrárenskej spoločnosti (Public Power Corporation)</w:t>
            </w:r>
          </w:p>
        </w:tc>
        <w:tc>
          <w:tcPr>
            <w:tcW w:w="9693" w:type="dxa"/>
            <w:tcBorders>
              <w:bottom w:val="single" w:sz="4" w:space="0" w:color="auto"/>
            </w:tcBorders>
            <w:vAlign w:val="center"/>
          </w:tcPr>
          <w:p>
            <w:pPr>
              <w:spacing w:before="60" w:after="60"/>
              <w:jc w:val="both"/>
              <w:rPr>
                <w:rFonts w:ascii="Times New Roman" w:eastAsia="Calibri" w:hAnsi="Times New Roman" w:cs="Times New Roman"/>
                <w:noProof/>
                <w:color w:val="000000"/>
                <w:sz w:val="20"/>
                <w:szCs w:val="20"/>
                <w:shd w:val="clear" w:color="auto" w:fill="D9D9D9"/>
              </w:rPr>
            </w:pPr>
            <w:r>
              <w:rPr>
                <w:rFonts w:ascii="Times New Roman" w:hAnsi="Times New Roman"/>
                <w:noProof/>
                <w:color w:val="000000"/>
                <w:sz w:val="20"/>
              </w:rPr>
              <w:t>Po neúspešnej verejnej súťaži orgány predložili revidovaný návrh, o ktorom sa podrobne diskutovalo, pričom sa objasnili hlavné prvky. 7. marca boli prijaté zmeny energetického zákona, ktoré obsahujú ustanovenia umožňujúce odpredaj. Aktualizovaný návrh postupu verejného obstarávania vypracovaný na základe prediskutovaných podmienok bol predložený Komisii 8. marca. V návrhu sa predpokladá obnovenie zrýchlenej verejnej súťaže, ktorá by sa mala finalizovať do mája 2019. Hlavné prvky návrhu:</w:t>
            </w:r>
          </w:p>
          <w:p>
            <w:pPr>
              <w:numPr>
                <w:ilvl w:val="0"/>
                <w:numId w:val="17"/>
              </w:numPr>
              <w:spacing w:before="60" w:after="60" w:line="240" w:lineRule="atLeast"/>
              <w:contextualSpacing/>
              <w:jc w:val="both"/>
              <w:rPr>
                <w:rFonts w:ascii="Times New Roman" w:eastAsia="Times New Roman" w:hAnsi="Times New Roman" w:cs="Times New Roman"/>
                <w:noProof/>
                <w:color w:val="000000"/>
                <w:sz w:val="20"/>
                <w:szCs w:val="20"/>
                <w:shd w:val="clear" w:color="auto" w:fill="D9D9D9"/>
              </w:rPr>
            </w:pPr>
            <w:r>
              <w:rPr>
                <w:rFonts w:ascii="Times New Roman" w:hAnsi="Times New Roman"/>
                <w:noProof/>
                <w:color w:val="000000"/>
                <w:sz w:val="20"/>
              </w:rPr>
              <w:t>Vykoná sa nové ocenenie elektrární, pričom sa zohľadnia podobné transakcie.</w:t>
            </w:r>
          </w:p>
          <w:p>
            <w:pPr>
              <w:numPr>
                <w:ilvl w:val="0"/>
                <w:numId w:val="17"/>
              </w:numPr>
              <w:spacing w:before="60" w:after="60" w:line="240" w:lineRule="atLeast"/>
              <w:contextualSpacing/>
              <w:jc w:val="both"/>
              <w:rPr>
                <w:rFonts w:ascii="Times New Roman" w:eastAsia="Times New Roman" w:hAnsi="Times New Roman" w:cs="Times New Roman"/>
                <w:noProof/>
                <w:color w:val="000000"/>
                <w:sz w:val="20"/>
                <w:szCs w:val="20"/>
                <w:shd w:val="clear" w:color="auto" w:fill="D9D9D9"/>
              </w:rPr>
            </w:pPr>
            <w:r>
              <w:rPr>
                <w:rFonts w:ascii="Times New Roman" w:hAnsi="Times New Roman"/>
                <w:noProof/>
                <w:color w:val="000000"/>
                <w:sz w:val="20"/>
              </w:rPr>
              <w:t>Do dohody o predaji a nákupe (SPA) nebude zahrnutý žiadny odkaz na dohodu o rozdelení rizika.</w:t>
            </w:r>
          </w:p>
          <w:p>
            <w:pPr>
              <w:numPr>
                <w:ilvl w:val="0"/>
                <w:numId w:val="17"/>
              </w:numPr>
              <w:spacing w:before="60" w:after="60" w:line="240" w:lineRule="atLeast"/>
              <w:contextualSpacing/>
              <w:jc w:val="both"/>
              <w:rPr>
                <w:rFonts w:ascii="Times New Roman" w:eastAsia="Times New Roman" w:hAnsi="Times New Roman" w:cs="Times New Roman"/>
                <w:noProof/>
                <w:color w:val="000000"/>
                <w:sz w:val="20"/>
                <w:szCs w:val="20"/>
                <w:shd w:val="clear" w:color="auto" w:fill="D9D9D9"/>
              </w:rPr>
            </w:pPr>
            <w:r>
              <w:rPr>
                <w:rFonts w:ascii="Times New Roman" w:hAnsi="Times New Roman"/>
                <w:noProof/>
                <w:color w:val="000000"/>
                <w:sz w:val="20"/>
              </w:rPr>
              <w:t>Parlament schváli SPA.</w:t>
            </w:r>
          </w:p>
          <w:p>
            <w:pPr>
              <w:numPr>
                <w:ilvl w:val="0"/>
                <w:numId w:val="17"/>
              </w:numPr>
              <w:spacing w:before="60" w:after="60" w:line="240" w:lineRule="atLeast"/>
              <w:contextualSpacing/>
              <w:jc w:val="both"/>
              <w:rPr>
                <w:rFonts w:ascii="Times New Roman" w:eastAsia="Times New Roman" w:hAnsi="Times New Roman" w:cs="Times New Roman"/>
                <w:noProof/>
                <w:color w:val="000000"/>
                <w:sz w:val="20"/>
                <w:szCs w:val="20"/>
                <w:shd w:val="clear" w:color="auto" w:fill="D9D9D9"/>
              </w:rPr>
            </w:pPr>
            <w:r>
              <w:rPr>
                <w:rFonts w:ascii="Times New Roman" w:hAnsi="Times New Roman"/>
                <w:noProof/>
                <w:color w:val="000000"/>
                <w:sz w:val="20"/>
              </w:rPr>
              <w:t>Predstavenstvo a akcionári PPC majú zákonnú povinnosť dokončiť transakciu.</w:t>
            </w:r>
          </w:p>
          <w:p>
            <w:pPr>
              <w:spacing w:before="60" w:after="60"/>
              <w:jc w:val="both"/>
              <w:rPr>
                <w:rFonts w:ascii="Times New Roman" w:hAnsi="Times New Roman"/>
                <w:noProof/>
                <w:color w:val="000000"/>
                <w:sz w:val="20"/>
              </w:rPr>
            </w:pPr>
            <w:r>
              <w:rPr>
                <w:rFonts w:ascii="Times New Roman" w:hAnsi="Times New Roman"/>
                <w:noProof/>
                <w:color w:val="000000"/>
                <w:sz w:val="20"/>
              </w:rPr>
              <w:t>Dňa 8. marca 2019 bola vyhlásená výzva na vyjadrenie záujmu a predloženie záväzných ponúk.</w:t>
            </w:r>
          </w:p>
          <w:p>
            <w:pPr>
              <w:spacing w:before="60" w:after="60"/>
              <w:jc w:val="both"/>
              <w:rPr>
                <w:rFonts w:ascii="Times New Roman" w:eastAsia="Calibri" w:hAnsi="Times New Roman" w:cs="Times New Roman"/>
                <w:noProof/>
                <w:color w:val="000000"/>
                <w:sz w:val="20"/>
                <w:szCs w:val="20"/>
                <w:shd w:val="clear" w:color="auto" w:fill="D9D9D9"/>
              </w:rPr>
            </w:pPr>
            <w:r>
              <w:rPr>
                <w:rFonts w:ascii="Times New Roman" w:hAnsi="Times New Roman"/>
                <w:noProof/>
                <w:color w:val="000000"/>
                <w:sz w:val="20"/>
              </w:rPr>
              <w:t xml:space="preserve">Prechodné opatrenia boli vykonané v súlade s plánovanými termínmi. Zriadil sa virtuálny dátový priestor obsahujúci pôvodnú SPA, ktorý sa sprístupnil 6 spoločnostiam, ktoré vyjadrili záujem a podpísali dohodu o zachovaní dôvernosti. Táto dohoda bude základom pre diskusie medzi týmito investormi a spoločnosťou PPC. </w:t>
            </w:r>
          </w:p>
        </w:tc>
      </w:tr>
      <w:tr>
        <w:trPr>
          <w:trHeight w:val="113"/>
        </w:trPr>
        <w:tc>
          <w:tcPr>
            <w:tcW w:w="737" w:type="dxa"/>
            <w:vAlign w:val="center"/>
          </w:tcPr>
          <w:p>
            <w:pPr>
              <w:spacing w:before="60" w:after="60"/>
              <w:jc w:val="center"/>
              <w:rPr>
                <w:rFonts w:ascii="Times New Roman" w:eastAsia="Times New Roman" w:hAnsi="Times New Roman" w:cs="Times New Roman"/>
                <w:b/>
                <w:noProof/>
                <w:color w:val="000000"/>
                <w:sz w:val="20"/>
                <w:szCs w:val="20"/>
              </w:rPr>
            </w:pPr>
            <w:r>
              <w:rPr>
                <w:rFonts w:ascii="Times New Roman" w:hAnsi="Times New Roman"/>
                <w:b/>
                <w:noProof/>
                <w:color w:val="000000"/>
                <w:sz w:val="20"/>
              </w:rPr>
              <w:t>13</w:t>
            </w:r>
          </w:p>
        </w:tc>
        <w:tc>
          <w:tcPr>
            <w:tcW w:w="4312" w:type="dxa"/>
            <w:shd w:val="clear" w:color="auto" w:fill="auto"/>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b/>
                <w:noProof/>
                <w:color w:val="000000"/>
                <w:sz w:val="20"/>
              </w:rPr>
              <w:t>Helénska spoločnosť pre majetok a účasti (HCAP):</w:t>
            </w:r>
            <w:r>
              <w:rPr>
                <w:rFonts w:ascii="Times New Roman" w:hAnsi="Times New Roman"/>
                <w:noProof/>
                <w:color w:val="000000"/>
                <w:sz w:val="20"/>
              </w:rPr>
              <w:t xml:space="preserve"> strategický plán HCAP sa bude vykonávať priebežne.</w:t>
            </w:r>
          </w:p>
        </w:tc>
        <w:tc>
          <w:tcPr>
            <w:tcW w:w="9693" w:type="dxa"/>
            <w:tcBorders>
              <w:top w:val="single" w:sz="4" w:space="0" w:color="auto"/>
            </w:tcBorders>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noProof/>
                <w:color w:val="000000"/>
                <w:sz w:val="20"/>
              </w:rPr>
              <w:t>HCAP vypracovala strategický plán, ktorý schválilo valné zhromaždenie v januári 2018. Na základe strategického plánu predložili dcérske spoločnosti, ktoré nie sú kótované na burze, HCAP aktualizované podnikateľské plány. Okrem toho HCAP vypracovala podnikateľský plán spoločnosti na obdobie 2019 – 2021, ktorým sa vykonáva strategický plán, a stanovila kľúčové ukazovatele výkonnosti pre dcérske spoločnosti, ktoré nie sú kótované na burze.</w:t>
            </w:r>
          </w:p>
        </w:tc>
      </w:tr>
      <w:tr>
        <w:trPr>
          <w:trHeight w:val="113"/>
        </w:trPr>
        <w:tc>
          <w:tcPr>
            <w:tcW w:w="737" w:type="dxa"/>
            <w:vAlign w:val="center"/>
          </w:tcPr>
          <w:p>
            <w:pPr>
              <w:spacing w:before="60" w:after="60"/>
              <w:jc w:val="center"/>
              <w:rPr>
                <w:rFonts w:ascii="Times New Roman" w:eastAsia="Times New Roman" w:hAnsi="Times New Roman" w:cs="Times New Roman"/>
                <w:b/>
                <w:noProof/>
                <w:color w:val="000000"/>
                <w:sz w:val="20"/>
                <w:szCs w:val="20"/>
              </w:rPr>
            </w:pPr>
            <w:r>
              <w:rPr>
                <w:rFonts w:ascii="Times New Roman" w:hAnsi="Times New Roman"/>
                <w:b/>
                <w:noProof/>
                <w:color w:val="000000"/>
                <w:sz w:val="20"/>
              </w:rPr>
              <w:t>14</w:t>
            </w:r>
          </w:p>
        </w:tc>
        <w:tc>
          <w:tcPr>
            <w:tcW w:w="4312" w:type="dxa"/>
            <w:shd w:val="clear" w:color="auto" w:fill="auto"/>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b/>
                <w:noProof/>
                <w:color w:val="000000"/>
                <w:sz w:val="20"/>
              </w:rPr>
              <w:t>HCAP</w:t>
            </w:r>
            <w:r>
              <w:rPr>
                <w:rFonts w:ascii="Times New Roman" w:hAnsi="Times New Roman"/>
                <w:noProof/>
                <w:color w:val="000000"/>
                <w:sz w:val="20"/>
              </w:rPr>
              <w:t xml:space="preserve"> Presun olympijského centra (OAKA) do HCAP a reštrukturalizácia ETAD sa ukončia do konca roka 2018.</w:t>
            </w:r>
          </w:p>
        </w:tc>
        <w:tc>
          <w:tcPr>
            <w:tcW w:w="9693" w:type="dxa"/>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noProof/>
                <w:color w:val="000000"/>
                <w:sz w:val="20"/>
              </w:rPr>
              <w:t xml:space="preserve">Reštrukturalizácia </w:t>
            </w:r>
            <w:r>
              <w:rPr>
                <w:rFonts w:ascii="Times New Roman" w:hAnsi="Times New Roman"/>
                <w:noProof/>
                <w:color w:val="000000"/>
                <w:sz w:val="20"/>
                <w:u w:val="single"/>
              </w:rPr>
              <w:t>ETAD</w:t>
            </w:r>
            <w:r>
              <w:rPr>
                <w:rFonts w:ascii="Times New Roman" w:hAnsi="Times New Roman"/>
                <w:noProof/>
                <w:color w:val="000000"/>
                <w:sz w:val="20"/>
              </w:rPr>
              <w:t xml:space="preserve"> bola ukončená. Presun </w:t>
            </w:r>
            <w:r>
              <w:rPr>
                <w:rFonts w:ascii="Times New Roman" w:hAnsi="Times New Roman"/>
                <w:noProof/>
                <w:color w:val="000000"/>
                <w:sz w:val="20"/>
                <w:u w:val="single"/>
              </w:rPr>
              <w:t>OAKA</w:t>
            </w:r>
            <w:r>
              <w:rPr>
                <w:rFonts w:ascii="Times New Roman" w:hAnsi="Times New Roman"/>
                <w:noProof/>
                <w:color w:val="000000"/>
                <w:sz w:val="20"/>
              </w:rPr>
              <w:t xml:space="preserve"> trvá dlhšie, než sa pôvodne plánovalo. Orgány vypracovali plán konkrétnych opatrení, ktoré sa musia prijať v priebehu roka 2019, aby sa vyriešili nedoriešené technické otázky, čo sa vzhľadom na zložitosť projektu javí ako vhodné. Okrem toho výbor vlády a HCAP začali 21. februára 2019 vykonávať koordinačný mechanizmus pre štátom vlastnené podniky.</w:t>
            </w:r>
          </w:p>
        </w:tc>
      </w:tr>
      <w:tr>
        <w:trPr>
          <w:trHeight w:val="113"/>
        </w:trPr>
        <w:tc>
          <w:tcPr>
            <w:tcW w:w="737" w:type="dxa"/>
            <w:vAlign w:val="center"/>
          </w:tcPr>
          <w:p>
            <w:pPr>
              <w:spacing w:before="60" w:after="60"/>
              <w:jc w:val="center"/>
              <w:rPr>
                <w:rFonts w:ascii="Times New Roman" w:eastAsia="Times New Roman" w:hAnsi="Times New Roman" w:cs="Times New Roman"/>
                <w:b/>
                <w:noProof/>
                <w:color w:val="000000"/>
                <w:sz w:val="20"/>
                <w:szCs w:val="20"/>
              </w:rPr>
            </w:pPr>
            <w:r>
              <w:rPr>
                <w:rFonts w:ascii="Times New Roman" w:hAnsi="Times New Roman"/>
                <w:b/>
                <w:noProof/>
                <w:color w:val="000000"/>
                <w:sz w:val="20"/>
              </w:rPr>
              <w:t>15</w:t>
            </w:r>
          </w:p>
        </w:tc>
        <w:tc>
          <w:tcPr>
            <w:tcW w:w="4312" w:type="dxa"/>
            <w:shd w:val="clear" w:color="auto" w:fill="auto"/>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b/>
                <w:noProof/>
                <w:color w:val="000000"/>
                <w:sz w:val="20"/>
              </w:rPr>
              <w:t>Tendre</w:t>
            </w:r>
            <w:r>
              <w:rPr>
                <w:rFonts w:ascii="Times New Roman" w:hAnsi="Times New Roman"/>
                <w:noProof/>
                <w:color w:val="000000"/>
                <w:sz w:val="20"/>
              </w:rPr>
              <w:t xml:space="preserve"> Plán privatizačného fondu TAIPED v oblasti vývoja aktív sa bude vykonávať priebežne. Transakcie vzťahujúce sa na AIA (predĺženie koncesie pre aténske medzinárodné letisko), projekt Hellinikon a DESFA (privatizačný tender na sieť na prepravu plynu) sa ukončia do konca roka 2018.</w:t>
            </w:r>
          </w:p>
        </w:tc>
        <w:tc>
          <w:tcPr>
            <w:tcW w:w="9693" w:type="dxa"/>
            <w:vAlign w:val="center"/>
          </w:tcPr>
          <w:p>
            <w:pPr>
              <w:jc w:val="both"/>
              <w:rPr>
                <w:rFonts w:ascii="Times New Roman" w:eastAsia="Times New Roman" w:hAnsi="Times New Roman" w:cs="Times New Roman"/>
                <w:b/>
                <w:i/>
                <w:noProof/>
                <w:color w:val="000000"/>
                <w:sz w:val="20"/>
                <w:szCs w:val="20"/>
              </w:rPr>
            </w:pPr>
            <w:r>
              <w:rPr>
                <w:rFonts w:ascii="Times New Roman" w:hAnsi="Times New Roman"/>
                <w:noProof/>
                <w:color w:val="000000"/>
                <w:sz w:val="20"/>
                <w:u w:val="single"/>
              </w:rPr>
              <w:t>Plán v oblasti vývoja aktív:</w:t>
            </w:r>
            <w:r>
              <w:rPr>
                <w:rFonts w:ascii="Times New Roman" w:hAnsi="Times New Roman"/>
                <w:b/>
                <w:noProof/>
                <w:color w:val="000000"/>
                <w:sz w:val="20"/>
              </w:rPr>
              <w:t xml:space="preserve"> </w:t>
            </w:r>
            <w:r>
              <w:rPr>
                <w:rFonts w:ascii="Times New Roman" w:hAnsi="Times New Roman"/>
                <w:noProof/>
                <w:color w:val="000000"/>
                <w:sz w:val="20"/>
              </w:rPr>
              <w:t xml:space="preserve">Vládna rada pre hospodárske záležitosti (KYSOIP) schválila 15. februára aktualizovaný plán privatizačného fondu TAIPED v oblasti vývoja aktív (FEK 461, 15. februára 2019). </w:t>
            </w:r>
            <w:r>
              <w:rPr>
                <w:rFonts w:ascii="Times New Roman" w:hAnsi="Times New Roman"/>
                <w:i/>
                <w:noProof/>
                <w:color w:val="000000"/>
                <w:sz w:val="20"/>
                <w:u w:val="single"/>
              </w:rPr>
              <w:t>DESFA</w:t>
            </w:r>
            <w:r>
              <w:rPr>
                <w:rFonts w:ascii="Times New Roman" w:hAnsi="Times New Roman"/>
                <w:i/>
                <w:noProof/>
                <w:color w:val="000000"/>
                <w:sz w:val="20"/>
              </w:rPr>
              <w:t>:</w:t>
            </w:r>
            <w:r>
              <w:rPr>
                <w:rFonts w:ascii="Times New Roman" w:hAnsi="Times New Roman"/>
                <w:noProof/>
                <w:color w:val="000000"/>
                <w:sz w:val="20"/>
              </w:rPr>
              <w:t xml:space="preserve"> K</w:t>
            </w:r>
            <w:r>
              <w:rPr>
                <w:rFonts w:ascii="Times New Roman" w:hAnsi="Times New Roman"/>
                <w:b/>
                <w:noProof/>
                <w:color w:val="000000"/>
                <w:sz w:val="20"/>
              </w:rPr>
              <w:t> </w:t>
            </w:r>
            <w:r>
              <w:rPr>
                <w:rFonts w:ascii="Times New Roman" w:hAnsi="Times New Roman"/>
                <w:noProof/>
                <w:color w:val="000000"/>
                <w:sz w:val="20"/>
              </w:rPr>
              <w:t xml:space="preserve">finančnému uzatvoreniu transakcie došlo 20. decembra 2018. </w:t>
            </w:r>
            <w:r>
              <w:rPr>
                <w:rFonts w:ascii="Times New Roman" w:hAnsi="Times New Roman"/>
                <w:i/>
                <w:noProof/>
                <w:color w:val="000000"/>
                <w:sz w:val="20"/>
                <w:u w:val="single"/>
              </w:rPr>
              <w:t>AIA</w:t>
            </w:r>
            <w:r>
              <w:rPr>
                <w:rFonts w:ascii="Times New Roman" w:hAnsi="Times New Roman"/>
                <w:i/>
                <w:noProof/>
                <w:color w:val="000000"/>
                <w:sz w:val="20"/>
              </w:rPr>
              <w:t>:</w:t>
            </w:r>
            <w:r>
              <w:rPr>
                <w:rFonts w:ascii="Times New Roman" w:hAnsi="Times New Roman"/>
                <w:noProof/>
                <w:color w:val="000000"/>
                <w:sz w:val="20"/>
              </w:rPr>
              <w:t xml:space="preserve"> Grécky parlament ratifikoval dohodu o predĺžení koncesie pre AIA 14. februára 2019 a finančná transakcia vo výške 1,1 mld. EUR plus ročná sadzba 10,3 %, ktorú má letisko AIA platiť úmerne od 1. januára 2019 do dátumu uzavretia, sa uhradila 22. februára 2019, čím sa uzatvára transakcia. </w:t>
            </w:r>
            <w:r>
              <w:rPr>
                <w:rFonts w:ascii="Times New Roman" w:hAnsi="Times New Roman"/>
                <w:i/>
                <w:noProof/>
                <w:color w:val="000000"/>
                <w:sz w:val="20"/>
                <w:u w:val="single"/>
              </w:rPr>
              <w:t>Hellinikon</w:t>
            </w:r>
            <w:r>
              <w:rPr>
                <w:rFonts w:ascii="Times New Roman" w:hAnsi="Times New Roman"/>
                <w:i/>
                <w:noProof/>
                <w:color w:val="000000"/>
                <w:sz w:val="20"/>
              </w:rPr>
              <w:t>:</w:t>
            </w:r>
            <w:r>
              <w:rPr>
                <w:rFonts w:ascii="Times New Roman" w:hAnsi="Times New Roman"/>
                <w:noProof/>
                <w:color w:val="000000"/>
                <w:sz w:val="20"/>
              </w:rPr>
              <w:t xml:space="preserve"> v projekte došlo k viacerým oneskoreniam, najmä v súvislosti s udelením povolenia na prevádzkovanie kasína a schválením štúdií týkajúcich sa mestského plánovania a vplyvov na životné prostredie. Dôležité medzikroky: i) upload žiadosti o udelenie povolenia na prevádzkovanie kasína prebehol 22. februára; ii) štúdie týkajúce sa zóny mestského plánovania, zóny rozvoja a parku predložili investori gréckym orgánom 6. februára 2019 a 18. februára bola predložená štúdia o integrovanom posudzovaní vplyvu na životné prostredie. </w:t>
            </w:r>
            <w:r>
              <w:rPr>
                <w:rFonts w:ascii="Times New Roman" w:hAnsi="Times New Roman"/>
                <w:noProof/>
                <w:sz w:val="20"/>
              </w:rPr>
              <w:t>Upload štúdie o integrovanom posudzovaní vplyvu na životné prostredie do elektronického environmentálneho registra prebehol po potrebných korekciách 25. februára 2019. Verejná konzultácia sa začala 21. 3. 2019.</w:t>
            </w:r>
            <w:r>
              <w:rPr>
                <w:rFonts w:ascii="Times New Roman" w:hAnsi="Times New Roman"/>
                <w:i/>
                <w:noProof/>
                <w:color w:val="000000"/>
                <w:sz w:val="20"/>
              </w:rPr>
              <w:t xml:space="preserve"> </w:t>
            </w:r>
            <w:r>
              <w:rPr>
                <w:rFonts w:ascii="Times New Roman" w:hAnsi="Times New Roman"/>
                <w:i/>
                <w:noProof/>
                <w:color w:val="000000"/>
                <w:sz w:val="20"/>
                <w:u w:val="single"/>
              </w:rPr>
              <w:t>DEPA</w:t>
            </w:r>
            <w:r>
              <w:rPr>
                <w:rFonts w:ascii="Times New Roman" w:hAnsi="Times New Roman"/>
                <w:i/>
                <w:noProof/>
                <w:color w:val="000000"/>
                <w:sz w:val="20"/>
              </w:rPr>
              <w:t xml:space="preserve">: </w:t>
            </w:r>
            <w:r>
              <w:rPr>
                <w:rFonts w:ascii="Times New Roman" w:hAnsi="Times New Roman"/>
                <w:noProof/>
                <w:color w:val="000000"/>
                <w:sz w:val="20"/>
              </w:rPr>
              <w:t xml:space="preserve">Právne predpisy týkajúce sa podnikovej reštrukturalizácie spoločnosti DEPA boli prijaté 7. marca 2019. Právne predpisy vytvárajú podmienky pre dohodnutú privatizačnú transakciu. Bude dôležité zabezpečiť, aby prechodné ustanovenia o zamestnanosti zahrnuté do právnych predpisov boli aj naďalej zamerané na súčasných zamestnancov na ich súčasných pozíciách. </w:t>
            </w:r>
            <w:r>
              <w:rPr>
                <w:rFonts w:ascii="Times New Roman" w:hAnsi="Times New Roman"/>
                <w:i/>
                <w:noProof/>
                <w:color w:val="000000"/>
                <w:sz w:val="20"/>
                <w:u w:val="single"/>
              </w:rPr>
              <w:t>Egnatia</w:t>
            </w:r>
            <w:r>
              <w:rPr>
                <w:rFonts w:ascii="Times New Roman" w:hAnsi="Times New Roman"/>
                <w:noProof/>
                <w:color w:val="000000"/>
                <w:sz w:val="20"/>
              </w:rPr>
              <w:t xml:space="preserve">: </w:t>
            </w:r>
            <w:r>
              <w:rPr>
                <w:rFonts w:ascii="Times New Roman" w:hAnsi="Times New Roman"/>
                <w:noProof/>
                <w:sz w:val="20"/>
              </w:rPr>
              <w:t>vykonali sa všetky opatrenia zahrnuté do zoznamu, na ktorom sa dohodli grécke orgány a inštitúcie s cieľom obnoviť koncesiu Egnatia. Na to, aby mohla spoločnosť Egnatia začať výstavbu zostávajúcich mýtnych staníc, je potrebné doriešiť už len technické otázky, zatiaľ čo by sa malo pokračovať v intenzívnom úsilí o definitívnu spätnú väzbu, pokiaľ ide o udeľovanie licencií na tunely.</w:t>
            </w:r>
          </w:p>
        </w:tc>
      </w:tr>
      <w:tr>
        <w:trPr>
          <w:trHeight w:val="113"/>
        </w:trPr>
        <w:tc>
          <w:tcPr>
            <w:tcW w:w="737" w:type="dxa"/>
            <w:vAlign w:val="center"/>
          </w:tcPr>
          <w:p>
            <w:pPr>
              <w:spacing w:before="60" w:after="60"/>
              <w:jc w:val="center"/>
              <w:rPr>
                <w:rFonts w:ascii="Times New Roman" w:eastAsia="Times New Roman" w:hAnsi="Times New Roman" w:cs="Times New Roman"/>
                <w:b/>
                <w:noProof/>
                <w:color w:val="000000"/>
                <w:sz w:val="20"/>
                <w:szCs w:val="20"/>
              </w:rPr>
            </w:pPr>
            <w:r>
              <w:rPr>
                <w:rFonts w:ascii="Times New Roman" w:hAnsi="Times New Roman"/>
                <w:b/>
                <w:noProof/>
                <w:color w:val="000000"/>
                <w:sz w:val="20"/>
              </w:rPr>
              <w:t>16</w:t>
            </w:r>
          </w:p>
        </w:tc>
        <w:tc>
          <w:tcPr>
            <w:tcW w:w="4312" w:type="dxa"/>
            <w:shd w:val="clear" w:color="auto" w:fill="auto"/>
            <w:vAlign w:val="center"/>
          </w:tcPr>
          <w:p>
            <w:pPr>
              <w:spacing w:before="60" w:after="60"/>
              <w:jc w:val="both"/>
              <w:rPr>
                <w:rFonts w:ascii="Times New Roman" w:eastAsia="Times New Roman" w:hAnsi="Times New Roman" w:cs="Times New Roman"/>
                <w:noProof/>
                <w:color w:val="000000"/>
                <w:sz w:val="20"/>
                <w:szCs w:val="20"/>
              </w:rPr>
            </w:pPr>
            <w:r>
              <w:rPr>
                <w:rFonts w:ascii="Times New Roman" w:hAnsi="Times New Roman"/>
                <w:b/>
                <w:noProof/>
                <w:color w:val="000000"/>
                <w:sz w:val="20"/>
              </w:rPr>
              <w:t>Verejná správa – Vymenúvania.</w:t>
            </w:r>
            <w:r>
              <w:rPr>
                <w:rFonts w:ascii="Times New Roman" w:hAnsi="Times New Roman"/>
                <w:noProof/>
                <w:color w:val="000000"/>
                <w:sz w:val="20"/>
              </w:rPr>
              <w:t xml:space="preserve"> Bude sa podporovať vykonávanie reforiem zameraných na modernizáciu verejnej správy. Ako súčasť tohto úsilia Grécko dokončí reformy zamerané na modernizáciu riadenia ľudských zdrojov vo verejnom sektore, a najmä vymenovanie administratívnych tajomníkov a všetkých generálnych riaditeľov podľa zákona č. 4369/2016 do konca roka 2018.</w:t>
            </w:r>
          </w:p>
        </w:tc>
        <w:tc>
          <w:tcPr>
            <w:tcW w:w="9693" w:type="dxa"/>
            <w:vAlign w:val="center"/>
          </w:tcPr>
          <w:p>
            <w:pPr>
              <w:keepNext/>
              <w:spacing w:before="60" w:after="60"/>
              <w:jc w:val="both"/>
              <w:rPr>
                <w:rFonts w:ascii="Times New Roman" w:eastAsia="Times New Roman" w:hAnsi="Times New Roman" w:cs="Times New Roman"/>
                <w:noProof/>
                <w:color w:val="000000"/>
                <w:sz w:val="20"/>
                <w:szCs w:val="20"/>
              </w:rPr>
            </w:pPr>
            <w:r>
              <w:rPr>
                <w:rFonts w:ascii="Times New Roman" w:hAnsi="Times New Roman"/>
                <w:noProof/>
                <w:color w:val="000000"/>
                <w:sz w:val="20"/>
                <w:u w:val="single"/>
              </w:rPr>
              <w:t>Generálni riaditelia:</w:t>
            </w:r>
            <w:r>
              <w:rPr>
                <w:rFonts w:ascii="Times New Roman" w:hAnsi="Times New Roman"/>
                <w:noProof/>
                <w:color w:val="000000"/>
                <w:sz w:val="20"/>
              </w:rPr>
              <w:t xml:space="preserve"> ukončilo sa vymenúvanie riaditeľov (90 pracovných miest). </w:t>
            </w:r>
            <w:r>
              <w:rPr>
                <w:rFonts w:ascii="Times New Roman" w:hAnsi="Times New Roman"/>
                <w:noProof/>
                <w:color w:val="000000"/>
                <w:sz w:val="20"/>
                <w:u w:val="single"/>
              </w:rPr>
              <w:t>Administratívni tajomníci:</w:t>
            </w:r>
            <w:r>
              <w:rPr>
                <w:rFonts w:ascii="Times New Roman" w:hAnsi="Times New Roman"/>
                <w:noProof/>
                <w:color w:val="000000"/>
                <w:sz w:val="20"/>
              </w:rPr>
              <w:t xml:space="preserve"> doteraz sa neuskutočnilo žiadne vymenovanie (z celkovo 69) a ako doplňujúce opatrenie orgány prijali zákon o strategickom prijímaní zamestnancov (vrátane prepojenia plánu náboru so strednodobou fiškálnou stratégiou) a posilnení kapacity ministerstva pre administratívnu reformu: i) predložili aktualizovaný harmonogram prijímania administratívnych tajomníkov do konca roka 2019; ii) dohodli sa s Komisiou na spôsobe, akým sa vykoná nezávislé posúdenie cyklov vymenúvania administratívnych tajomníkov a generálnych riaditeľov, ktoré sa majú zrealizovať do júna 2019, a následných opatreniach, ktoré sa majú prijať do septembra 2019; iii) zaviazali sa k vypracovaniu plánu na zjednodušenie klasifikácie zamestnaní („klados“), iv) zaviazali sa aktualizovať databázu na sčítanie ľudu („apografi“), aby mohli podávať správy aj o tokoch stálych zamestnancov právnických osôb z oblasti súkromného práva a doplniť kategóriu dočasných zamestnancov právnických osôb z oblasti súkromného práva platených z národného strategického referenčného rámca/iných zdrojov; v) zaviazali sa predložiť prvé výzvy na vymenovanie vedúcich oddelení do konca marca 2019. Orgány prijali tieto doplňujúce opatrenia: v súvislosti s </w:t>
            </w:r>
            <w:r>
              <w:rPr>
                <w:rFonts w:ascii="Times New Roman" w:hAnsi="Times New Roman"/>
                <w:noProof/>
                <w:color w:val="000000"/>
                <w:sz w:val="20"/>
                <w:u w:val="single"/>
              </w:rPr>
              <w:t>právnou kodifikáciou</w:t>
            </w:r>
            <w:r>
              <w:rPr>
                <w:rFonts w:ascii="Times New Roman" w:hAnsi="Times New Roman"/>
                <w:noProof/>
                <w:color w:val="000000"/>
                <w:sz w:val="20"/>
              </w:rPr>
              <w:t xml:space="preserve"> sa vydalo rozhodnutie o schválení ponuky na zriadenie „digitálneho portálu“ (5. marca 2019). Právne ustanovenia týkajúce sa „ústredného kodifikačného výboru“ boli predmetom verejnej konzultácie a predložili sa Parlamentu (26. marca 2019). Okrem toho, pokiaľ ide o dôležitú reformu </w:t>
            </w:r>
            <w:r>
              <w:rPr>
                <w:rFonts w:ascii="Times New Roman" w:hAnsi="Times New Roman"/>
                <w:noProof/>
                <w:color w:val="000000"/>
                <w:sz w:val="20"/>
                <w:u w:val="single"/>
              </w:rPr>
              <w:t>ľudských zdrojov v oblasti správy verejných príjmov</w:t>
            </w:r>
            <w:r>
              <w:rPr>
                <w:rFonts w:ascii="Times New Roman" w:hAnsi="Times New Roman"/>
                <w:noProof/>
                <w:color w:val="000000"/>
                <w:sz w:val="20"/>
              </w:rPr>
              <w:t>, orgány prijali 6. marca 2019 zmenu, ktorá umožňuje realizovať prvú fázu prepojenia platových tried nezávislého orgánu pre verejné príjmy s opisom pracovných miest (FEK A 48/2019, článok 64).</w:t>
            </w:r>
          </w:p>
          <w:p>
            <w:pPr>
              <w:keepNext/>
              <w:spacing w:before="60" w:after="60"/>
              <w:jc w:val="both"/>
              <w:rPr>
                <w:rFonts w:ascii="Times New Roman" w:eastAsia="Calibri" w:hAnsi="Times New Roman" w:cs="Times New Roman"/>
                <w:b/>
                <w:noProof/>
                <w:color w:val="000000"/>
                <w:sz w:val="20"/>
              </w:rPr>
            </w:pPr>
            <w:r>
              <w:rPr>
                <w:rFonts w:ascii="Times New Roman" w:hAnsi="Times New Roman"/>
                <w:noProof/>
                <w:color w:val="000000"/>
                <w:sz w:val="20"/>
              </w:rPr>
              <w:t>Prebiehajú diskusie s orgánmi týkajúce sa ustanovení o mzdách, ktoré sú zahrnuté do návrhu zákona ministerstva hospodárstva a rozvoja. Inštitúcie vyjadrili obavy, že navrhovaná zmena zameraná na rozšírenie tzv. osobného rozdielu by mohla viesť k oslabeniu všeobecných zásad reformy jednotnej mzdovej tabuľky.</w:t>
            </w:r>
          </w:p>
        </w:tc>
      </w:tr>
    </w:tbl>
    <w:p>
      <w:pPr>
        <w:spacing w:after="120"/>
        <w:contextualSpacing/>
        <w:jc w:val="both"/>
        <w:rPr>
          <w:rFonts w:ascii="Times New Roman" w:eastAsia="Times New Roman" w:hAnsi="Times New Roman" w:cs="Times New Roman"/>
          <w:noProof/>
          <w:color w:val="000000"/>
          <w:szCs w:val="24"/>
        </w:rPr>
      </w:pPr>
    </w:p>
    <w:sectPr>
      <w:headerReference w:type="even" r:id="rId26"/>
      <w:headerReference w:type="default" r:id="rId27"/>
      <w:footerReference w:type="even" r:id="rId28"/>
      <w:footerReference w:type="default" r:id="rId29"/>
      <w:headerReference w:type="first" r:id="rId30"/>
      <w:footerReference w:type="first" r:id="rId31"/>
      <w:pgSz w:w="16838" w:h="11906" w:orient="landscape"/>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SK</w:t>
    </w:r>
    <w:r>
      <w:rPr>
        <w:rFonts w:ascii="Arial" w:hAnsi="Arial" w:cs="Arial"/>
        <w:b/>
        <w:sz w:val="48"/>
      </w:rPr>
      <w:tab/>
    </w:r>
    <w:r>
      <w:rPr>
        <w:rFonts w:ascii="Arial" w:hAnsi="Arial" w:cs="Arial"/>
        <w:b/>
        <w:sz w:val="48"/>
      </w:rPr>
      <w:tab/>
    </w:r>
    <w:r>
      <w:tab/>
    </w:r>
    <w:r>
      <w:rPr>
        <w:rFonts w:ascii="Arial" w:hAnsi="Arial" w:cs="Arial"/>
        <w:b/>
        <w:sz w:val="48"/>
      </w:rPr>
      <w:t>SK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8347764"/>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0429837"/>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ind w:left="720" w:hanging="720"/>
        <w:jc w:val="both"/>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sz w:val="20"/>
        </w:rPr>
        <w:tab/>
        <w:t>Oznámenie Komisie COM(2019) 201 a sprievodný pracovný dokument útvarov Komisie SWD(2019) 201 z 27. februára 2019.</w:t>
      </w:r>
    </w:p>
  </w:footnote>
  <w:footnote w:id="3">
    <w:p>
      <w:pPr>
        <w:pStyle w:val="FootnoteText"/>
        <w:ind w:left="720" w:hanging="720"/>
        <w:jc w:val="both"/>
        <w:rPr>
          <w:rFonts w:ascii="Times New Roman" w:hAnsi="Times New Roman" w:cs="Times New Roman"/>
          <w:sz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sz w:val="20"/>
        </w:rPr>
        <w:tab/>
        <w:t>Európska centrálna banka (ECB) sa zúčastňuje na sprísnenom dohľade v spolupráci s Komisiou a v súlade so svojimi právomocami poskytuje odborné znalosti týkajúce sa politík finančného sektora a problematiky dôležitej z makroekonomického hľadiska, ako sú napríklad celkové fiškálne ciele a potreby v oblasti udržateľnosti a financovania. Európsky mechanizmus pre stabilitu (EMS) je zapojený tak v kontexte systému včasného varovania EMS, ako aj v súlade s memorandom o porozumení z 27. apríla 2018 o pracovných vzťahoch medzi Komisiou a EMS.</w:t>
      </w:r>
    </w:p>
  </w:footnote>
  <w:footnote w:id="4">
    <w:p>
      <w:pPr>
        <w:pStyle w:val="FootnoteText"/>
        <w:ind w:left="720" w:hanging="720"/>
        <w:jc w:val="both"/>
        <w:rPr>
          <w:rFonts w:ascii="Times New Roman" w:hAnsi="Times New Roman" w:cs="Times New Roman"/>
          <w:sz w:val="20"/>
          <w:szCs w:val="16"/>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sz w:val="20"/>
        </w:rPr>
        <w:tab/>
      </w:r>
      <w:hyperlink r:id="rId1">
        <w:r>
          <w:rPr>
            <w:rStyle w:val="Hyperlink"/>
            <w:rFonts w:ascii="Times New Roman" w:hAnsi="Times New Roman"/>
            <w:sz w:val="20"/>
          </w:rPr>
          <w:t>https://www.consilium.europa.eu/media/35749/z-councils-council-configurations-ecofin-eurogroup-2018-180621-specific-commitments-to-ensure-the-continuity-and-completion-of-reforms-adopted-under-the-esm-programme_2.pdf</w:t>
        </w:r>
      </w:hyperlink>
      <w:r>
        <w:rPr>
          <w:rFonts w:ascii="Times New Roman" w:hAnsi="Times New Roman"/>
          <w:sz w:val="20"/>
        </w:rPr>
        <w:t xml:space="preserve"> </w:t>
      </w:r>
    </w:p>
  </w:footnote>
  <w:footnote w:id="5">
    <w:p>
      <w:pPr>
        <w:pStyle w:val="FootnoteText"/>
        <w:ind w:left="720" w:hanging="720"/>
        <w:jc w:val="both"/>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sz w:val="20"/>
        </w:rPr>
        <w:tab/>
      </w:r>
      <w:r>
        <w:rPr>
          <w:rFonts w:ascii="Times New Roman" w:hAnsi="Times New Roman"/>
          <w:color w:val="000000"/>
          <w:sz w:val="20"/>
        </w:rPr>
        <w:t>Ekvivalentný medián príjmov domácnosti vo výške oprávnenej na najvyššiu prahovú hodnotu (dvaja dospelí a tri závislé osoby) je približne 18 000 – 20 000 EUR v závislosti od veku detí.</w:t>
      </w:r>
    </w:p>
  </w:footnote>
  <w:footnote w:id="6">
    <w:p>
      <w:pPr>
        <w:pStyle w:val="FootnoteText"/>
        <w:ind w:left="720" w:hanging="720"/>
        <w:jc w:val="both"/>
        <w:rPr>
          <w:rFonts w:ascii="Times New Roman" w:hAnsi="Times New Roman"/>
          <w:sz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sz w:val="20"/>
        </w:rPr>
        <w:tab/>
        <w:t>https://www.bankingsupervision.europa.eu/ecb/legal/pdf/en_con_2019_09_f_sign_.pdf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0238"/>
    <w:multiLevelType w:val="hybridMultilevel"/>
    <w:tmpl w:val="79EA9B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8752FEE"/>
    <w:multiLevelType w:val="hybridMultilevel"/>
    <w:tmpl w:val="9B463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B5567E"/>
    <w:multiLevelType w:val="hybridMultilevel"/>
    <w:tmpl w:val="F0F8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C51071B"/>
    <w:multiLevelType w:val="hybridMultilevel"/>
    <w:tmpl w:val="B26447B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4">
    <w:nsid w:val="21270AAC"/>
    <w:multiLevelType w:val="hybridMultilevel"/>
    <w:tmpl w:val="115441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2F771E45"/>
    <w:multiLevelType w:val="hybridMultilevel"/>
    <w:tmpl w:val="F6328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8B373CD"/>
    <w:multiLevelType w:val="hybridMultilevel"/>
    <w:tmpl w:val="8562729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4039798B"/>
    <w:multiLevelType w:val="hybridMultilevel"/>
    <w:tmpl w:val="290C0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7F377C4"/>
    <w:multiLevelType w:val="hybridMultilevel"/>
    <w:tmpl w:val="DA988AD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486D3710"/>
    <w:multiLevelType w:val="hybridMultilevel"/>
    <w:tmpl w:val="650C0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A141BD7"/>
    <w:multiLevelType w:val="hybridMultilevel"/>
    <w:tmpl w:val="65BE9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63E51CB"/>
    <w:multiLevelType w:val="hybridMultilevel"/>
    <w:tmpl w:val="59F2170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56954AEB"/>
    <w:multiLevelType w:val="hybridMultilevel"/>
    <w:tmpl w:val="96689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4060FF0"/>
    <w:multiLevelType w:val="hybridMultilevel"/>
    <w:tmpl w:val="5FFE13F4"/>
    <w:lvl w:ilvl="0" w:tplc="D3CA97E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6D96B81"/>
    <w:multiLevelType w:val="hybridMultilevel"/>
    <w:tmpl w:val="E7B49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A436690"/>
    <w:multiLevelType w:val="hybridMultilevel"/>
    <w:tmpl w:val="ED5EC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1DD6BCC"/>
    <w:multiLevelType w:val="hybridMultilevel"/>
    <w:tmpl w:val="7072459E"/>
    <w:lvl w:ilvl="0" w:tplc="08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31F378C"/>
    <w:multiLevelType w:val="hybridMultilevel"/>
    <w:tmpl w:val="71E27E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10"/>
  </w:num>
  <w:num w:numId="3">
    <w:abstractNumId w:val="1"/>
  </w:num>
  <w:num w:numId="4">
    <w:abstractNumId w:val="16"/>
  </w:num>
  <w:num w:numId="5">
    <w:abstractNumId w:val="4"/>
  </w:num>
  <w:num w:numId="6">
    <w:abstractNumId w:val="13"/>
  </w:num>
  <w:num w:numId="7">
    <w:abstractNumId w:val="11"/>
  </w:num>
  <w:num w:numId="8">
    <w:abstractNumId w:val="6"/>
  </w:num>
  <w:num w:numId="9">
    <w:abstractNumId w:val="8"/>
  </w:num>
  <w:num w:numId="10">
    <w:abstractNumId w:val="0"/>
  </w:num>
  <w:num w:numId="11">
    <w:abstractNumId w:val="12"/>
  </w:num>
  <w:num w:numId="12">
    <w:abstractNumId w:val="3"/>
  </w:num>
  <w:num w:numId="13">
    <w:abstractNumId w:val="7"/>
  </w:num>
  <w:num w:numId="14">
    <w:abstractNumId w:val="15"/>
  </w:num>
  <w:num w:numId="15">
    <w:abstractNumId w:val="9"/>
  </w:num>
  <w:num w:numId="16">
    <w:abstractNumId w:val="14"/>
  </w:num>
  <w:num w:numId="17">
    <w:abstractNumId w:val="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SpellingErrors/>
  <w:hideGrammaticalErrors/>
  <w:revisionView w:markup="0"/>
  <w:defaultTabStop w:val="720"/>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AAE16A39-CC56-47FA-9BF0-4457DA606917"/>
    <w:docVar w:name="LW_COVERPAGE_TYPE" w:val="1"/>
    <w:docVar w:name="LW_CROSSREFERENCE" w:val="&lt;UNUSED&gt;"/>
    <w:docVar w:name="LW_DocType" w:val="NORMAL"/>
    <w:docVar w:name="LW_EMISSION" w:val="3. 4. 2019"/>
    <w:docVar w:name="LW_EMISSION_ISODATE" w:val="2019-04-03"/>
    <w:docVar w:name="LW_EMISSION_LOCATION" w:val="BRX"/>
    <w:docVar w:name="LW_EMISSION_PREFIX" w:val="V Bruseli"/>
    <w:docVar w:name="LW_EMISSION_SUFFIX" w:val=" "/>
    <w:docVar w:name="LW_ID_DOCTYPE_NONLW" w:val="CP-009"/>
    <w:docVar w:name="LW_LANGUE" w:val="SK"/>
    <w:docVar w:name="LW_LEVEL_OF_SENSITIVITY" w:val="Standard treatment"/>
    <w:docVar w:name="LW_NOM.INST" w:val="EURÓPSKA KOMISIA"/>
    <w:docVar w:name="LW_NOM.INST_JOINTDOC" w:val="&lt;EMPTY&gt;"/>
    <w:docVar w:name="LW_PART_NBR" w:val="1"/>
    <w:docVar w:name="LW_PART_NBR_TOTAL" w:val="1"/>
    <w:docVar w:name="LW_REF.INST.NEW" w:val="COM"/>
    <w:docVar w:name="LW_REF.INST.NEW_ADOPTED" w:val="final"/>
    <w:docVar w:name="LW_REF.INST.NEW_TEXT" w:val="(2019) 17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Sprísnený doh\u318?ad \u8211? Grécko, apríl 2019"/>
    <w:docVar w:name="LW_TYPE.DOC.CP" w:val="OZNÁMENIE KOMISIE"/>
    <w:docVar w:name="LW_TYPE.DOC.CP.USERTEXT" w:val="&lt;EMPTY&gt;"/>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sk-SK" w:bidi="sk-S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39"/>
    <w:lsdException w:name="toc 9" w:uiPriority="39"/>
    <w:lsdException w:name="footnote text" w:qFormat="1"/>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style>
  <w:style w:type="paragraph" w:styleId="Footer">
    <w:name w:val="footer"/>
    <w:basedOn w:val="Normal"/>
    <w:next w:val="Normal"/>
    <w:link w:val="FooterChar"/>
    <w:uiPriority w:val="99"/>
    <w:pPr>
      <w:spacing w:after="0" w:line="240" w:lineRule="auto"/>
    </w:pPr>
  </w:style>
  <w:style w:type="character" w:customStyle="1" w:styleId="FooterChar">
    <w:name w:val="Footer Char"/>
    <w:basedOn w:val="DefaultParagraphFont"/>
    <w:link w:val="Footer"/>
    <w:uiPriority w:val="99"/>
  </w:style>
  <w:style w:type="paragraph" w:styleId="FootnoteText">
    <w:name w:val="footnote text"/>
    <w:aliases w:val="Char1,Footnote Text Char3 Char,Footnote Text Char1 Char1 Char,Footnote Text Char2 Char Char Char,Footnote Text Char1 Char1 Char Char Char,Footnote Text Char2 Char Char Char Char Char,Footnote Text Char3,fn Char,Podrozdzi,Znak,Znak Zn"/>
    <w:basedOn w:val="Normal"/>
    <w:link w:val="FootnoteTextChar"/>
    <w:uiPriority w:val="99"/>
    <w:semiHidden/>
    <w:qFormat/>
    <w:pPr>
      <w:spacing w:after="0" w:line="240" w:lineRule="auto"/>
      <w:ind w:left="283" w:hanging="283"/>
    </w:pPr>
    <w:rPr>
      <w:sz w:val="16"/>
      <w:szCs w:val="20"/>
    </w:rPr>
  </w:style>
  <w:style w:type="character" w:customStyle="1" w:styleId="FootnoteTextChar">
    <w:name w:val="Footnote Text Char"/>
    <w:aliases w:val="Char1 Char,Footnote Text Char3 Char Char,Footnote Text Char1 Char1 Char Char,Footnote Text Char2 Char Char Char Char,Footnote Text Char1 Char1 Char Char Char Char,Footnote Text Char2 Char Char Char Char Char Char,fn Char Char"/>
    <w:basedOn w:val="DefaultParagraphFont"/>
    <w:link w:val="FootnoteText"/>
    <w:uiPriority w:val="99"/>
    <w:semiHidden/>
    <w:qFormat/>
    <w:rPr>
      <w:sz w:val="16"/>
      <w:szCs w:val="20"/>
    </w:rPr>
  </w:style>
  <w:style w:type="paragraph" w:customStyle="1" w:styleId="ChapterName">
    <w:name w:val="Chapter Name"/>
    <w:basedOn w:val="Normal"/>
    <w:next w:val="Normal"/>
    <w:pPr>
      <w:spacing w:before="1080" w:line="240" w:lineRule="auto"/>
    </w:pPr>
    <w:rPr>
      <w:b/>
      <w:color w:val="808080"/>
      <w:sz w:val="72"/>
    </w:rPr>
  </w:style>
  <w:style w:type="paragraph" w:customStyle="1" w:styleId="ChapterTitle">
    <w:name w:val="Chapter Title"/>
    <w:basedOn w:val="Normal"/>
    <w:next w:val="Normal"/>
    <w:pPr>
      <w:spacing w:line="240" w:lineRule="auto"/>
    </w:pPr>
    <w:rPr>
      <w:rFonts w:ascii="Century Gothic" w:hAnsi="Century Gothic"/>
      <w:color w:val="333399"/>
      <w:sz w:val="36"/>
    </w:rPr>
  </w:style>
  <w:style w:type="paragraph" w:customStyle="1" w:styleId="SectionTitle">
    <w:name w:val="Section Title"/>
    <w:basedOn w:val="Normal"/>
    <w:next w:val="SectionSubtitle"/>
    <w:pPr>
      <w:keepNext/>
      <w:spacing w:before="1080" w:line="240" w:lineRule="auto"/>
      <w:ind w:left="992" w:hanging="992"/>
    </w:pPr>
    <w:rPr>
      <w:rFonts w:ascii="Century Gothic" w:hAnsi="Century Gothic"/>
      <w:caps/>
      <w:color w:val="333399"/>
      <w:sz w:val="28"/>
    </w:rPr>
  </w:style>
  <w:style w:type="paragraph" w:customStyle="1" w:styleId="SectionTitletwolines">
    <w:name w:val="Section Title (two lines)"/>
    <w:basedOn w:val="Normal"/>
    <w:next w:val="SectionSubtitle"/>
    <w:pPr>
      <w:keepNext/>
      <w:spacing w:before="600" w:after="0" w:line="240" w:lineRule="auto"/>
      <w:ind w:left="992" w:hanging="992"/>
    </w:pPr>
    <w:rPr>
      <w:rFonts w:ascii="Century Gothic" w:hAnsi="Century Gothic"/>
      <w:caps/>
      <w:color w:val="333399"/>
      <w:sz w:val="28"/>
    </w:rPr>
  </w:style>
  <w:style w:type="paragraph" w:customStyle="1" w:styleId="SectionSubtitle">
    <w:name w:val="Section Subtitle"/>
    <w:basedOn w:val="Normal"/>
    <w:next w:val="Normal"/>
    <w:pPr>
      <w:spacing w:after="360" w:line="240" w:lineRule="auto"/>
      <w:ind w:left="992"/>
    </w:pPr>
    <w:rPr>
      <w:rFonts w:ascii="Century Gothic" w:hAnsi="Century Gothic"/>
      <w:color w:val="333399"/>
      <w:sz w:val="24"/>
    </w:rPr>
  </w:style>
  <w:style w:type="paragraph" w:customStyle="1" w:styleId="HeaderTitleLeft">
    <w:name w:val="Header Title Left"/>
    <w:basedOn w:val="Normal"/>
    <w:next w:val="Normal"/>
    <w:pPr>
      <w:tabs>
        <w:tab w:val="right" w:pos="8220"/>
      </w:tabs>
      <w:spacing w:before="100" w:after="40" w:line="240" w:lineRule="auto"/>
      <w:ind w:left="-1502"/>
    </w:pPr>
    <w:rPr>
      <w:rFonts w:ascii="Century Gothic" w:hAnsi="Century Gothic"/>
      <w:color w:val="333399"/>
      <w:sz w:val="14"/>
    </w:rPr>
  </w:style>
  <w:style w:type="paragraph" w:customStyle="1" w:styleId="HeaderSubtitleLeft">
    <w:name w:val="Header Subtitle Left"/>
    <w:basedOn w:val="Normal"/>
    <w:next w:val="Normal"/>
    <w:pPr>
      <w:tabs>
        <w:tab w:val="right" w:pos="8220"/>
      </w:tabs>
      <w:spacing w:after="0" w:line="240" w:lineRule="auto"/>
      <w:ind w:left="-1502"/>
    </w:pPr>
    <w:rPr>
      <w:rFonts w:ascii="Century Gothic" w:hAnsi="Century Gothic"/>
      <w:color w:val="333399"/>
      <w:sz w:val="14"/>
    </w:rPr>
  </w:style>
  <w:style w:type="paragraph" w:customStyle="1" w:styleId="HeaderTitleRight">
    <w:name w:val="Header Title Right"/>
    <w:basedOn w:val="Normal"/>
    <w:next w:val="Normal"/>
    <w:pPr>
      <w:spacing w:before="100" w:after="40" w:line="240" w:lineRule="auto"/>
      <w:ind w:right="-1502"/>
      <w:jc w:val="right"/>
    </w:pPr>
    <w:rPr>
      <w:rFonts w:ascii="Century Gothic" w:hAnsi="Century Gothic"/>
      <w:color w:val="333399"/>
      <w:sz w:val="14"/>
    </w:rPr>
  </w:style>
  <w:style w:type="paragraph" w:customStyle="1" w:styleId="HeaderSubtitleRight">
    <w:name w:val="Header Subtitle Right"/>
    <w:basedOn w:val="Normal"/>
    <w:next w:val="Normal"/>
    <w:pPr>
      <w:spacing w:after="0" w:line="240" w:lineRule="auto"/>
      <w:ind w:right="-1502"/>
      <w:jc w:val="right"/>
    </w:pPr>
    <w:rPr>
      <w:rFonts w:ascii="Century Gothic" w:hAnsi="Century Gothic"/>
      <w:color w:val="333399"/>
      <w:sz w:val="14"/>
    </w:rPr>
  </w:style>
  <w:style w:type="paragraph" w:customStyle="1" w:styleId="FooterPageNumber">
    <w:name w:val="Footer PageNumber"/>
    <w:basedOn w:val="Normal"/>
    <w:next w:val="Normal"/>
    <w:pPr>
      <w:framePr w:w="567" w:hSpace="992" w:wrap="around" w:vAnchor="page" w:hAnchor="page" w:xAlign="outside" w:y="16046"/>
      <w:spacing w:after="0" w:line="240" w:lineRule="auto"/>
      <w:jc w:val="center"/>
    </w:pPr>
    <w:rPr>
      <w:rFonts w:ascii="Century Gothic" w:hAnsi="Century Gothic"/>
      <w:color w:val="333399"/>
      <w:sz w:val="18"/>
    </w:rPr>
  </w:style>
  <w:style w:type="paragraph" w:customStyle="1" w:styleId="AnnexTitle">
    <w:name w:val="Annex Title"/>
    <w:basedOn w:val="Normal"/>
    <w:pPr>
      <w:spacing w:before="120" w:after="120" w:line="240" w:lineRule="auto"/>
    </w:pPr>
    <w:rPr>
      <w:rFonts w:ascii="Century Gothic" w:hAnsi="Century Gothic"/>
      <w:color w:val="333399"/>
      <w:sz w:val="28"/>
    </w:rPr>
  </w:style>
  <w:style w:type="paragraph" w:customStyle="1" w:styleId="PublicationTitle">
    <w:name w:val="Publication Title"/>
    <w:basedOn w:val="Normal"/>
    <w:next w:val="Normal"/>
    <w:pPr>
      <w:spacing w:before="2880" w:line="240" w:lineRule="auto"/>
    </w:pPr>
    <w:rPr>
      <w:rFonts w:ascii="Georgia" w:hAnsi="Georgia"/>
      <w:color w:val="333399"/>
      <w:sz w:val="48"/>
    </w:rPr>
  </w:style>
  <w:style w:type="paragraph" w:customStyle="1" w:styleId="PublicationSubtitle">
    <w:name w:val="Publication Subtitle"/>
    <w:basedOn w:val="Normal"/>
    <w:next w:val="Normal"/>
    <w:pPr>
      <w:spacing w:line="240" w:lineRule="auto"/>
    </w:pPr>
    <w:rPr>
      <w:rFonts w:ascii="Century Gothic" w:hAnsi="Century Gothic"/>
      <w:sz w:val="32"/>
    </w:rPr>
  </w:style>
  <w:style w:type="paragraph" w:customStyle="1" w:styleId="Series">
    <w:name w:val="Series"/>
    <w:basedOn w:val="Normal"/>
    <w:next w:val="Normal"/>
    <w:pPr>
      <w:tabs>
        <w:tab w:val="right" w:pos="8787"/>
      </w:tabs>
      <w:spacing w:before="6240" w:line="240" w:lineRule="auto"/>
    </w:pPr>
    <w:rPr>
      <w:rFonts w:ascii="Century Gothic" w:hAnsi="Century Gothic"/>
      <w:color w:val="333399"/>
    </w:rPr>
  </w:style>
  <w:style w:type="paragraph" w:customStyle="1" w:styleId="Institution">
    <w:name w:val="Institution"/>
    <w:basedOn w:val="Normal"/>
    <w:next w:val="Normal"/>
    <w:pPr>
      <w:spacing w:after="120" w:line="240" w:lineRule="auto"/>
    </w:pPr>
    <w:rPr>
      <w:rFonts w:ascii="Century Gothic" w:hAnsi="Century Gothic"/>
      <w:sz w:val="24"/>
    </w:rPr>
  </w:style>
  <w:style w:type="paragraph" w:customStyle="1" w:styleId="InstitutionSubtitle">
    <w:name w:val="Institution Subtitle"/>
    <w:basedOn w:val="Normal"/>
    <w:next w:val="Normal"/>
    <w:pPr>
      <w:spacing w:line="240" w:lineRule="auto"/>
    </w:pPr>
    <w:rPr>
      <w:rFonts w:ascii="Century Gothic" w:hAnsi="Century Gothic"/>
    </w:rPr>
  </w:style>
  <w:style w:type="paragraph" w:customStyle="1" w:styleId="PartTitle">
    <w:name w:val="Part Title"/>
    <w:basedOn w:val="Normal"/>
    <w:next w:val="Normal"/>
    <w:pPr>
      <w:spacing w:before="1080" w:line="240" w:lineRule="auto"/>
    </w:pPr>
    <w:rPr>
      <w:rFonts w:ascii="Georgia" w:hAnsi="Georgia"/>
      <w:color w:val="333399"/>
      <w:sz w:val="40"/>
    </w:rPr>
  </w:style>
  <w:style w:type="paragraph" w:customStyle="1" w:styleId="PartSubtitle">
    <w:name w:val="Part Subtitle"/>
    <w:basedOn w:val="Normal"/>
    <w:next w:val="Normal"/>
    <w:pPr>
      <w:spacing w:line="240" w:lineRule="auto"/>
    </w:pPr>
    <w:rPr>
      <w:rFonts w:ascii="Georgia" w:hAnsi="Georgia"/>
      <w:color w:val="333399"/>
      <w:sz w:val="32"/>
    </w:rPr>
  </w:style>
  <w:style w:type="character" w:customStyle="1" w:styleId="SectionNumber">
    <w:name w:val="Section Number"/>
    <w:rPr>
      <w:rFonts w:ascii="Times New Roman" w:hAnsi="Times New Roman" w:cs="Times New Roman"/>
      <w:b/>
      <w:color w:val="808080"/>
      <w:sz w:val="72"/>
    </w:rPr>
  </w:style>
  <w:style w:type="paragraph" w:customStyle="1" w:styleId="HeaderTitleLeft30">
    <w:name w:val="Header Title Left (30)"/>
    <w:basedOn w:val="Normal"/>
    <w:next w:val="Normal"/>
    <w:pPr>
      <w:tabs>
        <w:tab w:val="right" w:pos="8504"/>
      </w:tabs>
      <w:spacing w:before="100" w:after="40" w:line="240" w:lineRule="auto"/>
      <w:ind w:left="-850"/>
    </w:pPr>
    <w:rPr>
      <w:rFonts w:ascii="Century Gothic" w:hAnsi="Century Gothic"/>
      <w:color w:val="333399"/>
      <w:sz w:val="14"/>
    </w:rPr>
  </w:style>
  <w:style w:type="paragraph" w:customStyle="1" w:styleId="HeaderSubtitleLeft30">
    <w:name w:val="Header Subtitle Left (30)"/>
    <w:basedOn w:val="Normal"/>
    <w:next w:val="Normal"/>
    <w:pPr>
      <w:tabs>
        <w:tab w:val="right" w:pos="8504"/>
      </w:tabs>
      <w:spacing w:after="0" w:line="240" w:lineRule="auto"/>
      <w:ind w:left="-850"/>
    </w:pPr>
    <w:rPr>
      <w:rFonts w:ascii="Century Gothic" w:hAnsi="Century Gothic"/>
      <w:color w:val="333399"/>
      <w:sz w:val="14"/>
    </w:rPr>
  </w:style>
  <w:style w:type="paragraph" w:customStyle="1" w:styleId="HeaderTitleRight30">
    <w:name w:val="Header Title Right (30)"/>
    <w:basedOn w:val="Normal"/>
    <w:next w:val="Normal"/>
    <w:pPr>
      <w:spacing w:before="100" w:after="40" w:line="240" w:lineRule="auto"/>
      <w:ind w:right="-850"/>
      <w:jc w:val="right"/>
    </w:pPr>
    <w:rPr>
      <w:rFonts w:ascii="Century Gothic" w:hAnsi="Century Gothic"/>
      <w:color w:val="333399"/>
      <w:sz w:val="14"/>
    </w:rPr>
  </w:style>
  <w:style w:type="paragraph" w:customStyle="1" w:styleId="HeaderSubtitleRight30">
    <w:name w:val="Header Subtitle Right (30)"/>
    <w:basedOn w:val="Normal"/>
    <w:next w:val="Normal"/>
    <w:pPr>
      <w:spacing w:after="0" w:line="240" w:lineRule="auto"/>
      <w:ind w:right="-850"/>
      <w:jc w:val="right"/>
    </w:pPr>
    <w:rPr>
      <w:rFonts w:ascii="Century Gothic" w:hAnsi="Century Gothic"/>
      <w:color w:val="333399"/>
      <w:sz w:val="14"/>
    </w:rPr>
  </w:style>
  <w:style w:type="paragraph" w:customStyle="1" w:styleId="FooterPageNumber30">
    <w:name w:val="Footer PageNumber (30)"/>
    <w:basedOn w:val="Normal"/>
    <w:next w:val="Normal"/>
    <w:pPr>
      <w:framePr w:w="567" w:hSpace="567" w:wrap="around" w:vAnchor="page" w:hAnchor="page" w:xAlign="outside" w:y="16046"/>
      <w:spacing w:after="0" w:line="240" w:lineRule="auto"/>
      <w:jc w:val="center"/>
    </w:pPr>
    <w:rPr>
      <w:rFonts w:ascii="Century Gothic" w:hAnsi="Century Gothic"/>
      <w:color w:val="333399"/>
      <w:sz w:val="18"/>
    </w:rPr>
  </w:style>
  <w:style w:type="paragraph" w:customStyle="1" w:styleId="FooterPageNumber15">
    <w:name w:val="Footer PageNumber (15)"/>
    <w:basedOn w:val="Normal"/>
    <w:next w:val="Normal"/>
    <w:pPr>
      <w:framePr w:w="567" w:wrap="around" w:vAnchor="page" w:hAnchor="margin" w:xAlign="outside" w:y="16046"/>
      <w:spacing w:after="0" w:line="240" w:lineRule="auto"/>
      <w:jc w:val="center"/>
    </w:pPr>
    <w:rPr>
      <w:rFonts w:ascii="Century Gothic" w:hAnsi="Century Gothic"/>
      <w:color w:val="333399"/>
      <w:sz w:val="18"/>
    </w:rPr>
  </w:style>
  <w:style w:type="paragraph" w:customStyle="1" w:styleId="SectionTitlelarge">
    <w:name w:val="Section Title (large)"/>
    <w:basedOn w:val="Normal"/>
    <w:next w:val="SectionSubtitle"/>
    <w:pPr>
      <w:keepNext/>
      <w:spacing w:before="1080" w:line="240" w:lineRule="auto"/>
      <w:ind w:left="992" w:hanging="992"/>
    </w:pPr>
    <w:rPr>
      <w:rFonts w:ascii="Century Gothic" w:hAnsi="Century Gothic"/>
      <w:caps/>
      <w:color w:val="333399"/>
      <w:sz w:val="32"/>
    </w:rPr>
  </w:style>
  <w:style w:type="paragraph" w:customStyle="1" w:styleId="SectionTitletwolineslarge">
    <w:name w:val="Section Title (two lines) (large)"/>
    <w:basedOn w:val="Normal"/>
    <w:next w:val="SectionSubtitle"/>
    <w:pPr>
      <w:keepNext/>
      <w:spacing w:before="1080" w:after="40" w:line="240" w:lineRule="auto"/>
      <w:ind w:left="992" w:hanging="992"/>
    </w:pPr>
    <w:rPr>
      <w:rFonts w:ascii="Century Gothic" w:hAnsi="Century Gothic"/>
      <w:caps/>
      <w:color w:val="333399"/>
      <w:sz w:val="32"/>
    </w:rPr>
  </w:style>
  <w:style w:type="character" w:styleId="FootnoteReference">
    <w:name w:val="footnote reference"/>
    <w:uiPriority w:val="99"/>
    <w:rPr>
      <w:rFonts w:asciiTheme="minorHAnsi" w:eastAsiaTheme="minorHAnsi" w:hAnsiTheme="minorHAnsi" w:cstheme="minorBidi"/>
      <w:sz w:val="22"/>
      <w:vertAlign w:val="superscript"/>
    </w:rPr>
  </w:style>
  <w:style w:type="paragraph" w:customStyle="1" w:styleId="Heading">
    <w:name w:val="Heading"/>
    <w:basedOn w:val="Normal"/>
    <w:next w:val="Normal"/>
    <w:pPr>
      <w:keepNext/>
      <w:spacing w:before="120" w:after="120"/>
    </w:pPr>
    <w:rPr>
      <w:rFonts w:ascii="Century Gothic" w:hAnsi="Century Gothic"/>
      <w:b/>
      <w:color w:val="333399"/>
      <w:sz w:val="18"/>
    </w:rPr>
  </w:style>
  <w:style w:type="paragraph" w:customStyle="1" w:styleId="SideNote">
    <w:name w:val="Side Note"/>
    <w:basedOn w:val="Normal"/>
    <w:next w:val="Normal"/>
    <w:pPr>
      <w:keepNext/>
      <w:framePr w:w="1701" w:h="567" w:hSpace="227" w:wrap="around" w:vAnchor="text" w:hAnchor="page" w:xAlign="outside" w:y="1"/>
      <w:spacing w:line="240" w:lineRule="auto"/>
    </w:pPr>
    <w:rPr>
      <w:rFonts w:ascii="Century Gothic" w:hAnsi="Century Gothic"/>
      <w:color w:val="333399"/>
      <w:sz w:val="14"/>
    </w:rPr>
  </w:style>
  <w:style w:type="paragraph" w:customStyle="1" w:styleId="Abbreviation">
    <w:name w:val="Abbreviation"/>
    <w:basedOn w:val="Normal"/>
    <w:pPr>
      <w:spacing w:after="0"/>
      <w:ind w:left="1134" w:hanging="1134"/>
    </w:pPr>
  </w:style>
  <w:style w:type="paragraph" w:customStyle="1" w:styleId="BoxShape">
    <w:name w:val="Box Shape"/>
    <w:basedOn w:val="Normal"/>
    <w:next w:val="Normal"/>
    <w:pPr>
      <w:spacing w:before="120" w:after="120"/>
      <w:jc w:val="center"/>
    </w:pPr>
  </w:style>
  <w:style w:type="paragraph" w:customStyle="1" w:styleId="BoxContinueTop">
    <w:name w:val="Box Continue Top"/>
    <w:basedOn w:val="Normal"/>
    <w:next w:val="Normal"/>
    <w:pPr>
      <w:spacing w:before="20" w:after="0" w:line="240" w:lineRule="auto"/>
      <w:ind w:left="283"/>
    </w:pPr>
    <w:rPr>
      <w:rFonts w:ascii="Century Gothic" w:hAnsi="Century Gothic"/>
      <w:i/>
      <w:color w:val="333399"/>
      <w:sz w:val="14"/>
    </w:rPr>
  </w:style>
  <w:style w:type="paragraph" w:customStyle="1" w:styleId="BoxContinueBottom">
    <w:name w:val="Box Continue Bottom"/>
    <w:basedOn w:val="Normal"/>
    <w:next w:val="Normal"/>
    <w:pPr>
      <w:spacing w:after="20" w:line="240" w:lineRule="auto"/>
      <w:ind w:right="283"/>
      <w:jc w:val="right"/>
    </w:pPr>
    <w:rPr>
      <w:rFonts w:ascii="Century Gothic" w:hAnsi="Century Gothic"/>
      <w:i/>
      <w:color w:val="333399"/>
      <w:sz w:val="14"/>
    </w:rPr>
  </w:style>
  <w:style w:type="paragraph" w:customStyle="1" w:styleId="BottomTable">
    <w:name w:val="Bottom Table"/>
    <w:basedOn w:val="Normal"/>
    <w:next w:val="Normal"/>
    <w:pPr>
      <w:spacing w:after="0" w:line="240" w:lineRule="auto"/>
    </w:pPr>
  </w:style>
  <w:style w:type="paragraph" w:customStyle="1" w:styleId="DefaultTable">
    <w:name w:val="Default Table"/>
    <w:basedOn w:val="Normal"/>
    <w:next w:val="Normal"/>
    <w:pPr>
      <w:spacing w:after="0" w:line="240" w:lineRule="auto"/>
    </w:pPr>
  </w:style>
  <w:style w:type="paragraph" w:customStyle="1" w:styleId="BottomCenterTable">
    <w:name w:val="Bottom Center Table"/>
    <w:basedOn w:val="Normal"/>
    <w:next w:val="Normal"/>
    <w:pPr>
      <w:spacing w:before="160" w:after="0" w:line="240" w:lineRule="auto"/>
      <w:jc w:val="center"/>
    </w:pPr>
  </w:style>
  <w:style w:type="paragraph" w:customStyle="1" w:styleId="BottomTableRestrictedShape">
    <w:name w:val="Bottom Table Restricted Shape"/>
    <w:basedOn w:val="Normal"/>
    <w:next w:val="Normal"/>
    <w:pPr>
      <w:spacing w:before="160" w:after="0" w:line="240" w:lineRule="auto"/>
      <w:jc w:val="center"/>
    </w:pPr>
  </w:style>
  <w:style w:type="paragraph" w:customStyle="1" w:styleId="GraphTitle">
    <w:name w:val="Graph Title"/>
    <w:basedOn w:val="Normal"/>
    <w:next w:val="Normal"/>
    <w:pPr>
      <w:keepNext/>
      <w:pBdr>
        <w:top w:val="single" w:sz="2" w:space="5" w:color="auto"/>
        <w:bottom w:val="single" w:sz="2" w:space="5" w:color="auto"/>
      </w:pBdr>
      <w:spacing w:before="60" w:after="60" w:line="240" w:lineRule="auto"/>
      <w:ind w:right="100"/>
    </w:pPr>
    <w:rPr>
      <w:rFonts w:ascii="Century Gothic" w:hAnsi="Century Gothic"/>
      <w:color w:val="333399"/>
      <w:sz w:val="14"/>
    </w:rPr>
  </w:style>
  <w:style w:type="paragraph" w:customStyle="1" w:styleId="GraphSource">
    <w:name w:val="Graph Source"/>
    <w:basedOn w:val="Normal"/>
    <w:next w:val="Normal"/>
    <w:pPr>
      <w:pBdr>
        <w:top w:val="single" w:sz="2" w:space="5" w:color="auto"/>
        <w:bottom w:val="single" w:sz="2" w:space="5" w:color="auto"/>
      </w:pBdr>
      <w:spacing w:before="60" w:after="60" w:line="240" w:lineRule="auto"/>
      <w:ind w:right="100"/>
    </w:pPr>
    <w:rPr>
      <w:rFonts w:ascii="Century Gothic" w:hAnsi="Century Gothic"/>
      <w:sz w:val="14"/>
    </w:rPr>
  </w:style>
  <w:style w:type="paragraph" w:customStyle="1" w:styleId="GraphShape">
    <w:name w:val="Graph Shape"/>
    <w:basedOn w:val="Normal"/>
    <w:next w:val="Normal"/>
    <w:pPr>
      <w:keepNext/>
      <w:spacing w:after="0" w:line="240" w:lineRule="auto"/>
    </w:pPr>
  </w:style>
  <w:style w:type="paragraph" w:customStyle="1" w:styleId="TableTitle">
    <w:name w:val="Table Title"/>
    <w:basedOn w:val="Normal"/>
    <w:next w:val="Normal"/>
    <w:pPr>
      <w:keepNext/>
      <w:pBdr>
        <w:top w:val="single" w:sz="2" w:space="5" w:color="auto"/>
        <w:bottom w:val="single" w:sz="2" w:space="5" w:color="auto"/>
      </w:pBdr>
      <w:spacing w:before="60" w:after="60" w:line="240" w:lineRule="auto"/>
      <w:ind w:right="100"/>
    </w:pPr>
    <w:rPr>
      <w:rFonts w:ascii="Century Gothic" w:hAnsi="Century Gothic"/>
      <w:color w:val="333399"/>
      <w:sz w:val="14"/>
    </w:rPr>
  </w:style>
  <w:style w:type="paragraph" w:customStyle="1" w:styleId="TableSource">
    <w:name w:val="Table Source"/>
    <w:basedOn w:val="Normal"/>
    <w:next w:val="Normal"/>
    <w:pPr>
      <w:pBdr>
        <w:top w:val="single" w:sz="2" w:space="5" w:color="auto"/>
        <w:bottom w:val="single" w:sz="2" w:space="5" w:color="auto"/>
      </w:pBdr>
      <w:spacing w:before="60" w:after="60" w:line="240" w:lineRule="auto"/>
      <w:ind w:right="100"/>
    </w:pPr>
    <w:rPr>
      <w:rFonts w:ascii="Century Gothic" w:hAnsi="Century Gothic"/>
      <w:sz w:val="14"/>
    </w:rPr>
  </w:style>
  <w:style w:type="paragraph" w:customStyle="1" w:styleId="TableShape">
    <w:name w:val="Table Shape"/>
    <w:basedOn w:val="Normal"/>
    <w:next w:val="Normal"/>
    <w:pPr>
      <w:keepNext/>
      <w:spacing w:after="0" w:line="240" w:lineRule="auto"/>
    </w:pPr>
  </w:style>
  <w:style w:type="paragraph" w:styleId="TOC1">
    <w:name w:val="toc 1"/>
    <w:basedOn w:val="Normal"/>
    <w:next w:val="Normal"/>
    <w:autoRedefine/>
    <w:semiHidden/>
    <w:unhideWhenUsed/>
    <w:pPr>
      <w:tabs>
        <w:tab w:val="left" w:pos="482"/>
        <w:tab w:val="right" w:pos="8504"/>
      </w:tabs>
      <w:spacing w:before="240" w:after="120"/>
      <w:ind w:left="482" w:right="425" w:hanging="482"/>
    </w:pPr>
    <w:rPr>
      <w:color w:val="333399"/>
    </w:rPr>
  </w:style>
  <w:style w:type="paragraph" w:styleId="TOC2">
    <w:name w:val="toc 2"/>
    <w:basedOn w:val="Normal"/>
    <w:next w:val="Normal"/>
    <w:autoRedefine/>
    <w:semiHidden/>
    <w:unhideWhenUsed/>
    <w:pPr>
      <w:tabs>
        <w:tab w:val="left" w:pos="482"/>
        <w:tab w:val="right" w:pos="8504"/>
      </w:tabs>
      <w:spacing w:after="100"/>
      <w:ind w:left="482" w:right="425" w:hanging="482"/>
    </w:pPr>
    <w:rPr>
      <w:color w:val="333399"/>
    </w:rPr>
  </w:style>
  <w:style w:type="paragraph" w:styleId="TOC3">
    <w:name w:val="toc 3"/>
    <w:basedOn w:val="Normal"/>
    <w:next w:val="Normal"/>
    <w:autoRedefine/>
    <w:semiHidden/>
    <w:unhideWhenUsed/>
    <w:pPr>
      <w:tabs>
        <w:tab w:val="left" w:pos="964"/>
        <w:tab w:val="right" w:pos="8504"/>
      </w:tabs>
      <w:spacing w:after="100"/>
      <w:ind w:left="964" w:right="425" w:hanging="482"/>
    </w:pPr>
    <w:rPr>
      <w:caps/>
      <w:color w:val="333399"/>
      <w:sz w:val="16"/>
    </w:rPr>
  </w:style>
  <w:style w:type="paragraph" w:styleId="TOC4">
    <w:name w:val="toc 4"/>
    <w:basedOn w:val="Normal"/>
    <w:next w:val="Normal"/>
    <w:autoRedefine/>
    <w:semiHidden/>
    <w:unhideWhenUsed/>
    <w:pPr>
      <w:tabs>
        <w:tab w:val="left" w:pos="1644"/>
        <w:tab w:val="right" w:pos="8504"/>
      </w:tabs>
      <w:spacing w:after="0"/>
      <w:ind w:left="1531" w:right="425" w:hanging="567"/>
    </w:pPr>
    <w:rPr>
      <w:rFonts w:ascii="Century Gothic" w:hAnsi="Century Gothic"/>
      <w:color w:val="333399"/>
      <w:sz w:val="16"/>
    </w:rPr>
  </w:style>
  <w:style w:type="paragraph" w:styleId="TOC5">
    <w:name w:val="toc 5"/>
    <w:basedOn w:val="Normal"/>
    <w:next w:val="Normal"/>
    <w:autoRedefine/>
    <w:semiHidden/>
    <w:unhideWhenUsed/>
    <w:pPr>
      <w:tabs>
        <w:tab w:val="left" w:pos="964"/>
        <w:tab w:val="right" w:pos="8504"/>
      </w:tabs>
      <w:spacing w:after="100"/>
      <w:ind w:left="964" w:right="425" w:hanging="482"/>
    </w:pPr>
    <w:rPr>
      <w:color w:val="333399"/>
      <w:sz w:val="16"/>
    </w:rPr>
  </w:style>
  <w:style w:type="paragraph" w:styleId="TOC6">
    <w:name w:val="toc 6"/>
    <w:basedOn w:val="Normal"/>
    <w:next w:val="Normal"/>
    <w:autoRedefine/>
    <w:semiHidden/>
    <w:unhideWhenUsed/>
    <w:pPr>
      <w:tabs>
        <w:tab w:val="right" w:pos="8504"/>
      </w:tabs>
      <w:spacing w:after="100"/>
      <w:ind w:right="425"/>
    </w:pPr>
    <w:rPr>
      <w:color w:val="333399"/>
    </w:rPr>
  </w:style>
  <w:style w:type="paragraph" w:styleId="TOC7">
    <w:name w:val="toc 7"/>
    <w:basedOn w:val="Normal"/>
    <w:next w:val="Normal"/>
    <w:autoRedefine/>
    <w:semiHidden/>
    <w:unhideWhenUsed/>
    <w:pPr>
      <w:tabs>
        <w:tab w:val="right" w:pos="8504"/>
      </w:tabs>
      <w:spacing w:after="100"/>
      <w:ind w:right="425"/>
    </w:pPr>
    <w:rPr>
      <w:color w:val="333399"/>
      <w:sz w:val="24"/>
    </w:rPr>
  </w:style>
  <w:style w:type="paragraph" w:customStyle="1" w:styleId="SectionTitleTop">
    <w:name w:val="Section Title Top"/>
    <w:basedOn w:val="SectionTitle"/>
    <w:pPr>
      <w:tabs>
        <w:tab w:val="right" w:pos="8504"/>
      </w:tabs>
      <w:spacing w:before="800"/>
    </w:pPr>
  </w:style>
  <w:style w:type="paragraph" w:styleId="Header">
    <w:name w:val="header"/>
    <w:basedOn w:val="Normal"/>
    <w:link w:val="HeaderChar"/>
    <w:unhideWhenUsed/>
    <w:pPr>
      <w:tabs>
        <w:tab w:val="center" w:pos="4513"/>
        <w:tab w:val="right" w:pos="9026"/>
      </w:tabs>
      <w:spacing w:after="0" w:line="240" w:lineRule="auto"/>
    </w:pPr>
  </w:style>
  <w:style w:type="character" w:customStyle="1" w:styleId="HeaderChar">
    <w:name w:val="Header Char"/>
    <w:basedOn w:val="DefaultParagraphFont"/>
    <w:link w:val="Header"/>
  </w:style>
  <w:style w:type="character" w:styleId="Hyperlink">
    <w:name w:val="Hyperlink"/>
    <w:basedOn w:val="DefaultParagraphFont"/>
    <w:uiPriority w:val="99"/>
    <w:unhideWhenUsed/>
    <w:rPr>
      <w:color w:val="0000FF" w:themeColor="hyperlink"/>
      <w:u w:val="single"/>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
    <w:basedOn w:val="Normal"/>
    <w:link w:val="ListParagraphChar"/>
    <w:uiPriority w:val="34"/>
    <w:qFormat/>
    <w:pPr>
      <w:ind w:left="720"/>
      <w:contextualSpacing/>
    </w:pPr>
  </w:style>
  <w:style w:type="paragraph" w:styleId="BalloonText">
    <w:name w:val="Balloon Text"/>
    <w:basedOn w:val="Normal"/>
    <w:link w:val="BalloonTextChar"/>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pPr>
      <w:spacing w:after="240" w:line="240" w:lineRule="auto"/>
      <w:jc w:val="both"/>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semiHidden/>
    <w:rPr>
      <w:rFonts w:ascii="Times New Roman" w:hAnsi="Times New Roman" w:cs="Times New Roman"/>
      <w:color w:val="000000"/>
      <w:sz w:val="20"/>
      <w:szCs w:val="20"/>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Times New Roman" w:hAnsi="Times New Roman" w:cs="Times New Roman"/>
      <w:b/>
      <w:bCs/>
      <w:color w:val="000000"/>
      <w:sz w:val="20"/>
      <w:szCs w:val="20"/>
    </w:rPr>
  </w:style>
  <w:style w:type="character" w:styleId="Strong">
    <w:name w:val="Strong"/>
    <w:basedOn w:val="DefaultParagraphFont"/>
    <w:uiPriority w:val="22"/>
    <w:qFormat/>
    <w:rPr>
      <w:b/>
      <w:bCs/>
    </w:rPr>
  </w:style>
  <w:style w:type="paragraph" w:styleId="Revision">
    <w:name w:val="Revision"/>
    <w:hidden/>
    <w:uiPriority w:val="99"/>
    <w:semiHidden/>
    <w:pPr>
      <w:spacing w:after="0" w:line="240" w:lineRule="auto"/>
    </w:p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style>
  <w:style w:type="table" w:customStyle="1" w:styleId="TableGrid18">
    <w:name w:val="Table Grid18"/>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sk-SK" w:bidi="sk-S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39"/>
    <w:lsdException w:name="toc 9" w:uiPriority="39"/>
    <w:lsdException w:name="footnote text" w:qFormat="1"/>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style>
  <w:style w:type="paragraph" w:styleId="Footer">
    <w:name w:val="footer"/>
    <w:basedOn w:val="Normal"/>
    <w:next w:val="Normal"/>
    <w:link w:val="FooterChar"/>
    <w:uiPriority w:val="99"/>
    <w:pPr>
      <w:spacing w:after="0" w:line="240" w:lineRule="auto"/>
    </w:pPr>
  </w:style>
  <w:style w:type="character" w:customStyle="1" w:styleId="FooterChar">
    <w:name w:val="Footer Char"/>
    <w:basedOn w:val="DefaultParagraphFont"/>
    <w:link w:val="Footer"/>
    <w:uiPriority w:val="99"/>
  </w:style>
  <w:style w:type="paragraph" w:styleId="FootnoteText">
    <w:name w:val="footnote text"/>
    <w:aliases w:val="Char1,Footnote Text Char3 Char,Footnote Text Char1 Char1 Char,Footnote Text Char2 Char Char Char,Footnote Text Char1 Char1 Char Char Char,Footnote Text Char2 Char Char Char Char Char,Footnote Text Char3,fn Char,Podrozdzi,Znak,Znak Zn"/>
    <w:basedOn w:val="Normal"/>
    <w:link w:val="FootnoteTextChar"/>
    <w:uiPriority w:val="99"/>
    <w:semiHidden/>
    <w:qFormat/>
    <w:pPr>
      <w:spacing w:after="0" w:line="240" w:lineRule="auto"/>
      <w:ind w:left="283" w:hanging="283"/>
    </w:pPr>
    <w:rPr>
      <w:sz w:val="16"/>
      <w:szCs w:val="20"/>
    </w:rPr>
  </w:style>
  <w:style w:type="character" w:customStyle="1" w:styleId="FootnoteTextChar">
    <w:name w:val="Footnote Text Char"/>
    <w:aliases w:val="Char1 Char,Footnote Text Char3 Char Char,Footnote Text Char1 Char1 Char Char,Footnote Text Char2 Char Char Char Char,Footnote Text Char1 Char1 Char Char Char Char,Footnote Text Char2 Char Char Char Char Char Char,fn Char Char"/>
    <w:basedOn w:val="DefaultParagraphFont"/>
    <w:link w:val="FootnoteText"/>
    <w:uiPriority w:val="99"/>
    <w:semiHidden/>
    <w:qFormat/>
    <w:rPr>
      <w:sz w:val="16"/>
      <w:szCs w:val="20"/>
    </w:rPr>
  </w:style>
  <w:style w:type="paragraph" w:customStyle="1" w:styleId="ChapterName">
    <w:name w:val="Chapter Name"/>
    <w:basedOn w:val="Normal"/>
    <w:next w:val="Normal"/>
    <w:pPr>
      <w:spacing w:before="1080" w:line="240" w:lineRule="auto"/>
    </w:pPr>
    <w:rPr>
      <w:b/>
      <w:color w:val="808080"/>
      <w:sz w:val="72"/>
    </w:rPr>
  </w:style>
  <w:style w:type="paragraph" w:customStyle="1" w:styleId="ChapterTitle">
    <w:name w:val="Chapter Title"/>
    <w:basedOn w:val="Normal"/>
    <w:next w:val="Normal"/>
    <w:pPr>
      <w:spacing w:line="240" w:lineRule="auto"/>
    </w:pPr>
    <w:rPr>
      <w:rFonts w:ascii="Century Gothic" w:hAnsi="Century Gothic"/>
      <w:color w:val="333399"/>
      <w:sz w:val="36"/>
    </w:rPr>
  </w:style>
  <w:style w:type="paragraph" w:customStyle="1" w:styleId="SectionTitle">
    <w:name w:val="Section Title"/>
    <w:basedOn w:val="Normal"/>
    <w:next w:val="SectionSubtitle"/>
    <w:pPr>
      <w:keepNext/>
      <w:spacing w:before="1080" w:line="240" w:lineRule="auto"/>
      <w:ind w:left="992" w:hanging="992"/>
    </w:pPr>
    <w:rPr>
      <w:rFonts w:ascii="Century Gothic" w:hAnsi="Century Gothic"/>
      <w:caps/>
      <w:color w:val="333399"/>
      <w:sz w:val="28"/>
    </w:rPr>
  </w:style>
  <w:style w:type="paragraph" w:customStyle="1" w:styleId="SectionTitletwolines">
    <w:name w:val="Section Title (two lines)"/>
    <w:basedOn w:val="Normal"/>
    <w:next w:val="SectionSubtitle"/>
    <w:pPr>
      <w:keepNext/>
      <w:spacing w:before="600" w:after="0" w:line="240" w:lineRule="auto"/>
      <w:ind w:left="992" w:hanging="992"/>
    </w:pPr>
    <w:rPr>
      <w:rFonts w:ascii="Century Gothic" w:hAnsi="Century Gothic"/>
      <w:caps/>
      <w:color w:val="333399"/>
      <w:sz w:val="28"/>
    </w:rPr>
  </w:style>
  <w:style w:type="paragraph" w:customStyle="1" w:styleId="SectionSubtitle">
    <w:name w:val="Section Subtitle"/>
    <w:basedOn w:val="Normal"/>
    <w:next w:val="Normal"/>
    <w:pPr>
      <w:spacing w:after="360" w:line="240" w:lineRule="auto"/>
      <w:ind w:left="992"/>
    </w:pPr>
    <w:rPr>
      <w:rFonts w:ascii="Century Gothic" w:hAnsi="Century Gothic"/>
      <w:color w:val="333399"/>
      <w:sz w:val="24"/>
    </w:rPr>
  </w:style>
  <w:style w:type="paragraph" w:customStyle="1" w:styleId="HeaderTitleLeft">
    <w:name w:val="Header Title Left"/>
    <w:basedOn w:val="Normal"/>
    <w:next w:val="Normal"/>
    <w:pPr>
      <w:tabs>
        <w:tab w:val="right" w:pos="8220"/>
      </w:tabs>
      <w:spacing w:before="100" w:after="40" w:line="240" w:lineRule="auto"/>
      <w:ind w:left="-1502"/>
    </w:pPr>
    <w:rPr>
      <w:rFonts w:ascii="Century Gothic" w:hAnsi="Century Gothic"/>
      <w:color w:val="333399"/>
      <w:sz w:val="14"/>
    </w:rPr>
  </w:style>
  <w:style w:type="paragraph" w:customStyle="1" w:styleId="HeaderSubtitleLeft">
    <w:name w:val="Header Subtitle Left"/>
    <w:basedOn w:val="Normal"/>
    <w:next w:val="Normal"/>
    <w:pPr>
      <w:tabs>
        <w:tab w:val="right" w:pos="8220"/>
      </w:tabs>
      <w:spacing w:after="0" w:line="240" w:lineRule="auto"/>
      <w:ind w:left="-1502"/>
    </w:pPr>
    <w:rPr>
      <w:rFonts w:ascii="Century Gothic" w:hAnsi="Century Gothic"/>
      <w:color w:val="333399"/>
      <w:sz w:val="14"/>
    </w:rPr>
  </w:style>
  <w:style w:type="paragraph" w:customStyle="1" w:styleId="HeaderTitleRight">
    <w:name w:val="Header Title Right"/>
    <w:basedOn w:val="Normal"/>
    <w:next w:val="Normal"/>
    <w:pPr>
      <w:spacing w:before="100" w:after="40" w:line="240" w:lineRule="auto"/>
      <w:ind w:right="-1502"/>
      <w:jc w:val="right"/>
    </w:pPr>
    <w:rPr>
      <w:rFonts w:ascii="Century Gothic" w:hAnsi="Century Gothic"/>
      <w:color w:val="333399"/>
      <w:sz w:val="14"/>
    </w:rPr>
  </w:style>
  <w:style w:type="paragraph" w:customStyle="1" w:styleId="HeaderSubtitleRight">
    <w:name w:val="Header Subtitle Right"/>
    <w:basedOn w:val="Normal"/>
    <w:next w:val="Normal"/>
    <w:pPr>
      <w:spacing w:after="0" w:line="240" w:lineRule="auto"/>
      <w:ind w:right="-1502"/>
      <w:jc w:val="right"/>
    </w:pPr>
    <w:rPr>
      <w:rFonts w:ascii="Century Gothic" w:hAnsi="Century Gothic"/>
      <w:color w:val="333399"/>
      <w:sz w:val="14"/>
    </w:rPr>
  </w:style>
  <w:style w:type="paragraph" w:customStyle="1" w:styleId="FooterPageNumber">
    <w:name w:val="Footer PageNumber"/>
    <w:basedOn w:val="Normal"/>
    <w:next w:val="Normal"/>
    <w:pPr>
      <w:framePr w:w="567" w:hSpace="992" w:wrap="around" w:vAnchor="page" w:hAnchor="page" w:xAlign="outside" w:y="16046"/>
      <w:spacing w:after="0" w:line="240" w:lineRule="auto"/>
      <w:jc w:val="center"/>
    </w:pPr>
    <w:rPr>
      <w:rFonts w:ascii="Century Gothic" w:hAnsi="Century Gothic"/>
      <w:color w:val="333399"/>
      <w:sz w:val="18"/>
    </w:rPr>
  </w:style>
  <w:style w:type="paragraph" w:customStyle="1" w:styleId="AnnexTitle">
    <w:name w:val="Annex Title"/>
    <w:basedOn w:val="Normal"/>
    <w:pPr>
      <w:spacing w:before="120" w:after="120" w:line="240" w:lineRule="auto"/>
    </w:pPr>
    <w:rPr>
      <w:rFonts w:ascii="Century Gothic" w:hAnsi="Century Gothic"/>
      <w:color w:val="333399"/>
      <w:sz w:val="28"/>
    </w:rPr>
  </w:style>
  <w:style w:type="paragraph" w:customStyle="1" w:styleId="PublicationTitle">
    <w:name w:val="Publication Title"/>
    <w:basedOn w:val="Normal"/>
    <w:next w:val="Normal"/>
    <w:pPr>
      <w:spacing w:before="2880" w:line="240" w:lineRule="auto"/>
    </w:pPr>
    <w:rPr>
      <w:rFonts w:ascii="Georgia" w:hAnsi="Georgia"/>
      <w:color w:val="333399"/>
      <w:sz w:val="48"/>
    </w:rPr>
  </w:style>
  <w:style w:type="paragraph" w:customStyle="1" w:styleId="PublicationSubtitle">
    <w:name w:val="Publication Subtitle"/>
    <w:basedOn w:val="Normal"/>
    <w:next w:val="Normal"/>
    <w:pPr>
      <w:spacing w:line="240" w:lineRule="auto"/>
    </w:pPr>
    <w:rPr>
      <w:rFonts w:ascii="Century Gothic" w:hAnsi="Century Gothic"/>
      <w:sz w:val="32"/>
    </w:rPr>
  </w:style>
  <w:style w:type="paragraph" w:customStyle="1" w:styleId="Series">
    <w:name w:val="Series"/>
    <w:basedOn w:val="Normal"/>
    <w:next w:val="Normal"/>
    <w:pPr>
      <w:tabs>
        <w:tab w:val="right" w:pos="8787"/>
      </w:tabs>
      <w:spacing w:before="6240" w:line="240" w:lineRule="auto"/>
    </w:pPr>
    <w:rPr>
      <w:rFonts w:ascii="Century Gothic" w:hAnsi="Century Gothic"/>
      <w:color w:val="333399"/>
    </w:rPr>
  </w:style>
  <w:style w:type="paragraph" w:customStyle="1" w:styleId="Institution">
    <w:name w:val="Institution"/>
    <w:basedOn w:val="Normal"/>
    <w:next w:val="Normal"/>
    <w:pPr>
      <w:spacing w:after="120" w:line="240" w:lineRule="auto"/>
    </w:pPr>
    <w:rPr>
      <w:rFonts w:ascii="Century Gothic" w:hAnsi="Century Gothic"/>
      <w:sz w:val="24"/>
    </w:rPr>
  </w:style>
  <w:style w:type="paragraph" w:customStyle="1" w:styleId="InstitutionSubtitle">
    <w:name w:val="Institution Subtitle"/>
    <w:basedOn w:val="Normal"/>
    <w:next w:val="Normal"/>
    <w:pPr>
      <w:spacing w:line="240" w:lineRule="auto"/>
    </w:pPr>
    <w:rPr>
      <w:rFonts w:ascii="Century Gothic" w:hAnsi="Century Gothic"/>
    </w:rPr>
  </w:style>
  <w:style w:type="paragraph" w:customStyle="1" w:styleId="PartTitle">
    <w:name w:val="Part Title"/>
    <w:basedOn w:val="Normal"/>
    <w:next w:val="Normal"/>
    <w:pPr>
      <w:spacing w:before="1080" w:line="240" w:lineRule="auto"/>
    </w:pPr>
    <w:rPr>
      <w:rFonts w:ascii="Georgia" w:hAnsi="Georgia"/>
      <w:color w:val="333399"/>
      <w:sz w:val="40"/>
    </w:rPr>
  </w:style>
  <w:style w:type="paragraph" w:customStyle="1" w:styleId="PartSubtitle">
    <w:name w:val="Part Subtitle"/>
    <w:basedOn w:val="Normal"/>
    <w:next w:val="Normal"/>
    <w:pPr>
      <w:spacing w:line="240" w:lineRule="auto"/>
    </w:pPr>
    <w:rPr>
      <w:rFonts w:ascii="Georgia" w:hAnsi="Georgia"/>
      <w:color w:val="333399"/>
      <w:sz w:val="32"/>
    </w:rPr>
  </w:style>
  <w:style w:type="character" w:customStyle="1" w:styleId="SectionNumber">
    <w:name w:val="Section Number"/>
    <w:rPr>
      <w:rFonts w:ascii="Times New Roman" w:hAnsi="Times New Roman" w:cs="Times New Roman"/>
      <w:b/>
      <w:color w:val="808080"/>
      <w:sz w:val="72"/>
    </w:rPr>
  </w:style>
  <w:style w:type="paragraph" w:customStyle="1" w:styleId="HeaderTitleLeft30">
    <w:name w:val="Header Title Left (30)"/>
    <w:basedOn w:val="Normal"/>
    <w:next w:val="Normal"/>
    <w:pPr>
      <w:tabs>
        <w:tab w:val="right" w:pos="8504"/>
      </w:tabs>
      <w:spacing w:before="100" w:after="40" w:line="240" w:lineRule="auto"/>
      <w:ind w:left="-850"/>
    </w:pPr>
    <w:rPr>
      <w:rFonts w:ascii="Century Gothic" w:hAnsi="Century Gothic"/>
      <w:color w:val="333399"/>
      <w:sz w:val="14"/>
    </w:rPr>
  </w:style>
  <w:style w:type="paragraph" w:customStyle="1" w:styleId="HeaderSubtitleLeft30">
    <w:name w:val="Header Subtitle Left (30)"/>
    <w:basedOn w:val="Normal"/>
    <w:next w:val="Normal"/>
    <w:pPr>
      <w:tabs>
        <w:tab w:val="right" w:pos="8504"/>
      </w:tabs>
      <w:spacing w:after="0" w:line="240" w:lineRule="auto"/>
      <w:ind w:left="-850"/>
    </w:pPr>
    <w:rPr>
      <w:rFonts w:ascii="Century Gothic" w:hAnsi="Century Gothic"/>
      <w:color w:val="333399"/>
      <w:sz w:val="14"/>
    </w:rPr>
  </w:style>
  <w:style w:type="paragraph" w:customStyle="1" w:styleId="HeaderTitleRight30">
    <w:name w:val="Header Title Right (30)"/>
    <w:basedOn w:val="Normal"/>
    <w:next w:val="Normal"/>
    <w:pPr>
      <w:spacing w:before="100" w:after="40" w:line="240" w:lineRule="auto"/>
      <w:ind w:right="-850"/>
      <w:jc w:val="right"/>
    </w:pPr>
    <w:rPr>
      <w:rFonts w:ascii="Century Gothic" w:hAnsi="Century Gothic"/>
      <w:color w:val="333399"/>
      <w:sz w:val="14"/>
    </w:rPr>
  </w:style>
  <w:style w:type="paragraph" w:customStyle="1" w:styleId="HeaderSubtitleRight30">
    <w:name w:val="Header Subtitle Right (30)"/>
    <w:basedOn w:val="Normal"/>
    <w:next w:val="Normal"/>
    <w:pPr>
      <w:spacing w:after="0" w:line="240" w:lineRule="auto"/>
      <w:ind w:right="-850"/>
      <w:jc w:val="right"/>
    </w:pPr>
    <w:rPr>
      <w:rFonts w:ascii="Century Gothic" w:hAnsi="Century Gothic"/>
      <w:color w:val="333399"/>
      <w:sz w:val="14"/>
    </w:rPr>
  </w:style>
  <w:style w:type="paragraph" w:customStyle="1" w:styleId="FooterPageNumber30">
    <w:name w:val="Footer PageNumber (30)"/>
    <w:basedOn w:val="Normal"/>
    <w:next w:val="Normal"/>
    <w:pPr>
      <w:framePr w:w="567" w:hSpace="567" w:wrap="around" w:vAnchor="page" w:hAnchor="page" w:xAlign="outside" w:y="16046"/>
      <w:spacing w:after="0" w:line="240" w:lineRule="auto"/>
      <w:jc w:val="center"/>
    </w:pPr>
    <w:rPr>
      <w:rFonts w:ascii="Century Gothic" w:hAnsi="Century Gothic"/>
      <w:color w:val="333399"/>
      <w:sz w:val="18"/>
    </w:rPr>
  </w:style>
  <w:style w:type="paragraph" w:customStyle="1" w:styleId="FooterPageNumber15">
    <w:name w:val="Footer PageNumber (15)"/>
    <w:basedOn w:val="Normal"/>
    <w:next w:val="Normal"/>
    <w:pPr>
      <w:framePr w:w="567" w:wrap="around" w:vAnchor="page" w:hAnchor="margin" w:xAlign="outside" w:y="16046"/>
      <w:spacing w:after="0" w:line="240" w:lineRule="auto"/>
      <w:jc w:val="center"/>
    </w:pPr>
    <w:rPr>
      <w:rFonts w:ascii="Century Gothic" w:hAnsi="Century Gothic"/>
      <w:color w:val="333399"/>
      <w:sz w:val="18"/>
    </w:rPr>
  </w:style>
  <w:style w:type="paragraph" w:customStyle="1" w:styleId="SectionTitlelarge">
    <w:name w:val="Section Title (large)"/>
    <w:basedOn w:val="Normal"/>
    <w:next w:val="SectionSubtitle"/>
    <w:pPr>
      <w:keepNext/>
      <w:spacing w:before="1080" w:line="240" w:lineRule="auto"/>
      <w:ind w:left="992" w:hanging="992"/>
    </w:pPr>
    <w:rPr>
      <w:rFonts w:ascii="Century Gothic" w:hAnsi="Century Gothic"/>
      <w:caps/>
      <w:color w:val="333399"/>
      <w:sz w:val="32"/>
    </w:rPr>
  </w:style>
  <w:style w:type="paragraph" w:customStyle="1" w:styleId="SectionTitletwolineslarge">
    <w:name w:val="Section Title (two lines) (large)"/>
    <w:basedOn w:val="Normal"/>
    <w:next w:val="SectionSubtitle"/>
    <w:pPr>
      <w:keepNext/>
      <w:spacing w:before="1080" w:after="40" w:line="240" w:lineRule="auto"/>
      <w:ind w:left="992" w:hanging="992"/>
    </w:pPr>
    <w:rPr>
      <w:rFonts w:ascii="Century Gothic" w:hAnsi="Century Gothic"/>
      <w:caps/>
      <w:color w:val="333399"/>
      <w:sz w:val="32"/>
    </w:rPr>
  </w:style>
  <w:style w:type="character" w:styleId="FootnoteReference">
    <w:name w:val="footnote reference"/>
    <w:uiPriority w:val="99"/>
    <w:rPr>
      <w:rFonts w:asciiTheme="minorHAnsi" w:eastAsiaTheme="minorHAnsi" w:hAnsiTheme="minorHAnsi" w:cstheme="minorBidi"/>
      <w:sz w:val="22"/>
      <w:vertAlign w:val="superscript"/>
    </w:rPr>
  </w:style>
  <w:style w:type="paragraph" w:customStyle="1" w:styleId="Heading">
    <w:name w:val="Heading"/>
    <w:basedOn w:val="Normal"/>
    <w:next w:val="Normal"/>
    <w:pPr>
      <w:keepNext/>
      <w:spacing w:before="120" w:after="120"/>
    </w:pPr>
    <w:rPr>
      <w:rFonts w:ascii="Century Gothic" w:hAnsi="Century Gothic"/>
      <w:b/>
      <w:color w:val="333399"/>
      <w:sz w:val="18"/>
    </w:rPr>
  </w:style>
  <w:style w:type="paragraph" w:customStyle="1" w:styleId="SideNote">
    <w:name w:val="Side Note"/>
    <w:basedOn w:val="Normal"/>
    <w:next w:val="Normal"/>
    <w:pPr>
      <w:keepNext/>
      <w:framePr w:w="1701" w:h="567" w:hSpace="227" w:wrap="around" w:vAnchor="text" w:hAnchor="page" w:xAlign="outside" w:y="1"/>
      <w:spacing w:line="240" w:lineRule="auto"/>
    </w:pPr>
    <w:rPr>
      <w:rFonts w:ascii="Century Gothic" w:hAnsi="Century Gothic"/>
      <w:color w:val="333399"/>
      <w:sz w:val="14"/>
    </w:rPr>
  </w:style>
  <w:style w:type="paragraph" w:customStyle="1" w:styleId="Abbreviation">
    <w:name w:val="Abbreviation"/>
    <w:basedOn w:val="Normal"/>
    <w:pPr>
      <w:spacing w:after="0"/>
      <w:ind w:left="1134" w:hanging="1134"/>
    </w:pPr>
  </w:style>
  <w:style w:type="paragraph" w:customStyle="1" w:styleId="BoxShape">
    <w:name w:val="Box Shape"/>
    <w:basedOn w:val="Normal"/>
    <w:next w:val="Normal"/>
    <w:pPr>
      <w:spacing w:before="120" w:after="120"/>
      <w:jc w:val="center"/>
    </w:pPr>
  </w:style>
  <w:style w:type="paragraph" w:customStyle="1" w:styleId="BoxContinueTop">
    <w:name w:val="Box Continue Top"/>
    <w:basedOn w:val="Normal"/>
    <w:next w:val="Normal"/>
    <w:pPr>
      <w:spacing w:before="20" w:after="0" w:line="240" w:lineRule="auto"/>
      <w:ind w:left="283"/>
    </w:pPr>
    <w:rPr>
      <w:rFonts w:ascii="Century Gothic" w:hAnsi="Century Gothic"/>
      <w:i/>
      <w:color w:val="333399"/>
      <w:sz w:val="14"/>
    </w:rPr>
  </w:style>
  <w:style w:type="paragraph" w:customStyle="1" w:styleId="BoxContinueBottom">
    <w:name w:val="Box Continue Bottom"/>
    <w:basedOn w:val="Normal"/>
    <w:next w:val="Normal"/>
    <w:pPr>
      <w:spacing w:after="20" w:line="240" w:lineRule="auto"/>
      <w:ind w:right="283"/>
      <w:jc w:val="right"/>
    </w:pPr>
    <w:rPr>
      <w:rFonts w:ascii="Century Gothic" w:hAnsi="Century Gothic"/>
      <w:i/>
      <w:color w:val="333399"/>
      <w:sz w:val="14"/>
    </w:rPr>
  </w:style>
  <w:style w:type="paragraph" w:customStyle="1" w:styleId="BottomTable">
    <w:name w:val="Bottom Table"/>
    <w:basedOn w:val="Normal"/>
    <w:next w:val="Normal"/>
    <w:pPr>
      <w:spacing w:after="0" w:line="240" w:lineRule="auto"/>
    </w:pPr>
  </w:style>
  <w:style w:type="paragraph" w:customStyle="1" w:styleId="DefaultTable">
    <w:name w:val="Default Table"/>
    <w:basedOn w:val="Normal"/>
    <w:next w:val="Normal"/>
    <w:pPr>
      <w:spacing w:after="0" w:line="240" w:lineRule="auto"/>
    </w:pPr>
  </w:style>
  <w:style w:type="paragraph" w:customStyle="1" w:styleId="BottomCenterTable">
    <w:name w:val="Bottom Center Table"/>
    <w:basedOn w:val="Normal"/>
    <w:next w:val="Normal"/>
    <w:pPr>
      <w:spacing w:before="160" w:after="0" w:line="240" w:lineRule="auto"/>
      <w:jc w:val="center"/>
    </w:pPr>
  </w:style>
  <w:style w:type="paragraph" w:customStyle="1" w:styleId="BottomTableRestrictedShape">
    <w:name w:val="Bottom Table Restricted Shape"/>
    <w:basedOn w:val="Normal"/>
    <w:next w:val="Normal"/>
    <w:pPr>
      <w:spacing w:before="160" w:after="0" w:line="240" w:lineRule="auto"/>
      <w:jc w:val="center"/>
    </w:pPr>
  </w:style>
  <w:style w:type="paragraph" w:customStyle="1" w:styleId="GraphTitle">
    <w:name w:val="Graph Title"/>
    <w:basedOn w:val="Normal"/>
    <w:next w:val="Normal"/>
    <w:pPr>
      <w:keepNext/>
      <w:pBdr>
        <w:top w:val="single" w:sz="2" w:space="5" w:color="auto"/>
        <w:bottom w:val="single" w:sz="2" w:space="5" w:color="auto"/>
      </w:pBdr>
      <w:spacing w:before="60" w:after="60" w:line="240" w:lineRule="auto"/>
      <w:ind w:right="100"/>
    </w:pPr>
    <w:rPr>
      <w:rFonts w:ascii="Century Gothic" w:hAnsi="Century Gothic"/>
      <w:color w:val="333399"/>
      <w:sz w:val="14"/>
    </w:rPr>
  </w:style>
  <w:style w:type="paragraph" w:customStyle="1" w:styleId="GraphSource">
    <w:name w:val="Graph Source"/>
    <w:basedOn w:val="Normal"/>
    <w:next w:val="Normal"/>
    <w:pPr>
      <w:pBdr>
        <w:top w:val="single" w:sz="2" w:space="5" w:color="auto"/>
        <w:bottom w:val="single" w:sz="2" w:space="5" w:color="auto"/>
      </w:pBdr>
      <w:spacing w:before="60" w:after="60" w:line="240" w:lineRule="auto"/>
      <w:ind w:right="100"/>
    </w:pPr>
    <w:rPr>
      <w:rFonts w:ascii="Century Gothic" w:hAnsi="Century Gothic"/>
      <w:sz w:val="14"/>
    </w:rPr>
  </w:style>
  <w:style w:type="paragraph" w:customStyle="1" w:styleId="GraphShape">
    <w:name w:val="Graph Shape"/>
    <w:basedOn w:val="Normal"/>
    <w:next w:val="Normal"/>
    <w:pPr>
      <w:keepNext/>
      <w:spacing w:after="0" w:line="240" w:lineRule="auto"/>
    </w:pPr>
  </w:style>
  <w:style w:type="paragraph" w:customStyle="1" w:styleId="TableTitle">
    <w:name w:val="Table Title"/>
    <w:basedOn w:val="Normal"/>
    <w:next w:val="Normal"/>
    <w:pPr>
      <w:keepNext/>
      <w:pBdr>
        <w:top w:val="single" w:sz="2" w:space="5" w:color="auto"/>
        <w:bottom w:val="single" w:sz="2" w:space="5" w:color="auto"/>
      </w:pBdr>
      <w:spacing w:before="60" w:after="60" w:line="240" w:lineRule="auto"/>
      <w:ind w:right="100"/>
    </w:pPr>
    <w:rPr>
      <w:rFonts w:ascii="Century Gothic" w:hAnsi="Century Gothic"/>
      <w:color w:val="333399"/>
      <w:sz w:val="14"/>
    </w:rPr>
  </w:style>
  <w:style w:type="paragraph" w:customStyle="1" w:styleId="TableSource">
    <w:name w:val="Table Source"/>
    <w:basedOn w:val="Normal"/>
    <w:next w:val="Normal"/>
    <w:pPr>
      <w:pBdr>
        <w:top w:val="single" w:sz="2" w:space="5" w:color="auto"/>
        <w:bottom w:val="single" w:sz="2" w:space="5" w:color="auto"/>
      </w:pBdr>
      <w:spacing w:before="60" w:after="60" w:line="240" w:lineRule="auto"/>
      <w:ind w:right="100"/>
    </w:pPr>
    <w:rPr>
      <w:rFonts w:ascii="Century Gothic" w:hAnsi="Century Gothic"/>
      <w:sz w:val="14"/>
    </w:rPr>
  </w:style>
  <w:style w:type="paragraph" w:customStyle="1" w:styleId="TableShape">
    <w:name w:val="Table Shape"/>
    <w:basedOn w:val="Normal"/>
    <w:next w:val="Normal"/>
    <w:pPr>
      <w:keepNext/>
      <w:spacing w:after="0" w:line="240" w:lineRule="auto"/>
    </w:pPr>
  </w:style>
  <w:style w:type="paragraph" w:styleId="TOC1">
    <w:name w:val="toc 1"/>
    <w:basedOn w:val="Normal"/>
    <w:next w:val="Normal"/>
    <w:autoRedefine/>
    <w:semiHidden/>
    <w:unhideWhenUsed/>
    <w:pPr>
      <w:tabs>
        <w:tab w:val="left" w:pos="482"/>
        <w:tab w:val="right" w:pos="8504"/>
      </w:tabs>
      <w:spacing w:before="240" w:after="120"/>
      <w:ind w:left="482" w:right="425" w:hanging="482"/>
    </w:pPr>
    <w:rPr>
      <w:color w:val="333399"/>
    </w:rPr>
  </w:style>
  <w:style w:type="paragraph" w:styleId="TOC2">
    <w:name w:val="toc 2"/>
    <w:basedOn w:val="Normal"/>
    <w:next w:val="Normal"/>
    <w:autoRedefine/>
    <w:semiHidden/>
    <w:unhideWhenUsed/>
    <w:pPr>
      <w:tabs>
        <w:tab w:val="left" w:pos="482"/>
        <w:tab w:val="right" w:pos="8504"/>
      </w:tabs>
      <w:spacing w:after="100"/>
      <w:ind w:left="482" w:right="425" w:hanging="482"/>
    </w:pPr>
    <w:rPr>
      <w:color w:val="333399"/>
    </w:rPr>
  </w:style>
  <w:style w:type="paragraph" w:styleId="TOC3">
    <w:name w:val="toc 3"/>
    <w:basedOn w:val="Normal"/>
    <w:next w:val="Normal"/>
    <w:autoRedefine/>
    <w:semiHidden/>
    <w:unhideWhenUsed/>
    <w:pPr>
      <w:tabs>
        <w:tab w:val="left" w:pos="964"/>
        <w:tab w:val="right" w:pos="8504"/>
      </w:tabs>
      <w:spacing w:after="100"/>
      <w:ind w:left="964" w:right="425" w:hanging="482"/>
    </w:pPr>
    <w:rPr>
      <w:caps/>
      <w:color w:val="333399"/>
      <w:sz w:val="16"/>
    </w:rPr>
  </w:style>
  <w:style w:type="paragraph" w:styleId="TOC4">
    <w:name w:val="toc 4"/>
    <w:basedOn w:val="Normal"/>
    <w:next w:val="Normal"/>
    <w:autoRedefine/>
    <w:semiHidden/>
    <w:unhideWhenUsed/>
    <w:pPr>
      <w:tabs>
        <w:tab w:val="left" w:pos="1644"/>
        <w:tab w:val="right" w:pos="8504"/>
      </w:tabs>
      <w:spacing w:after="0"/>
      <w:ind w:left="1531" w:right="425" w:hanging="567"/>
    </w:pPr>
    <w:rPr>
      <w:rFonts w:ascii="Century Gothic" w:hAnsi="Century Gothic"/>
      <w:color w:val="333399"/>
      <w:sz w:val="16"/>
    </w:rPr>
  </w:style>
  <w:style w:type="paragraph" w:styleId="TOC5">
    <w:name w:val="toc 5"/>
    <w:basedOn w:val="Normal"/>
    <w:next w:val="Normal"/>
    <w:autoRedefine/>
    <w:semiHidden/>
    <w:unhideWhenUsed/>
    <w:pPr>
      <w:tabs>
        <w:tab w:val="left" w:pos="964"/>
        <w:tab w:val="right" w:pos="8504"/>
      </w:tabs>
      <w:spacing w:after="100"/>
      <w:ind w:left="964" w:right="425" w:hanging="482"/>
    </w:pPr>
    <w:rPr>
      <w:color w:val="333399"/>
      <w:sz w:val="16"/>
    </w:rPr>
  </w:style>
  <w:style w:type="paragraph" w:styleId="TOC6">
    <w:name w:val="toc 6"/>
    <w:basedOn w:val="Normal"/>
    <w:next w:val="Normal"/>
    <w:autoRedefine/>
    <w:semiHidden/>
    <w:unhideWhenUsed/>
    <w:pPr>
      <w:tabs>
        <w:tab w:val="right" w:pos="8504"/>
      </w:tabs>
      <w:spacing w:after="100"/>
      <w:ind w:right="425"/>
    </w:pPr>
    <w:rPr>
      <w:color w:val="333399"/>
    </w:rPr>
  </w:style>
  <w:style w:type="paragraph" w:styleId="TOC7">
    <w:name w:val="toc 7"/>
    <w:basedOn w:val="Normal"/>
    <w:next w:val="Normal"/>
    <w:autoRedefine/>
    <w:semiHidden/>
    <w:unhideWhenUsed/>
    <w:pPr>
      <w:tabs>
        <w:tab w:val="right" w:pos="8504"/>
      </w:tabs>
      <w:spacing w:after="100"/>
      <w:ind w:right="425"/>
    </w:pPr>
    <w:rPr>
      <w:color w:val="333399"/>
      <w:sz w:val="24"/>
    </w:rPr>
  </w:style>
  <w:style w:type="paragraph" w:customStyle="1" w:styleId="SectionTitleTop">
    <w:name w:val="Section Title Top"/>
    <w:basedOn w:val="SectionTitle"/>
    <w:pPr>
      <w:tabs>
        <w:tab w:val="right" w:pos="8504"/>
      </w:tabs>
      <w:spacing w:before="800"/>
    </w:pPr>
  </w:style>
  <w:style w:type="paragraph" w:styleId="Header">
    <w:name w:val="header"/>
    <w:basedOn w:val="Normal"/>
    <w:link w:val="HeaderChar"/>
    <w:unhideWhenUsed/>
    <w:pPr>
      <w:tabs>
        <w:tab w:val="center" w:pos="4513"/>
        <w:tab w:val="right" w:pos="9026"/>
      </w:tabs>
      <w:spacing w:after="0" w:line="240" w:lineRule="auto"/>
    </w:pPr>
  </w:style>
  <w:style w:type="character" w:customStyle="1" w:styleId="HeaderChar">
    <w:name w:val="Header Char"/>
    <w:basedOn w:val="DefaultParagraphFont"/>
    <w:link w:val="Header"/>
  </w:style>
  <w:style w:type="character" w:styleId="Hyperlink">
    <w:name w:val="Hyperlink"/>
    <w:basedOn w:val="DefaultParagraphFont"/>
    <w:uiPriority w:val="99"/>
    <w:unhideWhenUsed/>
    <w:rPr>
      <w:color w:val="0000FF" w:themeColor="hyperlink"/>
      <w:u w:val="single"/>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
    <w:basedOn w:val="Normal"/>
    <w:link w:val="ListParagraphChar"/>
    <w:uiPriority w:val="34"/>
    <w:qFormat/>
    <w:pPr>
      <w:ind w:left="720"/>
      <w:contextualSpacing/>
    </w:pPr>
  </w:style>
  <w:style w:type="paragraph" w:styleId="BalloonText">
    <w:name w:val="Balloon Text"/>
    <w:basedOn w:val="Normal"/>
    <w:link w:val="BalloonTextChar"/>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pPr>
      <w:spacing w:after="240" w:line="240" w:lineRule="auto"/>
      <w:jc w:val="both"/>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semiHidden/>
    <w:rPr>
      <w:rFonts w:ascii="Times New Roman" w:hAnsi="Times New Roman" w:cs="Times New Roman"/>
      <w:color w:val="000000"/>
      <w:sz w:val="20"/>
      <w:szCs w:val="20"/>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Times New Roman" w:hAnsi="Times New Roman" w:cs="Times New Roman"/>
      <w:b/>
      <w:bCs/>
      <w:color w:val="000000"/>
      <w:sz w:val="20"/>
      <w:szCs w:val="20"/>
    </w:rPr>
  </w:style>
  <w:style w:type="character" w:styleId="Strong">
    <w:name w:val="Strong"/>
    <w:basedOn w:val="DefaultParagraphFont"/>
    <w:uiPriority w:val="22"/>
    <w:qFormat/>
    <w:rPr>
      <w:b/>
      <w:bCs/>
    </w:rPr>
  </w:style>
  <w:style w:type="paragraph" w:styleId="Revision">
    <w:name w:val="Revision"/>
    <w:hidden/>
    <w:uiPriority w:val="99"/>
    <w:semiHidden/>
    <w:pPr>
      <w:spacing w:after="0" w:line="240" w:lineRule="auto"/>
    </w:p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style>
  <w:style w:type="table" w:customStyle="1" w:styleId="TableGrid18">
    <w:name w:val="Table Grid18"/>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610227">
      <w:bodyDiv w:val="1"/>
      <w:marLeft w:val="0"/>
      <w:marRight w:val="0"/>
      <w:marTop w:val="0"/>
      <w:marBottom w:val="0"/>
      <w:divBdr>
        <w:top w:val="none" w:sz="0" w:space="0" w:color="auto"/>
        <w:left w:val="none" w:sz="0" w:space="0" w:color="auto"/>
        <w:bottom w:val="none" w:sz="0" w:space="0" w:color="auto"/>
        <w:right w:val="none" w:sz="0" w:space="0" w:color="auto"/>
      </w:divBdr>
    </w:div>
    <w:div w:id="1273440970">
      <w:bodyDiv w:val="1"/>
      <w:marLeft w:val="0"/>
      <w:marRight w:val="0"/>
      <w:marTop w:val="0"/>
      <w:marBottom w:val="0"/>
      <w:divBdr>
        <w:top w:val="none" w:sz="0" w:space="0" w:color="auto"/>
        <w:left w:val="none" w:sz="0" w:space="0" w:color="auto"/>
        <w:bottom w:val="none" w:sz="0" w:space="0" w:color="auto"/>
        <w:right w:val="none" w:sz="0" w:space="0" w:color="auto"/>
      </w:divBdr>
    </w:div>
    <w:div w:id="1321278181">
      <w:bodyDiv w:val="1"/>
      <w:marLeft w:val="0"/>
      <w:marRight w:val="0"/>
      <w:marTop w:val="0"/>
      <w:marBottom w:val="0"/>
      <w:divBdr>
        <w:top w:val="none" w:sz="0" w:space="0" w:color="auto"/>
        <w:left w:val="none" w:sz="0" w:space="0" w:color="auto"/>
        <w:bottom w:val="none" w:sz="0" w:space="0" w:color="auto"/>
        <w:right w:val="none" w:sz="0" w:space="0" w:color="auto"/>
      </w:divBdr>
    </w:div>
    <w:div w:id="1885017934">
      <w:bodyDiv w:val="1"/>
      <w:marLeft w:val="0"/>
      <w:marRight w:val="0"/>
      <w:marTop w:val="0"/>
      <w:marBottom w:val="0"/>
      <w:divBdr>
        <w:top w:val="none" w:sz="0" w:space="0" w:color="auto"/>
        <w:left w:val="none" w:sz="0" w:space="0" w:color="auto"/>
        <w:bottom w:val="none" w:sz="0" w:space="0" w:color="auto"/>
        <w:right w:val="none" w:sz="0" w:space="0" w:color="auto"/>
      </w:divBdr>
    </w:div>
    <w:div w:id="190614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yperlink" Target="https://www.consilium.europa.eu/media/35749/z-councils-council-configurations-ecofin-eurogroup-2018-180621-specific-commitments-to-ensure-the-continuity-and-completion-of-reforms-adopted-under-the-esm-programme_2.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header" Target="header9.xml"/></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media/35749/z-councils-council-configurations-ecofin-eurogroup-2018-180621-specific-commitments-to-ensure-the-continuity-and-completion-of-reforms-adopted-under-the-esm-programme_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ct:contentTypeSchema ct:_="" ma:_="" ma:contentTypeName="EC Document" ma:contentTypeID="0x010100258AA79CEB83498886A3A08681123250006FCFE00C5D85F84383A4CB18CE3724D2" ma:contentTypeVersion="4" ma:contentTypeDescription="Create a new document in this library." ma:contentTypeScope="" ma:versionID="02f2fe0dd79f484e07daf59e140d8f27" xmlns:ct="http://schemas.microsoft.com/office/2006/metadata/contentType" xmlns:ma="http://schemas.microsoft.com/office/2006/metadata/properties/metaAttributes">
<xsd:schema targetNamespace="http://schemas.microsoft.com/office/2006/metadata/properties" ma:root="true" ma:fieldsID="ee98f2b499ef618e5489bcd5bc98fb78" ns3:_="" ns4:_="" xmlns:xsd="http://www.w3.org/2001/XMLSchema" xmlns:xs="http://www.w3.org/2001/XMLSchema" xmlns:p="http://schemas.microsoft.com/office/2006/metadata/properties" xmlns:ns3="$ListId:Shared Documents;" xmlns:ns4="37c275fd-9572-4d80-bb3f-e0295c71b8c9">
<xsd:import namespace="$ListId:Shared Documents;"/>
<xsd:import namespace="37c275fd-9572-4d80-bb3f-e0295c71b8c9"/>
<xsd:element name="properties">
<xsd:complexType>
<xsd:sequence>
<xsd:element name="documentManagement">
<xsd:complexType>
<xsd:all>
<xsd:element ref="ns3:EC_Collab_Reference" minOccurs="0"/>
<xsd:element ref="ns3:EC_Collab_DocumentLanguage"/>
<xsd:element ref="ns3:EC_Collab_Status"/>
<xsd:element ref="ns4:EC_ARES_NUMBER" minOccurs="0"/>
<xsd:element ref="ns4:EC_ARES_DATE_TRANSFERRED" minOccurs="0"/>
<xsd:element ref="ns4:EC_ARES_TRANSFERRED_BY" minOccurs="0"/>
</xsd:all>
</xsd:complexType>
</xsd:element>
</xsd:sequence>
</xsd:complexType>
</xsd:element>
</xsd:schema>
<xsd:schema targetNamespace="$ListId:Shared Documents;" elementFormDefault="qualified" xmlns:xsd="http://www.w3.org/2001/XMLSchema" xmlns:xs="http://www.w3.org/2001/XMLSchema" xmlns:dms="http://schemas.microsoft.com/office/2006/documentManagement/types" xmlns:pc="http://schemas.microsoft.com/office/infopath/2007/PartnerControls">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4"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targetNamespace="37c275fd-9572-4d80-bb3f-e0295c71b8c9" elementFormDefault="qualified" xmlns:xsd="http://www.w3.org/2001/XMLSchema" xmlns:xs="http://www.w3.org/2001/XMLSchema" xmlns:dms="http://schemas.microsoft.com/office/2006/documentManagement/types" xmlns:pc="http://schemas.microsoft.com/office/infopath/2007/PartnerControls">
<xsd:import namespace="http://schemas.microsoft.com/office/2006/documentManagement/types"/>
<xsd:import namespace="http://schemas.microsoft.com/office/infopath/2007/PartnerControls"/>
<xsd:element name="EC_ARES_NUMBER" ma:index="15" nillable="true" ma:displayName="Ares Number" ma:format="Hyperlink"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6" nillable="true" ma:displayName="Transferred to ARES" ma:format="DateTime" ma:internalName="EC_ARES_DATE_TRANSFERRED">
<xsd:simpleType>
<xsd:restriction base="dms:DateTime"/>
</xsd:simpleType>
</xsd:element>
<xsd:element name="EC_ARES_TRANSFERRED_BY" ma:index="17" nillable="true" ma:displayName="Transferred By" ma:internalName="EC_ARES_TRANSFERRED_BY">
<xsd:simpleType>
<xsd:restriction base="dms:Text"/>
</xsd:simpleType>
</xsd:element>
</xsd:schema>
<xsd:schema targetNamespace="http://schemas.openxmlformats.org/package/2006/metadata/core-properties" elementFormDefault="qualified" attributeFormDefault="unqualified" blockDefault="#all" xmlns="http://schemas.openxmlformats.org/package/2006/metadata/core-properties" xmlns:xsd="http://www.w3.org/2001/XMLSchema" xmlns:xsi="http://www.w3.org/2001/XMLSchema-instance" xmlns:dc="http://purl.org/dc/elements/1.1/" xmlns:dcterms="http://purl.org/dc/terms/" xmlns:odoc="http://schemas.microsoft.com/internal/obd">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targetNamespace="http://schemas.microsoft.com/office/infopath/2007/PartnerControls" elementFormDefault="qualified" attributeFormDefault="unqualified" xmlns:pc="http://schemas.microsoft.com/office/infopath/2007/PartnerControls" xmlns:xs="http://www.w3.org/2001/XMLSchema">
<xs:element name="Person">
<xs:complexType>
<xs:sequence>
<xs:element ref="pc:DisplayName" minOccurs="0"></xs:element>
<xs:element ref="pc:AccountId" minOccurs="0"></xs:element>
<xs:element ref="pc:AccountType" minOccurs="0"></xs:element>
</xs:sequence>
</xs:complexType>
</xs:element>
<xs:element name="DisplayName" type="xs:string"></xs:element>
<xs:element name="AccountId" type="xs:string"></xs:element>
<xs:element name="AccountType" type="xs:string"></xs:element>
<xs:element name="BDCAssociatedEntity">
<xs:complexType>
<xs:sequence>
<xs:element ref="pc:BDCEntity" minOccurs="0" maxOccurs="unbounded"></xs:element>
</xs:sequence>
<xs:attribute ref="pc:EntityNamespace"></xs:attribute>
<xs:attribute ref="pc:EntityName"></xs:attribute>
<xs:attribute ref="pc:SystemInstanceName"></xs:attribute>
<xs:attribute ref="pc:AssociationName"></xs:attribute>
</xs:complexType>
</xs:element>
<xs:attribute name="EntityNamespace" type="xs:string"></xs:attribute>
<xs:attribute name="EntityName" type="xs:string"></xs:attribute>
<xs:attribute name="SystemInstanceName" type="xs:string"></xs:attribute>
<xs:attribute name="AssociationName" type="xs:string"></xs:attribute>
<xs:element name="BDCEntity">
<xs:complexType>
<xs:sequence>
<xs:element ref="pc:EntityDisplayName" minOccurs="0"></xs:element>
<xs:element ref="pc:EntityInstanceReference" minOccurs="0"></xs:element>
<xs:element ref="pc:EntityId1" minOccurs="0"></xs:element>
<xs:element ref="pc:EntityId2" minOccurs="0"></xs:element>
<xs:element ref="pc:EntityId3" minOccurs="0"></xs:element>
<xs:element ref="pc:EntityId4" minOccurs="0"></xs:element>
<xs:element ref="pc:EntityId5" minOccurs="0"></xs:element>
</xs:sequence>
</xs:complexType>
</xs:element>
<xs:element name="EntityDisplayName" type="xs:string"></xs:element>
<xs:element name="EntityInstanceReference" type="xs:string"></xs:element>
<xs:element name="EntityId1" type="xs:string"></xs:element>
<xs:element name="EntityId2" type="xs:string"></xs:element>
<xs:element name="EntityId3" type="xs:string"></xs:element>
<xs:element name="EntityId4" type="xs:string"></xs:element>
<xs:element name="EntityId5" type="xs:string"></xs:element>
<xs:element name="Terms">
<xs:complexType>
<xs:sequence>
<xs:element ref="pc:TermInfo" minOccurs="0" maxOccurs="unbounded"></xs:element>
</xs:sequence>
</xs:complexType>
</xs:element>
<xs:element name="TermInfo">
<xs:complexType>
<xs:sequence>
<xs:element ref="pc:TermName" minOccurs="0"></xs:element>
<xs:element ref="pc:TermId" minOccurs="0"></xs:element>
</xs:sequence>
</xs:complexType>
</xs:element>
<xs:element name="TermName" type="xs:string"></xs:element>
<xs:element name="TermId" type="xs:string"></xs:element>
</xs:schema>
</ct:contentTypeSchema>
</file>

<file path=customXml/item3.xml><?xml version="1.0" encoding="utf-8"?><p:properties xmlns:p="http://schemas.microsoft.com/office/2006/metadata/properties" xmlns:xsi="http://www.w3.org/2001/XMLSchema-instance" xmlns:pc="http://schemas.microsoft.com/office/infopath/2007/PartnerControls"><documentManagement><EC_Collab_Status xmlns="$ListId:Shared Documents;">Not Started</EC_Collab_Status><EC_Collab_Reference xmlns="$ListId:Shared Documents;" xsi:nil="true"></EC_Collab_Reference><EC_Collab_DocumentLanguage xmlns="$ListId:Shared Documents;">EN</EC_Collab_DocumentLanguage><EC_ARES_NUMBER xmlns="37c275fd-9572-4d80-bb3f-e0295c71b8c9"><Url xsi:nil="true"></Url><Description xsi:nil="true"></Description></EC_ARES_NUMBER><EC_ARES_DATE_TRANSFERRED xmlns="37c275fd-9572-4d80-bb3f-e0295c71b8c9" xsi:nil="true"/><EC_ARES_TRANSFERRED_BY xmlns="37c275fd-9572-4d80-bb3f-e0295c71b8c9" xsi:nil="true"/></documentManagement></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7EDEBE90-B36E-4951-B5A3-F4F27515E67D}">
  <ds:schemaRefs>
    <ds:schemaRef ds:uri="http://schemas.microsoft.com/sharepoint/v3/contenttype/forms"/>
  </ds:schemaRefs>
</ds:datastoreItem>
</file>

<file path=customXml/itemProps2.xml><?xml version="1.0" encoding="utf-8"?>
<ds:datastoreItem xmlns:ds="http://schemas.openxmlformats.org/officeDocument/2006/customXml" ds:itemID="{FF2EE47A-97DD-457C-9AAE-AE454058E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Shared Documents;"/>
    <ds:schemaRef ds:uri="37c275fd-9572-4d80-bb3f-e0295c71b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8B3907-2882-481F-AC5A-0395DA270EBF}">
  <ds:schemaRefs>
    <ds:schemaRef ds:uri="http://purl.org/dc/dcmitype/"/>
    <ds:schemaRef ds:uri="http://schemas.microsoft.com/office/infopath/2007/PartnerControls"/>
    <ds:schemaRef ds:uri="http://schemas.microsoft.com/office/2006/documentManagement/types"/>
    <ds:schemaRef ds:uri="$ListId:Shared Documents;"/>
    <ds:schemaRef ds:uri="http://purl.org/dc/elements/1.1/"/>
    <ds:schemaRef ds:uri="http://schemas.microsoft.com/office/2006/metadata/properties"/>
    <ds:schemaRef ds:uri="37c275fd-9572-4d80-bb3f-e0295c71b8c9"/>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16EFDD75-328F-4FAC-8E66-250AF8858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5981</Words>
  <Characters>37980</Characters>
  <Application>Microsoft Office Word</Application>
  <DocSecurity>0</DocSecurity>
  <Lines>550</Lines>
  <Paragraphs>130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2019-04-01T07:30:00Z</dcterms:created>
  <dcterms:modified xsi:type="dcterms:W3CDTF">2019-04-07T16:04:00Z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0x010100258AA79CEB83498886A3A08681123250006FCFE00C5D85F84383A4CB18CE3724D2</vt:lpwstr>
  </property>
  <property fmtid="{D5CDD505-2E9C-101B-9397-08002B2CF9AE}" pid="3" name="Last edited using">
    <vt:lpwstr>LW 6.0.1, Build 20180503</vt:lpwstr>
  </property>
  <property fmtid="{D5CDD505-2E9C-101B-9397-08002B2CF9AE}" pid="4" name="Level of sensitivity">
    <vt:lpwstr>Standard treatment</vt:lpwstr>
  </property>
  <property fmtid="{D5CDD505-2E9C-101B-9397-08002B2CF9AE}" pid="5" name="Part">
    <vt:lpwstr>1</vt:lpwstr>
  </property>
  <property fmtid="{D5CDD505-2E9C-101B-9397-08002B2CF9AE}" pid="6" name="Total parts">
    <vt:lpwstr>1</vt:lpwstr>
  </property>
  <property fmtid="{D5CDD505-2E9C-101B-9397-08002B2CF9AE}" pid="7" name="DocStatus">
    <vt:lpwstr>Green</vt:lpwstr>
  </property>
  <property fmtid="{D5CDD505-2E9C-101B-9397-08002B2CF9AE}" pid="8" name="Created using">
    <vt:lpwstr>LW 6.0.1, Build 20180503</vt:lpwstr>
  </property>
</Properties>
</file>