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D2CFE8E6-5B6F-44FC-AB22-8E777EC9B0DE" style="width:450.45pt;height:307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bookmarkStart w:id="1" w:name="TOC234897422"/>
      <w:bookmarkEnd w:id="1"/>
      <w:bookmarkEnd w:id="0"/>
    </w:p>
    <w:p>
      <w:pPr>
        <w:jc w:val="center"/>
        <w:rPr>
          <w:b/>
          <w:bCs/>
          <w:smallCaps/>
          <w:noProof/>
        </w:rPr>
      </w:pPr>
      <w:bookmarkStart w:id="2" w:name="_GoBack"/>
      <w:bookmarkEnd w:id="2"/>
      <w:r>
        <w:rPr>
          <w:b/>
          <w:smallCaps/>
          <w:noProof/>
        </w:rPr>
        <w:lastRenderedPageBreak/>
        <w:t>Správa o opatreniach prijatých v nadväznosti na požiadavky Európskeho parlamentu uvedené v jeho uzneseniach o udelení absolutória a na požiadavky Rady uvedené v jej odporúčaní na udelenie absolutória za rozpočtový rok 2016</w:t>
      </w:r>
    </w:p>
    <w:p>
      <w:pPr>
        <w:jc w:val="center"/>
        <w:rPr>
          <w:b/>
          <w:bCs/>
          <w:smallCaps/>
          <w:noProof/>
        </w:rPr>
      </w:pPr>
    </w:p>
    <w:p>
      <w:pPr>
        <w:pStyle w:val="ManualHeading1"/>
        <w:keepLines/>
        <w:ind w:left="851" w:firstLine="0"/>
        <w:rPr>
          <w:noProof/>
        </w:rPr>
      </w:pPr>
      <w:r>
        <w:rPr>
          <w:noProof/>
        </w:rPr>
        <w:t>Úvod</w:t>
      </w:r>
    </w:p>
    <w:p>
      <w:pPr>
        <w:pStyle w:val="Text1"/>
        <w:rPr>
          <w:noProof/>
        </w:rPr>
      </w:pPr>
      <w:r>
        <w:rPr>
          <w:rStyle w:val="Ninguno"/>
          <w:b/>
          <w:noProof/>
        </w:rPr>
        <w:t>Ustavičné úsilie Komisie, členských štátov a ostatných partnerov, ktorí sa podieľajú na riadení rozpočtu EÚ, viedlo v posledných rokoch k udržateľnému zlepšeniu finančného hospodárenia.</w:t>
      </w:r>
      <w:r>
        <w:rPr>
          <w:noProof/>
        </w:rPr>
        <w:t xml:space="preserve"> Potvrdzuje to skutočnosť, že Európsky dvor audítorov vo svojej výročnej správe za rok 2016 – prvýkrát, odkedy začal v roku 1994 poskytovať ročné vyhlásenie o vierohodnosti, – vydal výrok s výhradou o zákonnosti a riadnosti platieb, a nie záporný výrok. Približne polovica výdavkov EÚ kontrolovaných v rámci auditov bola pod prahom významnej chybovosti 2 %. Chybovosť klesla vo všetkých oblastiach politiky. </w:t>
      </w:r>
    </w:p>
    <w:p>
      <w:pPr>
        <w:pStyle w:val="Text1"/>
        <w:rPr>
          <w:rStyle w:val="Ninguno"/>
          <w:bCs/>
          <w:noProof/>
        </w:rPr>
      </w:pPr>
      <w:r>
        <w:rPr>
          <w:rStyle w:val="Ninguno"/>
          <w:noProof/>
        </w:rPr>
        <w:t xml:space="preserve">Európsky parlament a Rada preskúmali výročnú správu a ostatné príslušné správy od Európskeho dvora audítorov, ako aj integrovaný balík finančného vykazovania Komisie. Európsky parlament si okrem toho vymenil názory s vybranými komisármi, generálnym tajomníkom Komisie a generálnymi riaditeľmi a dostal odpovede na viac ako 450 písomných otázok. </w:t>
      </w:r>
    </w:p>
    <w:p>
      <w:pPr>
        <w:pStyle w:val="Text1"/>
        <w:rPr>
          <w:noProof/>
        </w:rPr>
      </w:pPr>
      <w:r>
        <w:rPr>
          <w:rStyle w:val="Ninguno"/>
          <w:b/>
          <w:noProof/>
        </w:rPr>
        <w:t>Európsky parlament 18. apríla 2018 – na odporúčanie Rady – udelil Komisii absolutórium za rozpočtový rok 2016.</w:t>
      </w:r>
      <w:r>
        <w:rPr>
          <w:noProof/>
        </w:rPr>
        <w:t xml:space="preserve"> </w:t>
      </w:r>
    </w:p>
    <w:p>
      <w:pPr>
        <w:pStyle w:val="Text1"/>
        <w:rPr>
          <w:noProof/>
        </w:rPr>
      </w:pPr>
      <w:r>
        <w:rPr>
          <w:noProof/>
        </w:rPr>
        <w:t xml:space="preserve">Absolutórium je proces, v rámci ktorého Európsky parlament a Rada skúmajú plnenie rozpočtu EÚ, pričom Komisia nesie zodpovednosť za svoje finančné hospodárenie. Všetkým zainteresovaným stranám poskytuje aj príležitosť na posúdenie minulého vývoja a identifikáciu slabých stránok, ktoré treba riešiť, ako aj osvedčených postupov, ktoré treba šíriť, s cieľom ďalej zlepšovať finančné hospodárenie a dosiahnuť s rozpočtom EÚ v budúcnosti ešte lepšie výsledky. </w:t>
      </w:r>
    </w:p>
    <w:p>
      <w:pPr>
        <w:pStyle w:val="Text1"/>
        <w:rPr>
          <w:rStyle w:val="Ninguno"/>
          <w:b/>
          <w:bCs/>
          <w:noProof/>
        </w:rPr>
      </w:pPr>
      <w:r>
        <w:rPr>
          <w:rStyle w:val="Ninguno"/>
          <w:b/>
          <w:noProof/>
        </w:rPr>
        <w:t xml:space="preserve">Absolutórium za rok 2016 poskytlo mimoriadne dobrú príležitosť poučiť sa z minulosti s cieľom zlepšiť sa v budúcnosti, </w:t>
      </w:r>
      <w:r>
        <w:rPr>
          <w:noProof/>
        </w:rPr>
        <w:t>lebo prebiehalo súčasne s procesom reflexie v oblasti budúceho viacročného finančného rámca.</w:t>
      </w:r>
      <w:r>
        <w:rPr>
          <w:rStyle w:val="Ninguno"/>
          <w:b/>
          <w:noProof/>
        </w:rPr>
        <w:t xml:space="preserve"> </w:t>
      </w:r>
    </w:p>
    <w:p>
      <w:pPr>
        <w:pStyle w:val="Text1"/>
        <w:rPr>
          <w:noProof/>
        </w:rPr>
      </w:pPr>
      <w:r>
        <w:rPr>
          <w:noProof/>
        </w:rPr>
        <w:t xml:space="preserve">Na základe správ Európskeho dvora audítorov, správ Komisie o hospodárení s rozpočtom EÚ a jeho výkonnosti, ako aj výmen názorov s komisármi </w:t>
      </w:r>
      <w:r>
        <w:rPr>
          <w:rStyle w:val="Ninguno"/>
          <w:b/>
          <w:noProof/>
        </w:rPr>
        <w:t>Európsky parlament stanovil politické priority, ktoré boli výrazne orientované na výhľad do budúcnosti. Tieto priority sú v pomerne veľkej miere zohľadnené v návrhu Komisie týkajúcom sa viacročného finančného rámca na obdobie 2021 – 2027,</w:t>
      </w:r>
      <w:r>
        <w:rPr>
          <w:noProof/>
        </w:rPr>
        <w:t xml:space="preserve"> ktorý je založený na týchto zásadách:</w:t>
      </w:r>
    </w:p>
    <w:p>
      <w:pPr>
        <w:pStyle w:val="Text1"/>
        <w:numPr>
          <w:ilvl w:val="0"/>
          <w:numId w:val="31"/>
        </w:numPr>
        <w:pBdr>
          <w:top w:val="nil"/>
          <w:left w:val="nil"/>
          <w:bottom w:val="nil"/>
          <w:right w:val="nil"/>
          <w:between w:val="nil"/>
          <w:bar w:val="nil"/>
        </w:pBdr>
        <w:rPr>
          <w:noProof/>
        </w:rPr>
      </w:pPr>
      <w:r>
        <w:rPr>
          <w:noProof/>
        </w:rPr>
        <w:t>cielenejšie zameranie na európsku pridanú hodnotu,</w:t>
      </w:r>
    </w:p>
    <w:p>
      <w:pPr>
        <w:pStyle w:val="Text1"/>
        <w:numPr>
          <w:ilvl w:val="0"/>
          <w:numId w:val="31"/>
        </w:numPr>
        <w:pBdr>
          <w:top w:val="nil"/>
          <w:left w:val="nil"/>
          <w:bottom w:val="nil"/>
          <w:right w:val="nil"/>
          <w:between w:val="nil"/>
          <w:bar w:val="nil"/>
        </w:pBdr>
        <w:rPr>
          <w:noProof/>
        </w:rPr>
      </w:pPr>
      <w:r>
        <w:rPr>
          <w:noProof/>
        </w:rPr>
        <w:t>jednoduchší a transparentnejší rozpočet,</w:t>
      </w:r>
    </w:p>
    <w:p>
      <w:pPr>
        <w:pStyle w:val="Text1"/>
        <w:numPr>
          <w:ilvl w:val="0"/>
          <w:numId w:val="31"/>
        </w:numPr>
        <w:pBdr>
          <w:top w:val="nil"/>
          <w:left w:val="nil"/>
          <w:bottom w:val="nil"/>
          <w:right w:val="nil"/>
          <w:between w:val="nil"/>
          <w:bar w:val="nil"/>
        </w:pBdr>
        <w:rPr>
          <w:noProof/>
        </w:rPr>
      </w:pPr>
      <w:r>
        <w:rPr>
          <w:noProof/>
        </w:rPr>
        <w:t>menej byrokracie pre príjemcov,</w:t>
      </w:r>
    </w:p>
    <w:p>
      <w:pPr>
        <w:pStyle w:val="Text1"/>
        <w:numPr>
          <w:ilvl w:val="0"/>
          <w:numId w:val="31"/>
        </w:numPr>
        <w:pBdr>
          <w:top w:val="nil"/>
          <w:left w:val="nil"/>
          <w:bottom w:val="nil"/>
          <w:right w:val="nil"/>
          <w:between w:val="nil"/>
          <w:bar w:val="nil"/>
        </w:pBdr>
        <w:rPr>
          <w:noProof/>
        </w:rPr>
      </w:pPr>
      <w:r>
        <w:rPr>
          <w:noProof/>
        </w:rPr>
        <w:t>flexibilnejší a aktívnejší rozpočet,</w:t>
      </w:r>
    </w:p>
    <w:p>
      <w:pPr>
        <w:pStyle w:val="Text1"/>
        <w:numPr>
          <w:ilvl w:val="0"/>
          <w:numId w:val="31"/>
        </w:numPr>
        <w:pBdr>
          <w:top w:val="nil"/>
          <w:left w:val="nil"/>
          <w:bottom w:val="nil"/>
          <w:right w:val="nil"/>
          <w:between w:val="nil"/>
          <w:bar w:val="nil"/>
        </w:pBdr>
        <w:rPr>
          <w:noProof/>
        </w:rPr>
      </w:pPr>
      <w:r>
        <w:rPr>
          <w:noProof/>
        </w:rPr>
        <w:t>rozpočet, ktorý prináša výsledky.</w:t>
      </w:r>
    </w:p>
    <w:p>
      <w:pPr>
        <w:pStyle w:val="Text1"/>
        <w:rPr>
          <w:noProof/>
        </w:rPr>
      </w:pPr>
      <w:r>
        <w:rPr>
          <w:noProof/>
        </w:rPr>
        <w:t xml:space="preserve">Návrhy Komisie týkajúce sa budúceho viacročného finančného rámca a príslušné finančné programy sú zamerané na dosiahnutie výsledkov (výkonnosť) a zároveň na zabezpečenie silného finančného hospodárenia (dodržiavanie predpisov). </w:t>
      </w:r>
    </w:p>
    <w:p>
      <w:pPr>
        <w:pStyle w:val="Text1"/>
        <w:rPr>
          <w:noProof/>
        </w:rPr>
      </w:pPr>
      <w:r>
        <w:rPr>
          <w:noProof/>
        </w:rPr>
        <w:lastRenderedPageBreak/>
        <w:t>Výkonnostný rámec pre rozpočet EÚ sa už zlepšil v programoch na obdobie 2014 – 2020, treba však urobiť ešte viac.</w:t>
      </w:r>
      <w:r>
        <w:rPr>
          <w:rStyle w:val="Ninguno"/>
          <w:b/>
          <w:noProof/>
        </w:rPr>
        <w:t xml:space="preserve"> </w:t>
      </w:r>
      <w:r>
        <w:rPr>
          <w:noProof/>
        </w:rPr>
        <w:t xml:space="preserve">Z tohto dôvodu Komisia vo svojich návrhoch programov na obdobie 2021 – 2027 </w:t>
      </w:r>
      <w:r>
        <w:rPr>
          <w:rStyle w:val="Ninguno"/>
          <w:b/>
          <w:noProof/>
        </w:rPr>
        <w:t>navrhuje zintenzívniť zameranie na výkonnosť vo všetkých programoch,</w:t>
      </w:r>
      <w:r>
        <w:rPr>
          <w:noProof/>
        </w:rPr>
        <w:t xml:space="preserve"> a to aj stanovením jasnejších cieľov a zameraním sa na menší počet kvalitnejších ukazovateľov výkonnosti. Tým sa uľahčí monitorovanie a meranie výsledkov, ako aj vykonanie prípadných zmien.</w:t>
      </w:r>
    </w:p>
    <w:p>
      <w:pPr>
        <w:pStyle w:val="Text1"/>
        <w:rPr>
          <w:noProof/>
        </w:rPr>
      </w:pPr>
      <w:r>
        <w:rPr>
          <w:noProof/>
        </w:rPr>
        <w:t xml:space="preserve">Komisia vynaloží maximálne úsilie na zabezpečenie stáleho zjednodušovania predpisov, aktívneho riešenia finančných rizík a v konečnom dôsledku aj ochrany rozpočtu EÚ. Tento záväzok viedol k ďalšiemu zníženiu </w:t>
      </w:r>
      <w:r>
        <w:rPr>
          <w:rStyle w:val="Ninguno"/>
          <w:b/>
          <w:noProof/>
        </w:rPr>
        <w:t>celkovej sumy výdavkov Komisie vystavených riziku, ktoré sa pre vykazovaný rok 2017 predpokladajú nižšie ako 2 %</w:t>
      </w:r>
      <w:r>
        <w:rPr>
          <w:rStyle w:val="Ninguno"/>
          <w:noProof/>
          <w:vertAlign w:val="superscript"/>
        </w:rPr>
        <w:footnoteReference w:id="2"/>
      </w:r>
      <w:r>
        <w:rPr>
          <w:noProof/>
        </w:rPr>
        <w:t xml:space="preserve"> – čo je zohľadnené aj v návrhoch budúcich finančných programov.</w:t>
      </w:r>
    </w:p>
    <w:p>
      <w:pPr>
        <w:pStyle w:val="Text1"/>
        <w:rPr>
          <w:noProof/>
        </w:rPr>
      </w:pPr>
      <w:r>
        <w:rPr>
          <w:rStyle w:val="Ninguno"/>
          <w:b/>
          <w:noProof/>
        </w:rPr>
        <w:t>V tejto správe sa uvádza zhrnutie opatrení Komisie prijatých v nadväznosti na kľúčové požiadavky Európskeho parlamentu a Rady uvedené v absolutóriu za rok 2016 a táto správa je súčasťou integrovaného balíka finančného vykazovania za rozpočtový rok 2017</w:t>
      </w:r>
      <w:r>
        <w:rPr>
          <w:noProof/>
        </w:rPr>
        <w:t>. Zameriava sa najmä na: 1. politické priority; 2. rozpočtové a finančné hospodárenie; 3. výkonnosť; 4. príjmy; 5. začlenenie Európskeho rozvojového fondu do všeobecného rozpočtu a 6. urýchlenie postupu udelenia absolutória.</w:t>
      </w:r>
    </w:p>
    <w:p>
      <w:pPr>
        <w:pStyle w:val="Text1"/>
        <w:rPr>
          <w:noProof/>
        </w:rPr>
      </w:pPr>
      <w:r>
        <w:rPr>
          <w:noProof/>
        </w:rPr>
        <w:t>Podrobnejšie odpovede na konkrétne požiadavky Európskeho parlamentu a Rady týkajúce sa udelenia absolutória vrátane požiadaviek týkajúcich sa osobitných správ Európskeho dvora audítorov, na ktoré sa takisto vzťahuje postup udelenia absolutória za rok 2016, budú uverejnené neskôr.</w:t>
      </w:r>
    </w:p>
    <w:p>
      <w:pPr>
        <w:pStyle w:val="ManualHeading1"/>
        <w:keepLines/>
        <w:numPr>
          <w:ilvl w:val="0"/>
          <w:numId w:val="33"/>
        </w:numPr>
        <w:pBdr>
          <w:top w:val="nil"/>
          <w:left w:val="nil"/>
          <w:bottom w:val="nil"/>
          <w:right w:val="nil"/>
          <w:between w:val="nil"/>
          <w:bar w:val="nil"/>
        </w:pBdr>
        <w:rPr>
          <w:noProof/>
        </w:rPr>
      </w:pPr>
      <w:r>
        <w:rPr>
          <w:noProof/>
        </w:rPr>
        <w:t xml:space="preserve">Politické priority </w:t>
      </w:r>
    </w:p>
    <w:p>
      <w:pPr>
        <w:pStyle w:val="Text1"/>
        <w:ind w:left="856"/>
        <w:rPr>
          <w:noProof/>
        </w:rPr>
      </w:pPr>
      <w:r>
        <w:rPr>
          <w:noProof/>
        </w:rPr>
        <w:t xml:space="preserve">Európsky parlament vo všeobecnom uznesení o udelení absolutória za rok 2016 zdôrazňuje jeho politické priority. Zoširoka sa o nich diskutovalo počas postupu udelenia absolutória najmä so spravodajcom a s členmi Výboru pre kontrolu rozpočtu. List komisára Oettingera z 28. februára 2018 svedčí o formálnom záväzku Komisie v plnej miere a včas vykonať súbor krokov a opatrení. Veľká časť z nich je spojená </w:t>
      </w:r>
      <w:r>
        <w:rPr>
          <w:rStyle w:val="Ninguno"/>
          <w:b/>
          <w:noProof/>
        </w:rPr>
        <w:t xml:space="preserve">s budúcim viacročným finančným rámcom a legislatívnymi návrhmi, </w:t>
      </w:r>
      <w:r>
        <w:rPr>
          <w:noProof/>
        </w:rPr>
        <w:t xml:space="preserve">ktoré Komisia predložila v máji a júni 2018. </w:t>
      </w:r>
    </w:p>
    <w:p>
      <w:pPr>
        <w:pStyle w:val="Text1"/>
        <w:ind w:left="856"/>
        <w:rPr>
          <w:noProof/>
        </w:rPr>
      </w:pPr>
      <w:r>
        <w:rPr>
          <w:noProof/>
        </w:rPr>
        <w:t xml:space="preserve">Tieto návrhy sú založené na výsledkoch komplexného preskúmania výdavkov, ktoré pomohlo Komisii identifikovať, čo fungovalo v minulosti dobre a čo by sa malo zachovať, ale tiež odhaliť, kde je potrebná reforma na využitie celého potenciálu rozpočtu EÚ. </w:t>
      </w:r>
    </w:p>
    <w:p>
      <w:pPr>
        <w:pStyle w:val="Text1"/>
        <w:ind w:left="856"/>
        <w:rPr>
          <w:noProof/>
        </w:rPr>
      </w:pPr>
      <w:r>
        <w:rPr>
          <w:noProof/>
        </w:rPr>
        <w:t xml:space="preserve">Pokiaľ ide o </w:t>
      </w:r>
      <w:r>
        <w:rPr>
          <w:rStyle w:val="Ninguno"/>
          <w:b/>
          <w:noProof/>
        </w:rPr>
        <w:t>požiadavky spojené s budúcim viacročným finančným rámcom</w:t>
      </w:r>
      <w:r>
        <w:rPr>
          <w:noProof/>
        </w:rPr>
        <w:t>, Komisia sa vo svojich návrhoch venovala týmto záležitostiam:</w:t>
      </w:r>
    </w:p>
    <w:p>
      <w:pPr>
        <w:pStyle w:val="Text1"/>
        <w:ind w:left="856"/>
        <w:rPr>
          <w:noProof/>
        </w:rPr>
      </w:pPr>
      <w:r>
        <w:rPr>
          <w:rStyle w:val="Ninguno"/>
          <w:noProof/>
        </w:rPr>
        <w:t>Pokiaľ ide o</w:t>
      </w:r>
      <w:r>
        <w:rPr>
          <w:rStyle w:val="Ninguno"/>
          <w:b/>
          <w:noProof/>
        </w:rPr>
        <w:t xml:space="preserve"> zosúladenie politických cieľov a finančných cyklov s trvaním mandátov Európskeho parlamentu a Komisie</w:t>
      </w:r>
      <w:r>
        <w:rPr>
          <w:noProof/>
        </w:rPr>
        <w:t xml:space="preserve">, navrhnutý finančný rámec bude trvať sedem rokov, od roku 2021 do roku 2027, s preskúmaním v polovici trvania v roku 2023, ktoré poskytne príležitosť na prípadné potrebné úpravy. Hoci Komisia uznáva význam postupnej synchronizácie trvania viacročného finančného rámca s päťročným politickým cyklom európskych inštitúcií, prechod na päťročný cyklus v roku 2021 by nezabezpečil optimálne zosúladenie. Navrhovaný sedemročný cyklus </w:t>
      </w:r>
      <w:r>
        <w:rPr>
          <w:noProof/>
        </w:rPr>
        <w:lastRenderedPageBreak/>
        <w:t>umožní Komisii, ktorá prevezme mandát po európskych voľbách v roku 2024, aby predstavila nový rámec v trvaní päť rokov, ktorý sa začne v roku 2028.</w:t>
      </w:r>
    </w:p>
    <w:p>
      <w:pPr>
        <w:pStyle w:val="Text1"/>
        <w:ind w:left="856"/>
        <w:rPr>
          <w:noProof/>
        </w:rPr>
      </w:pPr>
      <w:r>
        <w:rPr>
          <w:rStyle w:val="Ninguno"/>
          <w:noProof/>
        </w:rPr>
        <w:t xml:space="preserve">Európsky parlament vyzdvihol aj to, že rozpočet EÚ </w:t>
      </w:r>
      <w:r>
        <w:rPr>
          <w:rStyle w:val="Ninguno"/>
          <w:b/>
          <w:noProof/>
        </w:rPr>
        <w:t xml:space="preserve">by mal byť rozpočtom so skutočnou európskou pridanou hodnotou </w:t>
      </w:r>
      <w:r>
        <w:rPr>
          <w:noProof/>
        </w:rPr>
        <w:t xml:space="preserve">zameraným na spoločné ciele Európskej únie podporovať udržateľný hospodársky a sociálny rozvoj celej Únie, čo nemôžu dosiahnuť jednotlivé členské štáty samostatne. Vďaka tomu, že členské štáty združujú svoje prostriedky na európskej úrovni, dokážu dosiahnuť viac, ako keby konali samostatne. Rozpočet EÚ dopĺňa vnútroštátne rozpočty a široký súbor legislatívnych a regulačných nástrojov na podporu spoločných cieľov, riešenie spoločných problémov a presadzovanie európskych politík. Opatrenie na európskej úrovni sa prijme vtedy, keď bude efektívnejšie a účinnejšie ako opatrenie na vnútroštátnej, regionálnej alebo miestnej úrovni. </w:t>
      </w:r>
    </w:p>
    <w:p>
      <w:pPr>
        <w:pStyle w:val="Text1"/>
        <w:ind w:left="856"/>
        <w:rPr>
          <w:noProof/>
        </w:rPr>
      </w:pPr>
      <w:r>
        <w:rPr>
          <w:noProof/>
        </w:rPr>
        <w:t>Európska pridaná hodnota teda predstavuje dosiahnutie cieľov stanovených v zmluve a pomáha pri presadzovaní základných hodnôt, práv a slobôd. Je tiež jedným zo stavebných blokov rámca Komisie pre lepšiu tvorbu práva. Posúdenie pridanej hodnoty EÚ na základe kritérií stanovených v diskusnom dokumente o budúcnosti financií EÚ</w:t>
      </w:r>
      <w:r>
        <w:rPr>
          <w:rStyle w:val="Ninguno"/>
          <w:noProof/>
          <w:vertAlign w:val="superscript"/>
        </w:rPr>
        <w:footnoteReference w:id="3"/>
      </w:r>
      <w:r>
        <w:rPr>
          <w:noProof/>
        </w:rPr>
        <w:t xml:space="preserve"> bolo súčasťou procesu posúdenia vplyvu budúcich finančných programov, ako aj jednou z hlavných zásad pri navrhovaní budúceho viacročného finančného rámca. V oznámení priloženom k návrhu viacročného finančného rámca sa opisuje každý nový program vrátane jeho európskej pridanej hodnoty.</w:t>
      </w:r>
    </w:p>
    <w:p>
      <w:pPr>
        <w:pStyle w:val="Text1"/>
        <w:ind w:left="856"/>
        <w:rPr>
          <w:noProof/>
        </w:rPr>
      </w:pPr>
      <w:r>
        <w:rPr>
          <w:noProof/>
        </w:rPr>
        <w:t xml:space="preserve">Pokiaľ ide o </w:t>
      </w:r>
      <w:r>
        <w:rPr>
          <w:rStyle w:val="Ninguno"/>
          <w:b/>
          <w:noProof/>
        </w:rPr>
        <w:t>dlhodobý rozpočet určený na priority Únie, v nových návrhoch</w:t>
      </w:r>
      <w:r>
        <w:rPr>
          <w:noProof/>
        </w:rPr>
        <w:t xml:space="preserve"> sa plne zosúlaďuje štruktúra a programy rozpočtu EÚ s pozitívnym programom Únie po roku 2020, ako sa dohodli lídri 27 členských štátov v Bratislave a Ríme. V tomto kontexte je výkonnosť jadrom rozpočtu EÚ.</w:t>
      </w:r>
    </w:p>
    <w:p>
      <w:pPr>
        <w:pStyle w:val="Text1"/>
        <w:ind w:left="856"/>
        <w:rPr>
          <w:noProof/>
        </w:rPr>
      </w:pPr>
      <w:r>
        <w:rPr>
          <w:noProof/>
        </w:rPr>
        <w:t>Nová architektúra budúceho viacročného finančného rámca poskytuje väčšiu transparentnosť účelov rozpočtu EÚ a spôsobov, ako na ne rôzne časti rozpočtu prispievajú. Takisto zabezpečuje potrebnú flexibilitu, ktorá umožní reagovať na vyvíjajúce sa potreby. Programy sú usporiadané okolo hlavných tematických výdavkových priorít. V rámci každej priority sú programy zoskupené do klastrových politík, ktoré budú zodpovedať názvom hláv ročného rozpočtu. Tým sa viac sprehľadní to, ako jednotlivé programy prispejú k cieľom politík.</w:t>
      </w:r>
    </w:p>
    <w:p>
      <w:pPr>
        <w:pStyle w:val="Text1"/>
        <w:ind w:left="856"/>
        <w:rPr>
          <w:noProof/>
        </w:rPr>
      </w:pPr>
      <w:r>
        <w:rPr>
          <w:noProof/>
        </w:rPr>
        <w:t>Rozpočet EÚ bude ešte viac investovať do oblastí, v ktorých jednotlivé členské štáty nemôžu konať samostatne alebo v ktorých je efektívnejšie konať spoločne, ako je napríklad výskum, migrácia, kontrola hraníc alebo obrana, pričom sa naďalej budú financovať tradičné, ale modernizované politiky, ako je spoločná poľnohospodárska politika a politika súdržnosti.</w:t>
      </w:r>
    </w:p>
    <w:p>
      <w:pPr>
        <w:pStyle w:val="Text1"/>
        <w:ind w:left="856"/>
        <w:rPr>
          <w:noProof/>
        </w:rPr>
      </w:pPr>
      <w:r>
        <w:rPr>
          <w:rStyle w:val="Ninguno"/>
          <w:noProof/>
        </w:rPr>
        <w:t xml:space="preserve">S cieľom </w:t>
      </w:r>
      <w:r>
        <w:rPr>
          <w:rStyle w:val="Ninguno"/>
          <w:b/>
          <w:noProof/>
        </w:rPr>
        <w:t>ďalej zjednodušiť pravidlá</w:t>
      </w:r>
      <w:r>
        <w:rPr>
          <w:noProof/>
        </w:rPr>
        <w:t xml:space="preserve"> Komisia navrhuje zvýšiť súdržnosť pravidiel na základe spoločného súboru pravidiel. Zníži sa tak administratívne zaťaženie príjemcov a riadiacich orgánov, a súčasne sa zachová vysoký stupeň vierohodnosti, pokiaľ ide o zákonnosť a riadnosť. Zároveň sa zjednoduší účasť na programoch EÚ a zrýchli sa ich vykonávanie. Uľahčí sa tým spolupráca v rámci rôznych programov a nástrojov, čím sa zvýši vplyv rozpočtu EÚ. Komisia okrem toho navrhuje zjednodušiť a zracionalizovať pravidlá štátnej pomoci v záujme ľahšieho prepojenia nástrojov rozpočtu EÚ s vnútroštátnym financovaním. Nový viacročný finančný </w:t>
      </w:r>
      <w:r>
        <w:rPr>
          <w:noProof/>
        </w:rPr>
        <w:lastRenderedPageBreak/>
        <w:t>rámec prináša doplnkovosť a flexibilitu programov, ako aj zjednodušenie používania finančných nástrojov.</w:t>
      </w:r>
    </w:p>
    <w:p>
      <w:pPr>
        <w:pStyle w:val="Text1"/>
        <w:ind w:left="856"/>
        <w:rPr>
          <w:noProof/>
        </w:rPr>
      </w:pPr>
      <w:r>
        <w:rPr>
          <w:rStyle w:val="Ninguno"/>
          <w:noProof/>
        </w:rPr>
        <w:t>Európsky parlament vyzval Komisiu, aby</w:t>
      </w:r>
      <w:r>
        <w:rPr>
          <w:rStyle w:val="Ninguno"/>
          <w:b/>
          <w:noProof/>
        </w:rPr>
        <w:t xml:space="preserve"> urýchlila vykonávanie politiky súdržnosti s cieľom skrátiť obdobie vykonávania na n + 2 </w:t>
      </w:r>
      <w:r>
        <w:rPr>
          <w:noProof/>
        </w:rPr>
        <w:t>(na rozdiel od pravidla n + 3, ktoré sa uplatňovalo v období 2014 – 2020). Návrh Komisie povedie k striktnejšiemu finančnému hospodáreniu a v kombinácii s možnosťou fázovania projektov na obdobie 2014 – 2020 aj k rýchlejšiemu začatiu programového obdobia. Vzhľadom na výšku záväzkov, ktoré je ešte potrebné vyplatiť za obdobie 2014 – 2020, sa zníži miera predbežného financovania.</w:t>
      </w:r>
    </w:p>
    <w:p>
      <w:pPr>
        <w:pStyle w:val="Text1"/>
        <w:ind w:left="856"/>
        <w:rPr>
          <w:noProof/>
        </w:rPr>
      </w:pPr>
      <w:r>
        <w:rPr>
          <w:noProof/>
        </w:rPr>
        <w:t xml:space="preserve">Nový viacročný finančný rámec navrhnutý Komisiou poskytuje podporu pre prácu vnútroštátnych orgánov pri prijímaní žiadateľov o azyl a migrantov v období bezprostredne po príchode na územie EÚ, ako aj rozvoj spoločnej azylovej a migračnej politiky a zabezpečenie účinných návratov. </w:t>
      </w:r>
      <w:r>
        <w:rPr>
          <w:rStyle w:val="Ninguno"/>
          <w:b/>
          <w:noProof/>
        </w:rPr>
        <w:t>Fond pre azyl, migráciu a integráciu</w:t>
      </w:r>
      <w:r>
        <w:rPr>
          <w:rStyle w:val="Ninguno"/>
          <w:noProof/>
        </w:rPr>
        <w:t xml:space="preserve"> doplní </w:t>
      </w:r>
      <w:r>
        <w:rPr>
          <w:noProof/>
        </w:rPr>
        <w:t>Európsky sociálny fond plus, ktorý bude podporovať dlhodobú integráciu migrantov. Rámec monitorovania a hodnotenia sa zlepší s cieľom sledovať oneskorenia pri vykonávaní vnútroštátnych programov, prijímať nápravné opatrenia a v prípade potreby prispôsobovať budúce politické zásahy. Možnosti posilnenia monitorovania a hodnotenia zahŕňajú zlepšenie ukazovateľov, spravovanie fondu v úzkej spolupráci s partnermi a vykonanie preskúmania výkonnosti v polovici trvania.</w:t>
      </w:r>
    </w:p>
    <w:p>
      <w:pPr>
        <w:pStyle w:val="Text1"/>
        <w:ind w:left="856"/>
        <w:rPr>
          <w:noProof/>
        </w:rPr>
      </w:pPr>
      <w:r>
        <w:rPr>
          <w:noProof/>
        </w:rPr>
        <w:t xml:space="preserve">Na obdobie 2021 – 2027 sa navrhuje </w:t>
      </w:r>
      <w:r>
        <w:rPr>
          <w:rStyle w:val="Ninguno"/>
          <w:b/>
          <w:noProof/>
        </w:rPr>
        <w:t>modernizovaná spoločná poľnohospodárska politika</w:t>
      </w:r>
      <w:r>
        <w:rPr>
          <w:rStyle w:val="Ninguno"/>
          <w:noProof/>
        </w:rPr>
        <w:t>.</w:t>
      </w:r>
      <w:r>
        <w:rPr>
          <w:rStyle w:val="Ninguno"/>
          <w:b/>
          <w:noProof/>
        </w:rPr>
        <w:t xml:space="preserve"> </w:t>
      </w:r>
      <w:r>
        <w:rPr>
          <w:noProof/>
        </w:rPr>
        <w:t xml:space="preserve">Návrh Komisie umožňuje plne integrovaný jednotný trh s poľnohospodárskymi výrobkami v EÚ, prístup ku kvalitným, dostupným, výživným a rozmanitým potravinám s väčším dôrazom na životné prostredie a klímu. Bude podporovať prechod na plne udržateľný poľnohospodársky sektor a rozvoj životaschopných vidieckych oblastí. </w:t>
      </w:r>
    </w:p>
    <w:p>
      <w:pPr>
        <w:pStyle w:val="Text1"/>
        <w:ind w:left="856"/>
        <w:rPr>
          <w:noProof/>
        </w:rPr>
      </w:pPr>
      <w:r>
        <w:rPr>
          <w:noProof/>
        </w:rPr>
        <w:t>Zreformovaná politika bude aj naďalej stáť na dvoch pilieroch: priame platby poľnohospodárom a financovanie rozvoja vidieka, ktoré sú navzájom flexibilné.</w:t>
      </w:r>
    </w:p>
    <w:p>
      <w:pPr>
        <w:pStyle w:val="Text1"/>
        <w:ind w:left="856"/>
        <w:rPr>
          <w:noProof/>
        </w:rPr>
      </w:pPr>
      <w:r>
        <w:rPr>
          <w:noProof/>
        </w:rPr>
        <w:t>Komisia však navrhuje zaviesť nový model vykonávania, ktorý sa odkloní od dnešnej politiky založenej na plnení požiadaviek, a to smerom k politike orientovanej na výsledky v oblasti spoločných cieľov, ktoré boli stanovené na úrovni EÚ, ale pružnejšie ich možno plniť na úrovni jednotlivých štátov.</w:t>
      </w:r>
    </w:p>
    <w:p>
      <w:pPr>
        <w:pStyle w:val="Text1"/>
        <w:ind w:left="856"/>
        <w:rPr>
          <w:noProof/>
        </w:rPr>
      </w:pPr>
      <w:r>
        <w:rPr>
          <w:noProof/>
        </w:rPr>
        <w:t xml:space="preserve">Priame platby poľnohospodárom sa zjednodušia a lepšie zacielia. Bude sa podporovať rovnomernejšie rozdelenie a na úrovni poľnohospodárskych podnikov sa zavedie povinný strop prijatých súm alebo degresívne platby. To bude znamenať že podpora sa prerozdelí smerom k stredným a menším poľnohospodárskym podnikom, prípadne sa pridelí na rozvoj vidieka. </w:t>
      </w:r>
    </w:p>
    <w:p>
      <w:pPr>
        <w:pStyle w:val="Text1"/>
        <w:ind w:left="856"/>
        <w:rPr>
          <w:noProof/>
        </w:rPr>
      </w:pPr>
      <w:r>
        <w:rPr>
          <w:noProof/>
        </w:rPr>
        <w:t>Spoločná poľnohospodárska politika sa na splnenie tejto výzvy zjednoduší s minimálnym administratívnym zaťažením a ešte viac sa zvýši jej súdržnosť s ostatnými politikami EÚ na maximalizáciu jej prínosu.</w:t>
      </w:r>
    </w:p>
    <w:p>
      <w:pPr>
        <w:pStyle w:val="Text1"/>
        <w:ind w:left="856"/>
        <w:rPr>
          <w:noProof/>
        </w:rPr>
      </w:pPr>
      <w:r>
        <w:rPr>
          <w:noProof/>
        </w:rPr>
        <w:t xml:space="preserve">V širších súvislostiach Komisia navrhuje v súlade s Parížskou dohodou a so záväzkom voči cieľom udržateľného rozvoja Organizácie Spojených národov stanoviť ambicióznejší cieľ pre </w:t>
      </w:r>
      <w:r>
        <w:rPr>
          <w:b/>
          <w:noProof/>
        </w:rPr>
        <w:t>zohľadňovanie problematiky zmeny klímy vo všetkých programoch EÚ</w:t>
      </w:r>
      <w:r>
        <w:rPr>
          <w:noProof/>
        </w:rPr>
        <w:t xml:space="preserve"> a dosiahnuť, aby 25 % výdavkov EÚ prispievalo k cieľom v oblasti ochrany klímy. </w:t>
      </w:r>
    </w:p>
    <w:p>
      <w:pPr>
        <w:pStyle w:val="Text1"/>
        <w:ind w:left="856"/>
        <w:rPr>
          <w:rStyle w:val="Ninguno"/>
          <w:noProof/>
        </w:rPr>
      </w:pPr>
      <w:r>
        <w:rPr>
          <w:rStyle w:val="Ninguno"/>
          <w:b/>
          <w:noProof/>
        </w:rPr>
        <w:t>Európsky fond regionálneho rozvoja a Kohézny fond prispejú k zníženiu rozdielov medzi členskými štátmi a regiónmi</w:t>
      </w:r>
      <w:r>
        <w:rPr>
          <w:noProof/>
        </w:rPr>
        <w:t>. Komisia navrhuje</w:t>
      </w:r>
      <w:r>
        <w:rPr>
          <w:rStyle w:val="Ninguno"/>
          <w:b/>
          <w:noProof/>
        </w:rPr>
        <w:t xml:space="preserve"> </w:t>
      </w:r>
      <w:r>
        <w:rPr>
          <w:rStyle w:val="Ninguno"/>
          <w:noProof/>
          <w:u w:color="000000"/>
        </w:rPr>
        <w:t xml:space="preserve">zamerať sa na päť hlavných politických cieľov v záujme vytvorenia Európy, ktorá bude inteligentnejšia, </w:t>
      </w:r>
      <w:r>
        <w:rPr>
          <w:rStyle w:val="Ninguno"/>
          <w:noProof/>
          <w:u w:color="000000"/>
        </w:rPr>
        <w:lastRenderedPageBreak/>
        <w:t>ekologickejšia, prepojenejšia, sociálnejšia a bližšia občanom. Návrhy umožňujú väčšiu flexibilitu pri vytváraní jednotlivých programov financovaných EÚ s cieľom lepšie ich prispôsobiť špecifickým regionálnym potrebám, ale aj reagovať na nepredvídané udalosti.</w:t>
      </w:r>
    </w:p>
    <w:p>
      <w:pPr>
        <w:pStyle w:val="Text1"/>
        <w:ind w:left="856"/>
        <w:rPr>
          <w:rStyle w:val="Ninguno"/>
          <w:noProof/>
        </w:rPr>
      </w:pPr>
      <w:r>
        <w:rPr>
          <w:noProof/>
        </w:rPr>
        <w:t xml:space="preserve">Cieľom </w:t>
      </w:r>
      <w:r>
        <w:rPr>
          <w:rStyle w:val="Ninguno"/>
          <w:b/>
          <w:noProof/>
          <w:u w:color="000000"/>
        </w:rPr>
        <w:t>Európskeho sociálneho fondu plus</w:t>
      </w:r>
      <w:r>
        <w:rPr>
          <w:rStyle w:val="Ninguno"/>
          <w:noProof/>
          <w:u w:color="000000"/>
        </w:rPr>
        <w:t xml:space="preserve"> je vytvoriť výkonnejšiu a odolnejšiu sociálnu Európu a realizovať Európsky pilier sociálnych práv, ako aj sociálne priority a priority v oblasti zamestnanosti potvrdené európskym cyklom hospodárskeho riadenia. V tomto fonde sa zlúči Európsky sociálny fond, iniciatíva na podporu zamestnanosti mladých ľudí, Fond európskej pomoci pre najodkázanejšie osoby, program v oblasti zamestnanosti a sociálnej inovácie a akčný program Únie v oblasti zdravia. Koncentrácia dostupných zdrojov v jednom novom komplexnom nástroji umožní zvýšenie synergií medzi doplňujúcimi sa nástrojmi EÚ a zjednodušenie programovania a správy fondu, čím sa pre orgány a príjemcov zníži administratívne zaťaženie. </w:t>
      </w:r>
    </w:p>
    <w:p>
      <w:pPr>
        <w:pStyle w:val="Text1"/>
        <w:ind w:left="856"/>
        <w:rPr>
          <w:noProof/>
        </w:rPr>
      </w:pPr>
      <w:r>
        <w:rPr>
          <w:noProof/>
        </w:rPr>
        <w:t xml:space="preserve">Ciele Európskeho fondu regionálneho rozvoja, Kohézneho fondu a Európskeho sociálneho fondu plus sa </w:t>
      </w:r>
      <w:r>
        <w:rPr>
          <w:rStyle w:val="Ninguno"/>
          <w:b/>
          <w:noProof/>
        </w:rPr>
        <w:t>lepšie zladia s európskym semestrom pre koordináciu hospodárskych politík</w:t>
      </w:r>
      <w:r>
        <w:rPr>
          <w:noProof/>
        </w:rPr>
        <w:t xml:space="preserve">. Podrobná analýza výziev, ktorým čelia členské štáty v kontexte európskeho semestra, bude slúžiť ako základ na programovanie fondov na začiatku a v polovici ďalšieho obdobia. Bude slúžiť ako plán na krátkodobé, strednodobé a dlhodobé plánovanie a monitorovanie fondov. Systém </w:t>
      </w:r>
      <w:r>
        <w:rPr>
          <w:i/>
          <w:noProof/>
        </w:rPr>
        <w:t>ex ante</w:t>
      </w:r>
      <w:r>
        <w:rPr>
          <w:noProof/>
        </w:rPr>
        <w:t xml:space="preserve"> kondicionalít a makroekonomickej podmienenosti sa zachová, ale zjednoduší sa. Prostredníctvom procesu európskeho semestra Komisia a členské štáty zabezpečia koordináciu a doplnkovosť financovania z fondov politiky súdržnosti a nového programu na podporu reforiem, pokiaľ ide o podporu štrukturálnych reforiem.</w:t>
      </w:r>
    </w:p>
    <w:p>
      <w:pPr>
        <w:pStyle w:val="Text1"/>
        <w:ind w:left="856"/>
        <w:rPr>
          <w:noProof/>
        </w:rPr>
      </w:pPr>
      <w:r>
        <w:rPr>
          <w:noProof/>
        </w:rPr>
        <w:t xml:space="preserve">Zjednodušený a </w:t>
      </w:r>
      <w:r>
        <w:rPr>
          <w:rStyle w:val="Ninguno"/>
          <w:b/>
          <w:noProof/>
        </w:rPr>
        <w:t>účinnejší prístup k vykonávaniu</w:t>
      </w:r>
      <w:r>
        <w:rPr>
          <w:noProof/>
        </w:rPr>
        <w:t xml:space="preserve"> je kľúčovým prvkom návrhov vrátane: spoločného súboru pravidiel, ktorý zahŕňa 7 fondov EÚ vykonávaných v rámci zdieľaného riadenia</w:t>
      </w:r>
      <w:r>
        <w:rPr>
          <w:rStyle w:val="Ninguno"/>
          <w:noProof/>
          <w:vertAlign w:val="superscript"/>
        </w:rPr>
        <w:footnoteReference w:id="4"/>
      </w:r>
      <w:r>
        <w:rPr>
          <w:noProof/>
        </w:rPr>
        <w:t>, ktorý uľahčuje synergie, zníženie administratívneho zaťaženia (zvýšená dostupnosť možností zjednodušených nákladov pre príjemcov), primeranejšie audity a kontroly (ľahší systém kontrol v prípade programov s históriou dobrých výsledkov, rozšírenie zásady jednotného auditu), flexibilitu vo forme hĺbkového preskúmania v polovici trvania, aby bolo v prípade potreby možné upraviť investičné rozhodnutia, a zvýšené využívanie finančných nástrojov, a to aj prostredníctvom dobrovoľnej účasti v novom centrálne riadenom fonde InvestEU.</w:t>
      </w:r>
    </w:p>
    <w:p>
      <w:pPr>
        <w:pStyle w:val="Text1"/>
        <w:ind w:left="856"/>
        <w:rPr>
          <w:noProof/>
        </w:rPr>
      </w:pPr>
      <w:r>
        <w:rPr>
          <w:noProof/>
        </w:rPr>
        <w:t xml:space="preserve">V prípade európskych štrukturálnych a investičných fondov nové požiadavky týkajúce sa podávania správ členskými štátmi umožnia občanom sledovať </w:t>
      </w:r>
      <w:r>
        <w:rPr>
          <w:rStyle w:val="Ninguno"/>
          <w:b/>
          <w:noProof/>
        </w:rPr>
        <w:t>pokrok pri vykonávaní na platforme otvorených údajov spustenej v období 2014 – 2020 takmer v reálnom čase</w:t>
      </w:r>
      <w:r>
        <w:rPr>
          <w:noProof/>
        </w:rPr>
        <w:t xml:space="preserve">. </w:t>
      </w:r>
    </w:p>
    <w:p>
      <w:pPr>
        <w:pStyle w:val="Text1"/>
        <w:ind w:left="856"/>
        <w:rPr>
          <w:noProof/>
        </w:rPr>
      </w:pPr>
      <w:r>
        <w:rPr>
          <w:noProof/>
        </w:rPr>
        <w:t xml:space="preserve">V súvislosti s možnosťou plnenia riadiacich, certifikačných a audítorských funkcií v období 2014 – 2020 určenými alebo akreditovanými orgánmi Komisia navrhla zachovať súčasné systémy riadenia a kontrol, ktorých fungovanie sa preukázalo ako dobré. </w:t>
      </w:r>
    </w:p>
    <w:p>
      <w:pPr>
        <w:pStyle w:val="Text1"/>
        <w:ind w:left="856"/>
        <w:rPr>
          <w:noProof/>
        </w:rPr>
      </w:pPr>
      <w:r>
        <w:rPr>
          <w:noProof/>
        </w:rPr>
        <w:t xml:space="preserve">Pokiaľ ide o výskum a inovácie, </w:t>
      </w:r>
      <w:r>
        <w:rPr>
          <w:rStyle w:val="Ninguno"/>
          <w:b/>
          <w:noProof/>
        </w:rPr>
        <w:t>nový európsky program pre výskum</w:t>
      </w:r>
      <w:r>
        <w:rPr>
          <w:noProof/>
        </w:rPr>
        <w:t xml:space="preserve">, </w:t>
      </w:r>
      <w:r>
        <w:rPr>
          <w:rStyle w:val="Ninguno"/>
          <w:b/>
          <w:noProof/>
        </w:rPr>
        <w:t>Európsky horizont</w:t>
      </w:r>
      <w:r>
        <w:rPr>
          <w:noProof/>
        </w:rPr>
        <w:t>, bude naďalej podporovať excelentnosť výskumu a posilňovať zameranie na inovácie prostredníctvom vývoja prototypov, nehmotných aktív, znalostí a transferu technológií. Nová Európska rada pre inováciu bude inovátorom s vysokým potenciálom a prelomovými nápadmi poskytovať jednotné kontaktné miesto s cieľom presadiť, aby sa Európa zaradila medzi lídrov v inováciách vytvárajúcich trhy.</w:t>
      </w:r>
    </w:p>
    <w:p>
      <w:pPr>
        <w:pStyle w:val="Text1"/>
        <w:ind w:left="856"/>
        <w:rPr>
          <w:noProof/>
        </w:rPr>
      </w:pPr>
      <w:r>
        <w:rPr>
          <w:noProof/>
        </w:rPr>
        <w:t xml:space="preserve">Komisia na základe úspechu Európskeho fondu pre strategické investície ako katalyzátora súkromných investícií v celej Európe navrhuje zriadiť nový, plne integrovaný investičný fond InvestEU. Keďže hlavným výkonným partnerom fondu InvestEU je skupina Európskej investičnej banky a ďalšími partnermi sú napríklad národné podporné banky, ktoré prispievajú k jeho činnosti, </w:t>
      </w:r>
      <w:r>
        <w:rPr>
          <w:rStyle w:val="Ninguno"/>
          <w:b/>
          <w:noProof/>
        </w:rPr>
        <w:t>v jednoduchej prehľadnej štruktúre fondu InvestEU budú zakotvené všetky centrálne riadené rozpočtové záručné a finančné nástroje v EÚ</w:t>
      </w:r>
      <w:r>
        <w:rPr>
          <w:noProof/>
        </w:rPr>
        <w:t xml:space="preserve">. </w:t>
      </w:r>
    </w:p>
    <w:p>
      <w:pPr>
        <w:pStyle w:val="Text1"/>
        <w:ind w:left="856"/>
        <w:rPr>
          <w:noProof/>
        </w:rPr>
      </w:pPr>
      <w:r>
        <w:rPr>
          <w:noProof/>
        </w:rPr>
        <w:t xml:space="preserve">Vďaka tomuto novému prístupu sa obmedzí prekrývanie, zjednoduší sa prístup k financovaniu a zníži sa administratívna záťaž. </w:t>
      </w:r>
    </w:p>
    <w:p>
      <w:pPr>
        <w:pStyle w:val="ManualHeading1"/>
        <w:keepNext w:val="0"/>
        <w:rPr>
          <w:noProof/>
        </w:rPr>
      </w:pPr>
      <w:r>
        <w:rPr>
          <w:noProof/>
        </w:rPr>
        <w:t>2.</w:t>
      </w:r>
      <w:r>
        <w:rPr>
          <w:noProof/>
        </w:rPr>
        <w:tab/>
        <w:t xml:space="preserve">Rozpočtové a finančné hospodárenie </w:t>
      </w:r>
    </w:p>
    <w:p>
      <w:pPr>
        <w:pStyle w:val="Text1"/>
        <w:ind w:left="856"/>
        <w:rPr>
          <w:noProof/>
        </w:rPr>
      </w:pPr>
      <w:r>
        <w:rPr>
          <w:noProof/>
        </w:rPr>
        <w:t>Dve požiadavky Európskeho parlamentu, ktoré už sú zahrnuté v oznámení o budúcom viacročnom finančnom rámci, sa týkajú</w:t>
      </w:r>
      <w:r>
        <w:rPr>
          <w:rStyle w:val="Ninguno"/>
          <w:b/>
          <w:noProof/>
        </w:rPr>
        <w:t xml:space="preserve"> otázky, či sa osobitné nástroje započítavajú do stropov pre platobné rozpočtové prostriedky</w:t>
      </w:r>
      <w:r>
        <w:rPr>
          <w:noProof/>
        </w:rPr>
        <w:t xml:space="preserve"> vo viacročnom finančnom rámci, a </w:t>
      </w:r>
      <w:r>
        <w:rPr>
          <w:rStyle w:val="Ninguno"/>
          <w:b/>
          <w:noProof/>
        </w:rPr>
        <w:t>lepšej vyváženosti medzi predvídateľnosťou rozpočtu EÚ a jeho schopnosťou reagovať</w:t>
      </w:r>
      <w:r>
        <w:rPr>
          <w:noProof/>
        </w:rPr>
        <w:t>.</w:t>
      </w:r>
    </w:p>
    <w:p>
      <w:pPr>
        <w:pStyle w:val="Text1"/>
        <w:ind w:left="856"/>
        <w:rPr>
          <w:noProof/>
        </w:rPr>
      </w:pPr>
      <w:r>
        <w:rPr>
          <w:noProof/>
        </w:rPr>
        <w:t>Pokiaľ ide o prvú otázku, v navrhnutom nariadení, ktorým sa stanovuje viacročný finančný rámec na roky 2021 až 2027, sa jasne uvádza, že do rozpočtu vstupujú viazané, ako aj platobné rozpočtové prostriedky mobilizované pre osobitné nástroje nad rámec príslušných stropov viacročného finančného rámca. Komisia preskúmala aj rozsah pôsobnosti osobitných nástrojov, ako je rezerva na núdzovú pomoc, Fond solidarity EÚ a Európsky fond na prispôsobenie sa globalizácii. Komisia navrhuje, aby sa tam, kde je to vhodné, rozšíril rozsah pôsobnosti nástrojov, napríklad aby sa mohla rezerva na núdzovú pomoc použiť na núdzové situácie v rámci EÚ. Komisia navrhuje aj zjednodušenie postupov na mobilizáciu týchto nástrojov.</w:t>
      </w:r>
    </w:p>
    <w:p>
      <w:pPr>
        <w:pStyle w:val="Text1"/>
        <w:ind w:left="856"/>
        <w:rPr>
          <w:noProof/>
        </w:rPr>
      </w:pPr>
      <w:r>
        <w:rPr>
          <w:noProof/>
        </w:rPr>
        <w:t xml:space="preserve">Pokiaľ ide o druhú záležitosť a s cieľom rýchlejšie a účinnejšie reagovať na nepredvídané požiadavky, Komisia navrhuje zvýšiť aktívnosť rozpočtu odstránením obmedzení zabudovanej flexibility viacročného finančného rámca, ako aj zvýšením veľkosti nástroja flexibility na 1 miliardu EUR (v cenách roku 2018) ročne. </w:t>
      </w:r>
    </w:p>
    <w:p>
      <w:pPr>
        <w:pStyle w:val="Text1"/>
        <w:ind w:left="856"/>
        <w:rPr>
          <w:noProof/>
        </w:rPr>
      </w:pPr>
      <w:r>
        <w:rPr>
          <w:noProof/>
        </w:rPr>
        <w:t>Súčasťou toho je zvýšenie flexibility v rámci jednotlivých programov a aj medzi nimi navzájom, posilnenie takých nástrojov ako celková rezerva pre platby a rezerva na nepredvídané udalosti a vytvorenie novej „rezervy Únie“ s cieľom riešiť nepredvídané udalosti a reagovať na núdzové situácie v oblastiach ako bezpečnosť a migrácia.</w:t>
      </w:r>
    </w:p>
    <w:p>
      <w:pPr>
        <w:pStyle w:val="Text1"/>
        <w:ind w:left="856"/>
        <w:rPr>
          <w:noProof/>
        </w:rPr>
      </w:pPr>
      <w:r>
        <w:rPr>
          <w:noProof/>
        </w:rPr>
        <w:t xml:space="preserve">Európsky parlament takisto požiadal Komisiu, aby mu predložila </w:t>
      </w:r>
      <w:r>
        <w:rPr>
          <w:rStyle w:val="Ninguno"/>
          <w:b/>
          <w:noProof/>
        </w:rPr>
        <w:t>správu o rozpočte EÚ, ktorý nepriamo spravuje a plní skupina Európskej investičnej banky,</w:t>
      </w:r>
      <w:r>
        <w:rPr>
          <w:noProof/>
        </w:rPr>
        <w:t xml:space="preserve"> a aby </w:t>
      </w:r>
      <w:r>
        <w:rPr>
          <w:rStyle w:val="Ninguno"/>
          <w:b/>
          <w:noProof/>
        </w:rPr>
        <w:t>každý rok vypracúvala aktualizované dlhodobé prognózy peňažných tokov</w:t>
      </w:r>
      <w:r>
        <w:rPr>
          <w:noProof/>
        </w:rPr>
        <w:t xml:space="preserve">. </w:t>
      </w:r>
    </w:p>
    <w:p>
      <w:pPr>
        <w:pStyle w:val="Text1"/>
        <w:ind w:left="856"/>
        <w:rPr>
          <w:noProof/>
        </w:rPr>
      </w:pPr>
      <w:r>
        <w:rPr>
          <w:noProof/>
        </w:rPr>
        <w:t xml:space="preserve">Komisia už vypracúva komplexnú výročnú správu pre Európsky parlament a Radu o všetkých finančných nástrojoch. Táto správa zahŕňa finančné nástroje viacročných finančných rámcov na obdobia 2007 – 2013 a 2014 – 2020 napríklad vrátane nástrojov, ktoré vykonáva skupina Európskej investičnej banky (Európska investičná banka alebo Európsky investičný fond). Správa bola k návrhu rozpočtu EÚ, ktorý bol rozpočtovému orgánu predložený v júni 2018, priložená </w:t>
      </w:r>
      <w:r>
        <w:rPr>
          <w:noProof/>
          <w:color w:val="1F497D" w:themeColor="dark2"/>
        </w:rPr>
        <w:t>ako pracovný dokument</w:t>
      </w:r>
      <w:r>
        <w:rPr>
          <w:rStyle w:val="FootnoteReference"/>
          <w:noProof/>
          <w:color w:val="1F497D" w:themeColor="dark2"/>
        </w:rPr>
        <w:footnoteReference w:id="5"/>
      </w:r>
      <w:r>
        <w:rPr>
          <w:noProof/>
        </w:rPr>
        <w:t>.</w:t>
      </w:r>
    </w:p>
    <w:p>
      <w:pPr>
        <w:pStyle w:val="Text1"/>
        <w:ind w:left="856"/>
        <w:rPr>
          <w:noProof/>
        </w:rPr>
      </w:pPr>
      <w:r>
        <w:rPr>
          <w:noProof/>
        </w:rPr>
        <w:t>Pokiaľ ide o žiadosť o dlhodobé prognózy peňažných tokov, v článku 247 ods. 1 nového nariadenia o rozpočtových pravidlách sa stanovuje, že Komisia je povinná každý rok Európskemu parlamentu a Rade predkladať integrovaný súbor finančných správ a správ o zodpovednosti vrátane dlhodobej prognózy budúceho prílevu a odlevu peňažných tokov počas nasledujúcich piatich rokov. Komisia v októbri 2017 poskytla svoje strednodobé prognózy požiadaviek na platby vyplývajúce z viacročného finančného rámca na obdobie 2014 – 2020 spoločne s predpokladanou výškou nesplatených záväzkov na konci roka 2020</w:t>
      </w:r>
      <w:r>
        <w:rPr>
          <w:rStyle w:val="FootnoteReference"/>
          <w:noProof/>
        </w:rPr>
        <w:footnoteReference w:id="6"/>
      </w:r>
      <w:r>
        <w:rPr>
          <w:noProof/>
        </w:rPr>
        <w:t>.</w:t>
      </w:r>
    </w:p>
    <w:p>
      <w:pPr>
        <w:pStyle w:val="Text1"/>
        <w:ind w:left="856"/>
        <w:rPr>
          <w:rStyle w:val="Ninguno"/>
          <w:b/>
          <w:bCs/>
          <w:i/>
          <w:iCs/>
          <w:noProof/>
        </w:rPr>
      </w:pPr>
      <w:r>
        <w:rPr>
          <w:noProof/>
        </w:rPr>
        <w:t xml:space="preserve">Napokon, v súvislosti </w:t>
      </w:r>
      <w:r>
        <w:rPr>
          <w:rStyle w:val="Ninguno"/>
          <w:b/>
          <w:noProof/>
        </w:rPr>
        <w:t>s požiadavkou pomáhať členským štátom, ktoré majú ťažkosti s včasným a bezproblémovým čerpaním</w:t>
      </w:r>
      <w:r>
        <w:rPr>
          <w:noProof/>
        </w:rPr>
        <w:t xml:space="preserve"> dostupných finančných prostriedkov EÚ, Komisia už prijala viaceré iniciatívy na pomoc členským štátom pri </w:t>
      </w:r>
      <w:r>
        <w:rPr>
          <w:rStyle w:val="Ninguno"/>
          <w:noProof/>
          <w:u w:color="000000"/>
        </w:rPr>
        <w:t>včasnom čerpaní</w:t>
      </w:r>
      <w:r>
        <w:rPr>
          <w:rStyle w:val="Ninguno"/>
          <w:b/>
          <w:i/>
          <w:noProof/>
          <w:u w:color="000000"/>
        </w:rPr>
        <w:t xml:space="preserve">. </w:t>
      </w:r>
    </w:p>
    <w:p>
      <w:pPr>
        <w:pStyle w:val="Text1"/>
        <w:ind w:left="856"/>
        <w:rPr>
          <w:noProof/>
        </w:rPr>
      </w:pPr>
      <w:r>
        <w:rPr>
          <w:rStyle w:val="Ninguno"/>
          <w:noProof/>
          <w:u w:color="000000"/>
        </w:rPr>
        <w:t>Okrem iného</w:t>
      </w:r>
      <w:r>
        <w:rPr>
          <w:noProof/>
        </w:rPr>
        <w:t xml:space="preserve"> na základe opatrení prijatých v nadväznosti na súvisiace odporúčania Európskeho dvora audítorov a/alebo orgánu udeľujúceho absolutórium za rok 2016 Komisia ďalej zlepšila svoje podávanie správ o hospodárení.</w:t>
      </w:r>
    </w:p>
    <w:p>
      <w:pPr>
        <w:pStyle w:val="Text1"/>
        <w:ind w:left="856"/>
        <w:rPr>
          <w:noProof/>
        </w:rPr>
      </w:pPr>
      <w:r>
        <w:rPr>
          <w:noProof/>
        </w:rPr>
        <w:t>Komisia ďalej zlepšila svoje segmentované budovanie vierohodnosti, najmä v oblasti vonkajších vzťahov. Ďalej zlepšila aj podávanie správ aj o trustových fondoch EÚ, zvýšila konzistentnosť výpočtov príslušných výdavkov a odhadov súvisiacich výdavkov vystavených riziku, najmä mechanizmu 10 % zadržiavania a ročné schvaľovanie účtovných závierok Kohézneho fondu, ktoré sú v plnej miere a dôsledne začlenené v spoločnej metodike.</w:t>
      </w:r>
    </w:p>
    <w:p>
      <w:pPr>
        <w:pStyle w:val="Text1"/>
        <w:ind w:left="856"/>
        <w:rPr>
          <w:noProof/>
        </w:rPr>
      </w:pPr>
      <w:r>
        <w:rPr>
          <w:noProof/>
        </w:rPr>
        <w:t xml:space="preserve">V dôsledku toho je hlavným úspechom vo vykazovanom roku 2017 skutočnosť, že – prvýkrát – sú </w:t>
      </w:r>
      <w:r>
        <w:rPr>
          <w:b/>
          <w:noProof/>
        </w:rPr>
        <w:t>odhadované celkové výdavky vystavené riziku pri platbe nižšie ako 2 %</w:t>
      </w:r>
      <w:r>
        <w:rPr>
          <w:noProof/>
        </w:rPr>
        <w:t>.</w:t>
      </w:r>
    </w:p>
    <w:p>
      <w:pPr>
        <w:pStyle w:val="Text1"/>
        <w:ind w:left="856"/>
        <w:rPr>
          <w:noProof/>
        </w:rPr>
      </w:pPr>
      <w:r>
        <w:rPr>
          <w:noProof/>
        </w:rPr>
        <w:t>Finančný vplyv výhrad týkajúcich sa hospodárenia sa navyše takisto znížil, a to pokiaľ ide o výdavky (z 1,6 miliardy EUR za rok 2016 na 1,1 miliardy EUR za rok 2017), ako aj o príjmy (z 0,5 miliardy EUR na 0,4 miliardy EUR)</w:t>
      </w:r>
      <w:r>
        <w:rPr>
          <w:rStyle w:val="Ninguno"/>
          <w:noProof/>
          <w:vertAlign w:val="superscript"/>
        </w:rPr>
        <w:footnoteReference w:id="7"/>
      </w:r>
      <w:r>
        <w:rPr>
          <w:noProof/>
        </w:rPr>
        <w:t>.</w:t>
      </w:r>
    </w:p>
    <w:p>
      <w:pPr>
        <w:pStyle w:val="ManualHeading1"/>
        <w:keepNext w:val="0"/>
        <w:rPr>
          <w:noProof/>
        </w:rPr>
      </w:pPr>
      <w:r>
        <w:rPr>
          <w:noProof/>
        </w:rPr>
        <w:t>3.</w:t>
      </w:r>
      <w:r>
        <w:rPr>
          <w:noProof/>
        </w:rPr>
        <w:tab/>
        <w:t>Výkonnosť</w:t>
      </w:r>
    </w:p>
    <w:p>
      <w:pPr>
        <w:pStyle w:val="Text1"/>
        <w:ind w:left="856"/>
        <w:rPr>
          <w:noProof/>
        </w:rPr>
      </w:pPr>
      <w:r>
        <w:rPr>
          <w:noProof/>
        </w:rPr>
        <w:t xml:space="preserve">Európsky dvor audítorov vo svojej výročnej správe za rok 2016 odporučil, aby Komisia vynaložila ďalšie úsilie na zabezpečenie toho, </w:t>
      </w:r>
      <w:r>
        <w:rPr>
          <w:rStyle w:val="Ninguno"/>
          <w:b/>
          <w:noProof/>
        </w:rPr>
        <w:t>aby správy o výkonnosti poskytovali vyvážený obraz so zahrnutím úspechov aj problémov, s ktorými sa programy</w:t>
      </w:r>
      <w:r>
        <w:rPr>
          <w:noProof/>
        </w:rPr>
        <w:t xml:space="preserve"> stretávajú. Komisia je odhodlaná predkladať vyvážené správy a napríklad vo svojej Výročnej správe o hospodárení a výkonnosti za rok 2017 obšírne opísala poznatky získané z hodnotení finančných programov v polovici trvania.</w:t>
      </w:r>
    </w:p>
    <w:p>
      <w:pPr>
        <w:pStyle w:val="Text1"/>
        <w:ind w:left="856"/>
        <w:rPr>
          <w:noProof/>
        </w:rPr>
      </w:pPr>
      <w:r>
        <w:rPr>
          <w:noProof/>
        </w:rPr>
        <w:t xml:space="preserve">V návrhu Komisie týkajúcom sa </w:t>
      </w:r>
      <w:r>
        <w:rPr>
          <w:rStyle w:val="Ninguno"/>
          <w:b/>
          <w:noProof/>
        </w:rPr>
        <w:t>budúceho viacročného finančného rámca sa značne zjednodušil rámec výkonnosti pre budúce programy</w:t>
      </w:r>
      <w:r>
        <w:rPr>
          <w:noProof/>
        </w:rPr>
        <w:t xml:space="preserve">. Konkrétne sa značne zníži počet ukazovateľov výdavkových programov a zvýši sa ich kvalita na zaistenie konzistentnosti (relevantnosti na úrovni programu a politiky), aby mohli poskytovať zmysluplné informácie v prvom rade na účely komunikácie a podávania správ po celý čas vykonávania programu. Návrhy Komisie ďalej obsahujú ustanovenia na zriadenie rámcov monitorovania a hodnotenia vrátane ukazovateľov na účely hodnotení. Hodnotenia sa budú vykonávať včas, aby sa mohli využiť v rozhodovacom procese. Zmysluplnejšie informácie o výkonnosti umožnia manažérom programov prijímať aj lepšie rozhodnutia o vykonávaní programu a o návrhu budúcich programov. </w:t>
      </w:r>
    </w:p>
    <w:p>
      <w:pPr>
        <w:pStyle w:val="Text1"/>
        <w:ind w:left="856"/>
        <w:rPr>
          <w:noProof/>
        </w:rPr>
      </w:pPr>
      <w:r>
        <w:rPr>
          <w:noProof/>
        </w:rPr>
        <w:t xml:space="preserve">V uznesení Európskeho parlamentu sa od Komisie požaduje, aby </w:t>
      </w:r>
      <w:r>
        <w:rPr>
          <w:rStyle w:val="Ninguno"/>
          <w:b/>
          <w:noProof/>
        </w:rPr>
        <w:t>vo Výročnej správe o hospodárení a výkonnosti prijala politickú zodpovednosť za informácie o výkonnosti</w:t>
      </w:r>
      <w:r>
        <w:rPr>
          <w:noProof/>
        </w:rPr>
        <w:t>.</w:t>
      </w:r>
    </w:p>
    <w:p>
      <w:pPr>
        <w:pStyle w:val="Text1"/>
        <w:ind w:left="856"/>
        <w:rPr>
          <w:noProof/>
        </w:rPr>
      </w:pPr>
      <w:r>
        <w:rPr>
          <w:noProof/>
        </w:rPr>
        <w:t>Komisia na zvýšenie transparentnosti poskytne informácie o zdroji a kvalite údajov, ak sú tieto informácie k dispozícii. Vzhľadom na to, že členské štáty poskytujú veľké množstvo údajov o výkonnosti, Komisia bude analyzovať, do akej miery poskytujú informácie o kvalite údajov o výkonnosti.</w:t>
      </w:r>
    </w:p>
    <w:p>
      <w:pPr>
        <w:pStyle w:val="Text1"/>
        <w:ind w:left="856"/>
        <w:rPr>
          <w:noProof/>
        </w:rPr>
      </w:pPr>
      <w:r>
        <w:rPr>
          <w:noProof/>
        </w:rPr>
        <w:t xml:space="preserve">Výročná správa o hospodárení a výkonnosti vychádza z údajov o výkonnosti uvedených vo výročných správach o činnosti, takže sa spolieha aj na posúdenie zdrojov a kvality údajov o výkonnosti, ktoré poskytli útvary Komisie. Útvary Komisie uznávajú význam kvality údajov, preto pri vypracúvaní svojich výročných správ o činnosti za rok 2017 venovali osobitnú pozornosť kvalite údajov o výkonnosti. Zdroje údajov sú jasne identifikované a jasne sa uvádzajú akékoľvek obavy týkajúce sa kvality údajov. </w:t>
      </w:r>
    </w:p>
    <w:p>
      <w:pPr>
        <w:pStyle w:val="Text1"/>
        <w:ind w:left="856"/>
        <w:rPr>
          <w:noProof/>
        </w:rPr>
      </w:pPr>
      <w:r>
        <w:rPr>
          <w:noProof/>
        </w:rPr>
        <w:t xml:space="preserve">Európsky parlament požiadal Komisiu, aby </w:t>
      </w:r>
      <w:r>
        <w:rPr>
          <w:rStyle w:val="Ninguno"/>
          <w:b/>
          <w:noProof/>
        </w:rPr>
        <w:t>zjednodušila dostupnosť informácií o výkonnosti vytvorením špecializovaného webového portálu</w:t>
      </w:r>
      <w:r>
        <w:rPr>
          <w:noProof/>
        </w:rPr>
        <w:t xml:space="preserve"> a vyhľadávača. V tejto súvislosti sa Komisia bude usilovať o jednoduchšiu dostupnosť informácií o výkonnosti, ako sa uvádza v odpovedi na výročnú správu Európskeho dvora audítorov za rok 2016</w:t>
      </w:r>
      <w:r>
        <w:rPr>
          <w:rStyle w:val="Ninguno"/>
          <w:noProof/>
          <w:vertAlign w:val="superscript"/>
        </w:rPr>
        <w:footnoteReference w:id="8"/>
      </w:r>
      <w:r>
        <w:rPr>
          <w:noProof/>
        </w:rPr>
        <w:t xml:space="preserve">. Komisia sa zaviazala vykonať posúdenie s cieľom zhodnotiť uskutočniteľnosť, náklady a možné prínosy takéhoto webového portálu. Opatrenie sa podľa odporúčania vykoná v závislosti od výsledku tohto posúdenia. </w:t>
      </w:r>
    </w:p>
    <w:p>
      <w:pPr>
        <w:pStyle w:val="Text1"/>
        <w:ind w:left="856"/>
        <w:rPr>
          <w:noProof/>
        </w:rPr>
      </w:pPr>
      <w:r>
        <w:rPr>
          <w:noProof/>
        </w:rPr>
        <w:t>V rámci iniciatívy rozpočet EÚ zameraný na výsledky bolo vytvorené osobitné webové sídlo pre výsledky EÚ</w:t>
      </w:r>
      <w:r>
        <w:rPr>
          <w:rStyle w:val="FootnoteReference"/>
          <w:noProof/>
        </w:rPr>
        <w:footnoteReference w:id="9"/>
      </w:r>
      <w:r>
        <w:rPr>
          <w:noProof/>
        </w:rPr>
        <w:t xml:space="preserve">. Toto webové sídlo je jedným z prvých kolaboratívnych projektov Komisie, na ktorom sa zúčastňujú všetky generálne riaditeľstvá a viaceré agentúry, ktoré vykonávajú programy v mene partnerských generálnych riaditeľstiev. Zámerom je oznamovať konkrétne výsledky projektov financovaných z rozpočtu EÚ, ako aj ich zemepisnú polohu. Toto webové sídlo je jednotné kontaktné miesto, ktoré získava údaje z viacerých online zdrojov a ktorého cieľom je informovať zainteresované strany a občanov o príspevku rozpočtu EÚ v ich bezprostrednom susedstve. </w:t>
      </w:r>
    </w:p>
    <w:p>
      <w:pPr>
        <w:pStyle w:val="Text1"/>
        <w:ind w:left="856"/>
        <w:rPr>
          <w:noProof/>
        </w:rPr>
      </w:pPr>
      <w:r>
        <w:rPr>
          <w:noProof/>
        </w:rPr>
        <w:t xml:space="preserve">Na konci roka 2017 malo webové sídlo záznamy o viac ako 1 500 projektoch financovaných z prostriedkov EÚ v rámci EÚ a aj mimo nej. Predpokladá sa, že tento počet záznamov v blízkej budúcnosti porastie. </w:t>
      </w:r>
    </w:p>
    <w:p>
      <w:pPr>
        <w:pStyle w:val="Text1"/>
        <w:ind w:left="856"/>
        <w:rPr>
          <w:noProof/>
        </w:rPr>
      </w:pPr>
      <w:r>
        <w:rPr>
          <w:noProof/>
        </w:rPr>
        <w:t xml:space="preserve">Toto webové sídlo pre výsledky EÚ bolo zaradené do užšieho zoznamu štyroch najlepších iniciatív navrhnutých na cenu európskeho ombudsmana za dobrú správu vecí verejných v roku 2017 v kategórii „Excelentnosť v oblasti komunikácie“. </w:t>
      </w:r>
    </w:p>
    <w:p>
      <w:pPr>
        <w:pStyle w:val="ManualHeading1"/>
        <w:keepNext w:val="0"/>
        <w:rPr>
          <w:noProof/>
        </w:rPr>
      </w:pPr>
      <w:r>
        <w:rPr>
          <w:noProof/>
        </w:rPr>
        <w:t>4.</w:t>
      </w:r>
      <w:r>
        <w:rPr>
          <w:noProof/>
        </w:rPr>
        <w:tab/>
        <w:t xml:space="preserve">Príjmy </w:t>
      </w:r>
    </w:p>
    <w:p>
      <w:pPr>
        <w:pStyle w:val="Text1"/>
        <w:rPr>
          <w:noProof/>
        </w:rPr>
      </w:pPr>
      <w:r>
        <w:rPr>
          <w:noProof/>
        </w:rPr>
        <w:t xml:space="preserve">V uznesení Európskeho parlamentu sa od Komisie požaduje, aby prijala všetky opatrenia s cieľom zabezpečiť </w:t>
      </w:r>
      <w:r>
        <w:rPr>
          <w:rStyle w:val="Ninguno"/>
          <w:b/>
          <w:noProof/>
        </w:rPr>
        <w:t>vymáhanie vlastných zdrojov EÚ, ktoré nevybrali orgány Spojeného kráľovstva v súvislosti s dovozom textilu a obuvi z Číny</w:t>
      </w:r>
      <w:r>
        <w:rPr>
          <w:noProof/>
        </w:rPr>
        <w:t xml:space="preserve"> a zvážila včasné začatie postupu v prípade nesplnenia povinnosti. </w:t>
      </w:r>
    </w:p>
    <w:p>
      <w:pPr>
        <w:pStyle w:val="Text1"/>
        <w:rPr>
          <w:noProof/>
        </w:rPr>
      </w:pPr>
      <w:r>
        <w:rPr>
          <w:noProof/>
        </w:rPr>
        <w:t>Komisia sa touto záležitosťou intenzívne zaoberá, a to aj počas dvoch tradičných inšpekcií vlastných zdrojov v roku 2017. Pretože zistenia inšpekcií potvrdili a ďalej objasnili zistenia príslušnej správy Európskeho úradu pre boj proti podvodom (OLAF), Komisia sa 8. marca 2018 rozhodla poslať orgánom Spojeného kráľovstva formálnu výzvu. Komisia týmto listom začala postup v prípade nesplnenia povinnosti voči Spojenému kráľovstvu, lebo napriek opakovaným výzvam nevykonalo žiadne z opatrení, ktoré požadovala Komisia pred 12. októbrom 2017 a odmietlo sprístupniť odhad tradičných vlastných zdrojov stratených v dôsledku neprijatia týchto opatrení.</w:t>
      </w:r>
    </w:p>
    <w:p>
      <w:pPr>
        <w:pStyle w:val="Text1"/>
        <w:rPr>
          <w:noProof/>
        </w:rPr>
      </w:pPr>
      <w:r>
        <w:rPr>
          <w:noProof/>
        </w:rPr>
        <w:t xml:space="preserve">Európsky parlament takisto vyzýva Komisiu, aby v spolupráci s členskými štátmi analyzovala všetky možné </w:t>
      </w:r>
      <w:r>
        <w:rPr>
          <w:rStyle w:val="Ninguno"/>
          <w:b/>
          <w:noProof/>
        </w:rPr>
        <w:t>dôsledky nadnárodných činností na odhad hrubého národného dôchodku (HND)</w:t>
      </w:r>
      <w:r>
        <w:rPr>
          <w:noProof/>
        </w:rPr>
        <w:t xml:space="preserve"> a počas </w:t>
      </w:r>
      <w:r>
        <w:rPr>
          <w:rStyle w:val="Ninguno"/>
          <w:b/>
          <w:noProof/>
        </w:rPr>
        <w:t>cyklu overovania HND potvrdila, že aktíva v oblasti výskumu a vývoja boli v národných účtoch členských štátov správne zaznamenané</w:t>
      </w:r>
      <w:r>
        <w:rPr>
          <w:noProof/>
        </w:rPr>
        <w:t>. Táto otázka má vysokú prioritu a v súčasnosti sa rieši náležitým zohľadnením súčasného cyklu overovania HND a pripravovanej referenčnej revízie národných účtov v roku 2019 vo väčšine členských štátov. Cieľ pre tento časový rámec je prispieť k racionálnemu chápaniu konzistentného prístupu k fenoménu globalizácie vo všetkých členských štátoch. Postup včasného varovania funguje, keď vnútroštátne orgány informujú Eurostat hneď, ako sa dozvedia o prípade reštrukturalizácie dôležitého nadnárodného podniku.</w:t>
      </w:r>
    </w:p>
    <w:p>
      <w:pPr>
        <w:pStyle w:val="Text1"/>
        <w:rPr>
          <w:noProof/>
        </w:rPr>
      </w:pPr>
      <w:r>
        <w:rPr>
          <w:noProof/>
        </w:rPr>
        <w:t>Spôsob, ako zaobchádzať s nadnárodnými podnikmi, ktoré nie sú v reštrukturalizácii, sa rieši v rámci pilotného projektu so všetkými členskými štátmi. Pilotný projekt sa týka rôznych otázok súvisiacich s globalizáciou, ktoré majú význam pre národné účty. Členské štátom sa poskytne usmernenie. Predmetom revízneho porovnania medzi krajinami je aj výskum a vývoj.</w:t>
      </w:r>
    </w:p>
    <w:p>
      <w:pPr>
        <w:pStyle w:val="ManualHeading1"/>
        <w:keepNext w:val="0"/>
        <w:rPr>
          <w:noProof/>
        </w:rPr>
      </w:pPr>
      <w:r>
        <w:rPr>
          <w:noProof/>
        </w:rPr>
        <w:t>5.</w:t>
      </w:r>
      <w:r>
        <w:rPr>
          <w:noProof/>
        </w:rPr>
        <w:tab/>
        <w:t>Začlenenie Európskeho rozvojového fondu do všeobecného rozpočtu</w:t>
      </w:r>
    </w:p>
    <w:p>
      <w:pPr>
        <w:pStyle w:val="Text1"/>
        <w:rPr>
          <w:noProof/>
        </w:rPr>
      </w:pPr>
      <w:r>
        <w:rPr>
          <w:noProof/>
        </w:rPr>
        <w:t>Komisia na základe opakovanej požiadavky Európskeho parlamentu o začlenenie Európskeho rozvojového fondu do všeobecného rozpočtu EÚ vo viacročnom finančnom rámci na obdobie 2021 – 2027 navrhuje strategické zjednodušenie finančných nástrojov vo vonkajšej činnosti EÚ vrátane integrácie Európskeho rozvojového fondu do nástroja susedskej, rozvojovej a medzinárodnej spolupráce. Povedie to k zvýšeniu celkového stropu výdavkov pri zachovaní existujúcej flexibility.</w:t>
      </w:r>
    </w:p>
    <w:p>
      <w:pPr>
        <w:pStyle w:val="Text1"/>
        <w:rPr>
          <w:noProof/>
        </w:rPr>
      </w:pPr>
      <w:r>
        <w:rPr>
          <w:noProof/>
        </w:rPr>
        <w:t xml:space="preserve">Nový nástroj na financovanie európskych mierových operácií – európsky mierový nástroj – zostane v súlade so Zmluvou o Európskej únii mimo viacročného finančného rámca. </w:t>
      </w:r>
    </w:p>
    <w:p>
      <w:pPr>
        <w:pStyle w:val="ManualHeading1"/>
        <w:keepNext w:val="0"/>
        <w:rPr>
          <w:noProof/>
        </w:rPr>
      </w:pPr>
      <w:r>
        <w:rPr>
          <w:noProof/>
        </w:rPr>
        <w:t>6.</w:t>
      </w:r>
      <w:r>
        <w:rPr>
          <w:noProof/>
        </w:rPr>
        <w:tab/>
        <w:t>Urýchlenie postupu udelenia absolutória</w:t>
      </w:r>
    </w:p>
    <w:p>
      <w:pPr>
        <w:pStyle w:val="Text1"/>
        <w:rPr>
          <w:noProof/>
        </w:rPr>
      </w:pPr>
      <w:r>
        <w:rPr>
          <w:noProof/>
        </w:rPr>
        <w:t xml:space="preserve">Európsky parlament vo svojom uznesení o udelení absolutória za rok 2016 vyzval Komisiu, aby </w:t>
      </w:r>
      <w:r>
        <w:rPr>
          <w:rStyle w:val="Ninguno"/>
          <w:b/>
          <w:noProof/>
        </w:rPr>
        <w:t>urýchlila vypracovanie ročnej účtovnej závierky</w:t>
      </w:r>
      <w:r>
        <w:rPr>
          <w:noProof/>
        </w:rPr>
        <w:t xml:space="preserve"> a zabezpečila, aby sa </w:t>
      </w:r>
      <w:r>
        <w:rPr>
          <w:rStyle w:val="Ninguno"/>
          <w:b/>
          <w:noProof/>
        </w:rPr>
        <w:t>spoľahlivé informácie od členských štátov o výdavkoch v rámci zdieľaného riadenia</w:t>
      </w:r>
      <w:r>
        <w:rPr>
          <w:noProof/>
        </w:rPr>
        <w:t xml:space="preserve"> získavali skôr. Cieľom je prijať rozhodnutie o udelení absolutória za rok N v roku N + 1 a zároveň zaistiť vysokú kvalitu údajov a riadne finančné hospodárenie. </w:t>
      </w:r>
    </w:p>
    <w:p>
      <w:pPr>
        <w:pStyle w:val="Text1"/>
        <w:rPr>
          <w:noProof/>
        </w:rPr>
      </w:pPr>
      <w:r>
        <w:rPr>
          <w:noProof/>
        </w:rPr>
        <w:t>Komisia považuje udelenie absolutória za kontinuálny proces, ktorý zainteresovaným stranám umožňuje poučiť sa z minulosti s cieľom zlepšiť sa v budúcnosti. Na zachovanie tejto kontinuity je potrebné, aby sa politická diskusia ukončila v prijateľnom čase, pričom sa musí zachovať vysoká kvalita spoľahlivých údajov slúžiacich ako vstupy. V konečnom dôsledku musí ísť o kompromis medzi tým, ako veci vykonať správne a ako ich vykonať rýchlejšie, aby sa rozhodnutie o udelení absolutória mohlo prijať v roku N + 1 (a nie v roku N + 2).</w:t>
      </w:r>
    </w:p>
    <w:p>
      <w:pPr>
        <w:pStyle w:val="Text1"/>
        <w:rPr>
          <w:noProof/>
        </w:rPr>
      </w:pPr>
      <w:r>
        <w:rPr>
          <w:noProof/>
        </w:rPr>
        <w:t>Táto otázka bola tiež súčasťou rokovaní o novom nariadení o rozpočtových pravidlách. Komisia v tejto súvislosti súhlasila s tým, že ročnú účtovnú závierku za rok 2017 poskytne do 30. júna 2018 a zaviazala sa, že svoje odpovede na výročnú správu Európskeho dvora audítorov za rozpočtový rok 2017 poskytne do polovice augusta 2018.</w:t>
      </w:r>
    </w:p>
    <w:p>
      <w:pPr>
        <w:pStyle w:val="Text1"/>
        <w:rPr>
          <w:noProof/>
        </w:rPr>
      </w:pPr>
      <w:r>
        <w:rPr>
          <w:noProof/>
        </w:rPr>
        <w:t>Ročná účtovná závierka bola naozaj prijatá pred koncom júna a Komisia vynaloží maximálne úsilie, aby dodržala svoj záväzok týkajúci sa poskytnutia odpovedí na výročnú správu Európskeho dvora audítorov. Komisia v júni zároveň prijala Výročnú správu o hospodárení a výkonnosti a v júli aktuálnu správu o opatreniach prijatých v nadväznosti na požiadavky na udelenie absolutória, takže všetky kľúčové dokumenty Komisie mali Európsky parlament a Rada k dispozícii začiatkom júla 2018.</w:t>
      </w:r>
    </w:p>
    <w:p>
      <w:pPr>
        <w:pStyle w:val="Text1"/>
        <w:rPr>
          <w:noProof/>
        </w:rPr>
      </w:pPr>
      <w:r>
        <w:rPr>
          <w:noProof/>
        </w:rPr>
        <w:t>Údaje členských štátov, ktoré sa Komisii poskytujú do marca každého roka, sú kľúčovým vstupom na budovanie vierohodnosti a meranie výkonnosti. Značné skrátenie postupu udelenia absolutória si preto môže vyžadovať, aby členské štáty poskytovali svoje údaje skôr, ako sa očakávalo.</w:t>
      </w:r>
    </w:p>
    <w:p>
      <w:pPr>
        <w:pStyle w:val="Text1"/>
        <w:rPr>
          <w:noProof/>
        </w:rPr>
      </w:pPr>
      <w:r>
        <w:rPr>
          <w:noProof/>
        </w:rPr>
        <w:t>Ďalší pokrok týkajúci sa značného skrátenia postupu udelenia absolutória si bude vyžadovať úzku spoluprácu dotknutých inštitúcií (Európský parlament, Rada, Európsky dvor audítorov, Komisia). Komisia je odhodlaná urobiť maximum pre to, aby našla najlepší spôsob, ako skrátiť postup udelenia absolutória.</w:t>
      </w:r>
    </w:p>
    <w:p>
      <w:pPr>
        <w:pStyle w:val="ManualHeading1"/>
        <w:keepNext w:val="0"/>
        <w:rPr>
          <w:noProof/>
        </w:rPr>
      </w:pPr>
      <w:r>
        <w:rPr>
          <w:noProof/>
        </w:rPr>
        <w:t>7.</w:t>
      </w:r>
      <w:r>
        <w:rPr>
          <w:noProof/>
        </w:rPr>
        <w:tab/>
        <w:t>Záver</w:t>
      </w:r>
    </w:p>
    <w:p>
      <w:pPr>
        <w:pStyle w:val="Text1"/>
        <w:rPr>
          <w:noProof/>
        </w:rPr>
      </w:pPr>
      <w:r>
        <w:rPr>
          <w:noProof/>
        </w:rPr>
        <w:t>Komisia berie svoju úlohu v procese udelenia absolutória veľmi vážne. Zaväzuje sa vykonať hlavné požiadavky Európskeho parlamentu, Rady a Európskeho dvora audítorov s cieľom ďalej zlepšiť spravovanie fondov EÚ.</w:t>
      </w:r>
    </w:p>
    <w:p>
      <w:pPr>
        <w:pStyle w:val="Text1"/>
        <w:rPr>
          <w:noProof/>
          <w:szCs w:val="24"/>
        </w:rPr>
      </w:pPr>
      <w:r>
        <w:rPr>
          <w:noProof/>
        </w:rPr>
        <w:t>Komisia zohľadnila poznatky získané počas nedávnych postupov udelenia absolutória vo svojich návrhoch budúceho viacročného finančného rámca na obdobie 2021 – 2027.</w:t>
      </w:r>
    </w:p>
    <w:p>
      <w:pPr>
        <w:jc w:val="center"/>
        <w:rPr>
          <w:rFonts w:eastAsia="Times New Roman"/>
          <w:noProof/>
          <w:color w:val="auto"/>
          <w:sz w:val="20"/>
        </w:rPr>
      </w:pPr>
      <w:r>
        <w:rPr>
          <w:noProof/>
        </w:rPr>
        <w:t>* * *</w:t>
      </w:r>
      <w:bookmarkStart w:id="3" w:name="CopyToNewDocument_"/>
      <w:bookmarkEnd w:id="3"/>
    </w:p>
    <w:sectPr>
      <w:headerReference w:type="even" r:id="rId16"/>
      <w:headerReference w:type="default" r:id="rId17"/>
      <w:footerReference w:type="even" r:id="rId18"/>
      <w:footerReference w:type="default" r:id="rId19"/>
      <w:headerReference w:type="first" r:id="rId20"/>
      <w:footerReference w:type="first" r:id="rId21"/>
      <w:pgSz w:w="11900" w:h="16840"/>
      <w:pgMar w:top="1134" w:right="1417" w:bottom="1134" w:left="141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1"/>
      <w:tabs>
        <w:tab w:val="clear" w:pos="9921"/>
        <w:tab w:val="right" w:pos="9612"/>
      </w:tabs>
      <w:rPr>
        <w:rFonts w:eastAsia="Times New Roman"/>
        <w:color w:val="auto"/>
        <w:sz w:val="20"/>
      </w:rPr>
    </w:pPr>
    <w:r>
      <w:rPr>
        <w:rFonts w:ascii="Arial" w:hAnsi="Arial"/>
        <w:b/>
        <w:sz w:val="48"/>
      </w:rPr>
      <w:t>SK</w:t>
    </w:r>
    <w:r>
      <w:tab/>
    </w:r>
    <w:r>
      <w:fldChar w:fldCharType="begin"/>
    </w:r>
    <w:r>
      <w:instrText xml:space="preserve"> PAGE </w:instrText>
    </w:r>
    <w:r>
      <w:fldChar w:fldCharType="separate"/>
    </w:r>
    <w:r>
      <w:rPr>
        <w:noProof/>
      </w:rPr>
      <w:t>2</w:t>
    </w:r>
    <w:r>
      <w:fldChar w:fldCharType="end"/>
    </w:r>
    <w:r>
      <w:tab/>
      <w:t xml:space="preserve"> </w:t>
    </w:r>
    <w:r>
      <w:tab/>
    </w:r>
    <w:r>
      <w:rPr>
        <w:rFonts w:ascii="Arial" w:hAnsi="Arial"/>
        <w:b/>
        <w:sz w:val="48"/>
      </w:rPr>
      <w:t>SK</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1"/>
      <w:tabs>
        <w:tab w:val="clear" w:pos="9921"/>
        <w:tab w:val="right" w:pos="9612"/>
      </w:tabs>
      <w:rPr>
        <w:rFonts w:eastAsia="Times New Roman"/>
        <w:color w:val="auto"/>
        <w:sz w:val="20"/>
      </w:rPr>
    </w:pPr>
    <w:r>
      <w:tab/>
    </w:r>
    <w:r>
      <w:fldChar w:fldCharType="begin"/>
    </w:r>
    <w:r>
      <w:instrText xml:space="preserve"> PAGE </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rStyle w:val="Ninguno"/>
          <w:sz w:val="16"/>
          <w:szCs w:val="16"/>
        </w:rPr>
      </w:pPr>
      <w:r>
        <w:rPr>
          <w:rStyle w:val="Ninguno"/>
          <w:vertAlign w:val="superscript"/>
        </w:rPr>
        <w:footnoteRef/>
      </w:r>
      <w:r>
        <w:t xml:space="preserve"> </w:t>
      </w:r>
      <w:r>
        <w:rPr>
          <w:rStyle w:val="Ninguno"/>
          <w:sz w:val="16"/>
        </w:rPr>
        <w:t>COM(2018) 457 final.</w:t>
      </w:r>
    </w:p>
  </w:footnote>
  <w:footnote w:id="3">
    <w:p>
      <w:pPr>
        <w:pStyle w:val="Text1"/>
        <w:ind w:left="856"/>
      </w:pPr>
      <w:r>
        <w:rPr>
          <w:rStyle w:val="Ninguno"/>
          <w:vertAlign w:val="superscript"/>
        </w:rPr>
        <w:footnoteRef/>
      </w:r>
      <w:r>
        <w:rPr>
          <w:rStyle w:val="Ninguno"/>
          <w:sz w:val="16"/>
        </w:rPr>
        <w:t xml:space="preserve"> Dostupné na webovom sídle: https://ec.europa.eu/commission/sites/beta-political/files/reflection-paper-eu-finances_sk.pdf.</w:t>
      </w:r>
    </w:p>
  </w:footnote>
  <w:footnote w:id="4">
    <w:p>
      <w:pPr>
        <w:pStyle w:val="FootnoteText"/>
      </w:pPr>
      <w:r>
        <w:rPr>
          <w:rStyle w:val="Ninguno"/>
          <w:sz w:val="16"/>
          <w:vertAlign w:val="superscript"/>
        </w:rPr>
        <w:footnoteRef/>
      </w:r>
      <w:r>
        <w:t xml:space="preserve"> </w:t>
      </w:r>
      <w:r>
        <w:rPr>
          <w:rStyle w:val="Ninguno"/>
          <w:sz w:val="16"/>
        </w:rPr>
        <w:t>Vrátane Kohézneho fondu, Európskeho sociálneho fondu plus, Európskeho námorného a rybárskeho fondu, Európskeho fondu regionálneho rozvoja, Fondu pre azyl, migráciu a integráciu, nástroja na riadenie hraníc a víza, Fondu pre vnútornú bezpečnosť.</w:t>
      </w:r>
    </w:p>
  </w:footnote>
  <w:footnote w:id="5">
    <w:p>
      <w:pPr>
        <w:pStyle w:val="FootnoteText"/>
        <w:rPr>
          <w:rStyle w:val="Ninguno"/>
          <w:rFonts w:eastAsia="Arial Unicode MS" w:cs="Arial Unicode MS"/>
          <w:sz w:val="16"/>
          <w:szCs w:val="16"/>
        </w:rPr>
      </w:pPr>
      <w:r>
        <w:rPr>
          <w:rStyle w:val="Ninguno"/>
          <w:sz w:val="16"/>
          <w:vertAlign w:val="superscript"/>
        </w:rPr>
        <w:footnoteRef/>
      </w:r>
      <w:r>
        <w:rPr>
          <w:rStyle w:val="Ninguno"/>
          <w:sz w:val="16"/>
        </w:rPr>
        <w:t xml:space="preserve"> http://ec.europa.eu/budget/library/biblio/documents/2018/DB2018_WD10_en.pdf</w:t>
      </w:r>
    </w:p>
  </w:footnote>
  <w:footnote w:id="6">
    <w:p>
      <w:pPr>
        <w:pStyle w:val="FootnoteText"/>
        <w:rPr>
          <w:rStyle w:val="Ninguno"/>
          <w:rFonts w:eastAsia="Arial Unicode MS" w:cs="Arial Unicode MS"/>
          <w:sz w:val="16"/>
          <w:szCs w:val="16"/>
        </w:rPr>
      </w:pPr>
      <w:r>
        <w:rPr>
          <w:rStyle w:val="Ninguno"/>
          <w:sz w:val="16"/>
          <w:vertAlign w:val="superscript"/>
        </w:rPr>
        <w:footnoteRef/>
      </w:r>
      <w:r>
        <w:rPr>
          <w:rStyle w:val="Ninguno"/>
          <w:sz w:val="16"/>
        </w:rPr>
        <w:t xml:space="preserve"> Oznámenie zo 16. októbra 2017 „Prognóza platobných rozpočtových prostriedkov po roku 2020 predložená v súlade s bodom 9 Medziinštitucionálnej dohody z 2. decembra 2013“.</w:t>
      </w:r>
    </w:p>
  </w:footnote>
  <w:footnote w:id="7">
    <w:p>
      <w:pPr>
        <w:pStyle w:val="FootnoteText"/>
        <w:rPr>
          <w:lang w:val="pl-PL"/>
        </w:rPr>
      </w:pPr>
      <w:r>
        <w:rPr>
          <w:rStyle w:val="Ninguno"/>
          <w:sz w:val="16"/>
          <w:vertAlign w:val="superscript"/>
        </w:rPr>
        <w:footnoteRef/>
      </w:r>
      <w:r>
        <w:rPr>
          <w:sz w:val="16"/>
        </w:rPr>
        <w:t xml:space="preserve"> </w:t>
      </w:r>
      <w:r>
        <w:rPr>
          <w:rStyle w:val="Ninguno"/>
          <w:sz w:val="16"/>
        </w:rPr>
        <w:t xml:space="preserve">Dostupné na tomto webovom sídle: </w:t>
      </w:r>
      <w:hyperlink r:id="rId1">
        <w:r>
          <w:rPr>
            <w:rStyle w:val="Ninguno"/>
            <w:sz w:val="16"/>
          </w:rPr>
          <w:t>http://www.europarl.europa.eu/cmsdata/149400/COM_COM(2018)0457_EN.pdf</w:t>
        </w:r>
      </w:hyperlink>
    </w:p>
  </w:footnote>
  <w:footnote w:id="8">
    <w:p>
      <w:pPr>
        <w:pStyle w:val="FootnoteText"/>
      </w:pPr>
      <w:r>
        <w:rPr>
          <w:rStyle w:val="FootnoteReference1"/>
        </w:rPr>
        <w:footnoteRef/>
      </w:r>
      <w:r>
        <w:t xml:space="preserve"> </w:t>
      </w:r>
      <w:r>
        <w:rPr>
          <w:rStyle w:val="Ninguno"/>
          <w:sz w:val="16"/>
        </w:rPr>
        <w:t>Úradný vestník Európskej únie C 322, 28.9.2017, s. 115.</w:t>
      </w:r>
    </w:p>
  </w:footnote>
  <w:footnote w:id="9">
    <w:p>
      <w:pPr>
        <w:pStyle w:val="FootnoteText"/>
        <w:rPr>
          <w:sz w:val="16"/>
          <w:szCs w:val="16"/>
        </w:rPr>
      </w:pPr>
      <w:r>
        <w:rPr>
          <w:rStyle w:val="FootnoteReference"/>
          <w:sz w:val="16"/>
        </w:rPr>
        <w:footnoteRef/>
      </w:r>
      <w:r>
        <w:rPr>
          <w:sz w:val="16"/>
        </w:rPr>
        <w:t xml:space="preserve"> http://ec.europa.eu/budget/budget4results/index_en.cfm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55813B6"/>
    <w:lvl w:ilvl="0">
      <w:start w:val="1"/>
      <w:numFmt w:val="decimal"/>
      <w:isLgl/>
      <w:suff w:val="nothing"/>
      <w:lvlText w:val="%1."/>
      <w:lvlJc w:val="left"/>
      <w:pPr>
        <w:ind w:left="0" w:firstLine="2693"/>
      </w:pPr>
      <w:rPr>
        <w:rFonts w:hint="default"/>
        <w:color w:val="000000"/>
        <w:position w:val="0"/>
        <w:sz w:val="24"/>
      </w:rPr>
    </w:lvl>
    <w:lvl w:ilvl="1">
      <w:start w:val="1"/>
      <w:numFmt w:val="decimal"/>
      <w:isLgl/>
      <w:lvlText w:val="%1.%2."/>
      <w:lvlJc w:val="left"/>
      <w:pPr>
        <w:tabs>
          <w:tab w:val="num" w:pos="567"/>
        </w:tabs>
        <w:ind w:left="567" w:firstLine="0"/>
      </w:pPr>
      <w:rPr>
        <w:rFonts w:hint="default"/>
        <w:b/>
        <w:color w:val="000000"/>
        <w:position w:val="0"/>
        <w:sz w:val="24"/>
      </w:rPr>
    </w:lvl>
    <w:lvl w:ilvl="2">
      <w:start w:val="1"/>
      <w:numFmt w:val="decimal"/>
      <w:isLgl/>
      <w:suff w:val="nothing"/>
      <w:lvlText w:val="%1.%2.%3."/>
      <w:lvlJc w:val="left"/>
      <w:pPr>
        <w:ind w:left="0" w:firstLine="850"/>
      </w:pPr>
      <w:rPr>
        <w:rFonts w:hint="default"/>
        <w:color w:val="000000"/>
        <w:position w:val="0"/>
        <w:sz w:val="24"/>
      </w:rPr>
    </w:lvl>
    <w:lvl w:ilvl="3">
      <w:start w:val="1"/>
      <w:numFmt w:val="decimal"/>
      <w:isLgl/>
      <w:suff w:val="nothing"/>
      <w:lvlText w:val="%1.%2.%3.%4."/>
      <w:lvlJc w:val="left"/>
      <w:pPr>
        <w:ind w:left="0" w:firstLine="850"/>
      </w:pPr>
      <w:rPr>
        <w:rFonts w:hint="default"/>
        <w:color w:val="000000"/>
        <w:position w:val="0"/>
        <w:sz w:val="24"/>
      </w:rPr>
    </w:lvl>
    <w:lvl w:ilvl="4">
      <w:start w:val="1"/>
      <w:numFmt w:val="lowerLetter"/>
      <w:suff w:val="nothing"/>
      <w:lvlText w:val="(%5)"/>
      <w:lvlJc w:val="left"/>
      <w:pPr>
        <w:ind w:left="0" w:firstLine="1800"/>
      </w:pPr>
      <w:rPr>
        <w:rFonts w:hint="default"/>
        <w:color w:val="000000"/>
        <w:position w:val="0"/>
        <w:sz w:val="24"/>
      </w:rPr>
    </w:lvl>
    <w:lvl w:ilvl="5">
      <w:start w:val="1"/>
      <w:numFmt w:val="lowerRoman"/>
      <w:suff w:val="nothing"/>
      <w:lvlText w:val="(%6)"/>
      <w:lvlJc w:val="left"/>
      <w:pPr>
        <w:ind w:left="0" w:firstLine="2160"/>
      </w:pPr>
      <w:rPr>
        <w:rFonts w:hint="default"/>
        <w:color w:val="000000"/>
        <w:position w:val="0"/>
        <w:sz w:val="24"/>
      </w:rPr>
    </w:lvl>
    <w:lvl w:ilvl="6">
      <w:start w:val="1"/>
      <w:numFmt w:val="decimal"/>
      <w:isLgl/>
      <w:suff w:val="nothing"/>
      <w:lvlText w:val="%7."/>
      <w:lvlJc w:val="left"/>
      <w:pPr>
        <w:ind w:left="0" w:firstLine="2520"/>
      </w:pPr>
      <w:rPr>
        <w:rFonts w:hint="default"/>
        <w:color w:val="000000"/>
        <w:position w:val="0"/>
        <w:sz w:val="24"/>
      </w:rPr>
    </w:lvl>
    <w:lvl w:ilvl="7">
      <w:start w:val="1"/>
      <w:numFmt w:val="lowerLetter"/>
      <w:suff w:val="nothing"/>
      <w:lvlText w:val="%8."/>
      <w:lvlJc w:val="left"/>
      <w:pPr>
        <w:ind w:left="0" w:firstLine="2880"/>
      </w:pPr>
      <w:rPr>
        <w:rFonts w:hint="default"/>
        <w:color w:val="000000"/>
        <w:position w:val="0"/>
        <w:sz w:val="24"/>
      </w:rPr>
    </w:lvl>
    <w:lvl w:ilvl="8">
      <w:start w:val="1"/>
      <w:numFmt w:val="lowerRoman"/>
      <w:suff w:val="nothing"/>
      <w:lvlText w:val="%9."/>
      <w:lvlJc w:val="left"/>
      <w:pPr>
        <w:ind w:left="0" w:firstLine="3240"/>
      </w:pPr>
      <w:rPr>
        <w:rFont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284"/>
        </w:tabs>
        <w:ind w:left="284" w:firstLine="43"/>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2">
    <w:nsid w:val="00000003"/>
    <w:multiLevelType w:val="multilevel"/>
    <w:tmpl w:val="894EE875"/>
    <w:lvl w:ilvl="0">
      <w:start w:val="1"/>
      <w:numFmt w:val="bullet"/>
      <w:lvlText w:val="•"/>
      <w:lvlJc w:val="left"/>
      <w:pPr>
        <w:tabs>
          <w:tab w:val="num" w:pos="230"/>
        </w:tabs>
        <w:ind w:left="230" w:firstLine="1210"/>
      </w:pPr>
      <w:rPr>
        <w:rFonts w:hint="default"/>
        <w:color w:val="000000"/>
        <w:position w:val="0"/>
        <w:sz w:val="24"/>
      </w:rPr>
    </w:lvl>
    <w:lvl w:ilvl="1">
      <w:start w:val="1"/>
      <w:numFmt w:val="bullet"/>
      <w:suff w:val="nothing"/>
      <w:lvlText w:val="o"/>
      <w:lvlJc w:val="left"/>
      <w:pPr>
        <w:ind w:left="0" w:firstLine="2290"/>
      </w:pPr>
      <w:rPr>
        <w:rFonts w:ascii="Courier New" w:eastAsia="ヒラギノ角ゴ Pro W3" w:hAnsi="Courier New" w:hint="default"/>
        <w:color w:val="000000"/>
        <w:position w:val="0"/>
        <w:sz w:val="24"/>
      </w:rPr>
    </w:lvl>
    <w:lvl w:ilvl="2">
      <w:start w:val="1"/>
      <w:numFmt w:val="bullet"/>
      <w:suff w:val="nothing"/>
      <w:lvlText w:val=""/>
      <w:lvlJc w:val="left"/>
      <w:pPr>
        <w:ind w:left="0" w:firstLine="3010"/>
      </w:pPr>
      <w:rPr>
        <w:rFonts w:ascii="Wingdings" w:eastAsia="ヒラギノ角ゴ Pro W3" w:hAnsi="Wingdings" w:hint="default"/>
        <w:color w:val="000000"/>
        <w:position w:val="0"/>
        <w:sz w:val="24"/>
      </w:rPr>
    </w:lvl>
    <w:lvl w:ilvl="3">
      <w:start w:val="1"/>
      <w:numFmt w:val="bullet"/>
      <w:suff w:val="nothing"/>
      <w:lvlText w:val="•"/>
      <w:lvlJc w:val="left"/>
      <w:pPr>
        <w:ind w:left="0" w:firstLine="3730"/>
      </w:pPr>
      <w:rPr>
        <w:rFonts w:hint="default"/>
        <w:color w:val="000000"/>
        <w:position w:val="0"/>
        <w:sz w:val="24"/>
      </w:rPr>
    </w:lvl>
    <w:lvl w:ilvl="4">
      <w:start w:val="1"/>
      <w:numFmt w:val="bullet"/>
      <w:suff w:val="nothing"/>
      <w:lvlText w:val="o"/>
      <w:lvlJc w:val="left"/>
      <w:pPr>
        <w:ind w:left="0" w:firstLine="4450"/>
      </w:pPr>
      <w:rPr>
        <w:rFonts w:ascii="Courier New" w:eastAsia="ヒラギノ角ゴ Pro W3" w:hAnsi="Courier New" w:hint="default"/>
        <w:color w:val="000000"/>
        <w:position w:val="0"/>
        <w:sz w:val="24"/>
      </w:rPr>
    </w:lvl>
    <w:lvl w:ilvl="5">
      <w:start w:val="1"/>
      <w:numFmt w:val="bullet"/>
      <w:suff w:val="nothing"/>
      <w:lvlText w:val=""/>
      <w:lvlJc w:val="left"/>
      <w:pPr>
        <w:ind w:left="0" w:firstLine="5170"/>
      </w:pPr>
      <w:rPr>
        <w:rFonts w:ascii="Wingdings" w:eastAsia="ヒラギノ角ゴ Pro W3" w:hAnsi="Wingdings" w:hint="default"/>
        <w:color w:val="000000"/>
        <w:position w:val="0"/>
        <w:sz w:val="24"/>
      </w:rPr>
    </w:lvl>
    <w:lvl w:ilvl="6">
      <w:start w:val="1"/>
      <w:numFmt w:val="bullet"/>
      <w:suff w:val="nothing"/>
      <w:lvlText w:val="•"/>
      <w:lvlJc w:val="left"/>
      <w:pPr>
        <w:ind w:left="0" w:firstLine="5890"/>
      </w:pPr>
      <w:rPr>
        <w:rFonts w:hint="default"/>
        <w:color w:val="000000"/>
        <w:position w:val="0"/>
        <w:sz w:val="24"/>
      </w:rPr>
    </w:lvl>
    <w:lvl w:ilvl="7">
      <w:start w:val="1"/>
      <w:numFmt w:val="bullet"/>
      <w:suff w:val="nothing"/>
      <w:lvlText w:val="o"/>
      <w:lvlJc w:val="left"/>
      <w:pPr>
        <w:ind w:left="0" w:firstLine="6610"/>
      </w:pPr>
      <w:rPr>
        <w:rFonts w:ascii="Courier New" w:eastAsia="ヒラギノ角ゴ Pro W3" w:hAnsi="Courier New" w:hint="default"/>
        <w:color w:val="000000"/>
        <w:position w:val="0"/>
        <w:sz w:val="24"/>
      </w:rPr>
    </w:lvl>
    <w:lvl w:ilvl="8">
      <w:start w:val="1"/>
      <w:numFmt w:val="bullet"/>
      <w:suff w:val="nothing"/>
      <w:lvlText w:val=""/>
      <w:lvlJc w:val="left"/>
      <w:pPr>
        <w:ind w:left="0" w:firstLine="7330"/>
      </w:pPr>
      <w:rPr>
        <w:rFonts w:ascii="Wingdings" w:eastAsia="ヒラギノ角ゴ Pro W3" w:hAnsi="Wingdings" w:hint="default"/>
        <w:color w:val="000000"/>
        <w:position w:val="0"/>
        <w:sz w:val="24"/>
      </w:rPr>
    </w:lvl>
  </w:abstractNum>
  <w:abstractNum w:abstractNumId="3">
    <w:nsid w:val="088F0485"/>
    <w:multiLevelType w:val="hybridMultilevel"/>
    <w:tmpl w:val="1528F9AC"/>
    <w:styleLink w:val="Estiloimportado1"/>
    <w:lvl w:ilvl="0" w:tplc="D9FC2E62">
      <w:start w:val="1"/>
      <w:numFmt w:val="bullet"/>
      <w:lvlText w:val="·"/>
      <w:lvlJc w:val="left"/>
      <w:pPr>
        <w:tabs>
          <w:tab w:val="num" w:pos="1440"/>
        </w:tabs>
        <w:ind w:left="15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6877FA">
      <w:start w:val="1"/>
      <w:numFmt w:val="bullet"/>
      <w:lvlText w:val="o"/>
      <w:lvlJc w:val="left"/>
      <w:pPr>
        <w:tabs>
          <w:tab w:val="num" w:pos="2160"/>
        </w:tabs>
        <w:ind w:left="22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ACA6C4">
      <w:start w:val="1"/>
      <w:numFmt w:val="bullet"/>
      <w:lvlText w:val="▪"/>
      <w:lvlJc w:val="left"/>
      <w:pPr>
        <w:tabs>
          <w:tab w:val="num" w:pos="2880"/>
        </w:tabs>
        <w:ind w:left="30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605BAE">
      <w:start w:val="1"/>
      <w:numFmt w:val="bullet"/>
      <w:lvlText w:val="·"/>
      <w:lvlJc w:val="left"/>
      <w:pPr>
        <w:tabs>
          <w:tab w:val="num" w:pos="3600"/>
        </w:tabs>
        <w:ind w:left="37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071F6">
      <w:start w:val="1"/>
      <w:numFmt w:val="bullet"/>
      <w:lvlText w:val="o"/>
      <w:lvlJc w:val="left"/>
      <w:pPr>
        <w:tabs>
          <w:tab w:val="num" w:pos="4320"/>
        </w:tabs>
        <w:ind w:left="44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B4E0F4">
      <w:start w:val="1"/>
      <w:numFmt w:val="bullet"/>
      <w:lvlText w:val="▪"/>
      <w:lvlJc w:val="left"/>
      <w:pPr>
        <w:tabs>
          <w:tab w:val="num" w:pos="5040"/>
        </w:tabs>
        <w:ind w:left="51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5E8346">
      <w:start w:val="1"/>
      <w:numFmt w:val="bullet"/>
      <w:lvlText w:val="·"/>
      <w:lvlJc w:val="left"/>
      <w:pPr>
        <w:tabs>
          <w:tab w:val="num" w:pos="5760"/>
        </w:tabs>
        <w:ind w:left="58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AC68F4">
      <w:start w:val="1"/>
      <w:numFmt w:val="bullet"/>
      <w:lvlText w:val="o"/>
      <w:lvlJc w:val="left"/>
      <w:pPr>
        <w:tabs>
          <w:tab w:val="num" w:pos="6480"/>
        </w:tabs>
        <w:ind w:left="6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6A6A5A">
      <w:start w:val="1"/>
      <w:numFmt w:val="bullet"/>
      <w:lvlText w:val="▪"/>
      <w:lvlJc w:val="left"/>
      <w:pPr>
        <w:tabs>
          <w:tab w:val="num" w:pos="7200"/>
        </w:tabs>
        <w:ind w:left="73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9360A37"/>
    <w:multiLevelType w:val="hybridMultilevel"/>
    <w:tmpl w:val="C462702A"/>
    <w:numStyleLink w:val="Stileimportato2"/>
  </w:abstractNum>
  <w:abstractNum w:abstractNumId="5">
    <w:nsid w:val="1784576C"/>
    <w:multiLevelType w:val="multilevel"/>
    <w:tmpl w:val="FE1AAE94"/>
    <w:lvl w:ilvl="0">
      <w:start w:val="1"/>
      <w:numFmt w:val="decimal"/>
      <w:lvlText w:val="%1."/>
      <w:lvlJc w:val="left"/>
      <w:pPr>
        <w:ind w:left="855" w:hanging="855"/>
      </w:pPr>
      <w:rPr>
        <w:rFonts w:hint="default"/>
      </w:rPr>
    </w:lvl>
    <w:lvl w:ilvl="1">
      <w:start w:val="1"/>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B107B07"/>
    <w:multiLevelType w:val="hybridMultilevel"/>
    <w:tmpl w:val="79923F1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D97C0DF8">
      <w:numFmt w:val="bullet"/>
      <w:lvlText w:val="•"/>
      <w:lvlJc w:val="left"/>
      <w:pPr>
        <w:ind w:left="1942" w:hanging="360"/>
      </w:pPr>
      <w:rPr>
        <w:rFonts w:ascii="Times New Roman" w:eastAsia="Calibri" w:hAnsi="Times New Roman" w:cs="Times New Roman"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21847FF4"/>
    <w:multiLevelType w:val="hybridMultilevel"/>
    <w:tmpl w:val="ED1AB36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8">
    <w:nsid w:val="2CC07E11"/>
    <w:multiLevelType w:val="hybridMultilevel"/>
    <w:tmpl w:val="4BE64B6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9">
    <w:nsid w:val="33A0477A"/>
    <w:multiLevelType w:val="hybridMultilevel"/>
    <w:tmpl w:val="A38A53C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0">
    <w:nsid w:val="394A7A34"/>
    <w:multiLevelType w:val="hybridMultilevel"/>
    <w:tmpl w:val="C462702A"/>
    <w:styleLink w:val="Stileimportato2"/>
    <w:lvl w:ilvl="0" w:tplc="6554E574">
      <w:start w:val="1"/>
      <w:numFmt w:val="bullet"/>
      <w:lvlText w:val="·"/>
      <w:lvlJc w:val="left"/>
      <w:pPr>
        <w:tabs>
          <w:tab w:val="num" w:pos="1440"/>
        </w:tabs>
        <w:ind w:left="15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2E83AC">
      <w:start w:val="1"/>
      <w:numFmt w:val="bullet"/>
      <w:lvlText w:val="o"/>
      <w:lvlJc w:val="left"/>
      <w:pPr>
        <w:tabs>
          <w:tab w:val="left" w:pos="1440"/>
          <w:tab w:val="num" w:pos="2160"/>
        </w:tabs>
        <w:ind w:left="22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A672D8">
      <w:start w:val="1"/>
      <w:numFmt w:val="bullet"/>
      <w:lvlText w:val="▪"/>
      <w:lvlJc w:val="left"/>
      <w:pPr>
        <w:tabs>
          <w:tab w:val="left" w:pos="1440"/>
          <w:tab w:val="num" w:pos="2880"/>
        </w:tabs>
        <w:ind w:left="30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A60342">
      <w:start w:val="1"/>
      <w:numFmt w:val="bullet"/>
      <w:lvlText w:val="·"/>
      <w:lvlJc w:val="left"/>
      <w:pPr>
        <w:tabs>
          <w:tab w:val="left" w:pos="1440"/>
          <w:tab w:val="num" w:pos="3600"/>
        </w:tabs>
        <w:ind w:left="37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94FBCC">
      <w:start w:val="1"/>
      <w:numFmt w:val="bullet"/>
      <w:lvlText w:val="o"/>
      <w:lvlJc w:val="left"/>
      <w:pPr>
        <w:tabs>
          <w:tab w:val="left" w:pos="1440"/>
          <w:tab w:val="num" w:pos="4320"/>
        </w:tabs>
        <w:ind w:left="44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CA604">
      <w:start w:val="1"/>
      <w:numFmt w:val="bullet"/>
      <w:lvlText w:val="▪"/>
      <w:lvlJc w:val="left"/>
      <w:pPr>
        <w:tabs>
          <w:tab w:val="left" w:pos="1440"/>
          <w:tab w:val="num" w:pos="5040"/>
        </w:tabs>
        <w:ind w:left="51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64BC7A">
      <w:start w:val="1"/>
      <w:numFmt w:val="bullet"/>
      <w:lvlText w:val="·"/>
      <w:lvlJc w:val="left"/>
      <w:pPr>
        <w:tabs>
          <w:tab w:val="left" w:pos="1440"/>
          <w:tab w:val="num" w:pos="5760"/>
        </w:tabs>
        <w:ind w:left="58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D246B2">
      <w:start w:val="1"/>
      <w:numFmt w:val="bullet"/>
      <w:lvlText w:val="o"/>
      <w:lvlJc w:val="left"/>
      <w:pPr>
        <w:tabs>
          <w:tab w:val="left" w:pos="1440"/>
          <w:tab w:val="num" w:pos="6480"/>
        </w:tabs>
        <w:ind w:left="6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748360">
      <w:start w:val="1"/>
      <w:numFmt w:val="bullet"/>
      <w:lvlText w:val="▪"/>
      <w:lvlJc w:val="left"/>
      <w:pPr>
        <w:tabs>
          <w:tab w:val="left" w:pos="1440"/>
          <w:tab w:val="num" w:pos="7200"/>
        </w:tabs>
        <w:ind w:left="73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AB57C89"/>
    <w:multiLevelType w:val="hybridMultilevel"/>
    <w:tmpl w:val="C0B0C51C"/>
    <w:lvl w:ilvl="0" w:tplc="08090001">
      <w:start w:val="1"/>
      <w:numFmt w:val="bullet"/>
      <w:lvlText w:val=""/>
      <w:lvlJc w:val="left"/>
      <w:pPr>
        <w:ind w:left="1634" w:hanging="360"/>
      </w:pPr>
      <w:rPr>
        <w:rFonts w:ascii="Symbol" w:hAnsi="Symbol" w:hint="default"/>
      </w:rPr>
    </w:lvl>
    <w:lvl w:ilvl="1" w:tplc="08090003" w:tentative="1">
      <w:start w:val="1"/>
      <w:numFmt w:val="bullet"/>
      <w:lvlText w:val="o"/>
      <w:lvlJc w:val="left"/>
      <w:pPr>
        <w:ind w:left="2354" w:hanging="360"/>
      </w:pPr>
      <w:rPr>
        <w:rFonts w:ascii="Courier New" w:hAnsi="Courier New" w:cs="Courier New" w:hint="default"/>
      </w:rPr>
    </w:lvl>
    <w:lvl w:ilvl="2" w:tplc="08090005" w:tentative="1">
      <w:start w:val="1"/>
      <w:numFmt w:val="bullet"/>
      <w:lvlText w:val=""/>
      <w:lvlJc w:val="left"/>
      <w:pPr>
        <w:ind w:left="3074" w:hanging="360"/>
      </w:pPr>
      <w:rPr>
        <w:rFonts w:ascii="Wingdings" w:hAnsi="Wingdings" w:hint="default"/>
      </w:rPr>
    </w:lvl>
    <w:lvl w:ilvl="3" w:tplc="08090001" w:tentative="1">
      <w:start w:val="1"/>
      <w:numFmt w:val="bullet"/>
      <w:lvlText w:val=""/>
      <w:lvlJc w:val="left"/>
      <w:pPr>
        <w:ind w:left="3794" w:hanging="360"/>
      </w:pPr>
      <w:rPr>
        <w:rFonts w:ascii="Symbol" w:hAnsi="Symbol" w:hint="default"/>
      </w:rPr>
    </w:lvl>
    <w:lvl w:ilvl="4" w:tplc="08090003" w:tentative="1">
      <w:start w:val="1"/>
      <w:numFmt w:val="bullet"/>
      <w:lvlText w:val="o"/>
      <w:lvlJc w:val="left"/>
      <w:pPr>
        <w:ind w:left="4514" w:hanging="360"/>
      </w:pPr>
      <w:rPr>
        <w:rFonts w:ascii="Courier New" w:hAnsi="Courier New" w:cs="Courier New" w:hint="default"/>
      </w:rPr>
    </w:lvl>
    <w:lvl w:ilvl="5" w:tplc="08090005" w:tentative="1">
      <w:start w:val="1"/>
      <w:numFmt w:val="bullet"/>
      <w:lvlText w:val=""/>
      <w:lvlJc w:val="left"/>
      <w:pPr>
        <w:ind w:left="5234" w:hanging="360"/>
      </w:pPr>
      <w:rPr>
        <w:rFonts w:ascii="Wingdings" w:hAnsi="Wingdings" w:hint="default"/>
      </w:rPr>
    </w:lvl>
    <w:lvl w:ilvl="6" w:tplc="08090001" w:tentative="1">
      <w:start w:val="1"/>
      <w:numFmt w:val="bullet"/>
      <w:lvlText w:val=""/>
      <w:lvlJc w:val="left"/>
      <w:pPr>
        <w:ind w:left="5954" w:hanging="360"/>
      </w:pPr>
      <w:rPr>
        <w:rFonts w:ascii="Symbol" w:hAnsi="Symbol" w:hint="default"/>
      </w:rPr>
    </w:lvl>
    <w:lvl w:ilvl="7" w:tplc="08090003" w:tentative="1">
      <w:start w:val="1"/>
      <w:numFmt w:val="bullet"/>
      <w:lvlText w:val="o"/>
      <w:lvlJc w:val="left"/>
      <w:pPr>
        <w:ind w:left="6674" w:hanging="360"/>
      </w:pPr>
      <w:rPr>
        <w:rFonts w:ascii="Courier New" w:hAnsi="Courier New" w:cs="Courier New" w:hint="default"/>
      </w:rPr>
    </w:lvl>
    <w:lvl w:ilvl="8" w:tplc="08090005" w:tentative="1">
      <w:start w:val="1"/>
      <w:numFmt w:val="bullet"/>
      <w:lvlText w:val=""/>
      <w:lvlJc w:val="left"/>
      <w:pPr>
        <w:ind w:left="7394" w:hanging="360"/>
      </w:pPr>
      <w:rPr>
        <w:rFonts w:ascii="Wingdings" w:hAnsi="Wingdings" w:hint="default"/>
      </w:rPr>
    </w:lvl>
  </w:abstractNum>
  <w:abstractNum w:abstractNumId="12">
    <w:nsid w:val="3F974E2B"/>
    <w:multiLevelType w:val="hybridMultilevel"/>
    <w:tmpl w:val="360E012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3">
    <w:nsid w:val="4AFE3284"/>
    <w:multiLevelType w:val="hybridMultilevel"/>
    <w:tmpl w:val="8334FB54"/>
    <w:lvl w:ilvl="0" w:tplc="08090001">
      <w:start w:val="1"/>
      <w:numFmt w:val="bullet"/>
      <w:lvlText w:val=""/>
      <w:lvlJc w:val="left"/>
      <w:pPr>
        <w:ind w:left="1628" w:hanging="360"/>
      </w:pPr>
      <w:rPr>
        <w:rFonts w:ascii="Symbol" w:hAnsi="Symbo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4">
    <w:nsid w:val="4C7B4AC3"/>
    <w:multiLevelType w:val="hybridMultilevel"/>
    <w:tmpl w:val="FF389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881CBA"/>
    <w:multiLevelType w:val="hybridMultilevel"/>
    <w:tmpl w:val="6A9EA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DA90EFE"/>
    <w:multiLevelType w:val="hybridMultilevel"/>
    <w:tmpl w:val="B28E95A8"/>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7">
    <w:nsid w:val="4E525364"/>
    <w:multiLevelType w:val="multilevel"/>
    <w:tmpl w:val="CB506C84"/>
    <w:numStyleLink w:val="Estiloimportado2"/>
  </w:abstractNum>
  <w:abstractNum w:abstractNumId="18">
    <w:nsid w:val="502909D8"/>
    <w:multiLevelType w:val="hybridMultilevel"/>
    <w:tmpl w:val="9A86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B13E09"/>
    <w:multiLevelType w:val="hybridMultilevel"/>
    <w:tmpl w:val="54AEFC6C"/>
    <w:numStyleLink w:val="Stileimportato1"/>
  </w:abstractNum>
  <w:abstractNum w:abstractNumId="20">
    <w:nsid w:val="5C9B688D"/>
    <w:multiLevelType w:val="hybridMultilevel"/>
    <w:tmpl w:val="54AEFC6C"/>
    <w:styleLink w:val="Stileimportato1"/>
    <w:lvl w:ilvl="0" w:tplc="62C6B084">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A0F23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A6B40">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901DB8">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ACE7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4EA18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2AB6C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84F1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9A432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CDC2E37"/>
    <w:multiLevelType w:val="hybridMultilevel"/>
    <w:tmpl w:val="CA06E0C8"/>
    <w:lvl w:ilvl="0" w:tplc="31B8A934">
      <w:start w:val="5"/>
      <w:numFmt w:val="bullet"/>
      <w:lvlText w:val="-"/>
      <w:lvlJc w:val="left"/>
      <w:pPr>
        <w:ind w:left="1216" w:hanging="360"/>
      </w:pPr>
      <w:rPr>
        <w:rFonts w:ascii="Times New Roman" w:eastAsia="ヒラギノ角ゴ Pro W3" w:hAnsi="Times New Roman" w:cs="Times New Roman" w:hint="default"/>
      </w:rPr>
    </w:lvl>
    <w:lvl w:ilvl="1" w:tplc="08090003" w:tentative="1">
      <w:start w:val="1"/>
      <w:numFmt w:val="bullet"/>
      <w:lvlText w:val="o"/>
      <w:lvlJc w:val="left"/>
      <w:pPr>
        <w:ind w:left="1936" w:hanging="360"/>
      </w:pPr>
      <w:rPr>
        <w:rFonts w:ascii="Courier New" w:hAnsi="Courier New" w:cs="Courier New" w:hint="default"/>
      </w:rPr>
    </w:lvl>
    <w:lvl w:ilvl="2" w:tplc="08090005" w:tentative="1">
      <w:start w:val="1"/>
      <w:numFmt w:val="bullet"/>
      <w:lvlText w:val=""/>
      <w:lvlJc w:val="left"/>
      <w:pPr>
        <w:ind w:left="2656" w:hanging="360"/>
      </w:pPr>
      <w:rPr>
        <w:rFonts w:ascii="Wingdings" w:hAnsi="Wingdings" w:hint="default"/>
      </w:rPr>
    </w:lvl>
    <w:lvl w:ilvl="3" w:tplc="08090001" w:tentative="1">
      <w:start w:val="1"/>
      <w:numFmt w:val="bullet"/>
      <w:lvlText w:val=""/>
      <w:lvlJc w:val="left"/>
      <w:pPr>
        <w:ind w:left="3376" w:hanging="360"/>
      </w:pPr>
      <w:rPr>
        <w:rFonts w:ascii="Symbol" w:hAnsi="Symbol" w:hint="default"/>
      </w:rPr>
    </w:lvl>
    <w:lvl w:ilvl="4" w:tplc="08090003" w:tentative="1">
      <w:start w:val="1"/>
      <w:numFmt w:val="bullet"/>
      <w:lvlText w:val="o"/>
      <w:lvlJc w:val="left"/>
      <w:pPr>
        <w:ind w:left="4096" w:hanging="360"/>
      </w:pPr>
      <w:rPr>
        <w:rFonts w:ascii="Courier New" w:hAnsi="Courier New" w:cs="Courier New" w:hint="default"/>
      </w:rPr>
    </w:lvl>
    <w:lvl w:ilvl="5" w:tplc="08090005" w:tentative="1">
      <w:start w:val="1"/>
      <w:numFmt w:val="bullet"/>
      <w:lvlText w:val=""/>
      <w:lvlJc w:val="left"/>
      <w:pPr>
        <w:ind w:left="4816" w:hanging="360"/>
      </w:pPr>
      <w:rPr>
        <w:rFonts w:ascii="Wingdings" w:hAnsi="Wingdings" w:hint="default"/>
      </w:rPr>
    </w:lvl>
    <w:lvl w:ilvl="6" w:tplc="08090001" w:tentative="1">
      <w:start w:val="1"/>
      <w:numFmt w:val="bullet"/>
      <w:lvlText w:val=""/>
      <w:lvlJc w:val="left"/>
      <w:pPr>
        <w:ind w:left="5536" w:hanging="360"/>
      </w:pPr>
      <w:rPr>
        <w:rFonts w:ascii="Symbol" w:hAnsi="Symbol" w:hint="default"/>
      </w:rPr>
    </w:lvl>
    <w:lvl w:ilvl="7" w:tplc="08090003" w:tentative="1">
      <w:start w:val="1"/>
      <w:numFmt w:val="bullet"/>
      <w:lvlText w:val="o"/>
      <w:lvlJc w:val="left"/>
      <w:pPr>
        <w:ind w:left="6256" w:hanging="360"/>
      </w:pPr>
      <w:rPr>
        <w:rFonts w:ascii="Courier New" w:hAnsi="Courier New" w:cs="Courier New" w:hint="default"/>
      </w:rPr>
    </w:lvl>
    <w:lvl w:ilvl="8" w:tplc="08090005" w:tentative="1">
      <w:start w:val="1"/>
      <w:numFmt w:val="bullet"/>
      <w:lvlText w:val=""/>
      <w:lvlJc w:val="left"/>
      <w:pPr>
        <w:ind w:left="6976" w:hanging="360"/>
      </w:pPr>
      <w:rPr>
        <w:rFonts w:ascii="Wingdings" w:hAnsi="Wingdings" w:hint="default"/>
      </w:rPr>
    </w:lvl>
  </w:abstractNum>
  <w:abstractNum w:abstractNumId="22">
    <w:nsid w:val="5E227841"/>
    <w:multiLevelType w:val="hybridMultilevel"/>
    <w:tmpl w:val="6570F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EB4580B"/>
    <w:multiLevelType w:val="hybridMultilevel"/>
    <w:tmpl w:val="840EA306"/>
    <w:lvl w:ilvl="0" w:tplc="E7CC0DD2">
      <w:start w:val="5"/>
      <w:numFmt w:val="bullet"/>
      <w:lvlText w:val="-"/>
      <w:lvlJc w:val="left"/>
      <w:pPr>
        <w:ind w:left="1216" w:hanging="360"/>
      </w:pPr>
      <w:rPr>
        <w:rFonts w:ascii="Times New Roman" w:eastAsia="ヒラギノ角ゴ Pro W3" w:hAnsi="Times New Roman" w:cs="Times New Roman" w:hint="default"/>
      </w:rPr>
    </w:lvl>
    <w:lvl w:ilvl="1" w:tplc="08090003" w:tentative="1">
      <w:start w:val="1"/>
      <w:numFmt w:val="bullet"/>
      <w:lvlText w:val="o"/>
      <w:lvlJc w:val="left"/>
      <w:pPr>
        <w:ind w:left="1936" w:hanging="360"/>
      </w:pPr>
      <w:rPr>
        <w:rFonts w:ascii="Courier New" w:hAnsi="Courier New" w:cs="Courier New" w:hint="default"/>
      </w:rPr>
    </w:lvl>
    <w:lvl w:ilvl="2" w:tplc="08090005" w:tentative="1">
      <w:start w:val="1"/>
      <w:numFmt w:val="bullet"/>
      <w:lvlText w:val=""/>
      <w:lvlJc w:val="left"/>
      <w:pPr>
        <w:ind w:left="2656" w:hanging="360"/>
      </w:pPr>
      <w:rPr>
        <w:rFonts w:ascii="Wingdings" w:hAnsi="Wingdings" w:hint="default"/>
      </w:rPr>
    </w:lvl>
    <w:lvl w:ilvl="3" w:tplc="08090001" w:tentative="1">
      <w:start w:val="1"/>
      <w:numFmt w:val="bullet"/>
      <w:lvlText w:val=""/>
      <w:lvlJc w:val="left"/>
      <w:pPr>
        <w:ind w:left="3376" w:hanging="360"/>
      </w:pPr>
      <w:rPr>
        <w:rFonts w:ascii="Symbol" w:hAnsi="Symbol" w:hint="default"/>
      </w:rPr>
    </w:lvl>
    <w:lvl w:ilvl="4" w:tplc="08090003" w:tentative="1">
      <w:start w:val="1"/>
      <w:numFmt w:val="bullet"/>
      <w:lvlText w:val="o"/>
      <w:lvlJc w:val="left"/>
      <w:pPr>
        <w:ind w:left="4096" w:hanging="360"/>
      </w:pPr>
      <w:rPr>
        <w:rFonts w:ascii="Courier New" w:hAnsi="Courier New" w:cs="Courier New" w:hint="default"/>
      </w:rPr>
    </w:lvl>
    <w:lvl w:ilvl="5" w:tplc="08090005" w:tentative="1">
      <w:start w:val="1"/>
      <w:numFmt w:val="bullet"/>
      <w:lvlText w:val=""/>
      <w:lvlJc w:val="left"/>
      <w:pPr>
        <w:ind w:left="4816" w:hanging="360"/>
      </w:pPr>
      <w:rPr>
        <w:rFonts w:ascii="Wingdings" w:hAnsi="Wingdings" w:hint="default"/>
      </w:rPr>
    </w:lvl>
    <w:lvl w:ilvl="6" w:tplc="08090001" w:tentative="1">
      <w:start w:val="1"/>
      <w:numFmt w:val="bullet"/>
      <w:lvlText w:val=""/>
      <w:lvlJc w:val="left"/>
      <w:pPr>
        <w:ind w:left="5536" w:hanging="360"/>
      </w:pPr>
      <w:rPr>
        <w:rFonts w:ascii="Symbol" w:hAnsi="Symbol" w:hint="default"/>
      </w:rPr>
    </w:lvl>
    <w:lvl w:ilvl="7" w:tplc="08090003" w:tentative="1">
      <w:start w:val="1"/>
      <w:numFmt w:val="bullet"/>
      <w:lvlText w:val="o"/>
      <w:lvlJc w:val="left"/>
      <w:pPr>
        <w:ind w:left="6256" w:hanging="360"/>
      </w:pPr>
      <w:rPr>
        <w:rFonts w:ascii="Courier New" w:hAnsi="Courier New" w:cs="Courier New" w:hint="default"/>
      </w:rPr>
    </w:lvl>
    <w:lvl w:ilvl="8" w:tplc="08090005" w:tentative="1">
      <w:start w:val="1"/>
      <w:numFmt w:val="bullet"/>
      <w:lvlText w:val=""/>
      <w:lvlJc w:val="left"/>
      <w:pPr>
        <w:ind w:left="6976" w:hanging="360"/>
      </w:pPr>
      <w:rPr>
        <w:rFonts w:ascii="Wingdings" w:hAnsi="Wingdings" w:hint="default"/>
      </w:rPr>
    </w:lvl>
  </w:abstractNum>
  <w:abstractNum w:abstractNumId="24">
    <w:nsid w:val="61EE42B8"/>
    <w:multiLevelType w:val="hybridMultilevel"/>
    <w:tmpl w:val="1528F9AC"/>
    <w:numStyleLink w:val="Estiloimportado1"/>
  </w:abstractNum>
  <w:abstractNum w:abstractNumId="25">
    <w:nsid w:val="67671EEF"/>
    <w:multiLevelType w:val="singleLevel"/>
    <w:tmpl w:val="249CEA72"/>
    <w:lvl w:ilvl="0">
      <w:start w:val="1"/>
      <w:numFmt w:val="bullet"/>
      <w:pStyle w:val="ListDash1"/>
      <w:lvlText w:val="–"/>
      <w:lvlJc w:val="left"/>
      <w:pPr>
        <w:tabs>
          <w:tab w:val="num" w:pos="3969"/>
        </w:tabs>
        <w:ind w:left="3969" w:hanging="283"/>
      </w:pPr>
      <w:rPr>
        <w:rFonts w:ascii="Times New Roman" w:hAnsi="Times New Roman"/>
      </w:rPr>
    </w:lvl>
  </w:abstractNum>
  <w:abstractNum w:abstractNumId="26">
    <w:nsid w:val="6CBD6A2E"/>
    <w:multiLevelType w:val="multilevel"/>
    <w:tmpl w:val="CB506C84"/>
    <w:styleLink w:val="Estiloimportado2"/>
    <w:lvl w:ilvl="0">
      <w:start w:val="1"/>
      <w:numFmt w:val="decimal"/>
      <w:lvlText w:val="%1."/>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855" w:hanging="85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728E00FE"/>
    <w:multiLevelType w:val="hybridMultilevel"/>
    <w:tmpl w:val="4E16F1B6"/>
    <w:lvl w:ilvl="0" w:tplc="6B6C8C2E">
      <w:start w:val="5"/>
      <w:numFmt w:val="bullet"/>
      <w:lvlText w:val="-"/>
      <w:lvlJc w:val="left"/>
      <w:pPr>
        <w:ind w:left="1216" w:hanging="360"/>
      </w:pPr>
      <w:rPr>
        <w:rFonts w:ascii="Times New Roman" w:eastAsia="ヒラギノ角ゴ Pro W3" w:hAnsi="Times New Roman" w:cs="Times New Roman" w:hint="default"/>
      </w:rPr>
    </w:lvl>
    <w:lvl w:ilvl="1" w:tplc="08090003" w:tentative="1">
      <w:start w:val="1"/>
      <w:numFmt w:val="bullet"/>
      <w:lvlText w:val="o"/>
      <w:lvlJc w:val="left"/>
      <w:pPr>
        <w:ind w:left="1936" w:hanging="360"/>
      </w:pPr>
      <w:rPr>
        <w:rFonts w:ascii="Courier New" w:hAnsi="Courier New" w:cs="Courier New" w:hint="default"/>
      </w:rPr>
    </w:lvl>
    <w:lvl w:ilvl="2" w:tplc="08090005" w:tentative="1">
      <w:start w:val="1"/>
      <w:numFmt w:val="bullet"/>
      <w:lvlText w:val=""/>
      <w:lvlJc w:val="left"/>
      <w:pPr>
        <w:ind w:left="2656" w:hanging="360"/>
      </w:pPr>
      <w:rPr>
        <w:rFonts w:ascii="Wingdings" w:hAnsi="Wingdings" w:hint="default"/>
      </w:rPr>
    </w:lvl>
    <w:lvl w:ilvl="3" w:tplc="08090001" w:tentative="1">
      <w:start w:val="1"/>
      <w:numFmt w:val="bullet"/>
      <w:lvlText w:val=""/>
      <w:lvlJc w:val="left"/>
      <w:pPr>
        <w:ind w:left="3376" w:hanging="360"/>
      </w:pPr>
      <w:rPr>
        <w:rFonts w:ascii="Symbol" w:hAnsi="Symbol" w:hint="default"/>
      </w:rPr>
    </w:lvl>
    <w:lvl w:ilvl="4" w:tplc="08090003" w:tentative="1">
      <w:start w:val="1"/>
      <w:numFmt w:val="bullet"/>
      <w:lvlText w:val="o"/>
      <w:lvlJc w:val="left"/>
      <w:pPr>
        <w:ind w:left="4096" w:hanging="360"/>
      </w:pPr>
      <w:rPr>
        <w:rFonts w:ascii="Courier New" w:hAnsi="Courier New" w:cs="Courier New" w:hint="default"/>
      </w:rPr>
    </w:lvl>
    <w:lvl w:ilvl="5" w:tplc="08090005" w:tentative="1">
      <w:start w:val="1"/>
      <w:numFmt w:val="bullet"/>
      <w:lvlText w:val=""/>
      <w:lvlJc w:val="left"/>
      <w:pPr>
        <w:ind w:left="4816" w:hanging="360"/>
      </w:pPr>
      <w:rPr>
        <w:rFonts w:ascii="Wingdings" w:hAnsi="Wingdings" w:hint="default"/>
      </w:rPr>
    </w:lvl>
    <w:lvl w:ilvl="6" w:tplc="08090001" w:tentative="1">
      <w:start w:val="1"/>
      <w:numFmt w:val="bullet"/>
      <w:lvlText w:val=""/>
      <w:lvlJc w:val="left"/>
      <w:pPr>
        <w:ind w:left="5536" w:hanging="360"/>
      </w:pPr>
      <w:rPr>
        <w:rFonts w:ascii="Symbol" w:hAnsi="Symbol" w:hint="default"/>
      </w:rPr>
    </w:lvl>
    <w:lvl w:ilvl="7" w:tplc="08090003" w:tentative="1">
      <w:start w:val="1"/>
      <w:numFmt w:val="bullet"/>
      <w:lvlText w:val="o"/>
      <w:lvlJc w:val="left"/>
      <w:pPr>
        <w:ind w:left="6256" w:hanging="360"/>
      </w:pPr>
      <w:rPr>
        <w:rFonts w:ascii="Courier New" w:hAnsi="Courier New" w:cs="Courier New" w:hint="default"/>
      </w:rPr>
    </w:lvl>
    <w:lvl w:ilvl="8" w:tplc="08090005" w:tentative="1">
      <w:start w:val="1"/>
      <w:numFmt w:val="bullet"/>
      <w:lvlText w:val=""/>
      <w:lvlJc w:val="left"/>
      <w:pPr>
        <w:ind w:left="6976" w:hanging="360"/>
      </w:pPr>
      <w:rPr>
        <w:rFonts w:ascii="Wingdings" w:hAnsi="Wingdings" w:hint="default"/>
      </w:rPr>
    </w:lvl>
  </w:abstractNum>
  <w:abstractNum w:abstractNumId="28">
    <w:nsid w:val="73280D54"/>
    <w:multiLevelType w:val="hybridMultilevel"/>
    <w:tmpl w:val="26A02604"/>
    <w:lvl w:ilvl="0" w:tplc="41DE3922">
      <w:start w:val="2"/>
      <w:numFmt w:val="bullet"/>
      <w:lvlText w:val="-"/>
      <w:lvlJc w:val="left"/>
      <w:pPr>
        <w:ind w:left="1216" w:hanging="360"/>
      </w:pPr>
      <w:rPr>
        <w:rFonts w:ascii="Times New Roman" w:eastAsia="ヒラギノ角ゴ Pro W3" w:hAnsi="Times New Roman" w:cs="Times New Roman" w:hint="default"/>
      </w:rPr>
    </w:lvl>
    <w:lvl w:ilvl="1" w:tplc="08090003" w:tentative="1">
      <w:start w:val="1"/>
      <w:numFmt w:val="bullet"/>
      <w:lvlText w:val="o"/>
      <w:lvlJc w:val="left"/>
      <w:pPr>
        <w:ind w:left="1936" w:hanging="360"/>
      </w:pPr>
      <w:rPr>
        <w:rFonts w:ascii="Courier New" w:hAnsi="Courier New" w:cs="Courier New" w:hint="default"/>
      </w:rPr>
    </w:lvl>
    <w:lvl w:ilvl="2" w:tplc="08090005" w:tentative="1">
      <w:start w:val="1"/>
      <w:numFmt w:val="bullet"/>
      <w:lvlText w:val=""/>
      <w:lvlJc w:val="left"/>
      <w:pPr>
        <w:ind w:left="2656" w:hanging="360"/>
      </w:pPr>
      <w:rPr>
        <w:rFonts w:ascii="Wingdings" w:hAnsi="Wingdings" w:hint="default"/>
      </w:rPr>
    </w:lvl>
    <w:lvl w:ilvl="3" w:tplc="08090001" w:tentative="1">
      <w:start w:val="1"/>
      <w:numFmt w:val="bullet"/>
      <w:lvlText w:val=""/>
      <w:lvlJc w:val="left"/>
      <w:pPr>
        <w:ind w:left="3376" w:hanging="360"/>
      </w:pPr>
      <w:rPr>
        <w:rFonts w:ascii="Symbol" w:hAnsi="Symbol" w:hint="default"/>
      </w:rPr>
    </w:lvl>
    <w:lvl w:ilvl="4" w:tplc="08090003" w:tentative="1">
      <w:start w:val="1"/>
      <w:numFmt w:val="bullet"/>
      <w:lvlText w:val="o"/>
      <w:lvlJc w:val="left"/>
      <w:pPr>
        <w:ind w:left="4096" w:hanging="360"/>
      </w:pPr>
      <w:rPr>
        <w:rFonts w:ascii="Courier New" w:hAnsi="Courier New" w:cs="Courier New" w:hint="default"/>
      </w:rPr>
    </w:lvl>
    <w:lvl w:ilvl="5" w:tplc="08090005" w:tentative="1">
      <w:start w:val="1"/>
      <w:numFmt w:val="bullet"/>
      <w:lvlText w:val=""/>
      <w:lvlJc w:val="left"/>
      <w:pPr>
        <w:ind w:left="4816" w:hanging="360"/>
      </w:pPr>
      <w:rPr>
        <w:rFonts w:ascii="Wingdings" w:hAnsi="Wingdings" w:hint="default"/>
      </w:rPr>
    </w:lvl>
    <w:lvl w:ilvl="6" w:tplc="08090001" w:tentative="1">
      <w:start w:val="1"/>
      <w:numFmt w:val="bullet"/>
      <w:lvlText w:val=""/>
      <w:lvlJc w:val="left"/>
      <w:pPr>
        <w:ind w:left="5536" w:hanging="360"/>
      </w:pPr>
      <w:rPr>
        <w:rFonts w:ascii="Symbol" w:hAnsi="Symbol" w:hint="default"/>
      </w:rPr>
    </w:lvl>
    <w:lvl w:ilvl="7" w:tplc="08090003" w:tentative="1">
      <w:start w:val="1"/>
      <w:numFmt w:val="bullet"/>
      <w:lvlText w:val="o"/>
      <w:lvlJc w:val="left"/>
      <w:pPr>
        <w:ind w:left="6256" w:hanging="360"/>
      </w:pPr>
      <w:rPr>
        <w:rFonts w:ascii="Courier New" w:hAnsi="Courier New" w:cs="Courier New" w:hint="default"/>
      </w:rPr>
    </w:lvl>
    <w:lvl w:ilvl="8" w:tplc="08090005" w:tentative="1">
      <w:start w:val="1"/>
      <w:numFmt w:val="bullet"/>
      <w:lvlText w:val=""/>
      <w:lvlJc w:val="left"/>
      <w:pPr>
        <w:ind w:left="6976" w:hanging="360"/>
      </w:pPr>
      <w:rPr>
        <w:rFonts w:ascii="Wingdings" w:hAnsi="Wingdings" w:hint="default"/>
      </w:rPr>
    </w:lvl>
  </w:abstractNum>
  <w:abstractNum w:abstractNumId="29">
    <w:nsid w:val="76880C54"/>
    <w:multiLevelType w:val="hybridMultilevel"/>
    <w:tmpl w:val="2D406392"/>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30">
    <w:nsid w:val="77474077"/>
    <w:multiLevelType w:val="hybridMultilevel"/>
    <w:tmpl w:val="B0F42FE2"/>
    <w:lvl w:ilvl="0" w:tplc="27C89CE0">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785700C"/>
    <w:multiLevelType w:val="hybridMultilevel"/>
    <w:tmpl w:val="805843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nsid w:val="7E474AF4"/>
    <w:multiLevelType w:val="hybridMultilevel"/>
    <w:tmpl w:val="7166E386"/>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num w:numId="1">
    <w:abstractNumId w:val="0"/>
  </w:num>
  <w:num w:numId="2">
    <w:abstractNumId w:val="1"/>
  </w:num>
  <w:num w:numId="3">
    <w:abstractNumId w:val="2"/>
  </w:num>
  <w:num w:numId="4">
    <w:abstractNumId w:val="18"/>
  </w:num>
  <w:num w:numId="5">
    <w:abstractNumId w:val="32"/>
  </w:num>
  <w:num w:numId="6">
    <w:abstractNumId w:val="14"/>
  </w:num>
  <w:num w:numId="7">
    <w:abstractNumId w:val="16"/>
  </w:num>
  <w:num w:numId="8">
    <w:abstractNumId w:val="11"/>
  </w:num>
  <w:num w:numId="9">
    <w:abstractNumId w:val="8"/>
  </w:num>
  <w:num w:numId="10">
    <w:abstractNumId w:val="7"/>
  </w:num>
  <w:num w:numId="11">
    <w:abstractNumId w:val="31"/>
  </w:num>
  <w:num w:numId="12">
    <w:abstractNumId w:val="9"/>
  </w:num>
  <w:num w:numId="13">
    <w:abstractNumId w:val="20"/>
  </w:num>
  <w:num w:numId="14">
    <w:abstractNumId w:val="19"/>
  </w:num>
  <w:num w:numId="15">
    <w:abstractNumId w:val="10"/>
  </w:num>
  <w:num w:numId="16">
    <w:abstractNumId w:val="4"/>
  </w:num>
  <w:num w:numId="17">
    <w:abstractNumId w:val="13"/>
  </w:num>
  <w:num w:numId="18">
    <w:abstractNumId w:val="12"/>
  </w:num>
  <w:num w:numId="19">
    <w:abstractNumId w:val="6"/>
  </w:num>
  <w:num w:numId="20">
    <w:abstractNumId w:val="30"/>
  </w:num>
  <w:num w:numId="21">
    <w:abstractNumId w:val="5"/>
  </w:num>
  <w:num w:numId="22">
    <w:abstractNumId w:val="25"/>
  </w:num>
  <w:num w:numId="23">
    <w:abstractNumId w:val="21"/>
  </w:num>
  <w:num w:numId="24">
    <w:abstractNumId w:val="23"/>
  </w:num>
  <w:num w:numId="25">
    <w:abstractNumId w:val="27"/>
  </w:num>
  <w:num w:numId="26">
    <w:abstractNumId w:val="28"/>
  </w:num>
  <w:num w:numId="27">
    <w:abstractNumId w:val="29"/>
  </w:num>
  <w:num w:numId="28">
    <w:abstractNumId w:val="15"/>
  </w:num>
  <w:num w:numId="29">
    <w:abstractNumId w:val="22"/>
  </w:num>
  <w:num w:numId="30">
    <w:abstractNumId w:val="3"/>
  </w:num>
  <w:num w:numId="31">
    <w:abstractNumId w:val="24"/>
  </w:num>
  <w:num w:numId="32">
    <w:abstractNumId w:val="2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hideSpellingErrors/>
  <w:hideGrammaticalError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markup="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2CFE8E6-5B6F-44FC-AB22-8E777EC9B0DE"/>
    <w:docVar w:name="LW_COVERPAGE_TYPE" w:val="1"/>
    <w:docVar w:name="LW_CROSSREFERENCE" w:val="&lt;UNUSED&gt;"/>
    <w:docVar w:name="LW_DocType" w:val="NORMAL"/>
    <w:docVar w:name="LW_EMISSION" w:val="17. 7. 2018"/>
    <w:docVar w:name="LW_EMISSION_ISODATE" w:val="2018-07-17"/>
    <w:docVar w:name="LW_EMISSION_LOCATION" w:val="BRX"/>
    <w:docVar w:name="LW_EMISSION_PREFIX" w:val="V Bruseli"/>
    <w:docVar w:name="LW_EMISSION_SUFFIX" w:val=" "/>
    <w:docVar w:name="LW_ID_DOCTYPE_NONLW" w:val="CP-006"/>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8) 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o opatreniach prijatých v nadväznosti na udelenie absolutória za rozpo\u269?tový rok 2016 (zhrnutie)&lt;/FMT&gt;"/>
    <w:docVar w:name="LW_TYPE.DOC.CP" w:val="SPRÁVA KOMISIE EURÓPSKEMU PARLAMENTU A RAD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sk-SK"/>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qFormat="1"/>
    <w:lsdException w:name="annotation reference"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before="120" w:after="120"/>
      <w:jc w:val="both"/>
    </w:pPr>
    <w:rPr>
      <w:rFonts w:eastAsia="ヒラギノ角ゴ Pro W3"/>
      <w:color w:val="000000"/>
      <w:sz w:val="24"/>
      <w:szCs w:val="24"/>
    </w:rPr>
  </w:style>
  <w:style w:type="paragraph" w:styleId="Heading1">
    <w:name w:val="heading 1"/>
    <w:basedOn w:val="Normal"/>
    <w:next w:val="Normal"/>
    <w:link w:val="Heading1Char"/>
    <w:qFormat/>
    <w:locked/>
    <w:pPr>
      <w:keepNext/>
      <w:spacing w:before="240" w:after="60"/>
      <w:outlineLvl w:val="0"/>
    </w:pPr>
    <w:rPr>
      <w:rFonts w:ascii="Cambria" w:eastAsia="Times New Roman" w:hAnsi="Cambria"/>
      <w:b/>
      <w:bCs/>
      <w:kern w:val="32"/>
      <w:sz w:val="32"/>
      <w:szCs w:val="32"/>
    </w:rPr>
  </w:style>
  <w:style w:type="paragraph" w:styleId="Heading2">
    <w:name w:val="heading 2"/>
    <w:next w:val="Text1"/>
    <w:qFormat/>
    <w:pPr>
      <w:keepNext/>
      <w:tabs>
        <w:tab w:val="left" w:pos="1701"/>
      </w:tabs>
      <w:spacing w:before="120" w:after="120"/>
      <w:jc w:val="both"/>
      <w:outlineLvl w:val="1"/>
    </w:pPr>
    <w:rPr>
      <w:rFonts w:eastAsia="ヒラギノ角ゴ Pro W3"/>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dulovuotoA">
    <w:name w:val="Modulo vuoto A"/>
    <w:rPr>
      <w:rFonts w:eastAsia="ヒラギノ角ゴ Pro W3"/>
      <w:color w:val="000000"/>
    </w:rPr>
  </w:style>
  <w:style w:type="paragraph" w:customStyle="1" w:styleId="Footer1">
    <w:name w:val="Footer1"/>
    <w:pPr>
      <w:tabs>
        <w:tab w:val="center" w:pos="4535"/>
        <w:tab w:val="right" w:pos="9071"/>
        <w:tab w:val="right" w:pos="9921"/>
      </w:tabs>
      <w:spacing w:before="360"/>
    </w:pPr>
    <w:rPr>
      <w:rFonts w:eastAsia="ヒラギノ角ゴ Pro W3"/>
      <w:color w:val="000000"/>
      <w:sz w:val="24"/>
    </w:rPr>
  </w:style>
  <w:style w:type="paragraph" w:customStyle="1" w:styleId="Pagedecouverture">
    <w:name w:val="Page de couverture"/>
    <w:next w:val="Normal"/>
    <w:link w:val="PagedecouvertureChar"/>
    <w:pPr>
      <w:jc w:val="both"/>
    </w:pPr>
    <w:rPr>
      <w:rFonts w:eastAsia="ヒラギノ角ゴ Pro W3"/>
      <w:color w:val="000000"/>
      <w:sz w:val="24"/>
    </w:rPr>
  </w:style>
  <w:style w:type="paragraph" w:customStyle="1" w:styleId="Modulovuoto">
    <w:name w:val="Modulo vuoto"/>
    <w:rPr>
      <w:rFonts w:eastAsia="ヒラギノ角ゴ Pro W3"/>
      <w:color w:val="000000"/>
    </w:rPr>
  </w:style>
  <w:style w:type="paragraph" w:customStyle="1" w:styleId="Typedudocument">
    <w:name w:val="Type du document"/>
    <w:next w:val="Titreobjet"/>
    <w:pPr>
      <w:spacing w:before="360"/>
      <w:jc w:val="center"/>
    </w:pPr>
    <w:rPr>
      <w:rFonts w:eastAsia="ヒラギノ角ゴ Pro W3"/>
      <w:b/>
      <w:color w:val="000000"/>
      <w:sz w:val="24"/>
    </w:rPr>
  </w:style>
  <w:style w:type="paragraph" w:customStyle="1" w:styleId="Titreobjet">
    <w:name w:val="Titre objet"/>
    <w:pPr>
      <w:spacing w:before="360" w:after="360"/>
      <w:jc w:val="center"/>
    </w:pPr>
    <w:rPr>
      <w:rFonts w:eastAsia="ヒラギノ角ゴ Pro W3"/>
      <w:b/>
      <w:color w:val="000000"/>
      <w:sz w:val="24"/>
    </w:rPr>
  </w:style>
  <w:style w:type="paragraph" w:customStyle="1" w:styleId="Text1">
    <w:name w:val="Text 1"/>
    <w:pPr>
      <w:spacing w:before="120" w:after="120"/>
      <w:ind w:left="850"/>
      <w:jc w:val="both"/>
    </w:pPr>
    <w:rPr>
      <w:rFonts w:eastAsia="ヒラギノ角ゴ Pro W3"/>
      <w:color w:val="000000"/>
      <w:sz w:val="24"/>
    </w:rPr>
  </w:style>
  <w:style w:type="paragraph" w:customStyle="1" w:styleId="ManualHeading1">
    <w:name w:val="Manual Heading 1"/>
    <w:next w:val="Text1"/>
    <w:pPr>
      <w:keepNext/>
      <w:tabs>
        <w:tab w:val="left" w:pos="850"/>
      </w:tabs>
      <w:spacing w:before="360" w:after="120"/>
      <w:ind w:left="850" w:hanging="850"/>
      <w:jc w:val="both"/>
      <w:outlineLvl w:val="0"/>
    </w:pPr>
    <w:rPr>
      <w:rFonts w:eastAsia="ヒラギノ角ゴ Pro W3"/>
      <w:b/>
      <w:smallCaps/>
      <w:color w:val="000000"/>
      <w:sz w:val="24"/>
    </w:rPr>
  </w:style>
  <w:style w:type="paragraph" w:customStyle="1" w:styleId="FootnoteText1">
    <w:name w:val="Footnote Text1"/>
    <w:pPr>
      <w:ind w:left="720" w:hanging="720"/>
      <w:jc w:val="both"/>
    </w:pPr>
    <w:rPr>
      <w:rFonts w:eastAsia="ヒラギノ角ゴ Pro W3"/>
      <w:color w:val="000000"/>
    </w:rPr>
  </w:style>
  <w:style w:type="character" w:customStyle="1" w:styleId="FootnoteReference1">
    <w:name w:val="Footnote Reference1"/>
    <w:rPr>
      <w:color w:val="000000"/>
      <w:sz w:val="20"/>
      <w:vertAlign w:val="superscript"/>
    </w:rPr>
  </w:style>
  <w:style w:type="character" w:customStyle="1" w:styleId="Hyperlink1">
    <w:name w:val="Hyperlink1"/>
    <w:rPr>
      <w:color w:val="0000FF"/>
      <w:sz w:val="20"/>
      <w:u w:val="single"/>
    </w:rPr>
  </w:style>
  <w:style w:type="paragraph" w:customStyle="1" w:styleId="FootnoteText2">
    <w:name w:val="Footnote Text2"/>
    <w:pPr>
      <w:spacing w:before="120" w:after="120"/>
      <w:jc w:val="both"/>
    </w:pPr>
    <w:rPr>
      <w:rFonts w:eastAsia="ヒラギノ角ゴ Pro W3"/>
      <w:color w:val="000000"/>
    </w:rPr>
  </w:style>
  <w:style w:type="character" w:customStyle="1" w:styleId="FootnoteReference2">
    <w:name w:val="Footnote Reference2"/>
    <w:rPr>
      <w:color w:val="000000"/>
      <w:sz w:val="20"/>
      <w:vertAlign w:val="superscript"/>
    </w:rPr>
  </w:style>
  <w:style w:type="paragraph" w:styleId="FootnoteText">
    <w:name w:val="footnote text"/>
    <w:basedOn w:val="Normal"/>
    <w:link w:val="FootnoteTextChar"/>
    <w:locked/>
    <w:rPr>
      <w:sz w:val="20"/>
      <w:szCs w:val="20"/>
    </w:rPr>
  </w:style>
  <w:style w:type="character" w:customStyle="1" w:styleId="FootnoteTextChar">
    <w:name w:val="Footnote Text Char"/>
    <w:link w:val="FootnoteText"/>
    <w:uiPriority w:val="99"/>
    <w:rPr>
      <w:rFonts w:eastAsia="ヒラギノ角ゴ Pro W3"/>
      <w:color w:val="000000"/>
      <w:lang w:eastAsia="sk-SK"/>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R,-E Fußnotenzeichen,fr"/>
    <w:uiPriority w:val="99"/>
    <w:qFormat/>
    <w:locked/>
    <w:rPr>
      <w:vertAlign w:val="superscript"/>
    </w:rPr>
  </w:style>
  <w:style w:type="paragraph" w:customStyle="1" w:styleId="Corpo">
    <w:name w:val="Corpo"/>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TableText">
    <w:name w:val="TableText"/>
    <w:pPr>
      <w:keepNext/>
      <w:keepLines/>
      <w:pBdr>
        <w:top w:val="nil"/>
        <w:left w:val="nil"/>
        <w:bottom w:val="nil"/>
        <w:right w:val="nil"/>
        <w:between w:val="nil"/>
        <w:bar w:val="nil"/>
      </w:pBdr>
      <w:spacing w:before="60" w:after="60"/>
      <w:ind w:left="10"/>
    </w:pPr>
    <w:rPr>
      <w:rFonts w:ascii="Arial Unicode MS" w:eastAsia="Arial Unicode MS" w:hAnsi="Arial" w:cs="Arial Unicode MS"/>
      <w:color w:val="000000"/>
      <w:sz w:val="16"/>
      <w:szCs w:val="16"/>
      <w:u w:color="000000"/>
      <w:bdr w:val="nil"/>
    </w:rPr>
  </w:style>
  <w:style w:type="paragraph" w:styleId="BalloonText">
    <w:name w:val="Balloon Text"/>
    <w:basedOn w:val="Normal"/>
    <w:link w:val="BalloonTextChar"/>
    <w:locked/>
    <w:pPr>
      <w:spacing w:before="0" w:after="0"/>
    </w:pPr>
    <w:rPr>
      <w:rFonts w:ascii="Tahoma" w:hAnsi="Tahoma" w:cs="Tahoma"/>
      <w:sz w:val="16"/>
      <w:szCs w:val="16"/>
    </w:rPr>
  </w:style>
  <w:style w:type="character" w:customStyle="1" w:styleId="BalloonTextChar">
    <w:name w:val="Balloon Text Char"/>
    <w:link w:val="BalloonText"/>
    <w:rPr>
      <w:rFonts w:ascii="Tahoma" w:eastAsia="ヒラギノ角ゴ Pro W3" w:hAnsi="Tahoma" w:cs="Tahoma"/>
      <w:color w:val="000000"/>
      <w:sz w:val="16"/>
      <w:szCs w:val="16"/>
      <w:lang w:eastAsia="sk-SK"/>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rFonts w:eastAsia="ヒラギノ角ゴ Pro W3"/>
      <w:color w:val="000000"/>
      <w:lang w:eastAsia="sk-SK"/>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rFonts w:eastAsia="ヒラギノ角ゴ Pro W3"/>
      <w:b/>
      <w:bCs/>
      <w:color w:val="000000"/>
      <w:lang w:eastAsia="sk-SK"/>
    </w:rPr>
  </w:style>
  <w:style w:type="paragraph" w:styleId="Revision">
    <w:name w:val="Revision"/>
    <w:hidden/>
    <w:uiPriority w:val="99"/>
    <w:semiHidden/>
    <w:rPr>
      <w:rFonts w:eastAsia="ヒラギノ角ゴ Pro W3"/>
      <w:color w:val="000000"/>
      <w:sz w:val="24"/>
      <w:szCs w:val="24"/>
    </w:rPr>
  </w:style>
  <w:style w:type="character" w:customStyle="1" w:styleId="Marker">
    <w:name w:val="Marker"/>
    <w:rPr>
      <w:color w:val="0000FF"/>
      <w:shd w:val="clear" w:color="auto" w:fill="auto"/>
    </w:rPr>
  </w:style>
  <w:style w:type="paragraph" w:styleId="Header">
    <w:name w:val="header"/>
    <w:basedOn w:val="Normal"/>
    <w:link w:val="HeaderChar"/>
    <w:uiPriority w:val="99"/>
    <w:unhideWhenUsed/>
    <w:locked/>
    <w:pPr>
      <w:tabs>
        <w:tab w:val="center" w:pos="4535"/>
        <w:tab w:val="right" w:pos="9071"/>
      </w:tabs>
      <w:spacing w:before="0"/>
    </w:pPr>
    <w:rPr>
      <w:rFonts w:eastAsia="Calibri"/>
      <w:color w:val="auto"/>
      <w:szCs w:val="22"/>
    </w:rPr>
  </w:style>
  <w:style w:type="character" w:customStyle="1" w:styleId="HeaderChar">
    <w:name w:val="Header Char"/>
    <w:link w:val="Header"/>
    <w:uiPriority w:val="99"/>
    <w:rPr>
      <w:rFonts w:eastAsia="Calibri"/>
      <w:sz w:val="24"/>
      <w:szCs w:val="22"/>
      <w:lang w:eastAsia="sk-SK"/>
    </w:rPr>
  </w:style>
  <w:style w:type="paragraph" w:styleId="Footer">
    <w:name w:val="footer"/>
    <w:basedOn w:val="Normal"/>
    <w:link w:val="FooterChar"/>
    <w:uiPriority w:val="99"/>
    <w:unhideWhenUsed/>
    <w:locked/>
    <w:pPr>
      <w:tabs>
        <w:tab w:val="center" w:pos="4535"/>
        <w:tab w:val="right" w:pos="9071"/>
        <w:tab w:val="right" w:pos="9921"/>
      </w:tabs>
      <w:spacing w:before="360" w:after="0"/>
      <w:ind w:left="-850" w:right="-850"/>
      <w:jc w:val="left"/>
    </w:pPr>
    <w:rPr>
      <w:rFonts w:eastAsia="Calibri"/>
      <w:color w:val="auto"/>
      <w:szCs w:val="22"/>
    </w:rPr>
  </w:style>
  <w:style w:type="character" w:customStyle="1" w:styleId="FooterChar">
    <w:name w:val="Footer Char"/>
    <w:link w:val="Footer"/>
    <w:uiPriority w:val="99"/>
    <w:rPr>
      <w:rFonts w:eastAsia="Calibri"/>
      <w:sz w:val="24"/>
      <w:szCs w:val="22"/>
      <w:lang w:eastAsia="sk-SK"/>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PagedecouvertureChar">
    <w:name w:val="Page de couverture Char"/>
    <w:link w:val="Pagedecouverture"/>
    <w:rPr>
      <w:rFonts w:eastAsia="ヒラギノ角ゴ Pro W3"/>
      <w:color w:val="000000"/>
      <w:sz w:val="24"/>
    </w:rPr>
  </w:style>
  <w:style w:type="character" w:customStyle="1" w:styleId="FooterCoverPageChar">
    <w:name w:val="Footer Cover Page Char"/>
    <w:link w:val="FooterCoverPage"/>
    <w:rPr>
      <w:rFonts w:eastAsia="ヒラギノ角ゴ Pro W3"/>
      <w:color w:val="000000"/>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rFonts w:eastAsia="ヒラギノ角ゴ Pro W3"/>
      <w:color w:val="000000"/>
      <w:sz w:val="24"/>
      <w:szCs w:val="24"/>
    </w:rPr>
  </w:style>
  <w:style w:type="paragraph" w:customStyle="1" w:styleId="Text2">
    <w:name w:val="Text 2"/>
    <w:basedOn w:val="Normal"/>
    <w:pPr>
      <w:tabs>
        <w:tab w:val="left" w:pos="2302"/>
      </w:tabs>
      <w:spacing w:before="0" w:after="240"/>
      <w:ind w:left="1202"/>
    </w:pPr>
    <w:rPr>
      <w:rFonts w:eastAsia="Times New Roman"/>
      <w:color w:val="auto"/>
      <w:szCs w:val="20"/>
    </w:rPr>
  </w:style>
  <w:style w:type="numbering" w:customStyle="1" w:styleId="Stileimportato1">
    <w:name w:val="Stile importato 1"/>
    <w:pPr>
      <w:numPr>
        <w:numId w:val="13"/>
      </w:numPr>
    </w:pPr>
  </w:style>
  <w:style w:type="numbering" w:customStyle="1" w:styleId="Stileimportato2">
    <w:name w:val="Stile importato 2"/>
    <w:pPr>
      <w:numPr>
        <w:numId w:val="15"/>
      </w:numPr>
    </w:pPr>
  </w:style>
  <w:style w:type="character" w:styleId="Hyperlink">
    <w:name w:val="Hyperlink"/>
    <w:locked/>
    <w:rPr>
      <w:u w:val="single"/>
    </w:rPr>
  </w:style>
  <w:style w:type="character" w:styleId="EndnoteReference">
    <w:name w:val="endnote reference"/>
    <w:uiPriority w:val="99"/>
    <w:locked/>
    <w:rPr>
      <w:vertAlign w:val="superscrip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rFonts w:eastAsia="ヒラギノ角ゴ Pro W3"/>
      <w:color w:val="000000"/>
      <w:lang w:eastAsia="sk-SK"/>
    </w:rPr>
  </w:style>
  <w:style w:type="paragraph" w:customStyle="1" w:styleId="AARText">
    <w:name w:val="AAR Text"/>
    <w:basedOn w:val="Normal"/>
    <w:link w:val="AARTextChar"/>
    <w:qFormat/>
    <w:pPr>
      <w:widowControl w:val="0"/>
      <w:autoSpaceDE w:val="0"/>
      <w:autoSpaceDN w:val="0"/>
      <w:adjustRightInd w:val="0"/>
      <w:spacing w:before="0" w:after="100" w:line="241" w:lineRule="exact"/>
    </w:pPr>
    <w:rPr>
      <w:rFonts w:ascii="EC Square Sans Pro" w:eastAsia="Times New Roman" w:hAnsi="EC Square Sans Pro"/>
      <w:color w:val="7F7F7F"/>
      <w:sz w:val="19"/>
    </w:rPr>
  </w:style>
  <w:style w:type="character" w:customStyle="1" w:styleId="AARTextChar">
    <w:name w:val="AAR Text Char"/>
    <w:link w:val="AARText"/>
    <w:rPr>
      <w:rFonts w:ascii="EC Square Sans Pro" w:hAnsi="EC Square Sans Pro"/>
      <w:color w:val="7F7F7F"/>
      <w:sz w:val="19"/>
      <w:szCs w:val="24"/>
    </w:rPr>
  </w:style>
  <w:style w:type="paragraph" w:customStyle="1" w:styleId="Default">
    <w:name w:val="Default"/>
    <w:pPr>
      <w:autoSpaceDE w:val="0"/>
      <w:autoSpaceDN w:val="0"/>
      <w:adjustRightInd w:val="0"/>
    </w:pPr>
    <w:rPr>
      <w:color w:val="000000"/>
      <w:sz w:val="24"/>
      <w:szCs w:val="24"/>
    </w:rPr>
  </w:style>
  <w:style w:type="paragraph" w:customStyle="1" w:styleId="KRfootnote">
    <w:name w:val="KR footnote"/>
    <w:basedOn w:val="FootnoteText"/>
    <w:link w:val="KRfootnoteChar"/>
    <w:qFormat/>
    <w:pPr>
      <w:spacing w:before="0" w:after="0"/>
      <w:ind w:left="284" w:hanging="284"/>
    </w:pPr>
    <w:rPr>
      <w:rFonts w:eastAsia="Times New Roman"/>
      <w:color w:val="auto"/>
      <w:sz w:val="16"/>
      <w:szCs w:val="16"/>
    </w:rPr>
  </w:style>
  <w:style w:type="character" w:customStyle="1" w:styleId="KRfootnoteChar">
    <w:name w:val="KR footnote Char"/>
    <w:link w:val="KRfootnote"/>
    <w:rPr>
      <w:sz w:val="16"/>
      <w:szCs w:val="16"/>
    </w:rPr>
  </w:style>
  <w:style w:type="character" w:customStyle="1" w:styleId="Heading1Char">
    <w:name w:val="Heading 1 Char"/>
    <w:link w:val="Heading1"/>
    <w:rPr>
      <w:rFonts w:ascii="Cambria" w:eastAsia="Times New Roman" w:hAnsi="Cambria" w:cs="Times New Roman"/>
      <w:b/>
      <w:bCs/>
      <w:color w:val="000000"/>
      <w:kern w:val="32"/>
      <w:sz w:val="32"/>
      <w:szCs w:val="32"/>
      <w:lang w:eastAsia="sk-SK"/>
    </w:rPr>
  </w:style>
  <w:style w:type="paragraph" w:styleId="TOCHeading">
    <w:name w:val="TOC Heading"/>
    <w:basedOn w:val="Heading1"/>
    <w:next w:val="Normal"/>
    <w:uiPriority w:val="39"/>
    <w:semiHidden/>
    <w:unhideWhenUsed/>
    <w:qFormat/>
    <w:pPr>
      <w:outlineLvl w:val="9"/>
    </w:pPr>
  </w:style>
  <w:style w:type="paragraph" w:customStyle="1" w:styleId="ListDash1">
    <w:name w:val="List Dash 1"/>
    <w:basedOn w:val="Text1"/>
    <w:pPr>
      <w:numPr>
        <w:numId w:val="22"/>
      </w:numPr>
      <w:spacing w:before="0" w:after="240"/>
    </w:pPr>
    <w:rPr>
      <w:rFonts w:eastAsia="Times New Roman"/>
      <w:color w:val="auto"/>
    </w:rPr>
  </w:style>
  <w:style w:type="paragraph" w:customStyle="1" w:styleId="ZCom">
    <w:name w:val="Z_Com"/>
    <w:basedOn w:val="Normal"/>
    <w:next w:val="Normal"/>
    <w:uiPriority w:val="99"/>
    <w:pPr>
      <w:spacing w:before="0" w:after="0"/>
      <w:ind w:right="85"/>
    </w:pPr>
    <w:rPr>
      <w:rFonts w:ascii="Arial" w:eastAsia="Times New Roman" w:hAnsi="Arial"/>
      <w:color w:val="auto"/>
      <w:szCs w:val="20"/>
    </w:rPr>
  </w:style>
  <w:style w:type="paragraph" w:styleId="ListParagraph">
    <w:name w:val="List Paragraph"/>
    <w:basedOn w:val="Normal"/>
    <w:uiPriority w:val="34"/>
    <w:qFormat/>
    <w:pPr>
      <w:ind w:left="720"/>
    </w:pPr>
  </w:style>
  <w:style w:type="paragraph" w:styleId="TOC1">
    <w:name w:val="toc 1"/>
    <w:basedOn w:val="Normal"/>
    <w:next w:val="Normal"/>
    <w:autoRedefine/>
    <w:locked/>
  </w:style>
  <w:style w:type="paragraph" w:customStyle="1" w:styleId="Normal12Hanging">
    <w:name w:val="Normal12Hanging"/>
    <w:basedOn w:val="Normal"/>
    <w:pPr>
      <w:widowControl w:val="0"/>
      <w:spacing w:before="0" w:after="240"/>
      <w:ind w:left="567" w:hanging="567"/>
      <w:jc w:val="left"/>
    </w:pPr>
    <w:rPr>
      <w:rFonts w:eastAsia="Times New Roman"/>
      <w:color w:val="auto"/>
      <w:szCs w:val="20"/>
    </w:rPr>
  </w:style>
  <w:style w:type="table" w:styleId="TableGrid">
    <w:name w:val="Table Grid"/>
    <w:basedOn w:val="TableNormal"/>
    <w:uiPriority w:val="39"/>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0">
    <w:name w:val="text1"/>
    <w:basedOn w:val="Normal"/>
    <w:pPr>
      <w:ind w:left="850"/>
    </w:pPr>
    <w:rPr>
      <w:rFonts w:eastAsia="Calibri"/>
    </w:rPr>
  </w:style>
  <w:style w:type="paragraph" w:customStyle="1" w:styleId="Declassification">
    <w:name w:val="Declassification"/>
    <w:basedOn w:val="Normal"/>
    <w:next w:val="Normal"/>
    <w:pPr>
      <w:spacing w:before="0" w:after="0"/>
    </w:pPr>
    <w:rPr>
      <w:rFonts w:eastAsia="Calibri"/>
      <w:color w:val="auto"/>
      <w:szCs w:val="22"/>
    </w:rPr>
  </w:style>
  <w:style w:type="paragraph" w:customStyle="1" w:styleId="HeaderLandscape">
    <w:name w:val="HeaderLandscape"/>
    <w:basedOn w:val="Normal"/>
    <w:pPr>
      <w:tabs>
        <w:tab w:val="center" w:pos="7285"/>
        <w:tab w:val="right" w:pos="14003"/>
      </w:tabs>
      <w:spacing w:before="0"/>
    </w:pPr>
    <w:rPr>
      <w:rFonts w:eastAsia="Calibri"/>
      <w:color w:val="auto"/>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Calibri"/>
      <w:color w:val="auto"/>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Ninguno">
    <w:name w:val="Ninguno"/>
    <w:rPr>
      <w:lang w:val="sk-SK"/>
    </w:rPr>
  </w:style>
  <w:style w:type="numbering" w:customStyle="1" w:styleId="Estiloimportado1">
    <w:name w:val="Estilo importado 1"/>
    <w:pPr>
      <w:numPr>
        <w:numId w:val="30"/>
      </w:numPr>
    </w:pPr>
  </w:style>
  <w:style w:type="numbering" w:customStyle="1" w:styleId="Estiloimportado2">
    <w:name w:val="Estilo importado 2"/>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sk-SK"/>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qFormat="1"/>
    <w:lsdException w:name="annotation reference"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before="120" w:after="120"/>
      <w:jc w:val="both"/>
    </w:pPr>
    <w:rPr>
      <w:rFonts w:eastAsia="ヒラギノ角ゴ Pro W3"/>
      <w:color w:val="000000"/>
      <w:sz w:val="24"/>
      <w:szCs w:val="24"/>
    </w:rPr>
  </w:style>
  <w:style w:type="paragraph" w:styleId="Heading1">
    <w:name w:val="heading 1"/>
    <w:basedOn w:val="Normal"/>
    <w:next w:val="Normal"/>
    <w:link w:val="Heading1Char"/>
    <w:qFormat/>
    <w:locked/>
    <w:pPr>
      <w:keepNext/>
      <w:spacing w:before="240" w:after="60"/>
      <w:outlineLvl w:val="0"/>
    </w:pPr>
    <w:rPr>
      <w:rFonts w:ascii="Cambria" w:eastAsia="Times New Roman" w:hAnsi="Cambria"/>
      <w:b/>
      <w:bCs/>
      <w:kern w:val="32"/>
      <w:sz w:val="32"/>
      <w:szCs w:val="32"/>
    </w:rPr>
  </w:style>
  <w:style w:type="paragraph" w:styleId="Heading2">
    <w:name w:val="heading 2"/>
    <w:next w:val="Text1"/>
    <w:qFormat/>
    <w:pPr>
      <w:keepNext/>
      <w:tabs>
        <w:tab w:val="left" w:pos="1701"/>
      </w:tabs>
      <w:spacing w:before="120" w:after="120"/>
      <w:jc w:val="both"/>
      <w:outlineLvl w:val="1"/>
    </w:pPr>
    <w:rPr>
      <w:rFonts w:eastAsia="ヒラギノ角ゴ Pro W3"/>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dulovuotoA">
    <w:name w:val="Modulo vuoto A"/>
    <w:rPr>
      <w:rFonts w:eastAsia="ヒラギノ角ゴ Pro W3"/>
      <w:color w:val="000000"/>
    </w:rPr>
  </w:style>
  <w:style w:type="paragraph" w:customStyle="1" w:styleId="Footer1">
    <w:name w:val="Footer1"/>
    <w:pPr>
      <w:tabs>
        <w:tab w:val="center" w:pos="4535"/>
        <w:tab w:val="right" w:pos="9071"/>
        <w:tab w:val="right" w:pos="9921"/>
      </w:tabs>
      <w:spacing w:before="360"/>
    </w:pPr>
    <w:rPr>
      <w:rFonts w:eastAsia="ヒラギノ角ゴ Pro W3"/>
      <w:color w:val="000000"/>
      <w:sz w:val="24"/>
    </w:rPr>
  </w:style>
  <w:style w:type="paragraph" w:customStyle="1" w:styleId="Pagedecouverture">
    <w:name w:val="Page de couverture"/>
    <w:next w:val="Normal"/>
    <w:link w:val="PagedecouvertureChar"/>
    <w:pPr>
      <w:jc w:val="both"/>
    </w:pPr>
    <w:rPr>
      <w:rFonts w:eastAsia="ヒラギノ角ゴ Pro W3"/>
      <w:color w:val="000000"/>
      <w:sz w:val="24"/>
    </w:rPr>
  </w:style>
  <w:style w:type="paragraph" w:customStyle="1" w:styleId="Modulovuoto">
    <w:name w:val="Modulo vuoto"/>
    <w:rPr>
      <w:rFonts w:eastAsia="ヒラギノ角ゴ Pro W3"/>
      <w:color w:val="000000"/>
    </w:rPr>
  </w:style>
  <w:style w:type="paragraph" w:customStyle="1" w:styleId="Typedudocument">
    <w:name w:val="Type du document"/>
    <w:next w:val="Titreobjet"/>
    <w:pPr>
      <w:spacing w:before="360"/>
      <w:jc w:val="center"/>
    </w:pPr>
    <w:rPr>
      <w:rFonts w:eastAsia="ヒラギノ角ゴ Pro W3"/>
      <w:b/>
      <w:color w:val="000000"/>
      <w:sz w:val="24"/>
    </w:rPr>
  </w:style>
  <w:style w:type="paragraph" w:customStyle="1" w:styleId="Titreobjet">
    <w:name w:val="Titre objet"/>
    <w:pPr>
      <w:spacing w:before="360" w:after="360"/>
      <w:jc w:val="center"/>
    </w:pPr>
    <w:rPr>
      <w:rFonts w:eastAsia="ヒラギノ角ゴ Pro W3"/>
      <w:b/>
      <w:color w:val="000000"/>
      <w:sz w:val="24"/>
    </w:rPr>
  </w:style>
  <w:style w:type="paragraph" w:customStyle="1" w:styleId="Text1">
    <w:name w:val="Text 1"/>
    <w:pPr>
      <w:spacing w:before="120" w:after="120"/>
      <w:ind w:left="850"/>
      <w:jc w:val="both"/>
    </w:pPr>
    <w:rPr>
      <w:rFonts w:eastAsia="ヒラギノ角ゴ Pro W3"/>
      <w:color w:val="000000"/>
      <w:sz w:val="24"/>
    </w:rPr>
  </w:style>
  <w:style w:type="paragraph" w:customStyle="1" w:styleId="ManualHeading1">
    <w:name w:val="Manual Heading 1"/>
    <w:next w:val="Text1"/>
    <w:pPr>
      <w:keepNext/>
      <w:tabs>
        <w:tab w:val="left" w:pos="850"/>
      </w:tabs>
      <w:spacing w:before="360" w:after="120"/>
      <w:ind w:left="850" w:hanging="850"/>
      <w:jc w:val="both"/>
      <w:outlineLvl w:val="0"/>
    </w:pPr>
    <w:rPr>
      <w:rFonts w:eastAsia="ヒラギノ角ゴ Pro W3"/>
      <w:b/>
      <w:smallCaps/>
      <w:color w:val="000000"/>
      <w:sz w:val="24"/>
    </w:rPr>
  </w:style>
  <w:style w:type="paragraph" w:customStyle="1" w:styleId="FootnoteText1">
    <w:name w:val="Footnote Text1"/>
    <w:pPr>
      <w:ind w:left="720" w:hanging="720"/>
      <w:jc w:val="both"/>
    </w:pPr>
    <w:rPr>
      <w:rFonts w:eastAsia="ヒラギノ角ゴ Pro W3"/>
      <w:color w:val="000000"/>
    </w:rPr>
  </w:style>
  <w:style w:type="character" w:customStyle="1" w:styleId="FootnoteReference1">
    <w:name w:val="Footnote Reference1"/>
    <w:rPr>
      <w:color w:val="000000"/>
      <w:sz w:val="20"/>
      <w:vertAlign w:val="superscript"/>
    </w:rPr>
  </w:style>
  <w:style w:type="character" w:customStyle="1" w:styleId="Hyperlink1">
    <w:name w:val="Hyperlink1"/>
    <w:rPr>
      <w:color w:val="0000FF"/>
      <w:sz w:val="20"/>
      <w:u w:val="single"/>
    </w:rPr>
  </w:style>
  <w:style w:type="paragraph" w:customStyle="1" w:styleId="FootnoteText2">
    <w:name w:val="Footnote Text2"/>
    <w:pPr>
      <w:spacing w:before="120" w:after="120"/>
      <w:jc w:val="both"/>
    </w:pPr>
    <w:rPr>
      <w:rFonts w:eastAsia="ヒラギノ角ゴ Pro W3"/>
      <w:color w:val="000000"/>
    </w:rPr>
  </w:style>
  <w:style w:type="character" w:customStyle="1" w:styleId="FootnoteReference2">
    <w:name w:val="Footnote Reference2"/>
    <w:rPr>
      <w:color w:val="000000"/>
      <w:sz w:val="20"/>
      <w:vertAlign w:val="superscript"/>
    </w:rPr>
  </w:style>
  <w:style w:type="paragraph" w:styleId="FootnoteText">
    <w:name w:val="footnote text"/>
    <w:basedOn w:val="Normal"/>
    <w:link w:val="FootnoteTextChar"/>
    <w:locked/>
    <w:rPr>
      <w:sz w:val="20"/>
      <w:szCs w:val="20"/>
    </w:rPr>
  </w:style>
  <w:style w:type="character" w:customStyle="1" w:styleId="FootnoteTextChar">
    <w:name w:val="Footnote Text Char"/>
    <w:link w:val="FootnoteText"/>
    <w:uiPriority w:val="99"/>
    <w:rPr>
      <w:rFonts w:eastAsia="ヒラギノ角ゴ Pro W3"/>
      <w:color w:val="000000"/>
      <w:lang w:eastAsia="sk-SK"/>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R,-E Fußnotenzeichen,fr"/>
    <w:uiPriority w:val="99"/>
    <w:qFormat/>
    <w:locked/>
    <w:rPr>
      <w:vertAlign w:val="superscript"/>
    </w:rPr>
  </w:style>
  <w:style w:type="paragraph" w:customStyle="1" w:styleId="Corpo">
    <w:name w:val="Corpo"/>
    <w:pPr>
      <w:pBdr>
        <w:top w:val="nil"/>
        <w:left w:val="nil"/>
        <w:bottom w:val="nil"/>
        <w:right w:val="nil"/>
        <w:between w:val="nil"/>
        <w:bar w:val="nil"/>
      </w:pBdr>
    </w:pPr>
    <w:rPr>
      <w:rFonts w:ascii="Helvetica" w:eastAsia="Helvetica" w:hAnsi="Helvetica" w:cs="Helvetica"/>
      <w:color w:val="000000"/>
      <w:sz w:val="22"/>
      <w:szCs w:val="22"/>
      <w:bdr w:val="nil"/>
    </w:rPr>
  </w:style>
  <w:style w:type="paragraph" w:customStyle="1" w:styleId="TableText">
    <w:name w:val="TableText"/>
    <w:pPr>
      <w:keepNext/>
      <w:keepLines/>
      <w:pBdr>
        <w:top w:val="nil"/>
        <w:left w:val="nil"/>
        <w:bottom w:val="nil"/>
        <w:right w:val="nil"/>
        <w:between w:val="nil"/>
        <w:bar w:val="nil"/>
      </w:pBdr>
      <w:spacing w:before="60" w:after="60"/>
      <w:ind w:left="10"/>
    </w:pPr>
    <w:rPr>
      <w:rFonts w:ascii="Arial Unicode MS" w:eastAsia="Arial Unicode MS" w:hAnsi="Arial" w:cs="Arial Unicode MS"/>
      <w:color w:val="000000"/>
      <w:sz w:val="16"/>
      <w:szCs w:val="16"/>
      <w:u w:color="000000"/>
      <w:bdr w:val="nil"/>
    </w:rPr>
  </w:style>
  <w:style w:type="paragraph" w:styleId="BalloonText">
    <w:name w:val="Balloon Text"/>
    <w:basedOn w:val="Normal"/>
    <w:link w:val="BalloonTextChar"/>
    <w:locked/>
    <w:pPr>
      <w:spacing w:before="0" w:after="0"/>
    </w:pPr>
    <w:rPr>
      <w:rFonts w:ascii="Tahoma" w:hAnsi="Tahoma" w:cs="Tahoma"/>
      <w:sz w:val="16"/>
      <w:szCs w:val="16"/>
    </w:rPr>
  </w:style>
  <w:style w:type="character" w:customStyle="1" w:styleId="BalloonTextChar">
    <w:name w:val="Balloon Text Char"/>
    <w:link w:val="BalloonText"/>
    <w:rPr>
      <w:rFonts w:ascii="Tahoma" w:eastAsia="ヒラギノ角ゴ Pro W3" w:hAnsi="Tahoma" w:cs="Tahoma"/>
      <w:color w:val="000000"/>
      <w:sz w:val="16"/>
      <w:szCs w:val="16"/>
      <w:lang w:eastAsia="sk-SK"/>
    </w:rPr>
  </w:style>
  <w:style w:type="character" w:styleId="CommentReference">
    <w:name w:val="annotation reference"/>
    <w:uiPriority w:val="99"/>
    <w:locked/>
    <w:rPr>
      <w:sz w:val="16"/>
      <w:szCs w:val="16"/>
    </w:rPr>
  </w:style>
  <w:style w:type="paragraph" w:styleId="CommentText">
    <w:name w:val="annotation text"/>
    <w:basedOn w:val="Normal"/>
    <w:link w:val="CommentTextChar"/>
    <w:locked/>
    <w:rPr>
      <w:sz w:val="20"/>
      <w:szCs w:val="20"/>
    </w:rPr>
  </w:style>
  <w:style w:type="character" w:customStyle="1" w:styleId="CommentTextChar">
    <w:name w:val="Comment Text Char"/>
    <w:link w:val="CommentText"/>
    <w:rPr>
      <w:rFonts w:eastAsia="ヒラギノ角ゴ Pro W3"/>
      <w:color w:val="000000"/>
      <w:lang w:eastAsia="sk-SK"/>
    </w:rPr>
  </w:style>
  <w:style w:type="paragraph" w:styleId="CommentSubject">
    <w:name w:val="annotation subject"/>
    <w:basedOn w:val="CommentText"/>
    <w:next w:val="CommentText"/>
    <w:link w:val="CommentSubjectChar"/>
    <w:locked/>
    <w:rPr>
      <w:b/>
      <w:bCs/>
    </w:rPr>
  </w:style>
  <w:style w:type="character" w:customStyle="1" w:styleId="CommentSubjectChar">
    <w:name w:val="Comment Subject Char"/>
    <w:link w:val="CommentSubject"/>
    <w:rPr>
      <w:rFonts w:eastAsia="ヒラギノ角ゴ Pro W3"/>
      <w:b/>
      <w:bCs/>
      <w:color w:val="000000"/>
      <w:lang w:eastAsia="sk-SK"/>
    </w:rPr>
  </w:style>
  <w:style w:type="paragraph" w:styleId="Revision">
    <w:name w:val="Revision"/>
    <w:hidden/>
    <w:uiPriority w:val="99"/>
    <w:semiHidden/>
    <w:rPr>
      <w:rFonts w:eastAsia="ヒラギノ角ゴ Pro W3"/>
      <w:color w:val="000000"/>
      <w:sz w:val="24"/>
      <w:szCs w:val="24"/>
    </w:rPr>
  </w:style>
  <w:style w:type="character" w:customStyle="1" w:styleId="Marker">
    <w:name w:val="Marker"/>
    <w:rPr>
      <w:color w:val="0000FF"/>
      <w:shd w:val="clear" w:color="auto" w:fill="auto"/>
    </w:rPr>
  </w:style>
  <w:style w:type="paragraph" w:styleId="Header">
    <w:name w:val="header"/>
    <w:basedOn w:val="Normal"/>
    <w:link w:val="HeaderChar"/>
    <w:uiPriority w:val="99"/>
    <w:unhideWhenUsed/>
    <w:locked/>
    <w:pPr>
      <w:tabs>
        <w:tab w:val="center" w:pos="4535"/>
        <w:tab w:val="right" w:pos="9071"/>
      </w:tabs>
      <w:spacing w:before="0"/>
    </w:pPr>
    <w:rPr>
      <w:rFonts w:eastAsia="Calibri"/>
      <w:color w:val="auto"/>
      <w:szCs w:val="22"/>
    </w:rPr>
  </w:style>
  <w:style w:type="character" w:customStyle="1" w:styleId="HeaderChar">
    <w:name w:val="Header Char"/>
    <w:link w:val="Header"/>
    <w:uiPriority w:val="99"/>
    <w:rPr>
      <w:rFonts w:eastAsia="Calibri"/>
      <w:sz w:val="24"/>
      <w:szCs w:val="22"/>
      <w:lang w:eastAsia="sk-SK"/>
    </w:rPr>
  </w:style>
  <w:style w:type="paragraph" w:styleId="Footer">
    <w:name w:val="footer"/>
    <w:basedOn w:val="Normal"/>
    <w:link w:val="FooterChar"/>
    <w:uiPriority w:val="99"/>
    <w:unhideWhenUsed/>
    <w:locked/>
    <w:pPr>
      <w:tabs>
        <w:tab w:val="center" w:pos="4535"/>
        <w:tab w:val="right" w:pos="9071"/>
        <w:tab w:val="right" w:pos="9921"/>
      </w:tabs>
      <w:spacing w:before="360" w:after="0"/>
      <w:ind w:left="-850" w:right="-850"/>
      <w:jc w:val="left"/>
    </w:pPr>
    <w:rPr>
      <w:rFonts w:eastAsia="Calibri"/>
      <w:color w:val="auto"/>
      <w:szCs w:val="22"/>
    </w:rPr>
  </w:style>
  <w:style w:type="character" w:customStyle="1" w:styleId="FooterChar">
    <w:name w:val="Footer Char"/>
    <w:link w:val="Footer"/>
    <w:uiPriority w:val="99"/>
    <w:rPr>
      <w:rFonts w:eastAsia="Calibri"/>
      <w:sz w:val="24"/>
      <w:szCs w:val="22"/>
      <w:lang w:eastAsia="sk-SK"/>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PagedecouvertureChar">
    <w:name w:val="Page de couverture Char"/>
    <w:link w:val="Pagedecouverture"/>
    <w:rPr>
      <w:rFonts w:eastAsia="ヒラギノ角ゴ Pro W3"/>
      <w:color w:val="000000"/>
      <w:sz w:val="24"/>
    </w:rPr>
  </w:style>
  <w:style w:type="character" w:customStyle="1" w:styleId="FooterCoverPageChar">
    <w:name w:val="Footer Cover Page Char"/>
    <w:link w:val="FooterCoverPage"/>
    <w:rPr>
      <w:rFonts w:eastAsia="ヒラギノ角ゴ Pro W3"/>
      <w:color w:val="000000"/>
      <w:sz w:val="24"/>
      <w:szCs w:val="24"/>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rFonts w:eastAsia="ヒラギノ角ゴ Pro W3"/>
      <w:color w:val="000000"/>
      <w:sz w:val="24"/>
      <w:szCs w:val="24"/>
    </w:rPr>
  </w:style>
  <w:style w:type="paragraph" w:customStyle="1" w:styleId="Text2">
    <w:name w:val="Text 2"/>
    <w:basedOn w:val="Normal"/>
    <w:pPr>
      <w:tabs>
        <w:tab w:val="left" w:pos="2302"/>
      </w:tabs>
      <w:spacing w:before="0" w:after="240"/>
      <w:ind w:left="1202"/>
    </w:pPr>
    <w:rPr>
      <w:rFonts w:eastAsia="Times New Roman"/>
      <w:color w:val="auto"/>
      <w:szCs w:val="20"/>
    </w:rPr>
  </w:style>
  <w:style w:type="numbering" w:customStyle="1" w:styleId="Stileimportato1">
    <w:name w:val="Stile importato 1"/>
    <w:pPr>
      <w:numPr>
        <w:numId w:val="13"/>
      </w:numPr>
    </w:pPr>
  </w:style>
  <w:style w:type="numbering" w:customStyle="1" w:styleId="Stileimportato2">
    <w:name w:val="Stile importato 2"/>
    <w:pPr>
      <w:numPr>
        <w:numId w:val="15"/>
      </w:numPr>
    </w:pPr>
  </w:style>
  <w:style w:type="character" w:styleId="Hyperlink">
    <w:name w:val="Hyperlink"/>
    <w:locked/>
    <w:rPr>
      <w:u w:val="single"/>
    </w:rPr>
  </w:style>
  <w:style w:type="character" w:styleId="EndnoteReference">
    <w:name w:val="endnote reference"/>
    <w:uiPriority w:val="99"/>
    <w:locked/>
    <w:rPr>
      <w:vertAlign w:val="superscript"/>
    </w:rPr>
  </w:style>
  <w:style w:type="paragraph" w:styleId="EndnoteText">
    <w:name w:val="endnote text"/>
    <w:basedOn w:val="Normal"/>
    <w:link w:val="EndnoteTextChar"/>
    <w:locked/>
    <w:rPr>
      <w:sz w:val="20"/>
      <w:szCs w:val="20"/>
    </w:rPr>
  </w:style>
  <w:style w:type="character" w:customStyle="1" w:styleId="EndnoteTextChar">
    <w:name w:val="Endnote Text Char"/>
    <w:link w:val="EndnoteText"/>
    <w:rPr>
      <w:rFonts w:eastAsia="ヒラギノ角ゴ Pro W3"/>
      <w:color w:val="000000"/>
      <w:lang w:eastAsia="sk-SK"/>
    </w:rPr>
  </w:style>
  <w:style w:type="paragraph" w:customStyle="1" w:styleId="AARText">
    <w:name w:val="AAR Text"/>
    <w:basedOn w:val="Normal"/>
    <w:link w:val="AARTextChar"/>
    <w:qFormat/>
    <w:pPr>
      <w:widowControl w:val="0"/>
      <w:autoSpaceDE w:val="0"/>
      <w:autoSpaceDN w:val="0"/>
      <w:adjustRightInd w:val="0"/>
      <w:spacing w:before="0" w:after="100" w:line="241" w:lineRule="exact"/>
    </w:pPr>
    <w:rPr>
      <w:rFonts w:ascii="EC Square Sans Pro" w:eastAsia="Times New Roman" w:hAnsi="EC Square Sans Pro"/>
      <w:color w:val="7F7F7F"/>
      <w:sz w:val="19"/>
    </w:rPr>
  </w:style>
  <w:style w:type="character" w:customStyle="1" w:styleId="AARTextChar">
    <w:name w:val="AAR Text Char"/>
    <w:link w:val="AARText"/>
    <w:rPr>
      <w:rFonts w:ascii="EC Square Sans Pro" w:hAnsi="EC Square Sans Pro"/>
      <w:color w:val="7F7F7F"/>
      <w:sz w:val="19"/>
      <w:szCs w:val="24"/>
    </w:rPr>
  </w:style>
  <w:style w:type="paragraph" w:customStyle="1" w:styleId="Default">
    <w:name w:val="Default"/>
    <w:pPr>
      <w:autoSpaceDE w:val="0"/>
      <w:autoSpaceDN w:val="0"/>
      <w:adjustRightInd w:val="0"/>
    </w:pPr>
    <w:rPr>
      <w:color w:val="000000"/>
      <w:sz w:val="24"/>
      <w:szCs w:val="24"/>
    </w:rPr>
  </w:style>
  <w:style w:type="paragraph" w:customStyle="1" w:styleId="KRfootnote">
    <w:name w:val="KR footnote"/>
    <w:basedOn w:val="FootnoteText"/>
    <w:link w:val="KRfootnoteChar"/>
    <w:qFormat/>
    <w:pPr>
      <w:spacing w:before="0" w:after="0"/>
      <w:ind w:left="284" w:hanging="284"/>
    </w:pPr>
    <w:rPr>
      <w:rFonts w:eastAsia="Times New Roman"/>
      <w:color w:val="auto"/>
      <w:sz w:val="16"/>
      <w:szCs w:val="16"/>
    </w:rPr>
  </w:style>
  <w:style w:type="character" w:customStyle="1" w:styleId="KRfootnoteChar">
    <w:name w:val="KR footnote Char"/>
    <w:link w:val="KRfootnote"/>
    <w:rPr>
      <w:sz w:val="16"/>
      <w:szCs w:val="16"/>
    </w:rPr>
  </w:style>
  <w:style w:type="character" w:customStyle="1" w:styleId="Heading1Char">
    <w:name w:val="Heading 1 Char"/>
    <w:link w:val="Heading1"/>
    <w:rPr>
      <w:rFonts w:ascii="Cambria" w:eastAsia="Times New Roman" w:hAnsi="Cambria" w:cs="Times New Roman"/>
      <w:b/>
      <w:bCs/>
      <w:color w:val="000000"/>
      <w:kern w:val="32"/>
      <w:sz w:val="32"/>
      <w:szCs w:val="32"/>
      <w:lang w:eastAsia="sk-SK"/>
    </w:rPr>
  </w:style>
  <w:style w:type="paragraph" w:styleId="TOCHeading">
    <w:name w:val="TOC Heading"/>
    <w:basedOn w:val="Heading1"/>
    <w:next w:val="Normal"/>
    <w:uiPriority w:val="39"/>
    <w:semiHidden/>
    <w:unhideWhenUsed/>
    <w:qFormat/>
    <w:pPr>
      <w:outlineLvl w:val="9"/>
    </w:pPr>
  </w:style>
  <w:style w:type="paragraph" w:customStyle="1" w:styleId="ListDash1">
    <w:name w:val="List Dash 1"/>
    <w:basedOn w:val="Text1"/>
    <w:pPr>
      <w:numPr>
        <w:numId w:val="22"/>
      </w:numPr>
      <w:spacing w:before="0" w:after="240"/>
    </w:pPr>
    <w:rPr>
      <w:rFonts w:eastAsia="Times New Roman"/>
      <w:color w:val="auto"/>
    </w:rPr>
  </w:style>
  <w:style w:type="paragraph" w:customStyle="1" w:styleId="ZCom">
    <w:name w:val="Z_Com"/>
    <w:basedOn w:val="Normal"/>
    <w:next w:val="Normal"/>
    <w:uiPriority w:val="99"/>
    <w:pPr>
      <w:spacing w:before="0" w:after="0"/>
      <w:ind w:right="85"/>
    </w:pPr>
    <w:rPr>
      <w:rFonts w:ascii="Arial" w:eastAsia="Times New Roman" w:hAnsi="Arial"/>
      <w:color w:val="auto"/>
      <w:szCs w:val="20"/>
    </w:rPr>
  </w:style>
  <w:style w:type="paragraph" w:styleId="ListParagraph">
    <w:name w:val="List Paragraph"/>
    <w:basedOn w:val="Normal"/>
    <w:uiPriority w:val="34"/>
    <w:qFormat/>
    <w:pPr>
      <w:ind w:left="720"/>
    </w:pPr>
  </w:style>
  <w:style w:type="paragraph" w:styleId="TOC1">
    <w:name w:val="toc 1"/>
    <w:basedOn w:val="Normal"/>
    <w:next w:val="Normal"/>
    <w:autoRedefine/>
    <w:locked/>
  </w:style>
  <w:style w:type="paragraph" w:customStyle="1" w:styleId="Normal12Hanging">
    <w:name w:val="Normal12Hanging"/>
    <w:basedOn w:val="Normal"/>
    <w:pPr>
      <w:widowControl w:val="0"/>
      <w:spacing w:before="0" w:after="240"/>
      <w:ind w:left="567" w:hanging="567"/>
      <w:jc w:val="left"/>
    </w:pPr>
    <w:rPr>
      <w:rFonts w:eastAsia="Times New Roman"/>
      <w:color w:val="auto"/>
      <w:szCs w:val="20"/>
    </w:rPr>
  </w:style>
  <w:style w:type="table" w:styleId="TableGrid">
    <w:name w:val="Table Grid"/>
    <w:basedOn w:val="TableNormal"/>
    <w:uiPriority w:val="39"/>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0">
    <w:name w:val="text1"/>
    <w:basedOn w:val="Normal"/>
    <w:pPr>
      <w:ind w:left="850"/>
    </w:pPr>
    <w:rPr>
      <w:rFonts w:eastAsia="Calibri"/>
    </w:rPr>
  </w:style>
  <w:style w:type="paragraph" w:customStyle="1" w:styleId="Declassification">
    <w:name w:val="Declassification"/>
    <w:basedOn w:val="Normal"/>
    <w:next w:val="Normal"/>
    <w:pPr>
      <w:spacing w:before="0" w:after="0"/>
    </w:pPr>
    <w:rPr>
      <w:rFonts w:eastAsia="Calibri"/>
      <w:color w:val="auto"/>
      <w:szCs w:val="22"/>
    </w:rPr>
  </w:style>
  <w:style w:type="paragraph" w:customStyle="1" w:styleId="HeaderLandscape">
    <w:name w:val="HeaderLandscape"/>
    <w:basedOn w:val="Normal"/>
    <w:pPr>
      <w:tabs>
        <w:tab w:val="center" w:pos="7285"/>
        <w:tab w:val="right" w:pos="14003"/>
      </w:tabs>
      <w:spacing w:before="0"/>
    </w:pPr>
    <w:rPr>
      <w:rFonts w:eastAsia="Calibri"/>
      <w:color w:val="auto"/>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Calibri"/>
      <w:color w:val="auto"/>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Ninguno">
    <w:name w:val="Ninguno"/>
    <w:rPr>
      <w:lang w:val="sk-SK"/>
    </w:rPr>
  </w:style>
  <w:style w:type="numbering" w:customStyle="1" w:styleId="Estiloimportado1">
    <w:name w:val="Estilo importado 1"/>
    <w:pPr>
      <w:numPr>
        <w:numId w:val="30"/>
      </w:numPr>
    </w:pPr>
  </w:style>
  <w:style w:type="numbering" w:customStyle="1" w:styleId="Estiloimportado2">
    <w:name w:val="Estilo importado 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601">
      <w:bodyDiv w:val="1"/>
      <w:marLeft w:val="0"/>
      <w:marRight w:val="0"/>
      <w:marTop w:val="0"/>
      <w:marBottom w:val="0"/>
      <w:divBdr>
        <w:top w:val="none" w:sz="0" w:space="0" w:color="auto"/>
        <w:left w:val="none" w:sz="0" w:space="0" w:color="auto"/>
        <w:bottom w:val="none" w:sz="0" w:space="0" w:color="auto"/>
        <w:right w:val="none" w:sz="0" w:space="0" w:color="auto"/>
      </w:divBdr>
    </w:div>
    <w:div w:id="134177895">
      <w:bodyDiv w:val="1"/>
      <w:marLeft w:val="0"/>
      <w:marRight w:val="0"/>
      <w:marTop w:val="0"/>
      <w:marBottom w:val="0"/>
      <w:divBdr>
        <w:top w:val="none" w:sz="0" w:space="0" w:color="auto"/>
        <w:left w:val="none" w:sz="0" w:space="0" w:color="auto"/>
        <w:bottom w:val="none" w:sz="0" w:space="0" w:color="auto"/>
        <w:right w:val="none" w:sz="0" w:space="0" w:color="auto"/>
      </w:divBdr>
    </w:div>
    <w:div w:id="172112415">
      <w:bodyDiv w:val="1"/>
      <w:marLeft w:val="0"/>
      <w:marRight w:val="0"/>
      <w:marTop w:val="0"/>
      <w:marBottom w:val="0"/>
      <w:divBdr>
        <w:top w:val="none" w:sz="0" w:space="0" w:color="auto"/>
        <w:left w:val="none" w:sz="0" w:space="0" w:color="auto"/>
        <w:bottom w:val="none" w:sz="0" w:space="0" w:color="auto"/>
        <w:right w:val="none" w:sz="0" w:space="0" w:color="auto"/>
      </w:divBdr>
      <w:divsChild>
        <w:div w:id="1428816002">
          <w:marLeft w:val="0"/>
          <w:marRight w:val="0"/>
          <w:marTop w:val="0"/>
          <w:marBottom w:val="0"/>
          <w:divBdr>
            <w:top w:val="none" w:sz="0" w:space="0" w:color="auto"/>
            <w:left w:val="none" w:sz="0" w:space="0" w:color="auto"/>
            <w:bottom w:val="none" w:sz="0" w:space="0" w:color="auto"/>
            <w:right w:val="none" w:sz="0" w:space="0" w:color="auto"/>
          </w:divBdr>
          <w:divsChild>
            <w:div w:id="1395085019">
              <w:marLeft w:val="0"/>
              <w:marRight w:val="0"/>
              <w:marTop w:val="0"/>
              <w:marBottom w:val="0"/>
              <w:divBdr>
                <w:top w:val="none" w:sz="0" w:space="0" w:color="auto"/>
                <w:left w:val="none" w:sz="0" w:space="0" w:color="auto"/>
                <w:bottom w:val="none" w:sz="0" w:space="0" w:color="auto"/>
                <w:right w:val="none" w:sz="0" w:space="0" w:color="auto"/>
              </w:divBdr>
              <w:divsChild>
                <w:div w:id="1289124698">
                  <w:marLeft w:val="0"/>
                  <w:marRight w:val="0"/>
                  <w:marTop w:val="0"/>
                  <w:marBottom w:val="0"/>
                  <w:divBdr>
                    <w:top w:val="none" w:sz="0" w:space="0" w:color="auto"/>
                    <w:left w:val="none" w:sz="0" w:space="0" w:color="auto"/>
                    <w:bottom w:val="none" w:sz="0" w:space="0" w:color="auto"/>
                    <w:right w:val="none" w:sz="0" w:space="0" w:color="auto"/>
                  </w:divBdr>
                  <w:divsChild>
                    <w:div w:id="208496639">
                      <w:marLeft w:val="0"/>
                      <w:marRight w:val="0"/>
                      <w:marTop w:val="0"/>
                      <w:marBottom w:val="0"/>
                      <w:divBdr>
                        <w:top w:val="none" w:sz="0" w:space="0" w:color="auto"/>
                        <w:left w:val="none" w:sz="0" w:space="0" w:color="auto"/>
                        <w:bottom w:val="none" w:sz="0" w:space="0" w:color="auto"/>
                        <w:right w:val="none" w:sz="0" w:space="0" w:color="auto"/>
                      </w:divBdr>
                      <w:divsChild>
                        <w:div w:id="801581429">
                          <w:marLeft w:val="0"/>
                          <w:marRight w:val="0"/>
                          <w:marTop w:val="0"/>
                          <w:marBottom w:val="0"/>
                          <w:divBdr>
                            <w:top w:val="none" w:sz="0" w:space="0" w:color="auto"/>
                            <w:left w:val="none" w:sz="0" w:space="0" w:color="auto"/>
                            <w:bottom w:val="none" w:sz="0" w:space="0" w:color="auto"/>
                            <w:right w:val="none" w:sz="0" w:space="0" w:color="auto"/>
                          </w:divBdr>
                          <w:divsChild>
                            <w:div w:id="223225930">
                              <w:marLeft w:val="0"/>
                              <w:marRight w:val="0"/>
                              <w:marTop w:val="0"/>
                              <w:marBottom w:val="0"/>
                              <w:divBdr>
                                <w:top w:val="none" w:sz="0" w:space="0" w:color="auto"/>
                                <w:left w:val="none" w:sz="0" w:space="0" w:color="auto"/>
                                <w:bottom w:val="none" w:sz="0" w:space="0" w:color="auto"/>
                                <w:right w:val="none" w:sz="0" w:space="0" w:color="auto"/>
                              </w:divBdr>
                              <w:divsChild>
                                <w:div w:id="753278882">
                                  <w:marLeft w:val="0"/>
                                  <w:marRight w:val="0"/>
                                  <w:marTop w:val="0"/>
                                  <w:marBottom w:val="0"/>
                                  <w:divBdr>
                                    <w:top w:val="none" w:sz="0" w:space="0" w:color="auto"/>
                                    <w:left w:val="none" w:sz="0" w:space="0" w:color="auto"/>
                                    <w:bottom w:val="none" w:sz="0" w:space="0" w:color="auto"/>
                                    <w:right w:val="none" w:sz="0" w:space="0" w:color="auto"/>
                                  </w:divBdr>
                                  <w:divsChild>
                                    <w:div w:id="773013353">
                                      <w:marLeft w:val="60"/>
                                      <w:marRight w:val="0"/>
                                      <w:marTop w:val="0"/>
                                      <w:marBottom w:val="0"/>
                                      <w:divBdr>
                                        <w:top w:val="none" w:sz="0" w:space="0" w:color="auto"/>
                                        <w:left w:val="none" w:sz="0" w:space="0" w:color="auto"/>
                                        <w:bottom w:val="none" w:sz="0" w:space="0" w:color="auto"/>
                                        <w:right w:val="none" w:sz="0" w:space="0" w:color="auto"/>
                                      </w:divBdr>
                                      <w:divsChild>
                                        <w:div w:id="1624456664">
                                          <w:marLeft w:val="0"/>
                                          <w:marRight w:val="0"/>
                                          <w:marTop w:val="0"/>
                                          <w:marBottom w:val="0"/>
                                          <w:divBdr>
                                            <w:top w:val="none" w:sz="0" w:space="0" w:color="auto"/>
                                            <w:left w:val="none" w:sz="0" w:space="0" w:color="auto"/>
                                            <w:bottom w:val="none" w:sz="0" w:space="0" w:color="auto"/>
                                            <w:right w:val="none" w:sz="0" w:space="0" w:color="auto"/>
                                          </w:divBdr>
                                          <w:divsChild>
                                            <w:div w:id="965425779">
                                              <w:marLeft w:val="0"/>
                                              <w:marRight w:val="0"/>
                                              <w:marTop w:val="0"/>
                                              <w:marBottom w:val="120"/>
                                              <w:divBdr>
                                                <w:top w:val="single" w:sz="6" w:space="0" w:color="F5F5F5"/>
                                                <w:left w:val="single" w:sz="6" w:space="0" w:color="F5F5F5"/>
                                                <w:bottom w:val="single" w:sz="6" w:space="0" w:color="F5F5F5"/>
                                                <w:right w:val="single" w:sz="6" w:space="0" w:color="F5F5F5"/>
                                              </w:divBdr>
                                              <w:divsChild>
                                                <w:div w:id="1823425666">
                                                  <w:marLeft w:val="0"/>
                                                  <w:marRight w:val="0"/>
                                                  <w:marTop w:val="0"/>
                                                  <w:marBottom w:val="0"/>
                                                  <w:divBdr>
                                                    <w:top w:val="none" w:sz="0" w:space="0" w:color="auto"/>
                                                    <w:left w:val="none" w:sz="0" w:space="0" w:color="auto"/>
                                                    <w:bottom w:val="none" w:sz="0" w:space="0" w:color="auto"/>
                                                    <w:right w:val="none" w:sz="0" w:space="0" w:color="auto"/>
                                                  </w:divBdr>
                                                  <w:divsChild>
                                                    <w:div w:id="20445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426225">
      <w:bodyDiv w:val="1"/>
      <w:marLeft w:val="0"/>
      <w:marRight w:val="0"/>
      <w:marTop w:val="0"/>
      <w:marBottom w:val="0"/>
      <w:divBdr>
        <w:top w:val="none" w:sz="0" w:space="0" w:color="auto"/>
        <w:left w:val="none" w:sz="0" w:space="0" w:color="auto"/>
        <w:bottom w:val="none" w:sz="0" w:space="0" w:color="auto"/>
        <w:right w:val="none" w:sz="0" w:space="0" w:color="auto"/>
      </w:divBdr>
    </w:div>
    <w:div w:id="309991007">
      <w:bodyDiv w:val="1"/>
      <w:marLeft w:val="0"/>
      <w:marRight w:val="0"/>
      <w:marTop w:val="0"/>
      <w:marBottom w:val="0"/>
      <w:divBdr>
        <w:top w:val="none" w:sz="0" w:space="0" w:color="auto"/>
        <w:left w:val="none" w:sz="0" w:space="0" w:color="auto"/>
        <w:bottom w:val="none" w:sz="0" w:space="0" w:color="auto"/>
        <w:right w:val="none" w:sz="0" w:space="0" w:color="auto"/>
      </w:divBdr>
    </w:div>
    <w:div w:id="413475715">
      <w:bodyDiv w:val="1"/>
      <w:marLeft w:val="0"/>
      <w:marRight w:val="0"/>
      <w:marTop w:val="0"/>
      <w:marBottom w:val="0"/>
      <w:divBdr>
        <w:top w:val="none" w:sz="0" w:space="0" w:color="auto"/>
        <w:left w:val="none" w:sz="0" w:space="0" w:color="auto"/>
        <w:bottom w:val="none" w:sz="0" w:space="0" w:color="auto"/>
        <w:right w:val="none" w:sz="0" w:space="0" w:color="auto"/>
      </w:divBdr>
    </w:div>
    <w:div w:id="597713542">
      <w:bodyDiv w:val="1"/>
      <w:marLeft w:val="0"/>
      <w:marRight w:val="0"/>
      <w:marTop w:val="0"/>
      <w:marBottom w:val="0"/>
      <w:divBdr>
        <w:top w:val="none" w:sz="0" w:space="0" w:color="auto"/>
        <w:left w:val="none" w:sz="0" w:space="0" w:color="auto"/>
        <w:bottom w:val="none" w:sz="0" w:space="0" w:color="auto"/>
        <w:right w:val="none" w:sz="0" w:space="0" w:color="auto"/>
      </w:divBdr>
    </w:div>
    <w:div w:id="709108238">
      <w:bodyDiv w:val="1"/>
      <w:marLeft w:val="0"/>
      <w:marRight w:val="0"/>
      <w:marTop w:val="0"/>
      <w:marBottom w:val="0"/>
      <w:divBdr>
        <w:top w:val="none" w:sz="0" w:space="0" w:color="auto"/>
        <w:left w:val="none" w:sz="0" w:space="0" w:color="auto"/>
        <w:bottom w:val="none" w:sz="0" w:space="0" w:color="auto"/>
        <w:right w:val="none" w:sz="0" w:space="0" w:color="auto"/>
      </w:divBdr>
    </w:div>
    <w:div w:id="749161027">
      <w:bodyDiv w:val="1"/>
      <w:marLeft w:val="0"/>
      <w:marRight w:val="0"/>
      <w:marTop w:val="0"/>
      <w:marBottom w:val="0"/>
      <w:divBdr>
        <w:top w:val="none" w:sz="0" w:space="0" w:color="auto"/>
        <w:left w:val="none" w:sz="0" w:space="0" w:color="auto"/>
        <w:bottom w:val="none" w:sz="0" w:space="0" w:color="auto"/>
        <w:right w:val="none" w:sz="0" w:space="0" w:color="auto"/>
      </w:divBdr>
    </w:div>
    <w:div w:id="753209252">
      <w:bodyDiv w:val="1"/>
      <w:marLeft w:val="0"/>
      <w:marRight w:val="0"/>
      <w:marTop w:val="0"/>
      <w:marBottom w:val="0"/>
      <w:divBdr>
        <w:top w:val="none" w:sz="0" w:space="0" w:color="auto"/>
        <w:left w:val="none" w:sz="0" w:space="0" w:color="auto"/>
        <w:bottom w:val="none" w:sz="0" w:space="0" w:color="auto"/>
        <w:right w:val="none" w:sz="0" w:space="0" w:color="auto"/>
      </w:divBdr>
    </w:div>
    <w:div w:id="796677576">
      <w:bodyDiv w:val="1"/>
      <w:marLeft w:val="0"/>
      <w:marRight w:val="0"/>
      <w:marTop w:val="0"/>
      <w:marBottom w:val="0"/>
      <w:divBdr>
        <w:top w:val="none" w:sz="0" w:space="0" w:color="auto"/>
        <w:left w:val="none" w:sz="0" w:space="0" w:color="auto"/>
        <w:bottom w:val="none" w:sz="0" w:space="0" w:color="auto"/>
        <w:right w:val="none" w:sz="0" w:space="0" w:color="auto"/>
      </w:divBdr>
    </w:div>
    <w:div w:id="937179222">
      <w:bodyDiv w:val="1"/>
      <w:marLeft w:val="0"/>
      <w:marRight w:val="0"/>
      <w:marTop w:val="0"/>
      <w:marBottom w:val="0"/>
      <w:divBdr>
        <w:top w:val="none" w:sz="0" w:space="0" w:color="auto"/>
        <w:left w:val="none" w:sz="0" w:space="0" w:color="auto"/>
        <w:bottom w:val="none" w:sz="0" w:space="0" w:color="auto"/>
        <w:right w:val="none" w:sz="0" w:space="0" w:color="auto"/>
      </w:divBdr>
    </w:div>
    <w:div w:id="992368061">
      <w:bodyDiv w:val="1"/>
      <w:marLeft w:val="0"/>
      <w:marRight w:val="0"/>
      <w:marTop w:val="0"/>
      <w:marBottom w:val="0"/>
      <w:divBdr>
        <w:top w:val="none" w:sz="0" w:space="0" w:color="auto"/>
        <w:left w:val="none" w:sz="0" w:space="0" w:color="auto"/>
        <w:bottom w:val="none" w:sz="0" w:space="0" w:color="auto"/>
        <w:right w:val="none" w:sz="0" w:space="0" w:color="auto"/>
      </w:divBdr>
    </w:div>
    <w:div w:id="1183473811">
      <w:bodyDiv w:val="1"/>
      <w:marLeft w:val="0"/>
      <w:marRight w:val="0"/>
      <w:marTop w:val="0"/>
      <w:marBottom w:val="0"/>
      <w:divBdr>
        <w:top w:val="none" w:sz="0" w:space="0" w:color="auto"/>
        <w:left w:val="none" w:sz="0" w:space="0" w:color="auto"/>
        <w:bottom w:val="none" w:sz="0" w:space="0" w:color="auto"/>
        <w:right w:val="none" w:sz="0" w:space="0" w:color="auto"/>
      </w:divBdr>
    </w:div>
    <w:div w:id="1279949508">
      <w:bodyDiv w:val="1"/>
      <w:marLeft w:val="390"/>
      <w:marRight w:val="390"/>
      <w:marTop w:val="0"/>
      <w:marBottom w:val="0"/>
      <w:divBdr>
        <w:top w:val="none" w:sz="0" w:space="0" w:color="auto"/>
        <w:left w:val="none" w:sz="0" w:space="0" w:color="auto"/>
        <w:bottom w:val="none" w:sz="0" w:space="0" w:color="auto"/>
        <w:right w:val="none" w:sz="0" w:space="0" w:color="auto"/>
      </w:divBdr>
      <w:divsChild>
        <w:div w:id="72315400">
          <w:marLeft w:val="0"/>
          <w:marRight w:val="0"/>
          <w:marTop w:val="0"/>
          <w:marBottom w:val="0"/>
          <w:divBdr>
            <w:top w:val="none" w:sz="0" w:space="0" w:color="auto"/>
            <w:left w:val="none" w:sz="0" w:space="0" w:color="auto"/>
            <w:bottom w:val="none" w:sz="0" w:space="0" w:color="auto"/>
            <w:right w:val="none" w:sz="0" w:space="0" w:color="auto"/>
          </w:divBdr>
          <w:divsChild>
            <w:div w:id="2122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7141">
      <w:bodyDiv w:val="1"/>
      <w:marLeft w:val="0"/>
      <w:marRight w:val="0"/>
      <w:marTop w:val="0"/>
      <w:marBottom w:val="0"/>
      <w:divBdr>
        <w:top w:val="none" w:sz="0" w:space="0" w:color="auto"/>
        <w:left w:val="none" w:sz="0" w:space="0" w:color="auto"/>
        <w:bottom w:val="none" w:sz="0" w:space="0" w:color="auto"/>
        <w:right w:val="none" w:sz="0" w:space="0" w:color="auto"/>
      </w:divBdr>
    </w:div>
    <w:div w:id="1586064949">
      <w:bodyDiv w:val="1"/>
      <w:marLeft w:val="0"/>
      <w:marRight w:val="0"/>
      <w:marTop w:val="0"/>
      <w:marBottom w:val="0"/>
      <w:divBdr>
        <w:top w:val="none" w:sz="0" w:space="0" w:color="auto"/>
        <w:left w:val="none" w:sz="0" w:space="0" w:color="auto"/>
        <w:bottom w:val="none" w:sz="0" w:space="0" w:color="auto"/>
        <w:right w:val="none" w:sz="0" w:space="0" w:color="auto"/>
      </w:divBdr>
    </w:div>
    <w:div w:id="1598437743">
      <w:bodyDiv w:val="1"/>
      <w:marLeft w:val="0"/>
      <w:marRight w:val="0"/>
      <w:marTop w:val="0"/>
      <w:marBottom w:val="0"/>
      <w:divBdr>
        <w:top w:val="none" w:sz="0" w:space="0" w:color="auto"/>
        <w:left w:val="none" w:sz="0" w:space="0" w:color="auto"/>
        <w:bottom w:val="none" w:sz="0" w:space="0" w:color="auto"/>
        <w:right w:val="none" w:sz="0" w:space="0" w:color="auto"/>
      </w:divBdr>
    </w:div>
    <w:div w:id="1650477377">
      <w:bodyDiv w:val="1"/>
      <w:marLeft w:val="0"/>
      <w:marRight w:val="0"/>
      <w:marTop w:val="0"/>
      <w:marBottom w:val="0"/>
      <w:divBdr>
        <w:top w:val="none" w:sz="0" w:space="0" w:color="auto"/>
        <w:left w:val="none" w:sz="0" w:space="0" w:color="auto"/>
        <w:bottom w:val="none" w:sz="0" w:space="0" w:color="auto"/>
        <w:right w:val="none" w:sz="0" w:space="0" w:color="auto"/>
      </w:divBdr>
    </w:div>
    <w:div w:id="1671833134">
      <w:bodyDiv w:val="1"/>
      <w:marLeft w:val="0"/>
      <w:marRight w:val="0"/>
      <w:marTop w:val="0"/>
      <w:marBottom w:val="0"/>
      <w:divBdr>
        <w:top w:val="none" w:sz="0" w:space="0" w:color="auto"/>
        <w:left w:val="none" w:sz="0" w:space="0" w:color="auto"/>
        <w:bottom w:val="none" w:sz="0" w:space="0" w:color="auto"/>
        <w:right w:val="none" w:sz="0" w:space="0" w:color="auto"/>
      </w:divBdr>
    </w:div>
    <w:div w:id="1712798454">
      <w:bodyDiv w:val="1"/>
      <w:marLeft w:val="390"/>
      <w:marRight w:val="390"/>
      <w:marTop w:val="0"/>
      <w:marBottom w:val="0"/>
      <w:divBdr>
        <w:top w:val="none" w:sz="0" w:space="0" w:color="auto"/>
        <w:left w:val="none" w:sz="0" w:space="0" w:color="auto"/>
        <w:bottom w:val="none" w:sz="0" w:space="0" w:color="auto"/>
        <w:right w:val="none" w:sz="0" w:space="0" w:color="auto"/>
      </w:divBdr>
      <w:divsChild>
        <w:div w:id="1371996803">
          <w:marLeft w:val="0"/>
          <w:marRight w:val="0"/>
          <w:marTop w:val="0"/>
          <w:marBottom w:val="0"/>
          <w:divBdr>
            <w:top w:val="none" w:sz="0" w:space="0" w:color="auto"/>
            <w:left w:val="none" w:sz="0" w:space="0" w:color="auto"/>
            <w:bottom w:val="none" w:sz="0" w:space="0" w:color="auto"/>
            <w:right w:val="none" w:sz="0" w:space="0" w:color="auto"/>
          </w:divBdr>
          <w:divsChild>
            <w:div w:id="11003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8519">
      <w:bodyDiv w:val="1"/>
      <w:marLeft w:val="0"/>
      <w:marRight w:val="0"/>
      <w:marTop w:val="0"/>
      <w:marBottom w:val="0"/>
      <w:divBdr>
        <w:top w:val="none" w:sz="0" w:space="0" w:color="auto"/>
        <w:left w:val="none" w:sz="0" w:space="0" w:color="auto"/>
        <w:bottom w:val="none" w:sz="0" w:space="0" w:color="auto"/>
        <w:right w:val="none" w:sz="0" w:space="0" w:color="auto"/>
      </w:divBdr>
    </w:div>
    <w:div w:id="1766028797">
      <w:bodyDiv w:val="1"/>
      <w:marLeft w:val="0"/>
      <w:marRight w:val="0"/>
      <w:marTop w:val="0"/>
      <w:marBottom w:val="0"/>
      <w:divBdr>
        <w:top w:val="none" w:sz="0" w:space="0" w:color="auto"/>
        <w:left w:val="none" w:sz="0" w:space="0" w:color="auto"/>
        <w:bottom w:val="none" w:sz="0" w:space="0" w:color="auto"/>
        <w:right w:val="none" w:sz="0" w:space="0" w:color="auto"/>
      </w:divBdr>
    </w:div>
    <w:div w:id="1872263224">
      <w:bodyDiv w:val="1"/>
      <w:marLeft w:val="390"/>
      <w:marRight w:val="390"/>
      <w:marTop w:val="0"/>
      <w:marBottom w:val="0"/>
      <w:divBdr>
        <w:top w:val="none" w:sz="0" w:space="0" w:color="auto"/>
        <w:left w:val="none" w:sz="0" w:space="0" w:color="auto"/>
        <w:bottom w:val="none" w:sz="0" w:space="0" w:color="auto"/>
        <w:right w:val="none" w:sz="0" w:space="0" w:color="auto"/>
      </w:divBdr>
      <w:divsChild>
        <w:div w:id="642662771">
          <w:marLeft w:val="0"/>
          <w:marRight w:val="0"/>
          <w:marTop w:val="0"/>
          <w:marBottom w:val="0"/>
          <w:divBdr>
            <w:top w:val="none" w:sz="0" w:space="0" w:color="auto"/>
            <w:left w:val="none" w:sz="0" w:space="0" w:color="auto"/>
            <w:bottom w:val="none" w:sz="0" w:space="0" w:color="auto"/>
            <w:right w:val="none" w:sz="0" w:space="0" w:color="auto"/>
          </w:divBdr>
          <w:divsChild>
            <w:div w:id="12556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5581">
      <w:bodyDiv w:val="1"/>
      <w:marLeft w:val="0"/>
      <w:marRight w:val="0"/>
      <w:marTop w:val="0"/>
      <w:marBottom w:val="0"/>
      <w:divBdr>
        <w:top w:val="none" w:sz="0" w:space="0" w:color="auto"/>
        <w:left w:val="none" w:sz="0" w:space="0" w:color="auto"/>
        <w:bottom w:val="none" w:sz="0" w:space="0" w:color="auto"/>
        <w:right w:val="none" w:sz="0" w:space="0" w:color="auto"/>
      </w:divBdr>
    </w:div>
    <w:div w:id="19959865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cmsdata/149400/COM_COM(2018)0457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0219C-E634-4BB3-A014-A416FB91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4196</Words>
  <Characters>26144</Characters>
  <Application>Microsoft Office Word</Application>
  <DocSecurity>0</DocSecurity>
  <Lines>435</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2018-07-09T14:30:00Z</dcterms:created>
  <dcterms:modified xsi:type="dcterms:W3CDTF">2018-08-06T09:52:00Z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