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1252E329DA14E679834EC8208EF0A00" style="width:450.15pt;height:320.5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TOCHeading"/>
        <w:rPr>
          <w:noProof/>
        </w:rPr>
      </w:pPr>
      <w:bookmarkStart w:id="1" w:name="_GoBack"/>
      <w:bookmarkEnd w:id="1"/>
      <w:r>
        <w:rPr>
          <w:noProof/>
        </w:rPr>
        <w:lastRenderedPageBreak/>
        <w:t>OBSAH</w:t>
      </w:r>
    </w:p>
    <w:p>
      <w:pPr>
        <w:rPr>
          <w:noProof/>
        </w:rPr>
      </w:pPr>
    </w:p>
    <w:p>
      <w:pPr>
        <w:pStyle w:val="TOC1"/>
        <w:rPr>
          <w:rFonts w:eastAsiaTheme="minorEastAsia" w:cstheme="minorBidi"/>
          <w:caps w:val="0"/>
          <w:noProof/>
          <w:szCs w:val="22"/>
          <w:lang w:eastAsia="en-GB" w:bidi="ar-SA"/>
        </w:rPr>
      </w:pPr>
      <w:r>
        <w:rPr>
          <w:noProof/>
        </w:rPr>
        <w:fldChar w:fldCharType="begin"/>
      </w:r>
      <w:r>
        <w:rPr>
          <w:noProof/>
        </w:rPr>
        <w:instrText xml:space="preserve"> TOC \o "1-4" \h \t "ChapterTitle,5,PartTitle,5,SectionTitle,5" </w:instrText>
      </w:r>
      <w:r>
        <w:rPr>
          <w:noProof/>
        </w:rPr>
        <w:fldChar w:fldCharType="separate"/>
      </w:r>
      <w:hyperlink w:anchor="_Toc491867196" w:history="1">
        <w:r>
          <w:rPr>
            <w:rStyle w:val="Hyperlink"/>
            <w:noProof/>
          </w:rPr>
          <w:t>1.</w:t>
        </w:r>
        <w:r>
          <w:rPr>
            <w:rFonts w:eastAsiaTheme="minorEastAsia" w:cstheme="minorBidi"/>
            <w:caps w:val="0"/>
            <w:noProof/>
            <w:szCs w:val="22"/>
            <w:lang w:eastAsia="en-GB" w:bidi="ar-SA"/>
          </w:rPr>
          <w:tab/>
        </w:r>
        <w:r>
          <w:rPr>
            <w:rStyle w:val="Hyperlink"/>
            <w:noProof/>
          </w:rPr>
          <w:t>Účel a rozsah hodnotenia</w:t>
        </w:r>
        <w:r>
          <w:rPr>
            <w:noProof/>
          </w:rPr>
          <w:tab/>
        </w:r>
        <w:r>
          <w:rPr>
            <w:noProof/>
          </w:rPr>
          <w:fldChar w:fldCharType="begin"/>
        </w:r>
        <w:r>
          <w:rPr>
            <w:noProof/>
          </w:rPr>
          <w:instrText xml:space="preserve"> PAGEREF _Toc491867196 \h </w:instrText>
        </w:r>
        <w:r>
          <w:rPr>
            <w:noProof/>
          </w:rPr>
        </w:r>
        <w:r>
          <w:rPr>
            <w:noProof/>
          </w:rPr>
          <w:fldChar w:fldCharType="separate"/>
        </w:r>
        <w:r>
          <w:rPr>
            <w:noProof/>
          </w:rPr>
          <w:t>3</w:t>
        </w:r>
        <w:r>
          <w:rPr>
            <w:noProof/>
          </w:rPr>
          <w:fldChar w:fldCharType="end"/>
        </w:r>
      </w:hyperlink>
    </w:p>
    <w:p>
      <w:pPr>
        <w:pStyle w:val="TOC1"/>
        <w:rPr>
          <w:rFonts w:eastAsiaTheme="minorEastAsia" w:cstheme="minorBidi"/>
          <w:caps w:val="0"/>
          <w:noProof/>
          <w:szCs w:val="22"/>
          <w:lang w:eastAsia="en-GB" w:bidi="ar-SA"/>
        </w:rPr>
      </w:pPr>
      <w:hyperlink w:anchor="_Toc491867197" w:history="1">
        <w:r>
          <w:rPr>
            <w:rStyle w:val="Hyperlink"/>
            <w:noProof/>
          </w:rPr>
          <w:t>2.</w:t>
        </w:r>
        <w:r>
          <w:rPr>
            <w:rFonts w:eastAsiaTheme="minorEastAsia" w:cstheme="minorBidi"/>
            <w:caps w:val="0"/>
            <w:noProof/>
            <w:szCs w:val="22"/>
            <w:lang w:eastAsia="en-GB" w:bidi="ar-SA"/>
          </w:rPr>
          <w:tab/>
        </w:r>
        <w:r>
          <w:rPr>
            <w:rStyle w:val="Hyperlink"/>
            <w:noProof/>
          </w:rPr>
          <w:t>Hlavné zistenia</w:t>
        </w:r>
        <w:r>
          <w:rPr>
            <w:noProof/>
          </w:rPr>
          <w:tab/>
        </w:r>
        <w:r>
          <w:rPr>
            <w:noProof/>
          </w:rPr>
          <w:fldChar w:fldCharType="begin"/>
        </w:r>
        <w:r>
          <w:rPr>
            <w:noProof/>
          </w:rPr>
          <w:instrText xml:space="preserve"> PAGEREF _Toc491867197 \h </w:instrText>
        </w:r>
        <w:r>
          <w:rPr>
            <w:noProof/>
          </w:rPr>
        </w:r>
        <w:r>
          <w:rPr>
            <w:noProof/>
          </w:rPr>
          <w:fldChar w:fldCharType="separate"/>
        </w:r>
        <w:r>
          <w:rPr>
            <w:noProof/>
          </w:rPr>
          <w:t>4</w:t>
        </w:r>
        <w:r>
          <w:rPr>
            <w:noProof/>
          </w:rPr>
          <w:fldChar w:fldCharType="end"/>
        </w:r>
      </w:hyperlink>
    </w:p>
    <w:p>
      <w:pPr>
        <w:pStyle w:val="TOC1"/>
        <w:rPr>
          <w:rFonts w:eastAsiaTheme="minorEastAsia" w:cstheme="minorBidi"/>
          <w:caps w:val="0"/>
          <w:noProof/>
          <w:szCs w:val="22"/>
          <w:lang w:eastAsia="en-GB" w:bidi="ar-SA"/>
        </w:rPr>
      </w:pPr>
      <w:hyperlink w:anchor="_Toc491867198" w:history="1">
        <w:r>
          <w:rPr>
            <w:rStyle w:val="Hyperlink"/>
            <w:noProof/>
          </w:rPr>
          <w:t>3.</w:t>
        </w:r>
        <w:r>
          <w:rPr>
            <w:rFonts w:eastAsiaTheme="minorEastAsia" w:cstheme="minorBidi"/>
            <w:caps w:val="0"/>
            <w:noProof/>
            <w:szCs w:val="22"/>
            <w:lang w:eastAsia="en-GB" w:bidi="ar-SA"/>
          </w:rPr>
          <w:tab/>
        </w:r>
        <w:r>
          <w:rPr>
            <w:rStyle w:val="Hyperlink"/>
            <w:noProof/>
          </w:rPr>
          <w:t>Závery</w:t>
        </w:r>
        <w:r>
          <w:rPr>
            <w:noProof/>
          </w:rPr>
          <w:tab/>
        </w:r>
        <w:r>
          <w:rPr>
            <w:noProof/>
          </w:rPr>
          <w:fldChar w:fldCharType="begin"/>
        </w:r>
        <w:r>
          <w:rPr>
            <w:noProof/>
          </w:rPr>
          <w:instrText xml:space="preserve"> PAGEREF _Toc491867198 \h </w:instrText>
        </w:r>
        <w:r>
          <w:rPr>
            <w:noProof/>
          </w:rPr>
        </w:r>
        <w:r>
          <w:rPr>
            <w:noProof/>
          </w:rPr>
          <w:fldChar w:fldCharType="separate"/>
        </w:r>
        <w:r>
          <w:rPr>
            <w:noProof/>
          </w:rPr>
          <w:t>7</w:t>
        </w:r>
        <w:r>
          <w:rPr>
            <w:noProof/>
          </w:rPr>
          <w:fldChar w:fldCharType="end"/>
        </w:r>
      </w:hyperlink>
    </w:p>
    <w:p>
      <w:pPr>
        <w:pStyle w:val="TOC2"/>
        <w:tabs>
          <w:tab w:val="left" w:pos="1077"/>
        </w:tabs>
        <w:rPr>
          <w:rFonts w:eastAsiaTheme="minorEastAsia" w:cstheme="minorBidi"/>
          <w:noProof/>
          <w:szCs w:val="22"/>
          <w:lang w:eastAsia="en-GB" w:bidi="ar-SA"/>
        </w:rPr>
      </w:pPr>
      <w:hyperlink w:anchor="_Toc491867199" w:history="1">
        <w:r>
          <w:rPr>
            <w:rStyle w:val="Hyperlink"/>
            <w:noProof/>
          </w:rPr>
          <w:t>3.1.</w:t>
        </w:r>
        <w:r>
          <w:rPr>
            <w:rFonts w:eastAsiaTheme="minorEastAsia" w:cstheme="minorBidi"/>
            <w:noProof/>
            <w:szCs w:val="22"/>
            <w:lang w:eastAsia="en-GB" w:bidi="ar-SA"/>
          </w:rPr>
          <w:tab/>
        </w:r>
        <w:r>
          <w:rPr>
            <w:rStyle w:val="Hyperlink"/>
            <w:noProof/>
          </w:rPr>
          <w:t>Prevencia</w:t>
        </w:r>
        <w:r>
          <w:rPr>
            <w:noProof/>
          </w:rPr>
          <w:tab/>
        </w:r>
        <w:r>
          <w:rPr>
            <w:noProof/>
          </w:rPr>
          <w:fldChar w:fldCharType="begin"/>
        </w:r>
        <w:r>
          <w:rPr>
            <w:noProof/>
          </w:rPr>
          <w:instrText xml:space="preserve"> PAGEREF _Toc491867199 \h </w:instrText>
        </w:r>
        <w:r>
          <w:rPr>
            <w:noProof/>
          </w:rPr>
        </w:r>
        <w:r>
          <w:rPr>
            <w:noProof/>
          </w:rPr>
          <w:fldChar w:fldCharType="separate"/>
        </w:r>
        <w:r>
          <w:rPr>
            <w:noProof/>
          </w:rPr>
          <w:t>7</w:t>
        </w:r>
        <w:r>
          <w:rPr>
            <w:noProof/>
          </w:rPr>
          <w:fldChar w:fldCharType="end"/>
        </w:r>
      </w:hyperlink>
    </w:p>
    <w:p>
      <w:pPr>
        <w:pStyle w:val="TOC2"/>
        <w:tabs>
          <w:tab w:val="left" w:pos="1077"/>
        </w:tabs>
        <w:rPr>
          <w:rFonts w:eastAsiaTheme="minorEastAsia" w:cstheme="minorBidi"/>
          <w:noProof/>
          <w:szCs w:val="22"/>
          <w:lang w:eastAsia="en-GB" w:bidi="ar-SA"/>
        </w:rPr>
      </w:pPr>
      <w:hyperlink w:anchor="_Toc491867200" w:history="1">
        <w:r>
          <w:rPr>
            <w:rStyle w:val="Hyperlink"/>
            <w:noProof/>
          </w:rPr>
          <w:t>3.2.</w:t>
        </w:r>
        <w:r>
          <w:rPr>
            <w:rFonts w:eastAsiaTheme="minorEastAsia" w:cstheme="minorBidi"/>
            <w:noProof/>
            <w:szCs w:val="22"/>
            <w:lang w:eastAsia="en-GB" w:bidi="ar-SA"/>
          </w:rPr>
          <w:tab/>
        </w:r>
        <w:r>
          <w:rPr>
            <w:rStyle w:val="Hyperlink"/>
            <w:noProof/>
          </w:rPr>
          <w:t>Pripravenosť</w:t>
        </w:r>
        <w:r>
          <w:rPr>
            <w:noProof/>
          </w:rPr>
          <w:tab/>
        </w:r>
        <w:r>
          <w:rPr>
            <w:noProof/>
          </w:rPr>
          <w:fldChar w:fldCharType="begin"/>
        </w:r>
        <w:r>
          <w:rPr>
            <w:noProof/>
          </w:rPr>
          <w:instrText xml:space="preserve"> PAGEREF _Toc491867200 \h </w:instrText>
        </w:r>
        <w:r>
          <w:rPr>
            <w:noProof/>
          </w:rPr>
        </w:r>
        <w:r>
          <w:rPr>
            <w:noProof/>
          </w:rPr>
          <w:fldChar w:fldCharType="separate"/>
        </w:r>
        <w:r>
          <w:rPr>
            <w:noProof/>
          </w:rPr>
          <w:t>8</w:t>
        </w:r>
        <w:r>
          <w:rPr>
            <w:noProof/>
          </w:rPr>
          <w:fldChar w:fldCharType="end"/>
        </w:r>
      </w:hyperlink>
    </w:p>
    <w:p>
      <w:pPr>
        <w:pStyle w:val="TOC2"/>
        <w:tabs>
          <w:tab w:val="left" w:pos="1077"/>
        </w:tabs>
        <w:rPr>
          <w:rFonts w:eastAsiaTheme="minorEastAsia" w:cstheme="minorBidi"/>
          <w:noProof/>
          <w:szCs w:val="22"/>
          <w:lang w:eastAsia="en-GB" w:bidi="ar-SA"/>
        </w:rPr>
      </w:pPr>
      <w:hyperlink w:anchor="_Toc491867201" w:history="1">
        <w:r>
          <w:rPr>
            <w:rStyle w:val="Hyperlink"/>
            <w:noProof/>
          </w:rPr>
          <w:t>3.3.</w:t>
        </w:r>
        <w:r>
          <w:rPr>
            <w:rFonts w:eastAsiaTheme="minorEastAsia" w:cstheme="minorBidi"/>
            <w:noProof/>
            <w:szCs w:val="22"/>
            <w:lang w:eastAsia="en-GB" w:bidi="ar-SA"/>
          </w:rPr>
          <w:tab/>
        </w:r>
        <w:r>
          <w:rPr>
            <w:rStyle w:val="Hyperlink"/>
            <w:noProof/>
          </w:rPr>
          <w:t>Reakcia</w:t>
        </w:r>
        <w:r>
          <w:rPr>
            <w:noProof/>
          </w:rPr>
          <w:tab/>
        </w:r>
        <w:r>
          <w:rPr>
            <w:noProof/>
          </w:rPr>
          <w:fldChar w:fldCharType="begin"/>
        </w:r>
        <w:r>
          <w:rPr>
            <w:noProof/>
          </w:rPr>
          <w:instrText xml:space="preserve"> PAGEREF _Toc491867201 \h </w:instrText>
        </w:r>
        <w:r>
          <w:rPr>
            <w:noProof/>
          </w:rPr>
        </w:r>
        <w:r>
          <w:rPr>
            <w:noProof/>
          </w:rPr>
          <w:fldChar w:fldCharType="separate"/>
        </w:r>
        <w:r>
          <w:rPr>
            <w:noProof/>
          </w:rPr>
          <w:t>10</w:t>
        </w:r>
        <w:r>
          <w:rPr>
            <w:noProof/>
          </w:rPr>
          <w:fldChar w:fldCharType="end"/>
        </w:r>
      </w:hyperlink>
    </w:p>
    <w:p>
      <w:pPr>
        <w:pStyle w:val="TOC2"/>
        <w:tabs>
          <w:tab w:val="left" w:pos="1077"/>
        </w:tabs>
        <w:rPr>
          <w:rFonts w:eastAsiaTheme="minorEastAsia" w:cstheme="minorBidi"/>
          <w:noProof/>
          <w:szCs w:val="22"/>
          <w:lang w:eastAsia="en-GB" w:bidi="ar-SA"/>
        </w:rPr>
      </w:pPr>
      <w:hyperlink w:anchor="_Toc491867202" w:history="1">
        <w:r>
          <w:rPr>
            <w:rStyle w:val="Hyperlink"/>
            <w:noProof/>
          </w:rPr>
          <w:t>3.4.</w:t>
        </w:r>
        <w:r>
          <w:rPr>
            <w:rFonts w:eastAsiaTheme="minorEastAsia" w:cstheme="minorBidi"/>
            <w:noProof/>
            <w:szCs w:val="22"/>
            <w:lang w:eastAsia="en-GB" w:bidi="ar-SA"/>
          </w:rPr>
          <w:tab/>
        </w:r>
        <w:r>
          <w:rPr>
            <w:rStyle w:val="Hyperlink"/>
            <w:noProof/>
          </w:rPr>
          <w:t>Prierezové aspekty</w:t>
        </w:r>
        <w:r>
          <w:rPr>
            <w:noProof/>
          </w:rPr>
          <w:tab/>
        </w:r>
        <w:r>
          <w:rPr>
            <w:noProof/>
          </w:rPr>
          <w:fldChar w:fldCharType="begin"/>
        </w:r>
        <w:r>
          <w:rPr>
            <w:noProof/>
          </w:rPr>
          <w:instrText xml:space="preserve"> PAGEREF _Toc491867202 \h </w:instrText>
        </w:r>
        <w:r>
          <w:rPr>
            <w:noProof/>
          </w:rPr>
        </w:r>
        <w:r>
          <w:rPr>
            <w:noProof/>
          </w:rPr>
          <w:fldChar w:fldCharType="separate"/>
        </w:r>
        <w:r>
          <w:rPr>
            <w:noProof/>
          </w:rPr>
          <w:t>10</w:t>
        </w:r>
        <w:r>
          <w:rPr>
            <w:noProof/>
          </w:rPr>
          <w:fldChar w:fldCharType="end"/>
        </w:r>
      </w:hyperlink>
    </w:p>
    <w:p>
      <w:pPr>
        <w:pStyle w:val="TOC2"/>
        <w:tabs>
          <w:tab w:val="left" w:pos="1077"/>
        </w:tabs>
        <w:rPr>
          <w:rFonts w:eastAsiaTheme="minorEastAsia" w:cstheme="minorBidi"/>
          <w:noProof/>
          <w:szCs w:val="22"/>
          <w:lang w:eastAsia="en-GB" w:bidi="ar-SA"/>
        </w:rPr>
      </w:pPr>
      <w:hyperlink w:anchor="_Toc491867203" w:history="1">
        <w:r>
          <w:rPr>
            <w:rStyle w:val="Hyperlink"/>
            <w:noProof/>
          </w:rPr>
          <w:t>3.5.</w:t>
        </w:r>
        <w:r>
          <w:rPr>
            <w:rFonts w:eastAsiaTheme="minorEastAsia" w:cstheme="minorBidi"/>
            <w:noProof/>
            <w:szCs w:val="22"/>
            <w:lang w:eastAsia="en-GB" w:bidi="ar-SA"/>
          </w:rPr>
          <w:tab/>
        </w:r>
        <w:r>
          <w:rPr>
            <w:rStyle w:val="Hyperlink"/>
            <w:noProof/>
          </w:rPr>
          <w:t>Ďalší postup</w:t>
        </w:r>
        <w:r>
          <w:rPr>
            <w:noProof/>
          </w:rPr>
          <w:tab/>
        </w:r>
        <w:r>
          <w:rPr>
            <w:noProof/>
          </w:rPr>
          <w:fldChar w:fldCharType="begin"/>
        </w:r>
        <w:r>
          <w:rPr>
            <w:noProof/>
          </w:rPr>
          <w:instrText xml:space="preserve"> PAGEREF _Toc491867203 \h </w:instrText>
        </w:r>
        <w:r>
          <w:rPr>
            <w:noProof/>
          </w:rPr>
        </w:r>
        <w:r>
          <w:rPr>
            <w:noProof/>
          </w:rPr>
          <w:fldChar w:fldCharType="separate"/>
        </w:r>
        <w:r>
          <w:rPr>
            <w:noProof/>
          </w:rPr>
          <w:t>11</w:t>
        </w:r>
        <w:r>
          <w:rPr>
            <w:noProof/>
          </w:rPr>
          <w:fldChar w:fldCharType="end"/>
        </w:r>
      </w:hyperlink>
    </w:p>
    <w:p>
      <w:pPr>
        <w:pStyle w:val="TOC5"/>
        <w:rPr>
          <w:rFonts w:eastAsiaTheme="minorEastAsia" w:cstheme="minorBidi"/>
          <w:caps w:val="0"/>
          <w:noProof/>
          <w:szCs w:val="22"/>
        </w:rPr>
      </w:pPr>
      <w:r>
        <w:rPr>
          <w:caps w:val="0"/>
          <w:noProof/>
        </w:rPr>
        <w:fldChar w:fldCharType="end"/>
      </w:r>
      <w:r>
        <w:rPr>
          <w:noProof/>
        </w:rPr>
        <w:br w:type="page"/>
      </w:r>
    </w:p>
    <w:p>
      <w:pPr>
        <w:pStyle w:val="PartTitle"/>
        <w:rPr>
          <w:noProof/>
          <w:sz w:val="24"/>
        </w:rPr>
      </w:pPr>
      <w:bookmarkStart w:id="2" w:name="_Toc486428867"/>
      <w:r>
        <w:rPr>
          <w:noProof/>
          <w:sz w:val="24"/>
        </w:rPr>
        <w:t>SPRÁVA KOMISIE EURÓPSKEMU PARLAMENTU A RADE</w:t>
      </w:r>
      <w:bookmarkEnd w:id="2"/>
    </w:p>
    <w:p>
      <w:pPr>
        <w:pStyle w:val="SubTitle1"/>
        <w:rPr>
          <w:noProof/>
          <w:sz w:val="24"/>
        </w:rPr>
      </w:pPr>
      <w:r>
        <w:rPr>
          <w:noProof/>
          <w:sz w:val="24"/>
        </w:rPr>
        <w:t>o priebežnom hodnotení mechanizmu Únie v oblasti civilnej ochrany za obdobie rokov 2014 – 2016</w:t>
      </w:r>
    </w:p>
    <w:p>
      <w:pPr>
        <w:pStyle w:val="Heading1"/>
        <w:rPr>
          <w:noProof/>
        </w:rPr>
      </w:pPr>
      <w:bookmarkStart w:id="3" w:name="_Toc486428868"/>
      <w:bookmarkStart w:id="4" w:name="_Toc491867196"/>
      <w:r>
        <w:rPr>
          <w:noProof/>
        </w:rPr>
        <w:t>Účel a rozsah hodnotenia</w:t>
      </w:r>
      <w:bookmarkEnd w:id="3"/>
      <w:bookmarkEnd w:id="4"/>
    </w:p>
    <w:p>
      <w:pPr>
        <w:pStyle w:val="Text1"/>
        <w:rPr>
          <w:noProof/>
        </w:rPr>
      </w:pPr>
      <w:r>
        <w:rPr>
          <w:noProof/>
        </w:rPr>
        <w:t>1.</w:t>
      </w:r>
      <w:r>
        <w:rPr>
          <w:noProof/>
        </w:rPr>
        <w:tab/>
        <w:t>Mechanizmus Únie v oblasti civilnej ochrany (ďalej len „mechanizmus UCPM“) predstavuje viditeľné vyjadrenie európskej solidarity prostredníctvom zabezpečenia praktického a včasného príspevku k prevencii katastrof a pripravenosti na ne a k reakcii na katastrofy akéhokoľvek druhu, ku ktorým by došlo v rámci Únie alebo mimo nej. Mechanizmus UCPM uľahčuje mobilizáciu a koordináciu pomoci poskytovanej zúčastnenými štátmi</w:t>
      </w:r>
      <w:r>
        <w:rPr>
          <w:rStyle w:val="FootnoteReference"/>
          <w:noProof/>
        </w:rPr>
        <w:footnoteReference w:id="1"/>
      </w:r>
      <w:r>
        <w:rPr>
          <w:noProof/>
        </w:rPr>
        <w:t>, pričom jeho všeobecným cieľom je ochrana občanov, hospodárstva a životného prostredia Európy. Kľúčové prvky fungovania tohto mechanizmu predstavuje Koordinačné centrum pre reakcie na núdzové situácie (ERCC) a európske kapacity pre reakcie na núdzové situácie (EERC, označujú sa aj ako „dobrovoľné zoskupenie“ vopred poskytnutých kapacít a vyškolených odborníkov z členských štátov).</w:t>
      </w:r>
    </w:p>
    <w:p>
      <w:pPr>
        <w:pStyle w:val="Text1"/>
        <w:rPr>
          <w:noProof/>
        </w:rPr>
      </w:pPr>
      <w:r>
        <w:rPr>
          <w:noProof/>
        </w:rPr>
        <w:t>2.</w:t>
      </w:r>
      <w:r>
        <w:rPr>
          <w:noProof/>
        </w:rPr>
        <w:tab/>
        <w:t>Na základe rozhodnutia č. 1313/2013/EÚ zo 17. decembra 2013 o mechanizme Únie v oblasti civilnej ochrany</w:t>
      </w:r>
      <w:r>
        <w:rPr>
          <w:rStyle w:val="FootnoteReference"/>
          <w:noProof/>
        </w:rPr>
        <w:footnoteReference w:id="2"/>
      </w:r>
      <w:r>
        <w:rPr>
          <w:noProof/>
        </w:rPr>
        <w:t xml:space="preserve"> (ďalej len „rozhodnutie“) sa od Komisie vyžaduje hodnotenie činnosti mechanizmu UCPM a predloženie správy o dosiahnutých výsledkoch a kvalitatívnych a kvantitatívnych aspektoch vykonávania tohto rozhodnutia Európskemu parlamentu a Rade najneskôr 30. júna 2017. Táto správa obsahuje výsledky priebežného hodnotenia (ďalej len „hodnotenie“) a je k nej pripojený pracovný dokument útvarov Komisie s podrobnými zisteniami hodnotenia.</w:t>
      </w:r>
    </w:p>
    <w:p>
      <w:pPr>
        <w:pStyle w:val="Text1"/>
        <w:rPr>
          <w:noProof/>
        </w:rPr>
      </w:pPr>
      <w:r>
        <w:rPr>
          <w:noProof/>
        </w:rPr>
        <w:t>3.</w:t>
      </w:r>
      <w:r>
        <w:rPr>
          <w:noProof/>
        </w:rPr>
        <w:tab/>
        <w:t>Nezávislé hodnotenie činností uskutočnených na základe tohto mechanizmu Únie sa uskutočnilo od novembra 2016 do júna 2017</w:t>
      </w:r>
      <w:r>
        <w:rPr>
          <w:rStyle w:val="FootnoteReference"/>
          <w:noProof/>
        </w:rPr>
        <w:footnoteReference w:id="3"/>
      </w:r>
      <w:r>
        <w:rPr>
          <w:noProof/>
        </w:rPr>
        <w:t>. Zisťovacia fáza zahŕňala komplexné preskúmanie dokumentov a cielené konzultácie so zainteresovanými stranami, medzi ktoré okrem iných patrili orgány civilnej ochrany z 26 zúčastnených štátov, 14 medzinárodných partnerov (napr. agentúry OSN, OECD, Svetová banka, Červený kríž a Červený polmesiac, mimovládne organizácie atď.) a úradníci z 15 generálnych riaditeľstiev a útvarov Európskej komisie. Vykonali sa aj tri prípadové štúdie (dve lokálne v rámci krajín a jedna administratívna kontrola). Okrem toho počas troch mesiacov (november 2016 – február 2017) prebiehala otvorená online verejná konzultácia, v rámci ktorej približne 130 respondentov z celej Európy poskytlo spätnú väzbu týkajúcu sa mechanizmu UCPM. Správa o výsledkoch otvorenej verejnej konzultácie bola zverejnená na konci marca 2017</w:t>
      </w:r>
      <w:r>
        <w:rPr>
          <w:rStyle w:val="FootnoteReference"/>
          <w:noProof/>
        </w:rPr>
        <w:footnoteReference w:id="4"/>
      </w:r>
      <w:r>
        <w:rPr>
          <w:noProof/>
        </w:rPr>
        <w:t>.</w:t>
      </w:r>
    </w:p>
    <w:p>
      <w:pPr>
        <w:pStyle w:val="Text1"/>
        <w:rPr>
          <w:noProof/>
        </w:rPr>
      </w:pPr>
      <w:r>
        <w:rPr>
          <w:noProof/>
        </w:rPr>
        <w:t>4.</w:t>
      </w:r>
      <w:r>
        <w:rPr>
          <w:noProof/>
        </w:rPr>
        <w:tab/>
        <w:t>Pracovný dokument útvarov Komisie týkajúci sa tohto hodnotenia vychádza z dôkazov uvedených v hodnotení, ako aj zo spätnej väzby získanej počas diskusií so zúčastnenými štátmi a počas otvorenej verejnej konzultácie. Do úvahy sa berú aj výsledky preskúmania mechanizmu UCPM zo strany Európskeho dvora audítorov</w:t>
      </w:r>
      <w:r>
        <w:rPr>
          <w:rStyle w:val="FootnoteReference"/>
          <w:noProof/>
        </w:rPr>
        <w:footnoteReference w:id="5"/>
      </w:r>
      <w:r>
        <w:rPr>
          <w:noProof/>
        </w:rPr>
        <w:t>, správa Komisie o dosiahnutom pokroku a pretrvávajúcich nedostatkoch v dobrovoľnom zoskupení</w:t>
      </w:r>
      <w:r>
        <w:rPr>
          <w:rStyle w:val="FootnoteReference"/>
          <w:noProof/>
        </w:rPr>
        <w:footnoteReference w:id="6"/>
      </w:r>
      <w:r>
        <w:rPr>
          <w:noProof/>
        </w:rPr>
        <w:t>, ako aj ďalšie verejne dostupné správy. Komisia sa vo všeobecnosti domnieva, že návrh externého hodnotenia je primeraný výskumným otázkam a založený na uspokojivom metodickom prístupe. Potrebné je však poukázať na jedno obmedzenie, a to konkrétne na obmedzenú štatistickú základňu pre externé hodnotenie. Väčšina údajov, ktoré zhotoviteľ v priebehu časového rámca nezávislého hodnotenia zhromaždil, má kvalitatívny charakter a vzťahuje sa na to, ako zainteresované strany „vnímajú“ výkonnosť mechanizmu UCPM. Toto obmedzenie taktiež poukazuje na potrebu posilniť monitorovací systém mechanizmu UCPM najmä v súvislosti so zahrnutím dodatočných kvantitatívnych ukazovateľov výkonnosti (čo sa zdôrazňuje v aktuálna správa Európskeho dvora audítorov). Externé hodnotenie nezahŕňalo návrh konkrétnych dodatočných ukazovateľov na odstránenie tohto nedostatku. Avšak vzhľadom na obmedzenia pri získavaní údajov a analýze sú zistenia hodnotenia vierohodné. Závery sú vyvážené a logické dôsledky zistení vykazujú súvislosť s dostupnými dôkazmi.</w:t>
      </w:r>
    </w:p>
    <w:p>
      <w:pPr>
        <w:pStyle w:val="Heading1"/>
        <w:rPr>
          <w:noProof/>
        </w:rPr>
      </w:pPr>
      <w:bookmarkStart w:id="5" w:name="_Toc486428869"/>
      <w:bookmarkStart w:id="6" w:name="_Toc491867197"/>
      <w:r>
        <w:rPr>
          <w:noProof/>
        </w:rPr>
        <w:t>Hlavné zistenia</w:t>
      </w:r>
      <w:bookmarkEnd w:id="5"/>
      <w:bookmarkEnd w:id="6"/>
    </w:p>
    <w:p>
      <w:pPr>
        <w:pStyle w:val="Text1"/>
        <w:rPr>
          <w:noProof/>
        </w:rPr>
      </w:pPr>
      <w:r>
        <w:rPr>
          <w:noProof/>
        </w:rPr>
        <w:t>5.</w:t>
      </w:r>
      <w:r>
        <w:rPr>
          <w:noProof/>
        </w:rPr>
        <w:tab/>
        <w:t>Hodnotenie vychádza z piatich povinných kritérií stanovených v usmerneniach Komisie o lepšej právnej regulácii: i) relevantnosť; ii) účinnosť; iii) efektívnosť; iv) koherentnosť a v) pridaná hodnota EÚ. V rámci rozsahu tohto hodnotenia sa pridalo dodatočné kritérium, vi) udržateľnosť. Zhrnutie hlavných zistení sa uvádza v ďalších odsekoch.</w:t>
      </w:r>
    </w:p>
    <w:p>
      <w:pPr>
        <w:pStyle w:val="Text1"/>
        <w:rPr>
          <w:noProof/>
        </w:rPr>
      </w:pPr>
      <w:r>
        <w:rPr>
          <w:noProof/>
        </w:rPr>
        <w:t>6.</w:t>
      </w:r>
      <w:r>
        <w:rPr>
          <w:noProof/>
        </w:rPr>
        <w:tab/>
        <w:t>Existujú dostatočné dôkazy preukazujúce, že ciele mechanizmu UCPM sú pre potreby Európy naďalej relevantné. V prieskume Eurobarometer venovanom civilnej ochrane, ktorý sa uskutočnil v roku 2017, sa uvádza, že veľká väčšina občanov Európskej únie podporuje spoločnú politiku EÚ v oblasti civilnej ochrany a súhlasí s tým, aby EÚ viedla koordináciu reakcie na katastrofy v postihnutých krajinách v rámci Európy aj vo zvyšku sveta. V aktuálnych uzneseniach Európskeho parlamentu</w:t>
      </w:r>
      <w:r>
        <w:rPr>
          <w:rStyle w:val="FootnoteReference"/>
          <w:noProof/>
        </w:rPr>
        <w:footnoteReference w:id="7"/>
      </w:r>
      <w:r>
        <w:rPr>
          <w:noProof/>
        </w:rPr>
        <w:t xml:space="preserve"> sa Komisia vyzýva aj k ďalšej podpore spolupráce medzi európskymi orgánmi civilnej ochrany. Zainteresované strany, ktoré sa zúčastnili konzultácie, vyzdvihli aj flexibilitu mechanizmu UCPM, ktorý je schopný rýchlo sa prispôsobiť a zamerať sa na novovznikajúce krízy, ktoré nepredstavujú „tradičné“ núdzové situácie z hľadiska civilnej ochrany (napr. výskyt ohniska eboly v západnej Afrike a kríza v súvislosti s migrantmi v Európe). Rastúci počet a rozsah aktivácií mechanizmu UCPM mimo Európy však predstavuje výzvu pri hľadaní správnej rovnováhy medzi rámcom vzájomnej pomoci medzi európskymi krajinami po prírodných katastrofách a katastrofách spôsobených ľudskou činnosťou, a vývojom smerom ku komplexnejšiemu nástroju, ktorý dokáže zvládať krízy rôznorodého charakteru a s globálnym dosahom.</w:t>
      </w:r>
    </w:p>
    <w:p>
      <w:pPr>
        <w:pStyle w:val="Text1"/>
        <w:rPr>
          <w:noProof/>
        </w:rPr>
      </w:pPr>
      <w:r>
        <w:rPr>
          <w:noProof/>
        </w:rPr>
        <w:t>7.</w:t>
      </w:r>
      <w:r>
        <w:rPr>
          <w:noProof/>
        </w:rPr>
        <w:tab/>
        <w:t>Analýza účinnosti mechanizmu UCPM poukázala na povzbudivý pokrok v rámci každého z konkrétnych cieľov. Mechanizmus UCPM v plnej miere smeruje k dosiahnutiu cieľov týkajúcich sa rámca prevencie katastrof (cieľ č. 1) a pripravenosti na katastrofy (cieľ č. 2) na základe ukazovateľov stanovených právnymi predpismi a spätnej väzby získanej od kľúčových zainteresovaných strán, ktoré sa zúčastnili konzultácie. Podľa veľkej väčšiny zainteresovaných strán, ktoré sa zúčastnili konzultácie, bola reakcia mechanizmu UCPM na katastrofy (cieľ č. 3) včasná a účinná. V rámci externého hodnotenia sa potvrdilo jedno zo zistení preskúmania Európskeho dvora audítorov zistením obmedzenia, pokiaľ ide o konzistentné a spoľahlivé kvantitatívne údaje (napr. rýchlosť, náklady, hodnotenia potrieb), ktoré by potvrdili veľmi pozitívne stanoviská zainteresovaných strán k reakcii mechanizmu UCPM na katastrofy. V porovnaní s inými cieľmi napokon zainteresované strany o niečo menej uspokojivo hodnotili povedomie a pripravenosť verejnosti na katastrofy (cieľ č. 4). V tejto súvislosti by bolo náročné určiť priamo priraditeľnú súvislosť medzi povedomím občanov Európskej únie o rizikách v ich regiónoch, čo predstavuje cieľ stanovený v rozhodnutí, a aktivitami vykonávanými v rámci mechanizmu UCPM. Komisia napriek tomu uznáva, že vzhľadom na meniaci sa rizikový profil Európy by bolo relevantné a príhodné posilniť opatrenia v súvislosti s povedomím občanov.</w:t>
      </w:r>
    </w:p>
    <w:p>
      <w:pPr>
        <w:pStyle w:val="Text1"/>
        <w:rPr>
          <w:noProof/>
        </w:rPr>
      </w:pPr>
      <w:r>
        <w:rPr>
          <w:noProof/>
        </w:rPr>
        <w:t>8.</w:t>
      </w:r>
      <w:r>
        <w:rPr>
          <w:noProof/>
        </w:rPr>
        <w:tab/>
        <w:t>Zainteresované strany vo všeobecnosti pozitívne vnímajú efektívnosť mechanizmu UCPM. Väčšina zúčastnených štátov považuje náklady na reakciu na núdzové situácie a administratívne náklady súvisiace s vykonávaním rozhodnutia o mechanizme UCPM za prijateľné. V externom hodnotení bola snaha uskutočniť analýzy nákladov na porovnateľné misie v oblasti reakcie (napr. misie leteckého hasenia lesných požiarov; preprava modulov a materiálna pomoc atď.). Dôkazy však nemožno považovať za úplne dostatočné na vyvodenie definitívnych záverov. Potvrdzuje sa tým však, že je žiaduce uskutočniť podrobnejšiu analýzu nákladov a prípadne stanoviť kritériá (alebo rozsah nákladov) pre nasadzovanie a prepravu pomoci poskytovanej na základe mechanizmu UCPM.</w:t>
      </w:r>
    </w:p>
    <w:p>
      <w:pPr>
        <w:pStyle w:val="Text1"/>
        <w:rPr>
          <w:noProof/>
        </w:rPr>
      </w:pPr>
      <w:r>
        <w:rPr>
          <w:noProof/>
        </w:rPr>
        <w:t>9.</w:t>
      </w:r>
      <w:r>
        <w:rPr>
          <w:noProof/>
        </w:rPr>
        <w:tab/>
        <w:t>Interná koherentnosť, t. j. koherentnosť v rámci rozličných pilierov mechanizmu, bola v externom hodnotení vyhodnotená uspokojivo. Viaceré prierezové aktivity mechanizmu UCPM (napr. získané poznatky, poradné misie, partnerské hodnotenia, výmena expertov atď.) tvoria integrovaný prístup zameraný na prevenciu, pripravenosť a reakciu. V porovnaní s predchádzajúcim rámcom (2007 – 2013) sa zvýšila externá koherentnosť, ktorá predstavuje prepojenia medzi mechanizmom UCPM a inými oblasťami politík Únie. Potvrdilo sa to v rozhovoroch s mnohými útvarmi Komisie. Konštatovalo sa, že zameranie na program a míľniky založené na výsledkoch vedie k účinnejšej spolupráci, pričom je potrebné zvážiť zdokonalenie koordinačných mechanizmov s cieľom zlepšiť synergické účinky medzi nástrojmi na financovanie aktivít v oblasti prevencie a pripravenosti, napríklad v susedských a predvstupových krajinách</w:t>
      </w:r>
      <w:r>
        <w:rPr>
          <w:rStyle w:val="FootnoteReference"/>
          <w:noProof/>
        </w:rPr>
        <w:footnoteReference w:id="8"/>
      </w:r>
      <w:r>
        <w:rPr>
          <w:noProof/>
        </w:rPr>
        <w:t>. Pokiaľ ide o reakciu mimo Európy, je potrebné starostlivo zvážiť komparatívnu výhodu intervencie v oblasti civilnej ochrany v porovnaní s humanitárnou pomocou, keďže mechanizmus UCPM sa stále častejšie aktivuje na riešenie humanitárnych a komplexných núdzových situácií. V rovnakom duchu sa považuje za nevyhnutné lepšie prepojenie s inými externými politikami a nástrojmi EÚ (napr. rozvojová pomoc) vzhľadom na to, že k intervenciám mechanizmu UCPM v rastúcej miere dochádza mimo EÚ (napr. výskyt ohniska eboly, zemetrasenie v Nepále, migračná kríza), kde k opakujúcim sa katastrofám môže dochádzať v prostredí iných rizikových faktorov, napríklad konfliktov a nestability.</w:t>
      </w:r>
    </w:p>
    <w:p>
      <w:pPr>
        <w:pStyle w:val="Text1"/>
        <w:rPr>
          <w:noProof/>
        </w:rPr>
      </w:pPr>
      <w:r>
        <w:rPr>
          <w:noProof/>
        </w:rPr>
        <w:t>10. Existencia jedného európskeho „centra“ na zdieľanie informácií a koordináciu činností, zavedenie spoločných európskych noriem týkajúcich sa kapacít v oblasti reakcie na katastrofy a spoločné usmernenia týkajúce sa posudzovania rizík, ktoré prispeli k vytvoreniu prehľadu rizík v EÚ v rámci právnych predpisov týkajúcich sa mechanizmu UCPM</w:t>
      </w:r>
      <w:r>
        <w:rPr>
          <w:rStyle w:val="FootnoteReference"/>
          <w:noProof/>
        </w:rPr>
        <w:footnoteReference w:id="9"/>
      </w:r>
      <w:r>
        <w:rPr>
          <w:noProof/>
        </w:rPr>
        <w:t>, sa vnímajú ako zdroje vysokej pridanej hodnoty EÚ v oblastiach reakcie a pripravenosti na katastrofy a ich prevencie. Bez koordinovaného úsilia na úrovni EÚ by nebolo možné dosiahnuť zvýšenú kapacitu a predvídateľnosť európskych kapacít pre reakcie na núdzové situácie, ktoré zabezpečuje mechanizmus UCPM v podobe „dobrovoľného zoskupenia“. Zavedením ukazovateľov na adekvátnejšie monitorovanie účinnosti a efektívnosti mechanizmu UCPM možno v priebehu nasledujúcich rokov získať dodatočné dôkazy, na základe ktorých možno vyzdvihnúť pridanú hodnotu opatrení na úrovni EÚ v oblasti civilnej ochrany (a informovať o nej).</w:t>
      </w:r>
    </w:p>
    <w:p>
      <w:pPr>
        <w:pStyle w:val="Text1"/>
        <w:rPr>
          <w:noProof/>
        </w:rPr>
      </w:pPr>
      <w:r>
        <w:rPr>
          <w:noProof/>
        </w:rPr>
        <w:t>11. Spoločné využívanie vedomostí, výmena expertov a aktivity v oblasti odbornej prípravy sa považujú za nevyhnutné na vytvorenie európskej komunity odborníkov v oblasti civilnej ochrany a v konečnom dôsledku na zabezpečenie udržateľnosti príspevku mechanizmu UCPM k podpore bezpečnejších a odolnejších spoločností. Vedomostné centrum pre riadenie rizika katastrof, ktoré ako online centrum začalo činnosť koncom roka 2015, poskytuje služby na zlepšenie spoločného využívania vedomostí a budovanie kapacít v rámci zúčastnených štátov mechanizmu UCPM. Na systémovej úrovni sa však niektoré otázky považujú za kľúčové pre budúcu udržateľnosť príspevku mechanizmu UCPM. Zabezpečenie dostupnosti kapacít v dobrovoľnom zoskupení, ktoré by boli prispôsobené potrebám stanoveným na základe rizík, si vyžaduje opätovné preskúmanie finančného modelu, a je potrebné uplatniť efektívnu stratégiu budovania európskych kapacít ľudských zdrojov v oblasti civilnej ochrany, ako aj objasniť úlohu súkromného sektora pri vykonávaní aktivít mechanizmu UCPM. S cieľom maximalizovať účinok projektov v oblasti prevencie a pripravenosti financovaných prostredníctvom mechanizmu UCPM je potrebné, aby návrh a monitorovanie projektov vychádzali z potrieb koncových používateľov. Podrobnejšie je potrebné zvážiť vyhodnotenie účinku týchto projektov počas dlhšieho časového rámca. A nakoniec, vzhľadom na význam úlohy regionálnych a miestnych orgánov pri zvládaní katastrof je potrebné priblížiť prácu mechanizmu UCPM miestnym aktérom, a zároveň primárne podporiť úlohu národných orgánov v oblasti civilnej ochrany. Náležitú pozornosť je potrebné venovať cezhraničnej prevencii a pripravenosti, čím sa posilňuje správa riadenia rizík v reťazci aktérov na európskej, národnej, regionálnej a miestnej úrovni.</w:t>
      </w:r>
    </w:p>
    <w:p>
      <w:pPr>
        <w:pStyle w:val="Heading1"/>
        <w:rPr>
          <w:noProof/>
        </w:rPr>
      </w:pPr>
      <w:bookmarkStart w:id="7" w:name="_Toc486428870"/>
      <w:bookmarkStart w:id="8" w:name="_Toc491867198"/>
      <w:r>
        <w:rPr>
          <w:noProof/>
        </w:rPr>
        <w:t>Závery</w:t>
      </w:r>
      <w:bookmarkEnd w:id="7"/>
      <w:bookmarkEnd w:id="8"/>
    </w:p>
    <w:p>
      <w:pPr>
        <w:pStyle w:val="Text1"/>
        <w:rPr>
          <w:noProof/>
        </w:rPr>
      </w:pPr>
      <w:r>
        <w:rPr>
          <w:noProof/>
        </w:rPr>
        <w:t>12. Pri zohľadnení zistení uvedených v správe externého hodnotenia, vlastného posúdenia poskytnutých kvalitatívnych a kvantitatívnych dôkazov, ako aj praktických skúseností a získaných poznatkov dospela Komisia k celkovému záveru, že mechanizmus je na dobrej ceste k dosiahnutiu osobitných a všeobecných cieľov rozhodnutia. Za hodnotené obdobie rokov 2014 – 2016 zaznamenala výkonnosť mechanizmu UCPM povzbudivé výsledky v každom z troch pilierov (prevencia/pripravenosť/reakcia) a celkove ju hodnotia pozitívne zúčastnené štáty a hlavné zainteresované strany. Hodnotenie zároveň poukázalo na viaceré výzvy, ktoré by v prípade promptného riešenia mohli ešte viac zvýšiť účinok opatrení podporených mechanizmom UCPM. Tieto aspekty sa ďalej zdôrazňujú v sprievodnom pracovnom dokumente útvarov Komisie s odporúčaniami (súhrn je uvedený nižšie), ktoré zahŕňajú piliere prevencie, pripravenosti a reakcie mechanizmu UCPM. Všeobecnou oblasťou, v ktorej bol identifikovaný priestor na zlepšenie, je rámec monitorovania výsledkov mechanizmu UCPM vrátane lepšej merateľnosti prostredníctvom možného zavedenia kvantitatívnych ukazovateľov a základných referenčných údajov s cieľom podpory výraznejšieho zamerania na účinok v priebehu času.</w:t>
      </w:r>
    </w:p>
    <w:p>
      <w:pPr>
        <w:pStyle w:val="Heading2"/>
        <w:rPr>
          <w:noProof/>
        </w:rPr>
      </w:pPr>
      <w:bookmarkStart w:id="9" w:name="_Toc486428871"/>
      <w:bookmarkStart w:id="10" w:name="_Toc491867199"/>
      <w:r>
        <w:rPr>
          <w:noProof/>
        </w:rPr>
        <w:t>Prevencia</w:t>
      </w:r>
      <w:bookmarkEnd w:id="9"/>
      <w:bookmarkEnd w:id="10"/>
    </w:p>
    <w:p>
      <w:pPr>
        <w:pStyle w:val="Text1"/>
        <w:rPr>
          <w:noProof/>
        </w:rPr>
      </w:pPr>
      <w:r>
        <w:rPr>
          <w:noProof/>
        </w:rPr>
        <w:t xml:space="preserve">13. </w:t>
      </w:r>
      <w:r>
        <w:rPr>
          <w:i/>
          <w:noProof/>
        </w:rPr>
        <w:t>Zvýšenie sústredenia na ročné projekty v oblasti prevencie (a pripravenosti), ktoré sa každoročne financujú z mechanizmu UCPM.</w:t>
      </w:r>
      <w:r>
        <w:rPr>
          <w:noProof/>
        </w:rPr>
        <w:t xml:space="preserve"> Prostredníctvom tohto programu, ktorý prebieha od roku 2000, sa financoval veľký počet projektov bez toho, aby sa vždy zúročili ich výsledky. Vzhľadom na relatívne malý objem finančného krytia (v rokoch 2014 až 2016 bol priemerný objem financovania z prostriedkov EÚ 470 000 EUR) je potrebné, aby projekty boli zamerané na potreby koncových používateľov, zahŕňali opatrenia na rozširovanie ich výsledkov a dosahovali väčší účinok. Mala by sa zlepšiť spolupráca medzi mechanizmom UCPM a programom EÚ v oblasti adaptácie na zmenu klímy.</w:t>
      </w:r>
    </w:p>
    <w:p>
      <w:pPr>
        <w:pStyle w:val="Text1"/>
        <w:rPr>
          <w:noProof/>
        </w:rPr>
      </w:pPr>
      <w:r>
        <w:rPr>
          <w:noProof/>
        </w:rPr>
        <w:t xml:space="preserve">14. </w:t>
      </w:r>
      <w:r>
        <w:rPr>
          <w:i/>
          <w:noProof/>
        </w:rPr>
        <w:t>Lepšie formovanie prepojení medzi projektmi mechanizmu UCPM v oblasti prevencie (a pripravenosti) a širšími programami EÚ</w:t>
      </w:r>
      <w:r>
        <w:rPr>
          <w:noProof/>
        </w:rPr>
        <w:t xml:space="preserve"> (napr. Kohézny fond/Európsky fond regionálneho rozvoja, Európska investičná banka atď.), pričom by sa vychádzalo z práce, ktorá začala s podporou Vedomostného centra pre riadenie rizika katastrof. Strategickejšie prepojenie s takýmito programami by mohlo pomôcť maximalizovať využívanie výsledkov projektov a získať dodatočné technické a finančné zdroje na dosahovanie významnejších výsledkov v oblasti prevencie.</w:t>
      </w:r>
    </w:p>
    <w:p>
      <w:pPr>
        <w:pStyle w:val="Text1"/>
        <w:rPr>
          <w:noProof/>
        </w:rPr>
      </w:pPr>
      <w:r>
        <w:rPr>
          <w:noProof/>
        </w:rPr>
        <w:t xml:space="preserve">15. </w:t>
      </w:r>
      <w:r>
        <w:rPr>
          <w:i/>
          <w:noProof/>
        </w:rPr>
        <w:t>Posilnenie prepojenia medzi aktivitami v oblasti prevencie a pripravenosti/reakcie.</w:t>
      </w:r>
      <w:r>
        <w:rPr>
          <w:noProof/>
        </w:rPr>
        <w:t xml:space="preserve"> Toto odporúčanie, ktoré bolo zdôraznené už v roku 2014 v hodnotení </w:t>
      </w:r>
      <w:r>
        <w:rPr>
          <w:i/>
          <w:noProof/>
        </w:rPr>
        <w:t>ex-post</w:t>
      </w:r>
      <w:r>
        <w:rPr>
          <w:noProof/>
        </w:rPr>
        <w:t xml:space="preserve"> predchádzajúceho mechanizmu v oblasti civilnej ochrany (2007 – 2013), zostáva relevantné aj v polovici trvania mechanizmu pre obdobie rokov 2014 – 2020. Potreba zladiť kapacity v oblasti reakcie s hlavnými rizikami v Európe a globálnymi núdzovými situáciami bude predstavovať hlavnú výzvu pri zabezpečení trvalej relevancie mechanizmu UCPM. V „Prehľade rizík v EÚ“</w:t>
      </w:r>
      <w:r>
        <w:rPr>
          <w:rStyle w:val="FootnoteReference"/>
          <w:noProof/>
        </w:rPr>
        <w:footnoteReference w:id="10"/>
      </w:r>
      <w:r>
        <w:rPr>
          <w:noProof/>
        </w:rPr>
        <w:t xml:space="preserve"> sa poukázalo na to, že posúdenia zamerané na budúcnosť budú musieť v rastúcej miere zohľadňovať „novovznikajúce“ riziká (napr. kaskádové riziká, ako sú technologické havárie spôsobené prírodnými javmi, ako aj strata kritickej infraštruktúry, jadrové a priemyselné havárie v dôsledku zvýšených rizík terorizmu a kybernetických útokov). Prístup k posudzovaniu rizika založený na výkonnosti by mohol pomôcť prekročiť úroveň odhadu fyzického poškodenia infraštruktúry a zamerať sa na úroveň nevyhnutných služieb požadovaných v čase po katastrofe, pričom by sa zlepšilo plánovanie pre prípad nepredvídaných udalostí a činnosti v oblasti reakcie zo strany orgánov civilnej ochrany.</w:t>
      </w:r>
    </w:p>
    <w:p>
      <w:pPr>
        <w:pStyle w:val="Heading2"/>
        <w:rPr>
          <w:noProof/>
        </w:rPr>
      </w:pPr>
      <w:bookmarkStart w:id="11" w:name="_Toc486428872"/>
      <w:bookmarkStart w:id="12" w:name="_Toc491867200"/>
      <w:r>
        <w:rPr>
          <w:noProof/>
        </w:rPr>
        <w:t>Pripravenosť</w:t>
      </w:r>
      <w:bookmarkEnd w:id="11"/>
      <w:bookmarkEnd w:id="12"/>
    </w:p>
    <w:p>
      <w:pPr>
        <w:pStyle w:val="Text1"/>
        <w:rPr>
          <w:noProof/>
        </w:rPr>
      </w:pPr>
      <w:r>
        <w:rPr>
          <w:noProof/>
        </w:rPr>
        <w:t xml:space="preserve">16. </w:t>
      </w:r>
      <w:r>
        <w:rPr>
          <w:i/>
          <w:noProof/>
        </w:rPr>
        <w:t>Úprava cieľov kapacity dobrovoľného zoskupenia pomocou prístupu založeného na dôkazoch.</w:t>
      </w:r>
      <w:r>
        <w:rPr>
          <w:noProof/>
        </w:rPr>
        <w:t xml:space="preserve"> Ciele kapacity modulov a iných prostriedkov v oblasti reakcie sú určené vo vykonávacom rozhodnutí o mechanizme UCPM a mali by sa upraviť podľa hlavných/kritických rizík, ktorým čelí Európa alebo iné prijímajúce krajiny, a príslušne stanoviť ich priorita</w:t>
      </w:r>
      <w:r>
        <w:rPr>
          <w:rStyle w:val="FootnoteReference"/>
          <w:noProof/>
        </w:rPr>
        <w:footnoteReference w:id="11"/>
      </w:r>
      <w:r>
        <w:rPr>
          <w:noProof/>
        </w:rPr>
        <w:t>. Cele kapacity by boli potrebné pre rôzne profily jednotlivých expertov (ktoré v súčasnosti rozhodnutie nestanovuje) s cieľom presnejšie mapovať technické zdroje a ich nedostatky v Európe. Mimoriadne dôležitý je užší dialóg so zúčastnenými štátmi s cieľom zaznamenať všetky národné kapacity vrátane tých, ktoré nie sú registrované v rámci dobrovoľného zoskupenia, existuje však možnosť ich nasadenia prostredníctvom mechanizmu UCPM. Podobne by priestorové rozloženie (prírodných a ľudskou činnosťou spôsobených) rizík v rámci Európy aj za jej hranicami malo ovplyvňovať geografické rozloženie určitých kapacít v oblasti reakcie, pričom by zároveň mala byť zabezpečená schopnosť poskytovať primeranú pomoc pod záštitou mechanizmu UCPM, kdekoľvek je to potrebné.</w:t>
      </w:r>
    </w:p>
    <w:p>
      <w:pPr>
        <w:pStyle w:val="Text1"/>
        <w:rPr>
          <w:noProof/>
        </w:rPr>
      </w:pPr>
      <w:r>
        <w:rPr>
          <w:noProof/>
        </w:rPr>
        <w:t xml:space="preserve">17. </w:t>
      </w:r>
      <w:r>
        <w:rPr>
          <w:i/>
          <w:noProof/>
        </w:rPr>
        <w:t>Prehodnotenie systému stimulov na združovanie prostriedkov v dobrovoľnom zoskupení na základe získaných poznatkov a iných vedomostí vyplývajúcich z vykonávaných činností.</w:t>
      </w:r>
      <w:r>
        <w:rPr>
          <w:noProof/>
        </w:rPr>
        <w:t xml:space="preserve"> Medzi stimuly potrebné na posilnenie kapacity mechanizmu UCPM v oblasti reakcie okrem iného patrí úroveň spolufinancovania nasadzovania kapacít dobrovoľného zoskupenia alebo mobilizácie rezervných kapacít (najmä mimo EÚ), podpora nadnárodných modulov a kapacít reakcie, zdravotné poistenie a poistenie zodpovednosti za škodu pre nasadených expertov. Ďalšie zlepšenie sa vyžaduje v súvislosti s administratívnym zaťažením spojeným s registráciou a certifikáciou modulov, hoci sa touto problematikou už zaoberá Komisia prostredníctvom efektívnejšieho a koherentnejšieho procesu plánovania cvičení, ako aj certifikácie a registrácie prostriedkov v dobrovoľnom zoskupení.</w:t>
      </w:r>
    </w:p>
    <w:p>
      <w:pPr>
        <w:pStyle w:val="Text1"/>
        <w:rPr>
          <w:noProof/>
        </w:rPr>
      </w:pPr>
      <w:r>
        <w:rPr>
          <w:noProof/>
        </w:rPr>
        <w:t xml:space="preserve">18. </w:t>
      </w:r>
      <w:r>
        <w:rPr>
          <w:i/>
          <w:noProof/>
        </w:rPr>
        <w:t>Rozvíjanie efektívnejšieho prístupu založeného na potrebách pre programy odbornej prípravy a cvičení.</w:t>
      </w:r>
      <w:r>
        <w:rPr>
          <w:noProof/>
        </w:rPr>
        <w:t xml:space="preserve"> Posun zamerania odbornej prípravy od výstupov (napríklad počet jednotlivcov, ktorí absolvovali odbornú prípravu) ku kompetenciám umožňuje venovať pozornosť potrebám vyplývajúcim z vykonávaných činností. Tejto problematike sa v súčasnosti venuje Komisia v rámci pripravovaného strategického rámca odbornej prípravy a cvičení, ktorý je založený na kompetenciách. Za prioritu sa okrem toho považuje robustný rámec na hodnotenie uskutočňovaných kurzov odbornej prípravy, ako aj jednotlivcov, ktorí sa odbornej prípravy zúčastňujú, s cieľom zosúladiť potreby v tejto oblasti s najlepšími dostupnými technickými prostriedkami. Na podobné hľadiská sa poukazovalo aj v súvislosti s cvičeniami. Okrem toho by k vyššej efektívnosti vynaložených prostriedkov mohlo prispieť zváženie odlišných vykonávacích modelov pre „základné“ kurzy v rámci mechanizmu UCPM, ako je napríklad úvodný kurz mechanizmu Únie v oblasti civilnej ochrany (CMI) so zameraním na širšie cieľové skupiny, a pre špecializovanú/rozšírenú odbornú prípravu (napr. odborná príprava so zameraním na nasadenie, posúdenia, zdravotnícke tímy atď.), ktorá sa poskytuje dôkladne identifikovaným skupinám exportov. A na záver, v rámci strategického rámca pre odbornú prípravu a cvičenia by sa mali zohľadniť potreby vyplývajúce z novovznikajúcich a vyvíjajúcich sa hrozieb, ako sú napríklad riziká súvisiace s chemickým, biologickým, rádiologickým a jadrovým (CBRN) ohrozením alebo teroristickými útokmi, pričom by sa zároveň predchádzalo duplicite s existujúcimi iniciatívami v oblasti odbornej prípravy podporovanými zo strany EÚ.</w:t>
      </w:r>
    </w:p>
    <w:p>
      <w:pPr>
        <w:pStyle w:val="Text1"/>
        <w:rPr>
          <w:noProof/>
        </w:rPr>
      </w:pPr>
      <w:r>
        <w:rPr>
          <w:noProof/>
        </w:rPr>
        <w:t xml:space="preserve">19. </w:t>
      </w:r>
      <w:r>
        <w:rPr>
          <w:i/>
          <w:noProof/>
        </w:rPr>
        <w:t>Rozšírenie časti koncových používateľov v rámci nadnárodných platforiem systémov včasného varovania, napríklad Európskeho informačného systému o lesných požiaroch (EFFIS) a Európskeho systému varovania pred povodňami (EFAS).</w:t>
      </w:r>
      <w:r>
        <w:rPr>
          <w:noProof/>
        </w:rPr>
        <w:t xml:space="preserve"> Veľmi vysoká pridaná hodnota EÚ týchto systémov spočíva v konsolidácii národných údajov do celoeurópskych prognostických nástrojov, čím sa poskytuje podpora pracovníkom v oblasti riadenia núdzových situácií pri prijímaní rozhodnutí v rámci Koordinačného centra pre reakcie na núdzové situácie (ERCC) a zúčastnených štátov. Rozvoj komunity koncových používateľov by prispel k dokončeniu technologickej platformy, ktorá by umožňovala expertom zo zúčastnených štátov hodnotiť výkonnosť činnosti systémov včasného varovania a reakcie s cieľom dosiahnuť zlepšenie v praxi. Tento vývoj by viedol k zvýšeniu relevantnosti týchto nástrojov pre všetky krajiny v Európe bez ohľadu na ich úroveň pripravenosti.</w:t>
      </w:r>
    </w:p>
    <w:p>
      <w:pPr>
        <w:pStyle w:val="Heading2"/>
        <w:rPr>
          <w:noProof/>
        </w:rPr>
      </w:pPr>
      <w:bookmarkStart w:id="13" w:name="_Toc486428873"/>
      <w:bookmarkStart w:id="14" w:name="_Toc491867201"/>
      <w:r>
        <w:rPr>
          <w:noProof/>
        </w:rPr>
        <w:t>Reakcia</w:t>
      </w:r>
      <w:bookmarkEnd w:id="13"/>
      <w:bookmarkEnd w:id="14"/>
    </w:p>
    <w:p>
      <w:pPr>
        <w:pStyle w:val="Text1"/>
        <w:rPr>
          <w:noProof/>
        </w:rPr>
      </w:pPr>
      <w:r>
        <w:rPr>
          <w:noProof/>
        </w:rPr>
        <w:t xml:space="preserve">20. </w:t>
      </w:r>
      <w:r>
        <w:rPr>
          <w:i/>
          <w:noProof/>
        </w:rPr>
        <w:t>Podpora konzistentného zhromažďovania kvantitatívnych údajov a vytváranie systematických analýz misií v oblasti reakcie s cieľom zlepšiť výkonnosť v budúcnosti.</w:t>
      </w:r>
      <w:r>
        <w:rPr>
          <w:noProof/>
        </w:rPr>
        <w:t xml:space="preserve"> To by mohlo pomôcť pri stanovení základných referenčných údajov/kritérií (dolné/horné medze alebo rozsah) rýchlosti a nákladov, čo by umožnilo porovnanie reakcií na núdzové situácie a prispelo k zvýšeniu efektívnosti misií v oblasti reakcie. Posúdenia potrieb v rámci žiadostí o pomoc sa musia pravidelne sprístupňovať a poskytovať v štandardizovanejšom formáte.</w:t>
      </w:r>
    </w:p>
    <w:p>
      <w:pPr>
        <w:pStyle w:val="Text1"/>
        <w:rPr>
          <w:noProof/>
        </w:rPr>
      </w:pPr>
      <w:r>
        <w:rPr>
          <w:noProof/>
        </w:rPr>
        <w:t xml:space="preserve">21. </w:t>
      </w:r>
      <w:r>
        <w:rPr>
          <w:i/>
          <w:noProof/>
        </w:rPr>
        <w:t>Zváženie predbežného nasadenia malého tímu v rámci mechanizmu UCPM pred formálnou aktiváciou mechanizmu UCPM v prípade hroziacich katastrof (napr. veterné smršte, záplavy na riekach atď.).</w:t>
      </w:r>
      <w:r>
        <w:rPr>
          <w:noProof/>
        </w:rPr>
        <w:t xml:space="preserve"> Táto možnosť by prispela k lepšiemu porozumeniu potrebám v danej situácii a k príprave nasledujúceho nasadenia tímu civilnej ochrany EÚ, čím by zvýšila rýchlosť a účinnosť reakcie v rámci mechanizmu UCPM.</w:t>
      </w:r>
    </w:p>
    <w:p>
      <w:pPr>
        <w:pStyle w:val="Text1"/>
        <w:rPr>
          <w:noProof/>
        </w:rPr>
      </w:pPr>
      <w:r>
        <w:rPr>
          <w:noProof/>
        </w:rPr>
        <w:t xml:space="preserve">22. </w:t>
      </w:r>
      <w:r>
        <w:rPr>
          <w:i/>
          <w:noProof/>
        </w:rPr>
        <w:t>Ďalšie zjednodušenie administratívnych a finančných postupov pri zapájaní kapacít pre reakcie v rámci mechanizmu UCPM.</w:t>
      </w:r>
      <w:r>
        <w:rPr>
          <w:noProof/>
        </w:rPr>
        <w:t xml:space="preserve"> Používatelia identifikovali viacero operačných „vylepšení“, ktoré by bolo možné rýchlo zapracovať (napr. integrácia formulára žiadosti o spolufinancovanie prepravy do systému CECIS; prehodnotenie minimálneho prahu pre žiadosti o grant na individuálnu prepravu atď.). Prispelo by to k ďalšiemu skráteniu času reakcie a zároveň by sa zvýšila motivácia na zabezpečenie dobre koordinovaného nasadenia v rámci mechanizmu UCPM a nie prostredníctvom bilaterálnych kanálov.</w:t>
      </w:r>
    </w:p>
    <w:p>
      <w:pPr>
        <w:pStyle w:val="Text1"/>
        <w:rPr>
          <w:noProof/>
        </w:rPr>
      </w:pPr>
      <w:r>
        <w:rPr>
          <w:noProof/>
        </w:rPr>
        <w:t xml:space="preserve">23. </w:t>
      </w:r>
      <w:r>
        <w:rPr>
          <w:i/>
          <w:noProof/>
        </w:rPr>
        <w:t>Zabezpečenie najlepšieho súladu medzi operatívnymi potrebami a expertmi nasadenými v rámci tímov civilnej ochrany EÚ.</w:t>
      </w:r>
      <w:r>
        <w:rPr>
          <w:noProof/>
        </w:rPr>
        <w:t xml:space="preserve"> Orgány civilnej ochrany, ktoré sa zúčastnili konzultácie, považujú za užitočný referenčný rámec, ktorý pre výber expertov vytvorilo Koordinačné centrum pre reakcie na núdzové situácie (ERCC) (v rastúcej miere sa systematicky využívajú od roku 2015), vyjadrili však určité obavy v súvislosti s procesom výberu expertov, ktorý by mal byť viac založený na kompetenciách.</w:t>
      </w:r>
    </w:p>
    <w:p>
      <w:pPr>
        <w:pStyle w:val="Heading2"/>
        <w:rPr>
          <w:noProof/>
        </w:rPr>
      </w:pPr>
      <w:bookmarkStart w:id="15" w:name="_Toc486428874"/>
      <w:bookmarkStart w:id="16" w:name="_Toc491867202"/>
      <w:r>
        <w:rPr>
          <w:noProof/>
        </w:rPr>
        <w:t>Prierezové aspekty</w:t>
      </w:r>
      <w:bookmarkEnd w:id="15"/>
      <w:bookmarkEnd w:id="16"/>
    </w:p>
    <w:p>
      <w:pPr>
        <w:pStyle w:val="Text1"/>
        <w:rPr>
          <w:noProof/>
        </w:rPr>
      </w:pPr>
      <w:r>
        <w:rPr>
          <w:noProof/>
        </w:rPr>
        <w:t>24</w:t>
      </w:r>
      <w:r>
        <w:rPr>
          <w:i/>
          <w:noProof/>
        </w:rPr>
        <w:t>. Potreba nepretržitej spätnej väzby medzi získanými poznatkami a vykonávaním aktivít</w:t>
      </w:r>
      <w:r>
        <w:rPr>
          <w:noProof/>
        </w:rPr>
        <w:t xml:space="preserve"> (popri aktivitách v oblasti reakcie aj aktivity v oblasti prevencie a pripravenosti). Zúčastnené štáty poukázali na to, že pri niektorých konkrétnych aktivitách (napr. odborná príprava a cvičenia) by bolo prospešné intenzívnejšie prepojenie s činnosťami v rámci mechanizmu UCPM, napríklad so zameraním na špecifické problémy vyplývajúce z nasadenia modulov v teréne (napr. colné konanie v štátoch s nestabilnou situáciou alebo zasiahnutých konfliktom, spolupráca s hostiteľskými krajinami, začlenenie do širších medzinárodných rámcov v oblasti reakcie na katastrofy a plánovania obnovy atď.). V tejto súvislosti existuje spoločný dojem, že proces týkajúci sa získaných poznatkov v rámci mechanizmu UCPM musí byť viac štruktúrovaný a systematický, a to od identifikácie a v priebehu vykonávania (na strane Komisie aj zúčastnených štátov), s pravidelným monitorovaním a transparentným informovaním o pokroku.</w:t>
      </w:r>
    </w:p>
    <w:p>
      <w:pPr>
        <w:pStyle w:val="Text1"/>
        <w:rPr>
          <w:noProof/>
        </w:rPr>
      </w:pPr>
      <w:r>
        <w:rPr>
          <w:noProof/>
        </w:rPr>
        <w:t xml:space="preserve">25. </w:t>
      </w:r>
      <w:r>
        <w:rPr>
          <w:i/>
          <w:noProof/>
        </w:rPr>
        <w:t>Zabezpečenie dobrého súladu medzi partnerskými preskúmaniami a potrebami posudzovaných krajín</w:t>
      </w:r>
      <w:r>
        <w:rPr>
          <w:noProof/>
        </w:rPr>
        <w:t xml:space="preserve"> (t. j. medzi profilom/kompetenciami hodnotiteľa a špecifickosťami preskúmavanej krajiny/sektora). Je možné skúmať dodatočné prepojenia medzi odbornou prípravou a nasadením expertov v misiách partnerského preskúmania. Môže to zahŕňať proces certifikácie technických a operatívnych kompetencií expertov s cieľom lepšie zohľadniť potreby preskúmavaných krajín.</w:t>
      </w:r>
    </w:p>
    <w:p>
      <w:pPr>
        <w:pStyle w:val="Text1"/>
        <w:rPr>
          <w:noProof/>
          <w:spacing w:val="-4"/>
        </w:rPr>
      </w:pPr>
      <w:r>
        <w:rPr>
          <w:noProof/>
          <w:spacing w:val="-4"/>
        </w:rPr>
        <w:t xml:space="preserve">26. </w:t>
      </w:r>
      <w:r>
        <w:rPr>
          <w:i/>
          <w:noProof/>
          <w:spacing w:val="-4"/>
        </w:rPr>
        <w:t>Misie v oblasti prevencie a pripravenosti („poradné“ misie) by mali vychádzať z vhodne formulovaného prístupu orientovaného na výsledky.</w:t>
      </w:r>
      <w:r>
        <w:rPr>
          <w:noProof/>
          <w:spacing w:val="-4"/>
        </w:rPr>
        <w:t xml:space="preserve"> V súvislosti s prípravou a uskutočňovaním týchto misií je potrebné zaviesť štruktúrovaný proces, či ide o prípravu na potenciálne katastrofy (napr. posudzovanie národnej kapacity v oblasti riadenia núdzových situácií) alebo o určovanie stratégií v oblasti obnovy a rekonštrukcie po katastrofe. Mala by sa strategicky zvážiť komplementárnosť s inými programami financovanými zo zdrojov EÚ [najmä program prevencie, pripravenosti a reakcie na prírodné katastrofy a katastrofy spôsobené ľudskou činnosťou (PPRD) a programy v rámci nástroja predvstupovej pomoci (IPA)] a/alebo s prípadmi, kedy zúčastnené štáty zasahovali v krajinách mimo EÚ, s cieľom poskytnúť dodatočné zdroje (technické a finančné) potrebné na uskutočnenie odporúčaní.</w:t>
      </w:r>
    </w:p>
    <w:p>
      <w:pPr>
        <w:pStyle w:val="Text1"/>
        <w:rPr>
          <w:noProof/>
        </w:rPr>
      </w:pPr>
      <w:r>
        <w:rPr>
          <w:noProof/>
        </w:rPr>
        <w:t xml:space="preserve">27. </w:t>
      </w:r>
      <w:r>
        <w:rPr>
          <w:i/>
          <w:noProof/>
        </w:rPr>
        <w:t>Ďalšie zlepšenie koherentnosti medzi mechanizmom UCPM a nástrojmi európskej susedskej politiky.</w:t>
      </w:r>
      <w:r>
        <w:rPr>
          <w:noProof/>
        </w:rPr>
        <w:t xml:space="preserve"> Na úrovni politiky sa Komisia zaviazala zabezpečovať koherentnosť a konzistentnosť svojich aktivít v oblasti civilnej ochrany v súlade s medzinárodnými dohodami (napr. sendaiský rámec pre znižovanie rizika katastrof na roky 2015 – 2030, ciele OSN v oblasti trvalo udržateľného rozvoja a Parížska dohoda). V rámci hodnotenia sa poukázalo na potrebu lepšej koordinácie medzi mechanizmom UCPM a aktivitami Komisie v krajinách zapojených do procesu rozširovania a krajinách európskeho susedstva. Najmä každoročná výzva mechanizmu UCPM na predkladanie návrhov v oblasti prevencie a pripravenosti by mala zohľadňovať aktivity v oblasti riadenia rizika katastrof, ktoré sú financované na základe programov PPRD – východ a PPRD – juh. Prínosom pre program v rámci nástroja IPA by bola väčšia integrácia modulov reakcie z viacerých krajín do dobrovoľného zoskupenia mechanizmu UCPM, ako aj spoločné snahy zamerané na posilnenia riadenia aktivít v oblasti prevencie (napr. v rámci iniciatívy posudzovania a mapovania rizika katastrof).</w:t>
      </w:r>
    </w:p>
    <w:p>
      <w:pPr>
        <w:pStyle w:val="Heading2"/>
        <w:rPr>
          <w:noProof/>
        </w:rPr>
      </w:pPr>
      <w:bookmarkStart w:id="17" w:name="_Toc486428875"/>
      <w:bookmarkStart w:id="18" w:name="_Toc491867203"/>
      <w:r>
        <w:rPr>
          <w:noProof/>
        </w:rPr>
        <w:t>Ďalší postup</w:t>
      </w:r>
      <w:bookmarkEnd w:id="17"/>
      <w:bookmarkEnd w:id="18"/>
    </w:p>
    <w:p>
      <w:pPr>
        <w:pStyle w:val="Text1"/>
        <w:rPr>
          <w:noProof/>
        </w:rPr>
      </w:pPr>
      <w:r>
        <w:rPr>
          <w:noProof/>
        </w:rPr>
        <w:t>28. Hodnotenie poskytuje užitočné analýzy a poznatky o vykonávaní právnych predpisov týkajúcich sa mechanizmu UCPM vrátane existujúcich nedostatkov a oblastí, v ktorých je potrebné ďalšie zlepšenie. Komisia začne proces úvah o uvedených odporúčaniach, obzvlášť o tých, ktoré možno zaviesť v krátkodobom až strednodobom horizonte, ako aj o tých aspektoch, ktoré by v budúcnosti vyžadovali úpravu rámca mechanizmu UCPM.</w:t>
      </w:r>
    </w:p>
    <w:p>
      <w:pPr>
        <w:pStyle w:val="Text1"/>
        <w:rPr>
          <w:noProof/>
          <w:spacing w:val="-6"/>
        </w:rPr>
      </w:pPr>
      <w:r>
        <w:rPr>
          <w:noProof/>
          <w:spacing w:val="-6"/>
        </w:rPr>
        <w:t>29. Mechanizmus UCPM bude potrebné priblížiť regionálnym a miestnym aktérom a zároveň prostredníctvom národných orgánov civilnej ochrany pokračovať v posilňovaní správy riadenia rizík v cezhraničných reťazcoch aj v reťazci aktérov na európskej, národnej, regionálnej a miestnej úrovni. Preskúmať by sa mohol nový prístup založený na „sieti európskych centier civilnej ochrany“ (a/alebo „centier excelentnosti“).</w:t>
      </w:r>
    </w:p>
    <w:p>
      <w:pPr>
        <w:pStyle w:val="Text1"/>
        <w:rPr>
          <w:noProof/>
        </w:rPr>
      </w:pPr>
      <w:r>
        <w:rPr>
          <w:noProof/>
        </w:rPr>
        <w:t>30. Okrem priebežného hodnotenia bolo doteraz vypracovaných aj viacero kľúčových správ a dokumentov, v ktorých sa hodnotia rôzne aspekty fungovania mechanizmu UCPM, vrátane vyššie uvedenej správy Európskeho dvora audítorov, správ o nedostatkoch v oblasti kapacity a prehľadu rizík v EÚ. Tieto dokumenty sú užitočným zdrojom analýzy a poznatkov o vykonávaní právnych predpisov týkajúcich sa mechanizmu UCPM, možných spôsoboch jeho posilnenia, ako aj o existujúcich nedostatkoch a slabých stránkach. Na tomto základe Komisia posúdi vhodnosť uskutočnenia zmien ustanovení rozhodnutia č. 1313/2013/EÚ s cieľom:</w:t>
      </w:r>
    </w:p>
    <w:p>
      <w:pPr>
        <w:pStyle w:val="ListNumberLevel2"/>
        <w:rPr>
          <w:noProof/>
        </w:rPr>
      </w:pPr>
      <w:r>
        <w:rPr>
          <w:noProof/>
        </w:rPr>
        <w:t>posilniť účinnosť poskytovaním realistických stimulov, dosiahnutím zjednodušenia a znížením administratívneho zaťaženia;</w:t>
      </w:r>
    </w:p>
    <w:p>
      <w:pPr>
        <w:pStyle w:val="ListNumberLevel2"/>
        <w:rPr>
          <w:noProof/>
        </w:rPr>
      </w:pPr>
      <w:r>
        <w:rPr>
          <w:noProof/>
        </w:rPr>
        <w:t>zosúladiť existujúce/novovznikajúce riziká s kapacitami v oblasti reakcie;</w:t>
      </w:r>
    </w:p>
    <w:p>
      <w:pPr>
        <w:pStyle w:val="ListNumberLevel2"/>
        <w:rPr>
          <w:noProof/>
        </w:rPr>
      </w:pPr>
      <w:r>
        <w:rPr>
          <w:noProof/>
        </w:rPr>
        <w:t>v plnej miere využiť odborné znalosti a prostriedky Európy na účely pripravenosti a reakcie.</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6377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59671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 xml:space="preserve"> </w:t>
      </w:r>
      <w:r>
        <w:tab/>
        <w:t>Členské štáty EÚ a bývalá Juhoslovanská republika Macedónsko, Čierna Hora, Island, Nórsko, Srbsko a Turecko.</w:t>
      </w:r>
    </w:p>
  </w:footnote>
  <w:footnote w:id="2">
    <w:p>
      <w:pPr>
        <w:pStyle w:val="FootnoteText"/>
      </w:pPr>
      <w:r>
        <w:rPr>
          <w:rStyle w:val="FootnoteReference"/>
        </w:rPr>
        <w:footnoteRef/>
      </w:r>
      <w:r>
        <w:t xml:space="preserve"> </w:t>
      </w:r>
      <w:r>
        <w:tab/>
        <w:t>Článok 34 ods. 2 písm. a) rozhodnutia č. 1313/2013/EÚ, Ú. v. EÚ L 347, 20.12.2013, s. 924.</w:t>
      </w:r>
    </w:p>
  </w:footnote>
  <w:footnote w:id="3">
    <w:p>
      <w:pPr>
        <w:pStyle w:val="FootnoteText"/>
      </w:pPr>
      <w:r>
        <w:rPr>
          <w:rStyle w:val="FootnoteReference"/>
        </w:rPr>
        <w:footnoteRef/>
      </w:r>
      <w:r>
        <w:t xml:space="preserve"> </w:t>
      </w:r>
      <w:r>
        <w:tab/>
        <w:t>Záverečná správa je k dispozícii na adrese: https://ec.europa.eu/echo/sites/echo-site/files/ucpm_final_report.pdf.</w:t>
      </w:r>
    </w:p>
  </w:footnote>
  <w:footnote w:id="4">
    <w:p>
      <w:pPr>
        <w:pStyle w:val="FootnoteText"/>
      </w:pPr>
      <w:r>
        <w:rPr>
          <w:rStyle w:val="FootnoteReference"/>
        </w:rPr>
        <w:footnoteRef/>
      </w:r>
      <w:r>
        <w:t xml:space="preserve"> </w:t>
      </w:r>
      <w:r>
        <w:tab/>
        <w:t>Správa je k dispozícii na adrese: http://ec.europa.eu/echo/EUCPM-consult_en.</w:t>
      </w:r>
    </w:p>
  </w:footnote>
  <w:footnote w:id="5">
    <w:p>
      <w:pPr>
        <w:pStyle w:val="FootnoteText"/>
      </w:pPr>
      <w:r>
        <w:rPr>
          <w:rStyle w:val="FootnoteReference"/>
        </w:rPr>
        <w:footnoteRef/>
      </w:r>
      <w:r>
        <w:t xml:space="preserve"> </w:t>
      </w:r>
      <w:r>
        <w:tab/>
        <w:t xml:space="preserve">Európsky dvor audítorov, </w:t>
      </w:r>
      <w:r>
        <w:rPr>
          <w:i/>
        </w:rPr>
        <w:t>Mechanizmus Únie v oblasti civilnej ochrany: koordinácia reakcií na katastrofy mimo EÚ bola vo všeobecnosti účinná</w:t>
      </w:r>
      <w:r>
        <w:t>, osobitná správa č. 33/2016, január 2017.</w:t>
      </w:r>
    </w:p>
  </w:footnote>
  <w:footnote w:id="6">
    <w:p>
      <w:pPr>
        <w:pStyle w:val="FootnoteText"/>
      </w:pPr>
      <w:r>
        <w:rPr>
          <w:rStyle w:val="FootnoteReference"/>
        </w:rPr>
        <w:footnoteRef/>
      </w:r>
      <w:r>
        <w:t xml:space="preserve"> </w:t>
      </w:r>
      <w:r>
        <w:tab/>
        <w:t>Správa Komisie Európskemu parlamentu a Rade o pokroku dosiahnutom v rámci Európskej kapacity pre reakcie na núdzové situácie a o pretrvávajúcich nedostatkoch, COM(2017) 78 final, 17.2.2017.</w:t>
      </w:r>
    </w:p>
  </w:footnote>
  <w:footnote w:id="7">
    <w:p>
      <w:pPr>
        <w:pStyle w:val="FootnoteText"/>
      </w:pPr>
      <w:r>
        <w:rPr>
          <w:rStyle w:val="FootnoteReference"/>
        </w:rPr>
        <w:footnoteRef/>
      </w:r>
      <w:r>
        <w:t xml:space="preserve"> </w:t>
      </w:r>
      <w:r>
        <w:tab/>
        <w:t>Okrem iného uznesenie Európskeho parlamentu z 1. decembra 2016 o situácii v Taliansku po zemetraseniach [2016/2988(RSP)].</w:t>
      </w:r>
    </w:p>
  </w:footnote>
  <w:footnote w:id="8">
    <w:p>
      <w:pPr>
        <w:pStyle w:val="FootnoteText"/>
      </w:pPr>
      <w:r>
        <w:rPr>
          <w:rStyle w:val="FootnoteReference"/>
        </w:rPr>
        <w:footnoteRef/>
      </w:r>
      <w:r>
        <w:t xml:space="preserve"> </w:t>
      </w:r>
      <w:r>
        <w:tab/>
        <w:t>Patrí to k hlavným zisteniam aktuálnych hodnotení, medzi ktoré patrí: preskúmanie na základe výsledkovo orientovaného monitorovania programu PPRD – východ (2017); hodnotenie programu PPRD – juh (2017); hodnotenie nástroja IPA II (2015).</w:t>
      </w:r>
    </w:p>
  </w:footnote>
  <w:footnote w:id="9">
    <w:p>
      <w:pPr>
        <w:pStyle w:val="FootnoteText"/>
      </w:pPr>
      <w:r>
        <w:rPr>
          <w:rStyle w:val="FootnoteReference"/>
        </w:rPr>
        <w:footnoteRef/>
      </w:r>
      <w:r>
        <w:t xml:space="preserve"> </w:t>
      </w:r>
      <w:r>
        <w:tab/>
        <w:t>Pracovný dokument útvarov Komisie, Prehľad rizík v oblasti prírodných katastrof a katastrof spôsobených ľudskou činnosťou, ktorým môže čeliť Európska únia, SWD(2017) 176 final, 23.5.2017.</w:t>
      </w:r>
    </w:p>
  </w:footnote>
  <w:footnote w:id="10">
    <w:p>
      <w:pPr>
        <w:pStyle w:val="FootnoteText"/>
      </w:pPr>
      <w:r>
        <w:rPr>
          <w:rStyle w:val="FootnoteReference"/>
        </w:rPr>
        <w:footnoteRef/>
      </w:r>
      <w:r>
        <w:t xml:space="preserve"> </w:t>
      </w:r>
      <w:r>
        <w:tab/>
        <w:t>Pracovný dokument útvarov Komisie SWD(2017) 176 final.</w:t>
      </w:r>
    </w:p>
  </w:footnote>
  <w:footnote w:id="11">
    <w:p>
      <w:pPr>
        <w:pStyle w:val="FootnoteText"/>
      </w:pPr>
      <w:r>
        <w:rPr>
          <w:rStyle w:val="FootnoteReference"/>
        </w:rPr>
        <w:footnoteRef/>
      </w:r>
      <w:r>
        <w:t xml:space="preserve"> </w:t>
      </w:r>
      <w:r>
        <w:tab/>
        <w:t>Zodpovedá to článku 14 ods. 2 vykonávacieho rozhodnutia Komisie 2014/762/EÚ, na základe ktorého sa od Komisie vyžaduje, aby pravidelne posudzovala a prehodnocovala vhodnosť cieľov kapacity „na základe rizík vyplývajúcich z vnútroštátnych posúdení rizík alebo iných vnútroštátnych či medzinárodných zdrojov informácií“.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758666"/>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2DD3599"/>
    <w:multiLevelType w:val="multilevel"/>
    <w:tmpl w:val="E8F6BC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2">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4"/>
  </w:num>
  <w:num w:numId="4">
    <w:abstractNumId w:val="12"/>
  </w:num>
  <w:num w:numId="5">
    <w:abstractNumId w:val="6"/>
  </w:num>
  <w:num w:numId="6">
    <w:abstractNumId w:val="11"/>
  </w:num>
  <w:num w:numId="7">
    <w:abstractNumId w:val="17"/>
  </w:num>
  <w:num w:numId="8">
    <w:abstractNumId w:val="18"/>
  </w:num>
  <w:num w:numId="9">
    <w:abstractNumId w:val="9"/>
  </w:num>
  <w:num w:numId="10">
    <w:abstractNumId w:val="16"/>
  </w:num>
  <w:num w:numId="11">
    <w:abstractNumId w:val="15"/>
  </w:num>
  <w:num w:numId="12">
    <w:abstractNumId w:val="13"/>
  </w:num>
  <w:num w:numId="13">
    <w:abstractNumId w:val="14"/>
  </w:num>
  <w:num w:numId="14">
    <w:abstractNumId w:val="5"/>
  </w:num>
  <w:num w:numId="15">
    <w:abstractNumId w:val="10"/>
  </w:num>
  <w:num w:numId="16">
    <w:abstractNumId w:val="3"/>
  </w:num>
  <w:num w:numId="17">
    <w:abstractNumId w:val="7"/>
  </w:num>
  <w:num w:numId="18">
    <w:abstractNumId w:val="19"/>
  </w:num>
  <w:num w:numId="19">
    <w:abstractNumId w:val="8"/>
  </w:num>
  <w:num w:numId="20">
    <w:abstractNumId w:val="20"/>
  </w:num>
  <w:num w:numId="21">
    <w:abstractNumId w:val="2"/>
  </w:num>
  <w:num w:numId="22">
    <w:abstractNumId w:val="8"/>
  </w:num>
  <w:num w:numId="23">
    <w:abstractNumId w:val="8"/>
  </w:num>
  <w:num w:numId="24">
    <w:abstractNumId w:val="8"/>
  </w:num>
  <w:num w:numId="25">
    <w:abstractNumId w:val="8"/>
  </w:num>
  <w:num w:numId="26">
    <w:abstractNumId w:val="8"/>
  </w:num>
  <w:num w:numId="27">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1252E329DA14E679834EC8208EF0A00"/>
    <w:docVar w:name="LW_CROSSREFERENCE" w:val="{SWD(2017) 287 final}"/>
    <w:docVar w:name="LW_DocType" w:val="REP"/>
    <w:docVar w:name="LW_EMISSION" w:val="30. 8. 2017"/>
    <w:docVar w:name="LW_EMISSION_ISODATE" w:val="2017-08-30"/>
    <w:docVar w:name="LW_EMISSION_LOCATION" w:val="BRX"/>
    <w:docVar w:name="LW_EMISSION_PREFIX" w:val="V Bruseli"/>
    <w:docVar w:name="LW_EMISSION_SUFFIX" w:val=" "/>
    <w:docVar w:name="LW_ID_DOCTYPE_NONLW" w:val="CP-006"/>
    <w:docVar w:name="LW_LANGUE" w:val="SK"/>
    <w:docVar w:name="LW_MARKING" w:val="&lt;UNUSED&gt;"/>
    <w:docVar w:name="LW_NOM.INST" w:val="EURÓPSKA KOMISIA"/>
    <w:docVar w:name="LW_NOM.INST_JOINTDOC" w:val="&lt;EMPTY&gt;"/>
    <w:docVar w:name="LW_PART_NBR" w:val="1"/>
    <w:docVar w:name="LW_PART_NBR_TOTAL" w:val="1"/>
    <w:docVar w:name="LW_REF.INST.NEW" w:val="COM"/>
    <w:docVar w:name="LW_REF.INST.NEW_ADOPTED" w:val="final"/>
    <w:docVar w:name="LW_REF.INST.NEW_TEXT" w:val="(2017) 460"/>
    <w:docVar w:name="LW_REF.INTERNE" w:val="&lt;UNUSED&gt;"/>
    <w:docVar w:name="LW_SOUS.TITRE.OBJ.CP" w:val="&lt;UNUSED&gt;"/>
    <w:docVar w:name="LW_SUPERTITRE" w:val="&lt;UNUSED&gt;"/>
    <w:docVar w:name="LW_TITRE.OBJ.CP" w:val="o priebe\u382?nom hodnotení mechanizmu Únie v oblasti civilnej ochrany za obdobie rokov 2014 \u8211? 2016"/>
    <w:docVar w:name="LW_TYPE.DOC.CP" w:val="SPRÁVA KOMISIE EURÓPSKEMU PARLAMENTU A RADE"/>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sk-S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uiPriority w:val="39"/>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sk-SK"/>
    </w:rPr>
  </w:style>
  <w:style w:type="paragraph" w:customStyle="1" w:styleId="ZCom">
    <w:name w:val="Z_Com"/>
    <w:basedOn w:val="Normal"/>
    <w:next w:val="ZDGName"/>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4"/>
      <w:lang w:eastAsia="sk-SK"/>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S1">
    <w:name w:val="S1"/>
    <w:basedOn w:val="PartTitle"/>
  </w:style>
  <w:style w:type="character" w:customStyle="1" w:styleId="CommentTextChar">
    <w:name w:val="Comment Text Char"/>
    <w:basedOn w:val="DefaultParagraphFont"/>
    <w:link w:val="CommentText"/>
    <w:semiHidden/>
    <w:rPr>
      <w:lang w:eastAsia="sk-SK"/>
    </w:rPr>
  </w:style>
  <w:style w:type="paragraph" w:customStyle="1" w:styleId="T1">
    <w:name w:val="T1"/>
    <w:basedOn w:val="S1"/>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sk-SK"/>
    </w:rPr>
  </w:style>
  <w:style w:type="character" w:customStyle="1" w:styleId="PlainTextChar">
    <w:name w:val="Plain Text Char"/>
    <w:link w:val="PlainText"/>
    <w:locked/>
    <w:rPr>
      <w:rFonts w:ascii="Courier New" w:hAnsi="Courier New"/>
      <w:lang w:eastAsia="sk-SK"/>
    </w:rPr>
  </w:style>
  <w:style w:type="paragraph" w:styleId="Revision">
    <w:name w:val="Revision"/>
    <w:hidden/>
    <w:uiPriority w:val="99"/>
    <w:semiHidden/>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sk-S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uiPriority w:val="39"/>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sk-SK"/>
    </w:rPr>
  </w:style>
  <w:style w:type="paragraph" w:customStyle="1" w:styleId="ZCom">
    <w:name w:val="Z_Com"/>
    <w:basedOn w:val="Normal"/>
    <w:next w:val="ZDGName"/>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4"/>
      <w:lang w:eastAsia="sk-SK"/>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S1">
    <w:name w:val="S1"/>
    <w:basedOn w:val="PartTitle"/>
  </w:style>
  <w:style w:type="character" w:customStyle="1" w:styleId="CommentTextChar">
    <w:name w:val="Comment Text Char"/>
    <w:basedOn w:val="DefaultParagraphFont"/>
    <w:link w:val="CommentText"/>
    <w:semiHidden/>
    <w:rPr>
      <w:lang w:eastAsia="sk-SK"/>
    </w:rPr>
  </w:style>
  <w:style w:type="paragraph" w:customStyle="1" w:styleId="T1">
    <w:name w:val="T1"/>
    <w:basedOn w:val="S1"/>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sk-SK"/>
    </w:rPr>
  </w:style>
  <w:style w:type="character" w:customStyle="1" w:styleId="PlainTextChar">
    <w:name w:val="Plain Text Char"/>
    <w:link w:val="PlainText"/>
    <w:locked/>
    <w:rPr>
      <w:rFonts w:ascii="Courier New" w:hAnsi="Courier New"/>
      <w:lang w:eastAsia="sk-SK"/>
    </w:rPr>
  </w:style>
  <w:style w:type="paragraph" w:styleId="Revision">
    <w:name w:val="Revision"/>
    <w:hidden/>
    <w:uiPriority w:val="99"/>
    <w:semiHidden/>
    <w:rPr>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574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3897A-7033-48AB-A43C-5DD8823B9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40</TotalTime>
  <Pages>12</Pages>
  <Words>3770</Words>
  <Characters>24473</Characters>
  <Application>Microsoft Office Word</Application>
  <DocSecurity>0</DocSecurity>
  <PresentationFormat>Microsoft Word 14.0</PresentationFormat>
  <Lines>401</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EL4</cp:keywords>
  <cp:lastModifiedBy/>
  <cp:revision>27</cp:revision>
  <cp:lastPrinted>2017-07-24T08:20:00Z</cp:lastPrinted>
  <dcterms:created xsi:type="dcterms:W3CDTF">2017-08-01T09:02:00Z</dcterms:created>
  <dcterms:modified xsi:type="dcterms:W3CDTF">2017-08-31T07:59:00Z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Gaetano Vivo</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name="OP_sanitized" fmtid="{D5CDD505-2E9C-101B-9397-08002B2CF9AE}" pid="17">
    <vt:lpwstr>True</vt:lpwstr>
  </property>
</Properties>
</file>