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Pagedecouverture"/>
        <w:rPr>
          <w:noProof/>
        </w:rPr>
      </w:pPr>
      <w:bookmarkStart w:id="0" w:name="LW_BM_COVERPAGE"/>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3" type="#_x0000_t75" alt="4229ECF57B85432EAFD53EC3D5AEBFFE" style="width:450.35pt;height:293.45pt">
            <v:imagedata r:id="rId9" o:title=""/>
          </v:shape>
        </w:pict>
      </w:r>
    </w:p>
    <w:bookmarkEnd w:id="0"/>
    <w:p>
      <w:pPr>
        <w:spacing w:after="0" w:line="240" w:lineRule="auto"/>
        <w:rPr>
          <w:rFonts w:ascii="Times New Roman" w:hAnsi="Times New Roman"/>
          <w:noProof/>
        </w:rPr>
        <w:sectPr>
          <w:headerReference w:type="even" r:id="rId10"/>
          <w:headerReference w:type="default" r:id="rId11"/>
          <w:footerReference w:type="even" r:id="rId12"/>
          <w:footerReference w:type="default" r:id="rId13"/>
          <w:headerReference w:type="first" r:id="rId14"/>
          <w:footerReference w:type="first" r:id="rId15"/>
          <w:pgSz w:w="11906" w:h="16838"/>
          <w:pgMar w:top="1134" w:right="1417" w:bottom="1134" w:left="1417" w:header="709" w:footer="709" w:gutter="0"/>
          <w:pgNumType w:start="1"/>
          <w:cols w:space="720"/>
          <w:docGrid w:linePitch="360"/>
        </w:sectPr>
      </w:pPr>
    </w:p>
    <w:p>
      <w:pPr>
        <w:spacing w:after="0" w:line="240" w:lineRule="auto"/>
        <w:jc w:val="both"/>
        <w:rPr>
          <w:rFonts w:ascii="Times New Roman" w:hAnsi="Times New Roman"/>
          <w:b/>
          <w:noProof/>
          <w:sz w:val="24"/>
          <w:szCs w:val="24"/>
        </w:rPr>
      </w:pPr>
      <w:bookmarkStart w:id="1" w:name="_GoBack"/>
      <w:bookmarkEnd w:id="1"/>
      <w:r>
        <w:rPr>
          <w:rFonts w:ascii="Times New Roman" w:hAnsi="Times New Roman"/>
          <w:b/>
          <w:noProof/>
          <w:sz w:val="24"/>
        </w:rPr>
        <w:lastRenderedPageBreak/>
        <w:t>I. Úvod</w:t>
      </w:r>
    </w:p>
    <w:p>
      <w:pPr>
        <w:autoSpaceDE w:val="0"/>
        <w:autoSpaceDN w:val="0"/>
        <w:adjustRightInd w:val="0"/>
        <w:spacing w:after="0" w:line="240" w:lineRule="auto"/>
        <w:jc w:val="both"/>
        <w:rPr>
          <w:rFonts w:ascii="Times New Roman" w:hAnsi="Times New Roman"/>
          <w:noProof/>
          <w:color w:val="000000"/>
          <w:sz w:val="24"/>
          <w:szCs w:val="24"/>
        </w:rPr>
      </w:pPr>
    </w:p>
    <w:p>
      <w:pPr>
        <w:autoSpaceDE w:val="0"/>
        <w:autoSpaceDN w:val="0"/>
        <w:adjustRightInd w:val="0"/>
        <w:spacing w:after="0" w:line="240" w:lineRule="auto"/>
        <w:jc w:val="both"/>
        <w:rPr>
          <w:rFonts w:ascii="Times New Roman" w:hAnsi="Times New Roman"/>
          <w:noProof/>
          <w:sz w:val="24"/>
        </w:rPr>
      </w:pPr>
      <w:r>
        <w:rPr>
          <w:rFonts w:ascii="Times New Roman" w:hAnsi="Times New Roman"/>
          <w:noProof/>
          <w:sz w:val="24"/>
        </w:rPr>
        <w:t>Európska únia založila v roku 2014 iniciatívu Dobrovoľníci pomoci EÚ</w:t>
      </w:r>
      <w:r>
        <w:rPr>
          <w:rStyle w:val="FootnoteReference"/>
          <w:rFonts w:ascii="Times New Roman" w:hAnsi="Times New Roman"/>
          <w:noProof/>
          <w:sz w:val="24"/>
        </w:rPr>
        <w:footnoteReference w:id="1"/>
      </w:r>
      <w:r>
        <w:rPr>
          <w:rFonts w:ascii="Times New Roman" w:hAnsi="Times New Roman"/>
          <w:noProof/>
          <w:sz w:val="24"/>
        </w:rPr>
        <w:t>, ako sa stanovuje v Lisabonskej zmluve</w:t>
      </w:r>
      <w:r>
        <w:rPr>
          <w:rStyle w:val="FootnoteReference"/>
          <w:rFonts w:ascii="Times New Roman" w:hAnsi="Times New Roman"/>
          <w:noProof/>
          <w:sz w:val="24"/>
        </w:rPr>
        <w:footnoteReference w:id="2"/>
      </w:r>
      <w:r>
        <w:rPr>
          <w:rFonts w:ascii="Times New Roman" w:hAnsi="Times New Roman"/>
          <w:noProof/>
          <w:sz w:val="24"/>
        </w:rPr>
        <w:t>. Cieľom tejto iniciatívy je prispievať k posilňovaniu kapacity Únie poskytovať humanitárnu pomoc vychádzajúcu z potrieb a k posilňovaniu kapacity a zvyšovaniu odolnosti zraniteľných alebo katastrofou zasiahnutých spoločenstiev v tretích krajinách,</w:t>
      </w:r>
      <w:r>
        <w:rPr>
          <w:rFonts w:ascii="Times New Roman" w:hAnsi="Times New Roman"/>
          <w:noProof/>
          <w:color w:val="444444"/>
          <w:sz w:val="24"/>
        </w:rPr>
        <w:t xml:space="preserve"> </w:t>
      </w:r>
      <w:r>
        <w:rPr>
          <w:rFonts w:ascii="Times New Roman" w:hAnsi="Times New Roman"/>
          <w:noProof/>
          <w:sz w:val="24"/>
        </w:rPr>
        <w:t>pričom sa európskym občanom naskytá príležitosť prejaviť solidaritu s ľuďmi v núdzi zapojením sa do humanitárnej činnosti v týchto krajinách.</w:t>
      </w:r>
    </w:p>
    <w:p>
      <w:pPr>
        <w:spacing w:after="0" w:line="240" w:lineRule="auto"/>
        <w:jc w:val="both"/>
        <w:rPr>
          <w:rFonts w:ascii="Times New Roman" w:hAnsi="Times New Roman"/>
          <w:noProof/>
          <w:sz w:val="24"/>
          <w:szCs w:val="24"/>
          <w:highlight w:val="yellow"/>
        </w:rPr>
      </w:pPr>
    </w:p>
    <w:p>
      <w:pPr>
        <w:pStyle w:val="Default"/>
        <w:jc w:val="both"/>
        <w:rPr>
          <w:noProof/>
        </w:rPr>
      </w:pPr>
      <w:r>
        <w:rPr>
          <w:noProof/>
        </w:rPr>
        <w:t>V článku 27 nariadenia (EÚ) č. 375/2014 sa vyžaduje, aby Komisia predkladala Európskemu parlamentu a Rade výročné správy, v ktorých posúdi pokrok dosiahnutý pri vykonávaní nariadenia</w:t>
      </w:r>
      <w:r>
        <w:rPr>
          <w:rStyle w:val="FootnoteReference"/>
          <w:noProof/>
        </w:rPr>
        <w:footnoteReference w:id="3"/>
      </w:r>
      <w:r>
        <w:rPr>
          <w:noProof/>
        </w:rPr>
        <w:t>.</w:t>
      </w:r>
    </w:p>
    <w:p>
      <w:pPr>
        <w:autoSpaceDE w:val="0"/>
        <w:autoSpaceDN w:val="0"/>
        <w:adjustRightInd w:val="0"/>
        <w:spacing w:after="0" w:line="240" w:lineRule="auto"/>
        <w:jc w:val="both"/>
        <w:rPr>
          <w:rFonts w:ascii="Times New Roman" w:hAnsi="Times New Roman"/>
          <w:noProof/>
          <w:sz w:val="24"/>
          <w:szCs w:val="24"/>
        </w:rPr>
      </w:pPr>
    </w:p>
    <w:p>
      <w:pPr>
        <w:autoSpaceDE w:val="0"/>
        <w:autoSpaceDN w:val="0"/>
        <w:adjustRightInd w:val="0"/>
        <w:spacing w:after="0" w:line="240" w:lineRule="auto"/>
        <w:jc w:val="both"/>
        <w:rPr>
          <w:rFonts w:ascii="Times New Roman" w:hAnsi="Times New Roman"/>
          <w:noProof/>
          <w:sz w:val="24"/>
        </w:rPr>
      </w:pPr>
      <w:r>
        <w:rPr>
          <w:rFonts w:ascii="Times New Roman" w:hAnsi="Times New Roman"/>
          <w:noProof/>
          <w:sz w:val="24"/>
        </w:rPr>
        <w:t>V tejto výročnej správe sa uvádzajú hlavné činnosti a výsledky dosiahnuté pri vykonávaní iniciatívy Dobrovoľníci pomoci EÚ v roku 2015,</w:t>
      </w:r>
      <w:r>
        <w:rPr>
          <w:rFonts w:ascii="Times New Roman" w:hAnsi="Times New Roman"/>
          <w:noProof/>
        </w:rPr>
        <w:t xml:space="preserve"> </w:t>
      </w:r>
      <w:r>
        <w:rPr>
          <w:rFonts w:ascii="Times New Roman" w:hAnsi="Times New Roman"/>
          <w:noProof/>
          <w:sz w:val="24"/>
        </w:rPr>
        <w:t>ktorý bol veľmi dôležitý z hľadiska zavádzania iniciatívy do praxe a plánovania ďalších krokov v rámci jej vykonávania.</w:t>
      </w:r>
    </w:p>
    <w:p>
      <w:pPr>
        <w:autoSpaceDE w:val="0"/>
        <w:autoSpaceDN w:val="0"/>
        <w:adjustRightInd w:val="0"/>
        <w:spacing w:after="0" w:line="240" w:lineRule="auto"/>
        <w:jc w:val="both"/>
        <w:rPr>
          <w:rFonts w:ascii="Times New Roman" w:hAnsi="Times New Roman"/>
          <w:b/>
          <w:bCs/>
          <w:noProof/>
          <w:sz w:val="28"/>
          <w:szCs w:val="28"/>
        </w:rPr>
      </w:pPr>
    </w:p>
    <w:p>
      <w:pPr>
        <w:spacing w:after="0" w:line="240" w:lineRule="auto"/>
        <w:jc w:val="both"/>
        <w:rPr>
          <w:rFonts w:ascii="Times New Roman" w:hAnsi="Times New Roman"/>
          <w:b/>
          <w:noProof/>
          <w:sz w:val="24"/>
        </w:rPr>
      </w:pPr>
      <w:r>
        <w:rPr>
          <w:rFonts w:ascii="Times New Roman" w:hAnsi="Times New Roman"/>
          <w:b/>
          <w:noProof/>
          <w:sz w:val="24"/>
        </w:rPr>
        <w:t>II. Ciele a priority</w:t>
      </w:r>
    </w:p>
    <w:p>
      <w:pPr>
        <w:spacing w:after="0" w:line="240" w:lineRule="auto"/>
        <w:jc w:val="both"/>
        <w:rPr>
          <w:rFonts w:ascii="Times New Roman" w:hAnsi="Times New Roman"/>
          <w:b/>
          <w:noProof/>
          <w:sz w:val="24"/>
          <w:szCs w:val="24"/>
        </w:rPr>
      </w:pPr>
    </w:p>
    <w:p>
      <w:pPr>
        <w:autoSpaceDE w:val="0"/>
        <w:autoSpaceDN w:val="0"/>
        <w:adjustRightInd w:val="0"/>
        <w:spacing w:after="0" w:line="240" w:lineRule="auto"/>
        <w:jc w:val="both"/>
        <w:rPr>
          <w:rFonts w:ascii="Times New Roman" w:hAnsi="Times New Roman"/>
          <w:noProof/>
          <w:sz w:val="24"/>
          <w:szCs w:val="24"/>
        </w:rPr>
      </w:pPr>
      <w:r>
        <w:rPr>
          <w:rFonts w:ascii="Times New Roman" w:hAnsi="Times New Roman"/>
          <w:noProof/>
          <w:sz w:val="24"/>
        </w:rPr>
        <w:t>Činnosti v roku 2015 vychádzajú z ročného pracovného programu pre vykonávanie iniciatívy Dobrovoľníci pomoci EÚ v roku 2015, ktorý Komisia</w:t>
      </w:r>
      <w:r>
        <w:rPr>
          <w:rStyle w:val="FootnoteReference"/>
          <w:rFonts w:ascii="Times New Roman" w:hAnsi="Times New Roman"/>
          <w:noProof/>
          <w:sz w:val="24"/>
        </w:rPr>
        <w:footnoteReference w:id="4"/>
      </w:r>
      <w:r>
        <w:rPr>
          <w:rFonts w:ascii="Times New Roman" w:hAnsi="Times New Roman"/>
          <w:noProof/>
          <w:sz w:val="24"/>
        </w:rPr>
        <w:t xml:space="preserve"> prijala v súlade s článkom 21 ods. 3 nariadenia (EÚ) č. 375/2014 a článkom 128 nariadenia o rozpočtových pravidlách. Rozpočet na vykonávanie iniciatívy v roku 2015 bol stanovený na 13 868 000 EUR na účely budovania kapacít</w:t>
      </w:r>
      <w:r>
        <w:rPr>
          <w:rFonts w:ascii="Times New Roman" w:hAnsi="Times New Roman"/>
          <w:b/>
          <w:noProof/>
          <w:sz w:val="24"/>
        </w:rPr>
        <w:t xml:space="preserve"> </w:t>
      </w:r>
      <w:r>
        <w:rPr>
          <w:rFonts w:ascii="Times New Roman" w:hAnsi="Times New Roman"/>
          <w:noProof/>
          <w:sz w:val="24"/>
        </w:rPr>
        <w:t>hostiteľských organizácií v tretích krajinách a poskytovania technickej pomoci pre vysielajúce organizácie sídliace v členských štátoch EÚ; prispievania k budovaniu odolnosti a riadenia rizika katastrof</w:t>
      </w:r>
      <w:r>
        <w:rPr>
          <w:rFonts w:ascii="Times New Roman" w:hAnsi="Times New Roman"/>
          <w:b/>
          <w:noProof/>
          <w:sz w:val="24"/>
        </w:rPr>
        <w:t xml:space="preserve"> v </w:t>
      </w:r>
      <w:r>
        <w:rPr>
          <w:rFonts w:ascii="Times New Roman" w:hAnsi="Times New Roman"/>
          <w:noProof/>
          <w:sz w:val="24"/>
        </w:rPr>
        <w:t>zraniteľných, nestabilných alebo katastrofou zasiahnutých krajinách a v „zabudnutých krízach“; prípravy výberu, odbornej prípravy a vysielania dobrovoľníkov a verejného spustenia iniciatívy, založenia Platformy dobrovoľníkov pomoci EÚ, uverejnenia výzvy na verejnú súťaž na výber poskytovateľa odbornej prípravy a rôznych komunikačných činností. V roku 2015 po prijatí uvedených delegovaných a vykonávacích aktov sa takisto realizovali činnosti financované v rámci pracovného programu na rok 2014</w:t>
      </w:r>
      <w:r>
        <w:rPr>
          <w:rStyle w:val="FootnoteReference"/>
          <w:rFonts w:ascii="Times New Roman" w:hAnsi="Times New Roman"/>
          <w:noProof/>
          <w:sz w:val="24"/>
        </w:rPr>
        <w:footnoteReference w:id="5"/>
      </w:r>
      <w:r>
        <w:rPr>
          <w:rFonts w:ascii="Times New Roman" w:hAnsi="Times New Roman"/>
          <w:noProof/>
          <w:sz w:val="24"/>
        </w:rPr>
        <w:t>, ako napríklad prebiehajúca certifikácia vysielajúcich a hostiteľských organizácií; založenie systému poistenia pre dobrovoľníkov pomoci EÚ a výber projektov na budovanie kapacít a technickú pomoc.</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r>
        <w:rPr>
          <w:noProof/>
        </w:rPr>
        <w:br w:type="page"/>
      </w:r>
    </w:p>
    <w:p>
      <w:pPr>
        <w:spacing w:after="0" w:line="240" w:lineRule="auto"/>
        <w:jc w:val="both"/>
        <w:rPr>
          <w:rFonts w:ascii="Times New Roman" w:hAnsi="Times New Roman"/>
          <w:b/>
          <w:noProof/>
          <w:sz w:val="24"/>
          <w:szCs w:val="24"/>
        </w:rPr>
      </w:pPr>
      <w:r>
        <w:rPr>
          <w:rFonts w:ascii="Times New Roman" w:hAnsi="Times New Roman"/>
          <w:b/>
          <w:noProof/>
          <w:sz w:val="24"/>
        </w:rPr>
        <w:lastRenderedPageBreak/>
        <w:t>III. Činnosti vykonané v roku 2015</w:t>
      </w:r>
    </w:p>
    <w:p>
      <w:pPr>
        <w:spacing w:after="0" w:line="240" w:lineRule="auto"/>
        <w:jc w:val="both"/>
        <w:rPr>
          <w:rFonts w:ascii="Times New Roman" w:hAnsi="Times New Roman"/>
          <w:b/>
          <w:noProof/>
          <w:sz w:val="24"/>
          <w:szCs w:val="24"/>
        </w:rPr>
      </w:pPr>
    </w:p>
    <w:p>
      <w:pPr>
        <w:spacing w:after="0" w:line="240" w:lineRule="auto"/>
        <w:jc w:val="both"/>
        <w:rPr>
          <w:rFonts w:ascii="Times New Roman" w:hAnsi="Times New Roman"/>
          <w:b/>
          <w:noProof/>
          <w:sz w:val="24"/>
          <w:szCs w:val="24"/>
        </w:rPr>
      </w:pPr>
      <w:r>
        <w:rPr>
          <w:noProof/>
          <w:lang w:val="en-US" w:eastAsia="en-US" w:bidi="ar-SA"/>
        </w:rPr>
        <w:drawing>
          <wp:inline distT="0" distB="0" distL="0" distR="0">
            <wp:extent cx="5731510" cy="1138835"/>
            <wp:effectExtent l="0" t="0" r="254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1510" cy="1138835"/>
                    </a:xfrm>
                    <a:prstGeom prst="rect">
                      <a:avLst/>
                    </a:prstGeom>
                    <a:noFill/>
                    <a:ln>
                      <a:noFill/>
                    </a:ln>
                  </pic:spPr>
                </pic:pic>
              </a:graphicData>
            </a:graphic>
          </wp:inline>
        </w:drawing>
      </w:r>
    </w:p>
    <w:p>
      <w:pPr>
        <w:spacing w:after="0" w:line="240" w:lineRule="auto"/>
        <w:jc w:val="both"/>
        <w:rPr>
          <w:rFonts w:ascii="Times New Roman" w:hAnsi="Times New Roman"/>
          <w:noProof/>
          <w:sz w:val="24"/>
          <w:szCs w:val="24"/>
        </w:rPr>
      </w:pPr>
    </w:p>
    <w:p>
      <w:pPr>
        <w:pStyle w:val="ListParagraph"/>
        <w:numPr>
          <w:ilvl w:val="0"/>
          <w:numId w:val="5"/>
        </w:numPr>
        <w:spacing w:after="0" w:line="240" w:lineRule="auto"/>
        <w:jc w:val="both"/>
        <w:rPr>
          <w:rFonts w:ascii="Times New Roman" w:hAnsi="Times New Roman"/>
          <w:b/>
          <w:noProof/>
          <w:sz w:val="24"/>
          <w:szCs w:val="24"/>
        </w:rPr>
      </w:pPr>
      <w:r>
        <w:rPr>
          <w:rFonts w:ascii="Times New Roman" w:hAnsi="Times New Roman"/>
          <w:b/>
          <w:noProof/>
          <w:sz w:val="24"/>
        </w:rPr>
        <w:t>Certifikácia</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rPr>
      </w:pPr>
      <w:r>
        <w:rPr>
          <w:rFonts w:ascii="Times New Roman" w:hAnsi="Times New Roman"/>
          <w:noProof/>
          <w:sz w:val="24"/>
        </w:rPr>
        <w:t xml:space="preserve">Všetky organizácie, ktoré chcú vysielať alebo hostiť dobrovoľníkov v rámci iniciatívy Dobrovoľníci pomoci EÚ, </w:t>
      </w:r>
      <w:r>
        <w:rPr>
          <w:rStyle w:val="Strong"/>
          <w:rFonts w:ascii="Times New Roman" w:hAnsi="Times New Roman"/>
          <w:b w:val="0"/>
          <w:noProof/>
          <w:sz w:val="24"/>
        </w:rPr>
        <w:t>musia byť certifikované</w:t>
      </w:r>
      <w:r>
        <w:rPr>
          <w:rStyle w:val="FootnoteReference"/>
          <w:rFonts w:ascii="Times New Roman" w:hAnsi="Times New Roman"/>
          <w:noProof/>
          <w:sz w:val="24"/>
        </w:rPr>
        <w:footnoteReference w:id="6"/>
      </w:r>
      <w:r>
        <w:rPr>
          <w:rFonts w:ascii="Times New Roman" w:hAnsi="Times New Roman"/>
          <w:b/>
          <w:noProof/>
          <w:sz w:val="24"/>
        </w:rPr>
        <w:t>.</w:t>
      </w:r>
      <w:r>
        <w:rPr>
          <w:rFonts w:ascii="Times New Roman" w:hAnsi="Times New Roman"/>
          <w:noProof/>
          <w:sz w:val="24"/>
        </w:rPr>
        <w:t xml:space="preserve"> Pri procese certifikácie sa overuje, či všetky zúčastnené organizácie dokážu v plnom rozsahu realizovať a splniť prísne normy a postupy riadenia dobrovoľníkov, ktoré majú zaistiť ochranu a riadenie dobrovoľníkov počas ich vyslania v rámci iniciatívy Dobrovoľníci pomoci EÚ. Proces certifikácie v roku 2015 sa financoval v rámci pracovného programu na rok 2014. Výzva na predkladanie žiadostí bola uverejnená v januári 2015</w:t>
      </w:r>
      <w:r>
        <w:rPr>
          <w:rStyle w:val="FootnoteReference"/>
          <w:rFonts w:ascii="Times New Roman" w:hAnsi="Times New Roman"/>
          <w:noProof/>
          <w:sz w:val="24"/>
        </w:rPr>
        <w:footnoteReference w:id="7"/>
      </w:r>
      <w:r>
        <w:rPr>
          <w:rFonts w:ascii="Times New Roman" w:hAnsi="Times New Roman"/>
          <w:noProof/>
          <w:sz w:val="24"/>
        </w:rPr>
        <w:t>. Cieľom je zostaviť zoznam 100 certifikovaných vysielajúcich a hostiteľských organizácií, ktoré majú záujem zúčastniť sa na iniciatíve Dobrovoľníci pomoci EÚ. Predložených bolo 37 žiadostí, certifikovaných bolo 13 vysielajúcich organizácií a 7 hostiteľských organizácií, pričom do konca roka 2015 sa nezamietli žiadne žiadosti</w:t>
      </w:r>
      <w:r>
        <w:rPr>
          <w:rStyle w:val="FootnoteReference"/>
          <w:rFonts w:ascii="Times New Roman" w:hAnsi="Times New Roman"/>
          <w:noProof/>
          <w:sz w:val="24"/>
        </w:rPr>
        <w:footnoteReference w:id="8"/>
      </w:r>
      <w:r>
        <w:rPr>
          <w:rFonts w:ascii="Times New Roman" w:hAnsi="Times New Roman"/>
          <w:noProof/>
          <w:sz w:val="24"/>
        </w:rPr>
        <w:t>. Zvyšných 17 žiadostí sa vyhodnotí v roku 2016. Proces certifikácie stále prebieha a žiadosti sa budú prijímať do 30. septembra 2020.</w:t>
      </w:r>
    </w:p>
    <w:p>
      <w:pPr>
        <w:spacing w:after="0" w:line="240" w:lineRule="auto"/>
        <w:jc w:val="both"/>
        <w:rPr>
          <w:rFonts w:ascii="Times New Roman" w:hAnsi="Times New Roman"/>
          <w:noProof/>
          <w:sz w:val="24"/>
          <w:szCs w:val="24"/>
        </w:rPr>
      </w:pPr>
    </w:p>
    <w:p>
      <w:pPr>
        <w:pStyle w:val="ListParagraph"/>
        <w:numPr>
          <w:ilvl w:val="0"/>
          <w:numId w:val="5"/>
        </w:numPr>
        <w:spacing w:after="0" w:line="240" w:lineRule="auto"/>
        <w:jc w:val="both"/>
        <w:rPr>
          <w:rFonts w:ascii="Times New Roman" w:hAnsi="Times New Roman"/>
          <w:b/>
          <w:noProof/>
          <w:sz w:val="24"/>
          <w:szCs w:val="24"/>
        </w:rPr>
      </w:pPr>
      <w:r>
        <w:rPr>
          <w:rFonts w:ascii="Times New Roman" w:hAnsi="Times New Roman"/>
          <w:b/>
          <w:noProof/>
          <w:sz w:val="24"/>
        </w:rPr>
        <w:t>Technická pomoc/budovanie kapacít</w:t>
      </w:r>
    </w:p>
    <w:p>
      <w:pPr>
        <w:pStyle w:val="Default"/>
        <w:jc w:val="both"/>
        <w:rPr>
          <w:noProof/>
        </w:rPr>
      </w:pPr>
    </w:p>
    <w:p>
      <w:pPr>
        <w:pStyle w:val="Default"/>
        <w:jc w:val="both"/>
        <w:rPr>
          <w:noProof/>
        </w:rPr>
      </w:pPr>
      <w:r>
        <w:rPr>
          <w:noProof/>
        </w:rPr>
        <w:t>Iniciatíva Dobrovoľníci pomoci EÚ poskytuje príležitosti na budovanie kapacít pre hostiteľské organizácie a technickú pomoc pre vysielajúce organizácie</w:t>
      </w:r>
      <w:r>
        <w:rPr>
          <w:rStyle w:val="FootnoteReference"/>
          <w:noProof/>
        </w:rPr>
        <w:footnoteReference w:id="9"/>
      </w:r>
      <w:r>
        <w:rPr>
          <w:noProof/>
        </w:rPr>
        <w:t>. Cieľom je posilniť kapacity organizácií, ktoré sa chcú zapojiť do iniciatívy, a zaistiť dodržiavanie noriem a postupov týkajúcich sa záujemcov o dobrovoľnícku činnosť a iniciatívy Dobrovoľníci pomoci EÚ. V januári 2015</w:t>
      </w:r>
      <w:r>
        <w:rPr>
          <w:rStyle w:val="FootnoteReference"/>
          <w:noProof/>
        </w:rPr>
        <w:footnoteReference w:id="10"/>
      </w:r>
      <w:r>
        <w:rPr>
          <w:noProof/>
        </w:rPr>
        <w:t xml:space="preserve"> bola uverejnená výzva na predkladanie návrhov EACEA/03/2015 s vyčleneným celkovým rozpočtom 6 948 000 EUR na spolufinancovanie projektov na budovanie kapacít pre hostiteľské organizácie a na technickú pomoc pre vysielajúce organizácie v rôznych oblastiach, ako napríklad riadenie rizika katastrof, riadenie dobrovoľníkov, schopnosť absolvovať certifikáciu, nástroje a metódy na hodnotenie potrieb, budovanie partnerstva, komunikačné činnosti. Výzva prebiehala v dvoch kolách (prvý termín uzávierky podávania žiadostí bol 1. apríla 2015 a druhý termín uzávierky bol 1. septembra 2015). Podaných bolo 19 žiadostí (7 na technickú pomoc a 12 na budovanie kapacít). Desať projektov bolo vybraných na spolufinancovanie s grantom EÚ vo výške 4 827 715,51 EUR: šesť projektov v rámci prvého kola (tri na technickú pomoc a tri na budovanie kapacít) s celkovou sumou 2 864 574,39 EUR a štyri projekty v rámci druhého kola (jeden na technickú pomoc a tri na budovanie kapacít) s celkovou sumou 1 963 141,12 EUR. </w:t>
      </w:r>
      <w:r>
        <w:rPr>
          <w:noProof/>
        </w:rPr>
        <w:br/>
        <w:t>Do vykonávania je zapojených v rámci projektov na technickú pomoc 22 organizácií a v rámci projektov na budovanie kapacít 66 organizácií, ktoré pracujú na posilňovaní svojich riadiacich a prevádzkových systémov a partnersky spolupracujú na vykonávaní najlepších postupov pri poskytovaní humanitárnej pomoci a riadení dobrovoľníkov</w:t>
      </w:r>
      <w:r>
        <w:rPr>
          <w:rStyle w:val="FootnoteReference"/>
          <w:noProof/>
        </w:rPr>
        <w:footnoteReference w:id="11"/>
      </w:r>
      <w:r>
        <w:rPr>
          <w:noProof/>
        </w:rPr>
        <w:t>. Tieto projekty do značnej miery prispievajú k procesu budovania partnerstva s 57 zúčastnenými partnermi mimo dohôd RDP/FAFA</w:t>
      </w:r>
      <w:r>
        <w:rPr>
          <w:rStyle w:val="FootnoteReference"/>
          <w:noProof/>
        </w:rPr>
        <w:footnoteReference w:id="12"/>
      </w:r>
      <w:r>
        <w:rPr>
          <w:noProof/>
        </w:rPr>
        <w:t xml:space="preserve"> a k vytvoreniu 120 nových partnerských vzťahov medzi organizáciami, ktoré sú výsledkom budovania kapacít a technickej pomoci v rámci iniciatívy Dobrovoľníci pomoci EÚ.</w:t>
      </w:r>
    </w:p>
    <w:p>
      <w:pPr>
        <w:pStyle w:val="Default"/>
        <w:jc w:val="both"/>
        <w:rPr>
          <w:noProof/>
        </w:rPr>
      </w:pPr>
    </w:p>
    <w:p>
      <w:pPr>
        <w:spacing w:before="120" w:after="120" w:line="240" w:lineRule="atLeast"/>
        <w:jc w:val="both"/>
        <w:rPr>
          <w:rFonts w:ascii="Times New Roman" w:hAnsi="Times New Roman"/>
          <w:noProof/>
          <w:sz w:val="24"/>
          <w:szCs w:val="24"/>
        </w:rPr>
      </w:pPr>
      <w:r>
        <w:rPr>
          <w:rFonts w:ascii="Times New Roman" w:hAnsi="Times New Roman"/>
          <w:noProof/>
          <w:sz w:val="24"/>
        </w:rPr>
        <w:t>Projekty na technickú pomoc pre organizácie so sídlom v EÚ sa sústredia na posilňovanie kapacít v oblasti nadväzovania kontaktov. Jednoznačne prioritnou oblasťou, ktorú chcú organizácie rozvíjať, je budovanie partnerstva a spojenectva. Ďalšie tematické oblasti zahŕňajú organizačný rozvoj, riadenie projektov, zaisťovanie rovnosti príležitostí a pochopenie príslušných vnútroštátnych zákonov vzťahujúcich sa na iniciatívu Dobrovoľníci pomoci EÚ, z ktorých niektoré sú súčasťou noriem a postupov riadenia dobrovoľníkov v rámci iniciatívy Dobrovoľníci pomoci EÚ, a požiadaviek v rámci procesu certifikácie. Projekty na budovanie kapacít pre organizácie so sídlom v tretích krajinách sa takisto sústredia na budovanie partnerstva a vytváranie spojenectva. Medzi ďalšie tematické oblasti, na posilnenie ktorých sa chcú organizácie zameriavať, patrí stanovovanie noriem upravujúcich riadenie partnerstiev, posúdenie potrieb, riadenie programov a rozvoj miestneho dobrovoľníctva.</w:t>
      </w:r>
    </w:p>
    <w:p>
      <w:pPr>
        <w:pStyle w:val="Default"/>
        <w:pBdr>
          <w:top w:val="single" w:sz="4" w:space="1" w:color="auto"/>
          <w:left w:val="single" w:sz="4" w:space="4" w:color="auto"/>
          <w:bottom w:val="single" w:sz="4" w:space="1" w:color="auto"/>
          <w:right w:val="single" w:sz="4" w:space="4" w:color="auto"/>
        </w:pBdr>
        <w:jc w:val="both"/>
        <w:rPr>
          <w:i/>
          <w:noProof/>
          <w:sz w:val="22"/>
          <w:szCs w:val="22"/>
        </w:rPr>
      </w:pPr>
      <w:r>
        <w:rPr>
          <w:i/>
          <w:noProof/>
          <w:sz w:val="22"/>
        </w:rPr>
        <w:t>Prípadová štúdia: posilnenie miestnej reakcie pri záplavách</w:t>
      </w:r>
    </w:p>
    <w:p>
      <w:pPr>
        <w:pStyle w:val="Default"/>
        <w:pBdr>
          <w:top w:val="single" w:sz="4" w:space="1" w:color="auto"/>
          <w:left w:val="single" w:sz="4" w:space="4" w:color="auto"/>
          <w:bottom w:val="single" w:sz="4" w:space="1" w:color="auto"/>
          <w:right w:val="single" w:sz="4" w:space="4" w:color="auto"/>
        </w:pBdr>
        <w:jc w:val="both"/>
        <w:rPr>
          <w:i/>
          <w:noProof/>
          <w:sz w:val="22"/>
          <w:szCs w:val="22"/>
        </w:rPr>
      </w:pPr>
    </w:p>
    <w:p>
      <w:pPr>
        <w:pBdr>
          <w:top w:val="single" w:sz="4" w:space="1" w:color="auto"/>
          <w:left w:val="single" w:sz="4" w:space="4" w:color="auto"/>
          <w:bottom w:val="single" w:sz="4" w:space="1" w:color="auto"/>
          <w:right w:val="single" w:sz="4" w:space="4" w:color="auto"/>
        </w:pBdr>
        <w:autoSpaceDE w:val="0"/>
        <w:autoSpaceDN w:val="0"/>
        <w:adjustRightInd w:val="0"/>
        <w:spacing w:after="240" w:line="240" w:lineRule="auto"/>
        <w:jc w:val="both"/>
        <w:rPr>
          <w:rFonts w:ascii="Times New Roman" w:hAnsi="Times New Roman"/>
          <w:i/>
          <w:noProof/>
          <w:color w:val="000000"/>
        </w:rPr>
      </w:pPr>
      <w:r>
        <w:rPr>
          <w:rFonts w:ascii="Times New Roman" w:hAnsi="Times New Roman"/>
          <w:i/>
          <w:noProof/>
          <w:color w:val="000000"/>
        </w:rPr>
        <w:t>Prostredníctvom projektu BEDRIN (iniciatívy Balkánu a Európy na rozvoj odolnosti) sa organizácie v krajinách EÚ a západného Balkánu intenzívnejšie pripravujú na zapojenie do iniciatívy Dobrovoľníci pomoci EÚ, a súčasne posilňujú kapacity miestnych organizácií čeliť záplavám a súvisiacim rizikám v povodí rieky Drin.</w:t>
      </w:r>
    </w:p>
    <w:p>
      <w:pPr>
        <w:pStyle w:val="NormalWeb"/>
        <w:pBdr>
          <w:top w:val="single" w:sz="4" w:space="1" w:color="auto"/>
          <w:left w:val="single" w:sz="4" w:space="4" w:color="auto"/>
          <w:bottom w:val="single" w:sz="4" w:space="2" w:color="auto"/>
          <w:right w:val="single" w:sz="4" w:space="4" w:color="auto"/>
        </w:pBdr>
        <w:jc w:val="both"/>
        <w:rPr>
          <w:i/>
          <w:noProof/>
          <w:color w:val="000000"/>
          <w:sz w:val="22"/>
        </w:rPr>
      </w:pPr>
      <w:r>
        <w:rPr>
          <w:i/>
          <w:noProof/>
          <w:color w:val="000000"/>
          <w:sz w:val="22"/>
        </w:rPr>
        <w:t>Prípadová štúdia: zapájanie organizácií do iniciatívy Dobrovoľníci pomoci EÚ:</w:t>
      </w:r>
    </w:p>
    <w:p>
      <w:pPr>
        <w:pStyle w:val="NormalWeb"/>
        <w:pBdr>
          <w:top w:val="single" w:sz="4" w:space="1" w:color="auto"/>
          <w:left w:val="single" w:sz="4" w:space="4" w:color="auto"/>
          <w:bottom w:val="single" w:sz="4" w:space="2" w:color="auto"/>
          <w:right w:val="single" w:sz="4" w:space="4" w:color="auto"/>
        </w:pBdr>
        <w:jc w:val="both"/>
        <w:rPr>
          <w:rFonts w:eastAsia="Calibri"/>
          <w:i/>
          <w:noProof/>
          <w:color w:val="000000"/>
          <w:sz w:val="22"/>
          <w:szCs w:val="22"/>
        </w:rPr>
      </w:pPr>
      <w:r>
        <w:rPr>
          <w:i/>
          <w:noProof/>
          <w:color w:val="000000"/>
          <w:sz w:val="22"/>
        </w:rPr>
        <w:t xml:space="preserve">Organizácia VolinHA-SO (dobrovoľníci v humanitárnej pomoci – vysielajúca organizácia) spolupracuje s partnermi v deviatich krajinách EÚ a využíva normy iniciatívy </w:t>
      </w:r>
      <w:r>
        <w:rPr>
          <w:i/>
          <w:noProof/>
          <w:sz w:val="20"/>
          <w:szCs w:val="20"/>
        </w:rPr>
        <w:t>Dobrovoľníci pomoci EÚ</w:t>
      </w:r>
      <w:r>
        <w:rPr>
          <w:i/>
          <w:noProof/>
          <w:color w:val="000000"/>
          <w:sz w:val="22"/>
        </w:rPr>
        <w:t>, vymedzené v procese certifikácie, aby pomáhala budovať ich kapacity s osobitným dôrazom na posilňovanie politiky riadenia dobrovoľníkov. Prostredníctvom týchto činností projekt posilňuje prepojenia medzi dobrovoľníckymi organizáciami a zvyšuje ich schopnosť zapájať sa do iniciatívy Dobrovoľníci pomoci EÚ.</w:t>
      </w:r>
    </w:p>
    <w:p>
      <w:pPr>
        <w:spacing w:before="120" w:after="120" w:line="240" w:lineRule="atLeast"/>
        <w:jc w:val="both"/>
        <w:rPr>
          <w:rFonts w:ascii="Times New Roman" w:hAnsi="Times New Roman"/>
          <w:noProof/>
          <w:sz w:val="24"/>
          <w:szCs w:val="24"/>
        </w:rPr>
      </w:pPr>
      <w:r>
        <w:rPr>
          <w:rFonts w:ascii="Times New Roman" w:hAnsi="Times New Roman"/>
          <w:noProof/>
          <w:sz w:val="24"/>
          <w:szCs w:val="24"/>
          <w:lang w:val="en-US" w:eastAsia="en-US" w:bidi="ar-SA"/>
        </w:rPr>
        <w:drawing>
          <wp:inline distT="0" distB="0" distL="0" distR="0">
            <wp:extent cx="5429250" cy="28384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429250" cy="2838450"/>
                    </a:xfrm>
                    <a:prstGeom prst="rect">
                      <a:avLst/>
                    </a:prstGeom>
                    <a:noFill/>
                    <a:ln>
                      <a:noFill/>
                    </a:ln>
                  </pic:spPr>
                </pic:pic>
              </a:graphicData>
            </a:graphic>
          </wp:inline>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9"/>
        <w:gridCol w:w="480"/>
        <w:gridCol w:w="8283"/>
      </w:tblGrid>
      <w:tr>
        <w:tc>
          <w:tcPr>
            <w:tcW w:w="9242" w:type="dxa"/>
            <w:gridSpan w:val="3"/>
          </w:tcPr>
          <w:p>
            <w:pPr>
              <w:spacing w:after="0" w:line="240" w:lineRule="atLeast"/>
              <w:jc w:val="both"/>
              <w:rPr>
                <w:rFonts w:ascii="Times New Roman" w:hAnsi="Times New Roman"/>
                <w:noProof/>
                <w:sz w:val="20"/>
                <w:szCs w:val="20"/>
              </w:rPr>
            </w:pPr>
            <w:r>
              <w:rPr>
                <w:rFonts w:ascii="Times New Roman" w:hAnsi="Times New Roman"/>
                <w:noProof/>
                <w:sz w:val="20"/>
              </w:rPr>
              <w:t>Projekty budovania kapacít a technickej pomoci v roku 2015</w:t>
            </w:r>
          </w:p>
        </w:tc>
      </w:tr>
      <w:tr>
        <w:tc>
          <w:tcPr>
            <w:tcW w:w="479" w:type="dxa"/>
          </w:tcPr>
          <w:p>
            <w:pPr>
              <w:spacing w:after="0" w:line="240" w:lineRule="atLeast"/>
              <w:jc w:val="both"/>
              <w:rPr>
                <w:rFonts w:ascii="Times New Roman" w:hAnsi="Times New Roman"/>
                <w:noProof/>
                <w:sz w:val="20"/>
                <w:szCs w:val="20"/>
              </w:rPr>
            </w:pPr>
          </w:p>
        </w:tc>
        <w:tc>
          <w:tcPr>
            <w:tcW w:w="480" w:type="dxa"/>
            <w:shd w:val="clear" w:color="auto" w:fill="FF0000"/>
          </w:tcPr>
          <w:p>
            <w:pPr>
              <w:spacing w:after="0" w:line="240" w:lineRule="atLeast"/>
              <w:jc w:val="both"/>
              <w:rPr>
                <w:rFonts w:ascii="Times New Roman" w:hAnsi="Times New Roman"/>
                <w:noProof/>
                <w:sz w:val="20"/>
                <w:szCs w:val="20"/>
              </w:rPr>
            </w:pPr>
          </w:p>
        </w:tc>
        <w:tc>
          <w:tcPr>
            <w:tcW w:w="8283" w:type="dxa"/>
          </w:tcPr>
          <w:p>
            <w:pPr>
              <w:spacing w:after="0" w:line="240" w:lineRule="atLeast"/>
              <w:jc w:val="both"/>
              <w:rPr>
                <w:rFonts w:ascii="Times New Roman" w:hAnsi="Times New Roman"/>
                <w:noProof/>
                <w:sz w:val="20"/>
                <w:szCs w:val="20"/>
              </w:rPr>
            </w:pPr>
            <w:r>
              <w:rPr>
                <w:rFonts w:ascii="Times New Roman" w:hAnsi="Times New Roman"/>
                <w:noProof/>
                <w:sz w:val="20"/>
              </w:rPr>
              <w:t>Projektoví partneri so sídlom v krajinách EÚ</w:t>
            </w:r>
          </w:p>
        </w:tc>
      </w:tr>
      <w:tr>
        <w:tc>
          <w:tcPr>
            <w:tcW w:w="479" w:type="dxa"/>
          </w:tcPr>
          <w:p>
            <w:pPr>
              <w:spacing w:after="0" w:line="240" w:lineRule="atLeast"/>
              <w:jc w:val="both"/>
              <w:rPr>
                <w:rFonts w:ascii="Times New Roman" w:hAnsi="Times New Roman"/>
                <w:noProof/>
                <w:sz w:val="20"/>
                <w:szCs w:val="20"/>
              </w:rPr>
            </w:pPr>
          </w:p>
        </w:tc>
        <w:tc>
          <w:tcPr>
            <w:tcW w:w="480" w:type="dxa"/>
            <w:shd w:val="clear" w:color="auto" w:fill="00B050"/>
          </w:tcPr>
          <w:p>
            <w:pPr>
              <w:spacing w:after="0" w:line="240" w:lineRule="atLeast"/>
              <w:jc w:val="both"/>
              <w:rPr>
                <w:rFonts w:ascii="Times New Roman" w:hAnsi="Times New Roman"/>
                <w:noProof/>
                <w:sz w:val="20"/>
                <w:szCs w:val="20"/>
              </w:rPr>
            </w:pPr>
          </w:p>
        </w:tc>
        <w:tc>
          <w:tcPr>
            <w:tcW w:w="8283" w:type="dxa"/>
          </w:tcPr>
          <w:p>
            <w:pPr>
              <w:spacing w:after="0" w:line="240" w:lineRule="atLeast"/>
              <w:jc w:val="both"/>
              <w:rPr>
                <w:rFonts w:ascii="Times New Roman" w:hAnsi="Times New Roman"/>
                <w:noProof/>
                <w:sz w:val="20"/>
                <w:szCs w:val="20"/>
              </w:rPr>
            </w:pPr>
            <w:r>
              <w:rPr>
                <w:rFonts w:ascii="Times New Roman" w:hAnsi="Times New Roman"/>
                <w:noProof/>
                <w:sz w:val="20"/>
              </w:rPr>
              <w:t>Projektoví partneri so sídlom v tretích krajinách</w:t>
            </w:r>
          </w:p>
        </w:tc>
      </w:tr>
    </w:tbl>
    <w:p>
      <w:pPr>
        <w:spacing w:before="120" w:after="0" w:line="240" w:lineRule="atLeast"/>
        <w:jc w:val="both"/>
        <w:rPr>
          <w:rFonts w:ascii="Times New Roman" w:hAnsi="Times New Roman"/>
          <w:noProof/>
          <w:sz w:val="24"/>
          <w:szCs w:val="24"/>
        </w:rPr>
      </w:pPr>
    </w:p>
    <w:p>
      <w:pPr>
        <w:pStyle w:val="ListParagraph"/>
        <w:numPr>
          <w:ilvl w:val="0"/>
          <w:numId w:val="5"/>
        </w:numPr>
        <w:spacing w:after="0" w:line="240" w:lineRule="auto"/>
        <w:jc w:val="both"/>
        <w:rPr>
          <w:rFonts w:ascii="Times New Roman" w:hAnsi="Times New Roman"/>
          <w:b/>
          <w:noProof/>
          <w:sz w:val="24"/>
          <w:szCs w:val="24"/>
        </w:rPr>
      </w:pPr>
      <w:r>
        <w:rPr>
          <w:rFonts w:ascii="Times New Roman" w:hAnsi="Times New Roman"/>
          <w:b/>
          <w:noProof/>
          <w:sz w:val="24"/>
        </w:rPr>
        <w:t>Vysielanie</w:t>
      </w:r>
    </w:p>
    <w:p>
      <w:pPr>
        <w:autoSpaceDE w:val="0"/>
        <w:autoSpaceDN w:val="0"/>
        <w:adjustRightInd w:val="0"/>
        <w:spacing w:after="0" w:line="240" w:lineRule="auto"/>
        <w:jc w:val="both"/>
        <w:rPr>
          <w:rFonts w:ascii="Times New Roman" w:hAnsi="Times New Roman"/>
          <w:noProof/>
          <w:sz w:val="24"/>
          <w:szCs w:val="24"/>
        </w:rPr>
      </w:pPr>
    </w:p>
    <w:p>
      <w:pPr>
        <w:autoSpaceDE w:val="0"/>
        <w:autoSpaceDN w:val="0"/>
        <w:adjustRightInd w:val="0"/>
        <w:spacing w:after="0" w:line="240" w:lineRule="auto"/>
        <w:jc w:val="both"/>
        <w:rPr>
          <w:rFonts w:ascii="Times New Roman" w:hAnsi="Times New Roman"/>
          <w:noProof/>
          <w:sz w:val="24"/>
        </w:rPr>
      </w:pPr>
      <w:r>
        <w:rPr>
          <w:rFonts w:ascii="Times New Roman" w:hAnsi="Times New Roman"/>
          <w:noProof/>
          <w:sz w:val="24"/>
        </w:rPr>
        <w:t>Vysielanie dobrovoľníkov je jednou z hlavných činností v rámci iniciatívy Dobrovoľníci pomoci EÚ. Cieľom je vyberať, pripravovať a vysielať začínajúcich aj skúsených dobrovoľníkov v záujme posilnenia schopnosti Únie poskytovať humanitárnu pomoc vychádzajúcu z potrieb, s cieľom posilniť kapacity a odolnosť zraniteľných a katastrofami zasiahnutých spoločenstiev v tretích krajinách. V júli 2015</w:t>
      </w:r>
      <w:r>
        <w:rPr>
          <w:rStyle w:val="FootnoteReference"/>
          <w:rFonts w:ascii="Times New Roman" w:hAnsi="Times New Roman"/>
          <w:noProof/>
          <w:sz w:val="24"/>
        </w:rPr>
        <w:footnoteReference w:id="13"/>
      </w:r>
      <w:r>
        <w:rPr>
          <w:rFonts w:ascii="Times New Roman" w:hAnsi="Times New Roman"/>
          <w:noProof/>
          <w:sz w:val="24"/>
        </w:rPr>
        <w:t xml:space="preserve"> bola uverejnená výzva na predkladanie návrhov EACEA/25/2015 s vyčleneným celkovým rozpočtom 8 400 000 EUR na spolufinancovanie projektov na vysielanie dobrovoľníkov pomoci EÚ vrátane stáží začínajúcich odborných pracovníkov a budovania kapacít a/alebo technickej pomoci pre vykonávajúce organizácie. Pri načasovaní výzvy sa bral do úvahy pokrok v rámci certifikačného mechanizmu a potreba vytvoriť fond certifikovaných organizácií. Ako sa vyžaduje v právnych predpisoch, dobrovoľníkov smú nasadzovať (vysielať a hostiť) len certifikované organizácie. Okrem toho v súlade s ročným pracovným programom 2015 má projekty vykonávať konzorcium najmenej troch certifikovaných vysielajúcich a troch certifikovaných hostiteľských organizácií. Do 30. októbra 2015 (termín uzávierky výzvy na predkladanie návrhov) boli podané dve žiadosti zahŕňajúce 26 organizácií. Vyhodnotenie žiadostí a podpísanie dohôd o grante sa má finalizovať v roku 2016 s maximálnym grantom EÚ vo výške 1 392 442,17 EUR, pričom začatie vykonávania sa očakáva v júni/júli 2016.</w:t>
      </w:r>
    </w:p>
    <w:p>
      <w:pPr>
        <w:spacing w:after="0" w:line="240" w:lineRule="auto"/>
        <w:jc w:val="both"/>
        <w:rPr>
          <w:rFonts w:ascii="Times New Roman" w:hAnsi="Times New Roman"/>
          <w:b/>
          <w:noProof/>
          <w:sz w:val="24"/>
          <w:szCs w:val="24"/>
        </w:rPr>
      </w:pPr>
    </w:p>
    <w:p>
      <w:pPr>
        <w:pStyle w:val="ListParagraph"/>
        <w:numPr>
          <w:ilvl w:val="0"/>
          <w:numId w:val="5"/>
        </w:numPr>
        <w:spacing w:after="0" w:line="240" w:lineRule="auto"/>
        <w:jc w:val="both"/>
        <w:rPr>
          <w:rFonts w:ascii="Times New Roman" w:hAnsi="Times New Roman"/>
          <w:b/>
          <w:noProof/>
          <w:sz w:val="24"/>
          <w:szCs w:val="24"/>
        </w:rPr>
      </w:pPr>
      <w:r>
        <w:rPr>
          <w:rFonts w:ascii="Times New Roman" w:hAnsi="Times New Roman"/>
          <w:b/>
          <w:noProof/>
          <w:sz w:val="24"/>
        </w:rPr>
        <w:t>Poistenie</w:t>
      </w:r>
    </w:p>
    <w:p>
      <w:pPr>
        <w:autoSpaceDE w:val="0"/>
        <w:autoSpaceDN w:val="0"/>
        <w:adjustRightInd w:val="0"/>
        <w:spacing w:after="0" w:line="240" w:lineRule="auto"/>
        <w:jc w:val="both"/>
        <w:rPr>
          <w:rFonts w:ascii="Times New Roman" w:hAnsi="Times New Roman"/>
          <w:noProof/>
          <w:sz w:val="24"/>
          <w:szCs w:val="24"/>
        </w:rPr>
      </w:pPr>
    </w:p>
    <w:p>
      <w:pPr>
        <w:autoSpaceDE w:val="0"/>
        <w:autoSpaceDN w:val="0"/>
        <w:adjustRightInd w:val="0"/>
        <w:spacing w:after="0" w:line="240" w:lineRule="auto"/>
        <w:jc w:val="both"/>
        <w:rPr>
          <w:rFonts w:ascii="Times New Roman" w:hAnsi="Times New Roman"/>
          <w:noProof/>
          <w:sz w:val="24"/>
          <w:szCs w:val="24"/>
        </w:rPr>
      </w:pPr>
      <w:r>
        <w:rPr>
          <w:rFonts w:ascii="Times New Roman" w:hAnsi="Times New Roman"/>
          <w:noProof/>
          <w:sz w:val="24"/>
        </w:rPr>
        <w:t>V nadväznosti na ročný pracovný program na rok 2014 s prideleným rozpočtom 4 000 000 EUR na obdobie 2015 – 2020 na poistenie dobrovoľníkov pomoci EÚ a stáží bola 31. decembra 2014 uverejnená</w:t>
      </w:r>
      <w:r>
        <w:rPr>
          <w:rStyle w:val="FootnoteReference"/>
          <w:rFonts w:ascii="Times New Roman" w:hAnsi="Times New Roman"/>
          <w:noProof/>
          <w:sz w:val="24"/>
        </w:rPr>
        <w:footnoteReference w:id="14"/>
      </w:r>
      <w:r>
        <w:rPr>
          <w:rFonts w:ascii="Times New Roman" w:hAnsi="Times New Roman"/>
          <w:noProof/>
          <w:sz w:val="24"/>
        </w:rPr>
        <w:t xml:space="preserve"> verejná výzva na predkladanie ponúk. Cieľom je zaistiť, aby sa na všetkých dobrovoľníkov zapojených do iniciatívy Dobrovoľníci pomoci EÚ vzťahoval komplexný plán poistenia, osobitne navrhnutý na ich ochranu počas celého trvania ich vyslania. Dňa 4. novembra 2015 bola so spoločnosťou </w:t>
      </w:r>
      <w:r>
        <w:rPr>
          <w:rFonts w:ascii="Times New Roman" w:hAnsi="Times New Roman"/>
          <w:i/>
          <w:noProof/>
          <w:sz w:val="24"/>
        </w:rPr>
        <w:t>Cigna International Health Service BVBA</w:t>
      </w:r>
      <w:r>
        <w:rPr>
          <w:rFonts w:ascii="Times New Roman" w:hAnsi="Times New Roman"/>
          <w:noProof/>
          <w:sz w:val="24"/>
        </w:rPr>
        <w:t xml:space="preserve"> uzatvorená zákazka na poskytnutie služby v maximálnej sume 2 500 000 EUR, ktorou sa zakladá systém poistenia uplatňovaného od okamihu vyslania dobrovoľníkov pomoci EÚ. V decembri 2015 predložil dodávateľ prvú predbežnú správu obsahujúcu plán vykonávania, v ktorom sa uvádzajú jednotlivé kroky, súvisiace činnosti a navrhovaný časový plán na zavedenie potrebnej štruktúry služieb.</w:t>
      </w:r>
    </w:p>
    <w:p>
      <w:pPr>
        <w:pStyle w:val="ListParagraph"/>
        <w:spacing w:after="0" w:line="240" w:lineRule="auto"/>
        <w:jc w:val="both"/>
        <w:rPr>
          <w:rFonts w:ascii="Times New Roman" w:hAnsi="Times New Roman"/>
          <w:b/>
          <w:noProof/>
          <w:sz w:val="24"/>
          <w:szCs w:val="24"/>
        </w:rPr>
      </w:pPr>
    </w:p>
    <w:p>
      <w:pPr>
        <w:pStyle w:val="ListParagraph"/>
        <w:numPr>
          <w:ilvl w:val="0"/>
          <w:numId w:val="5"/>
        </w:numPr>
        <w:spacing w:after="0" w:line="240" w:lineRule="auto"/>
        <w:jc w:val="both"/>
        <w:rPr>
          <w:rFonts w:ascii="Times New Roman" w:hAnsi="Times New Roman"/>
          <w:b/>
          <w:noProof/>
          <w:sz w:val="24"/>
          <w:szCs w:val="24"/>
        </w:rPr>
      </w:pPr>
      <w:r>
        <w:rPr>
          <w:rFonts w:ascii="Times New Roman" w:hAnsi="Times New Roman"/>
          <w:b/>
          <w:noProof/>
          <w:sz w:val="24"/>
        </w:rPr>
        <w:t>Program odbornej prípravy</w:t>
      </w:r>
    </w:p>
    <w:p>
      <w:pPr>
        <w:pStyle w:val="ListParagraph"/>
        <w:spacing w:after="0" w:line="240" w:lineRule="auto"/>
        <w:jc w:val="both"/>
        <w:rPr>
          <w:rFonts w:ascii="Times New Roman" w:hAnsi="Times New Roman"/>
          <w:b/>
          <w:noProof/>
          <w:sz w:val="24"/>
          <w:szCs w:val="24"/>
        </w:rPr>
      </w:pPr>
    </w:p>
    <w:p>
      <w:pPr>
        <w:spacing w:after="0" w:line="240" w:lineRule="auto"/>
        <w:jc w:val="both"/>
        <w:rPr>
          <w:rFonts w:ascii="Times New Roman" w:hAnsi="Times New Roman"/>
          <w:noProof/>
          <w:sz w:val="24"/>
        </w:rPr>
      </w:pPr>
      <w:r>
        <w:rPr>
          <w:rFonts w:ascii="Times New Roman" w:hAnsi="Times New Roman"/>
          <w:noProof/>
          <w:sz w:val="24"/>
        </w:rPr>
        <w:t>30. októbra 2015 bola vyhlásená verejná výzva na predkladanie ponúk na poskytovanie odbornej prípravy</w:t>
      </w:r>
      <w:r>
        <w:rPr>
          <w:rStyle w:val="FootnoteReference"/>
          <w:rFonts w:ascii="Times New Roman" w:hAnsi="Times New Roman"/>
          <w:noProof/>
          <w:sz w:val="24"/>
        </w:rPr>
        <w:footnoteReference w:id="15"/>
      </w:r>
      <w:r>
        <w:rPr>
          <w:rFonts w:ascii="Times New Roman" w:hAnsi="Times New Roman"/>
          <w:noProof/>
          <w:sz w:val="24"/>
        </w:rPr>
        <w:t>. Cieľom je vypracovať program odbornej prípravy pre iniciatívu Dobrovoľníci pomoci EÚ; poskytovať služby v oblasti odbornej prípravy záujemcov o dobrovoľnícku činnosť a posudzovať spôsobilosti záujemcov o dobrovoľnícku činnosť po absolvovaní odbornej prípravy v súlade s delegovaným nariadením (EÚ) č. 1398/2014 a vykonávacím nariadením (EÚ) č. 1244/2014. Vyhodnotenie žiadostí a podpísanie rámcovej zmluvy by sa malo finalizovať v prvej polovici roka 2016, pričom program odbornej prípravy bude pre záujemcov o dobrovoľnícku činnosť v rámci iniciatívy Dobrovoľníci pomoci EÚ k dispozícii pred ich vyslaním.</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rPr>
      </w:pPr>
      <w:r>
        <w:rPr>
          <w:rFonts w:ascii="Times New Roman" w:hAnsi="Times New Roman"/>
          <w:noProof/>
          <w:sz w:val="24"/>
        </w:rPr>
        <w:t>Činnosti predstavené v oddieloch 1 – 5 sú delegované na Výkonnú agentúru pre vzdelávanie, audiovizuálny sektor a kultúru (EACEA), ktorá ich vykonáva v spolupráci s útvarmi Komisie</w:t>
      </w:r>
      <w:r>
        <w:rPr>
          <w:rStyle w:val="FootnoteReference"/>
          <w:rFonts w:ascii="Times New Roman" w:hAnsi="Times New Roman"/>
          <w:noProof/>
          <w:sz w:val="24"/>
        </w:rPr>
        <w:footnoteReference w:id="16"/>
      </w:r>
      <w:r>
        <w:rPr>
          <w:rFonts w:ascii="Times New Roman" w:hAnsi="Times New Roman"/>
          <w:noProof/>
          <w:sz w:val="24"/>
        </w:rPr>
        <w:t>. Rozdelenie úloh medzi Komisiu a EACEA vychádza z rozhodnutia Komisie C(2013) 9189 z 18. decembra 2013, ktorým sa delegujú právomoci na Výkonnú agentúru pre vzdelávanie, audiovizuálny sektor a kultúru s cieľom vykonávať úlohy spojené s vykonávaním programov Únie v oblasti vzdelávania, audiovizuálneho sektora a kultúry, ktoré zahŕňa najmä plnenie rozpočtových prostriedkov zahrnutých do všeobecného rozpočtu Únie a prostriedkov pridelených z ERF. EACEA je výkonná agentúra zodpovedná za realizáciu technických aspektov iniciatívy Dobrovoľníci pomoci EÚ prostredníctvom výziev na predkladanie návrhov, výziev na predkladanie ponúk a následného riadenia zmlúv a za plnenie zodpovedajúcich rozpočtových prostriedkov v súlade s ročnými pracovnými programami prijatými Komisiou.</w:t>
      </w:r>
    </w:p>
    <w:p>
      <w:pPr>
        <w:spacing w:before="120" w:after="120" w:line="240" w:lineRule="auto"/>
        <w:jc w:val="both"/>
        <w:rPr>
          <w:rFonts w:ascii="Times New Roman" w:hAnsi="Times New Roman"/>
          <w:noProof/>
          <w:sz w:val="24"/>
        </w:rPr>
      </w:pPr>
      <w:r>
        <w:rPr>
          <w:rFonts w:ascii="Times New Roman" w:hAnsi="Times New Roman"/>
          <w:noProof/>
          <w:sz w:val="24"/>
        </w:rPr>
        <w:t>Z hľadiska operačného riadenia ostáva Komisia priamo zodpovedná za vytvorenie siete v rámci iniciatívy Dobrovoľníci pomoci EÚ, ústrednej on-line platformy, ako aj za komunikáciu.</w:t>
      </w:r>
    </w:p>
    <w:p>
      <w:pPr>
        <w:spacing w:before="120" w:after="120" w:line="240" w:lineRule="auto"/>
        <w:jc w:val="both"/>
        <w:rPr>
          <w:rFonts w:ascii="Times New Roman" w:hAnsi="Times New Roman"/>
          <w:noProof/>
          <w:sz w:val="24"/>
          <w:szCs w:val="24"/>
        </w:rPr>
      </w:pPr>
      <w:r>
        <w:rPr>
          <w:rFonts w:ascii="Times New Roman" w:hAnsi="Times New Roman"/>
          <w:noProof/>
          <w:sz w:val="24"/>
        </w:rPr>
        <w:t xml:space="preserve">Spôsoby a postupy súčinnosti sa riadia memorandami o porozumení medzi útvarmi Komisie a EACEA. V roku 2015 sa spolupráca medzi útvarmi Komisie a EACEA ďalej rozvíjala a vyústila do aktívnej interakcie pri vykonávaní programu. Keďže pre iniciatívu je kľúčovou otázkou monitorovanie, bol zriadený rámec pre monitorovanie vykonávania iniciatívy Dobrovoľníci pomoci EÚ, ktorý nadobudol platnosť 1. októbra 2015. Tento rámec načrtáva rozdelenie úloh týkajúcich sa zberu a analýzy údajov. Údaje zozbierané prostredníctvom tohto rámca a príslušné analýzy budú použité v procese podávania správ a prispejú k predbežnému hodnoteniu a hodnoteniu </w:t>
      </w:r>
      <w:r>
        <w:rPr>
          <w:rFonts w:ascii="Times New Roman" w:hAnsi="Times New Roman"/>
          <w:i/>
          <w:noProof/>
          <w:sz w:val="24"/>
        </w:rPr>
        <w:t>ex post</w:t>
      </w:r>
      <w:r>
        <w:rPr>
          <w:rFonts w:ascii="Times New Roman" w:hAnsi="Times New Roman"/>
          <w:noProof/>
          <w:sz w:val="24"/>
        </w:rPr>
        <w:t xml:space="preserve"> iniciatívy. K lepšiemu monitorovaniu projektov prispeli aj prvé spoločné služobné cesty zástupcov EACEA a Komisie.</w:t>
      </w:r>
    </w:p>
    <w:p>
      <w:pPr>
        <w:spacing w:before="120" w:after="120" w:line="240" w:lineRule="auto"/>
        <w:jc w:val="both"/>
        <w:rPr>
          <w:rFonts w:ascii="Times New Roman" w:hAnsi="Times New Roman"/>
          <w:noProof/>
          <w:sz w:val="24"/>
          <w:szCs w:val="24"/>
        </w:rPr>
      </w:pPr>
    </w:p>
    <w:p>
      <w:pPr>
        <w:pStyle w:val="ListParagraph"/>
        <w:numPr>
          <w:ilvl w:val="0"/>
          <w:numId w:val="5"/>
        </w:numPr>
        <w:spacing w:after="0" w:line="240" w:lineRule="auto"/>
        <w:jc w:val="both"/>
        <w:rPr>
          <w:rFonts w:ascii="Times New Roman" w:hAnsi="Times New Roman"/>
          <w:b/>
          <w:noProof/>
          <w:sz w:val="24"/>
          <w:szCs w:val="24"/>
        </w:rPr>
      </w:pPr>
      <w:r>
        <w:rPr>
          <w:rFonts w:ascii="Times New Roman" w:hAnsi="Times New Roman"/>
          <w:b/>
          <w:noProof/>
          <w:sz w:val="24"/>
        </w:rPr>
        <w:t>Podporné opatrenia</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rPr>
      </w:pPr>
      <w:r>
        <w:rPr>
          <w:rFonts w:ascii="Times New Roman" w:hAnsi="Times New Roman"/>
          <w:noProof/>
          <w:sz w:val="24"/>
        </w:rPr>
        <w:t>Vzhľadom na výzvy, ktorým v súčasnosti Únia čelí, ešte nikdy nebolo také dôležité zaistiť efektívnu komunikáciu a zvyšovanie povedomia občanov EÚ o konkrétnych činoch solidarity, ktoré Únia podporuje, a to najmä prostredníctvom iniciatívy Dobrovoľníci pomoci EÚ.</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r>
        <w:rPr>
          <w:rFonts w:ascii="Times New Roman" w:hAnsi="Times New Roman"/>
          <w:noProof/>
          <w:sz w:val="24"/>
        </w:rPr>
        <w:t>Ročný pracovný program na rok 2015 poskytuje finančnú pomoc vo výške 418 000 EUR na podporu opatrení zameraných na zvyšovanie informovanosti a povedomia potenciálnych prijímateľov v súvislosti s týmto programom.</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rPr>
      </w:pPr>
      <w:r>
        <w:rPr>
          <w:rFonts w:ascii="Times New Roman" w:hAnsi="Times New Roman"/>
          <w:noProof/>
          <w:sz w:val="24"/>
        </w:rPr>
        <w:t>V júli 2015 bol schválený komunikačný plán (2015 – 2020)</w:t>
      </w:r>
      <w:r>
        <w:rPr>
          <w:rStyle w:val="FootnoteReference"/>
          <w:rFonts w:ascii="Times New Roman" w:hAnsi="Times New Roman"/>
          <w:noProof/>
          <w:sz w:val="24"/>
        </w:rPr>
        <w:footnoteReference w:id="17"/>
      </w:r>
      <w:r>
        <w:rPr>
          <w:rFonts w:ascii="Times New Roman" w:hAnsi="Times New Roman"/>
          <w:noProof/>
          <w:sz w:val="24"/>
        </w:rPr>
        <w:t xml:space="preserve"> načrtávajúci komunikačnú stratégiu, ciele, kľúčové posolstvá a možné komunikačné činnosti podporujúce iniciatívu Dobrovoľníci pomoci EÚ. Vykonávanie zabezpečuje Komisia a tretie strany zúčastňujúce sa na iniciatíve, predovšetkým dobrovoľníci, vysielajúce organizácie v Európe a hostiteľské organizácie v tretích krajinách.</w:t>
      </w:r>
    </w:p>
    <w:p>
      <w:pPr>
        <w:widowControl w:val="0"/>
        <w:tabs>
          <w:tab w:val="left" w:pos="10332"/>
        </w:tabs>
        <w:spacing w:after="0" w:line="240" w:lineRule="auto"/>
        <w:ind w:right="72"/>
        <w:jc w:val="both"/>
        <w:rPr>
          <w:rFonts w:ascii="Times New Roman" w:eastAsia="Times New Roman" w:hAnsi="Times New Roman"/>
          <w:noProof/>
          <w:sz w:val="24"/>
          <w:szCs w:val="24"/>
        </w:rPr>
      </w:pPr>
    </w:p>
    <w:p>
      <w:pPr>
        <w:widowControl w:val="0"/>
        <w:tabs>
          <w:tab w:val="left" w:pos="10332"/>
        </w:tabs>
        <w:spacing w:after="0" w:line="240" w:lineRule="auto"/>
        <w:ind w:right="72"/>
        <w:jc w:val="both"/>
        <w:rPr>
          <w:rFonts w:ascii="Times New Roman" w:hAnsi="Times New Roman"/>
          <w:noProof/>
          <w:sz w:val="24"/>
        </w:rPr>
      </w:pPr>
      <w:r>
        <w:rPr>
          <w:rFonts w:ascii="Times New Roman" w:hAnsi="Times New Roman"/>
          <w:noProof/>
          <w:sz w:val="24"/>
        </w:rPr>
        <w:t>V januári 2015 bol zorganizovaný deň informovania a nadväzovania kontaktov. Cieľom tohto verejného podujatia bolo vysvetliť budúcim partnerom pri vykonávaní príležitosti na financovanie dostupné v rámci iniciatívy Dobrovoľníci pomoci EÚ a začať prvé činnosti (výzva na predkladanie návrhov na technickú pomoc a budovanie kapacít a výzva na podávanie žiadostí na certifikáciu vysielajúcich a hostiteľských organizácií). Podujatie bolo z hľadiska oslovenia potenciálnych prijímateľov úspešné, zúčastnilo sa ho 108 osôb a boli zastúpené organizácie z 21 krajín.</w:t>
      </w:r>
    </w:p>
    <w:p>
      <w:pPr>
        <w:widowControl w:val="0"/>
        <w:tabs>
          <w:tab w:val="left" w:pos="10332"/>
        </w:tabs>
        <w:spacing w:after="0" w:line="240" w:lineRule="auto"/>
        <w:ind w:right="72"/>
        <w:jc w:val="both"/>
        <w:rPr>
          <w:rFonts w:ascii="Times New Roman" w:hAnsi="Times New Roman"/>
          <w:noProof/>
          <w:sz w:val="24"/>
          <w:szCs w:val="24"/>
        </w:rPr>
      </w:pPr>
    </w:p>
    <w:p>
      <w:pPr>
        <w:widowControl w:val="0"/>
        <w:tabs>
          <w:tab w:val="left" w:pos="10332"/>
        </w:tabs>
        <w:spacing w:after="0" w:line="240" w:lineRule="auto"/>
        <w:ind w:right="72"/>
        <w:jc w:val="both"/>
        <w:rPr>
          <w:rFonts w:ascii="Times New Roman" w:hAnsi="Times New Roman"/>
          <w:noProof/>
          <w:sz w:val="24"/>
          <w:szCs w:val="24"/>
        </w:rPr>
      </w:pPr>
      <w:r>
        <w:rPr>
          <w:rFonts w:ascii="Times New Roman" w:hAnsi="Times New Roman"/>
          <w:noProof/>
          <w:sz w:val="24"/>
        </w:rPr>
        <w:t>V septembri 2015 sa v Bruseli konala konferencia pod názvom „Back to Base“, na ktorej sa stretli dobrovoľníci a partnerské organizácie z pilotných projektov, aby sa podelili o svoje skúsenosti a nadobudnuté poznatky</w:t>
      </w:r>
      <w:r>
        <w:rPr>
          <w:rStyle w:val="FootnoteReference"/>
          <w:rFonts w:ascii="Times New Roman" w:hAnsi="Times New Roman"/>
          <w:noProof/>
          <w:sz w:val="24"/>
        </w:rPr>
        <w:footnoteReference w:id="18"/>
      </w:r>
      <w:r>
        <w:rPr>
          <w:rFonts w:ascii="Times New Roman" w:hAnsi="Times New Roman"/>
          <w:noProof/>
          <w:sz w:val="24"/>
        </w:rPr>
        <w:t>. Konferencia poskytla účastníkom príležitosť prispieť k prebiehajúcemu rozvoju iniciatívy vrátane príspevkov do Platformy dobrovoľníkov pomoci EÚ. Účastníci sa tiež podelili o svoje príbehy prostredníctvom série videorozhovorov</w:t>
      </w:r>
      <w:r>
        <w:rPr>
          <w:rStyle w:val="FootnoteReference"/>
          <w:rFonts w:ascii="Times New Roman" w:hAnsi="Times New Roman"/>
          <w:noProof/>
          <w:sz w:val="24"/>
        </w:rPr>
        <w:footnoteReference w:id="19"/>
      </w:r>
      <w:r>
        <w:rPr>
          <w:rFonts w:ascii="Times New Roman" w:hAnsi="Times New Roman"/>
          <w:noProof/>
          <w:sz w:val="24"/>
        </w:rPr>
        <w:t>, účinného komunikačného nástroja pre budúcu propagáciu iniciatívy.</w:t>
      </w:r>
    </w:p>
    <w:p>
      <w:pPr>
        <w:widowControl w:val="0"/>
        <w:tabs>
          <w:tab w:val="left" w:pos="10332"/>
        </w:tabs>
        <w:spacing w:after="0" w:line="240" w:lineRule="auto"/>
        <w:ind w:right="72"/>
        <w:jc w:val="both"/>
        <w:rPr>
          <w:rFonts w:ascii="Times New Roman" w:hAnsi="Times New Roman"/>
          <w:noProof/>
          <w:sz w:val="24"/>
          <w:szCs w:val="24"/>
        </w:rPr>
      </w:pPr>
    </w:p>
    <w:p>
      <w:pPr>
        <w:widowControl w:val="0"/>
        <w:tabs>
          <w:tab w:val="left" w:pos="10332"/>
        </w:tabs>
        <w:spacing w:after="0" w:line="240" w:lineRule="auto"/>
        <w:ind w:right="72"/>
        <w:jc w:val="both"/>
        <w:rPr>
          <w:rFonts w:ascii="Times New Roman" w:hAnsi="Times New Roman"/>
          <w:noProof/>
          <w:sz w:val="24"/>
          <w:szCs w:val="24"/>
        </w:rPr>
      </w:pPr>
      <w:r>
        <w:rPr>
          <w:rFonts w:ascii="Times New Roman" w:hAnsi="Times New Roman"/>
          <w:noProof/>
          <w:sz w:val="24"/>
        </w:rPr>
        <w:t>Nakrútil sa krátky film s názvom „Becoming a certified organization and benefit from highly-skilled EU Aid Volunteers“ (Ako sa stať certifikovanou organizáciou a </w:t>
      </w:r>
      <w:r>
        <w:rPr>
          <w:rStyle w:val="watch-title"/>
          <w:rFonts w:ascii="Times New Roman" w:hAnsi="Times New Roman"/>
          <w:noProof/>
          <w:color w:val="222222"/>
          <w:kern w:val="36"/>
        </w:rPr>
        <w:t>pracovať s vysoko kvalifikovanými Dobrovoľníkmi pomoci EÚ)</w:t>
      </w:r>
      <w:r>
        <w:rPr>
          <w:rFonts w:ascii="Times New Roman" w:hAnsi="Times New Roman"/>
          <w:noProof/>
          <w:sz w:val="24"/>
        </w:rPr>
        <w:t>. Vysvetľuje sa v ňom postup certifikácie a jeho cieľom je napomôcť organizáciám zapojiť sa do iniciatívy</w:t>
      </w:r>
      <w:r>
        <w:rPr>
          <w:rStyle w:val="FootnoteReference"/>
          <w:rFonts w:ascii="Times New Roman" w:hAnsi="Times New Roman"/>
          <w:noProof/>
          <w:sz w:val="24"/>
        </w:rPr>
        <w:footnoteReference w:id="20"/>
      </w:r>
      <w:r>
        <w:rPr>
          <w:noProof/>
        </w:rPr>
        <w:t>.</w:t>
      </w:r>
    </w:p>
    <w:p>
      <w:pPr>
        <w:spacing w:after="0" w:line="240" w:lineRule="auto"/>
        <w:jc w:val="both"/>
        <w:rPr>
          <w:rFonts w:ascii="Times New Roman" w:eastAsia="Times New Roman" w:hAnsi="Times New Roman"/>
          <w:noProof/>
          <w:sz w:val="24"/>
          <w:szCs w:val="24"/>
        </w:rPr>
      </w:pPr>
    </w:p>
    <w:p>
      <w:pPr>
        <w:spacing w:after="0" w:line="240" w:lineRule="auto"/>
        <w:jc w:val="both"/>
        <w:rPr>
          <w:rFonts w:ascii="Times New Roman" w:hAnsi="Times New Roman"/>
          <w:noProof/>
          <w:sz w:val="24"/>
        </w:rPr>
      </w:pPr>
      <w:r>
        <w:rPr>
          <w:rFonts w:ascii="Times New Roman" w:hAnsi="Times New Roman"/>
          <w:noProof/>
          <w:sz w:val="24"/>
        </w:rPr>
        <w:t>Sieť v rámci iniciatívy Dobrovoľníci pomoci EÚ umožňuje zúčastneným stranám vymieňať si poznatky o najlepších postupoch a zvyšovať mieru účasti. K vytváraniu siete už prispeli rôzne podujatia, ako napríklad stretnutia partnerov za okrúhlym stolom, kde si partneri mohli vymieňať poznatky o najlepších postupoch a poučiť sa zo skúseností týkajúcich sa programu. Zásadným nástrojom umožňujúcim fungovanie tejto siete je Platforma dobrovoľníkov pomoci EÚ, ktorá sa začala vytvárať v roku 2015. Táto platforma, ktorú vyvíja Komisia, bude podporovať partnerov pri vysielaní dobrovoľníkov pomoci EÚ tým, že im poskytne systém na sledovanie dobrovoľníkov, umožní on-line dobrovoľníctvo a bude fungovať ako databáza dobrovoľníkov pomoci EÚ. Platforma poskytne dobrovoľníkom pomoci EÚ odkazy na platformu odbornej prípravy a plán ich kontinuálneho vzdelávania a rozvoja a bude nástrojom na komunikáciu s projektovými partnermi a inými dobrovoľníkmi.</w:t>
      </w:r>
    </w:p>
    <w:p>
      <w:pPr>
        <w:spacing w:after="0" w:line="240" w:lineRule="auto"/>
        <w:jc w:val="both"/>
        <w:rPr>
          <w:rFonts w:ascii="Times New Roman" w:eastAsia="Times New Roman" w:hAnsi="Times New Roman"/>
          <w:noProof/>
          <w:sz w:val="24"/>
          <w:szCs w:val="24"/>
        </w:rPr>
      </w:pPr>
      <w:r>
        <w:rPr>
          <w:rFonts w:ascii="Times New Roman" w:hAnsi="Times New Roman"/>
          <w:noProof/>
          <w:sz w:val="24"/>
        </w:rPr>
        <w:t>Platforma dobrovoľníkov pomoci EÚ navyše partnerským organizáciám a dobrovoľníkom poskytne možnosť podeliť sa o skúsenosti z terénu, uľahčí im výmenu poznatkov a umožní partnerom a dobrovoľníkom užšie spolupracovať a dosiahnuť lepšiu koordináciu. Platforma bude spustená v roku 2016, pričom v prvej fáze sa bude zameriavať na podporu projektov prvého vyslania.</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rPr>
      </w:pPr>
      <w:r>
        <w:rPr>
          <w:rFonts w:ascii="Times New Roman" w:hAnsi="Times New Roman"/>
          <w:noProof/>
          <w:sz w:val="24"/>
        </w:rPr>
        <w:t>V roku 2015 bola pre iniciatívu Dobrovoľníci pomoci EÚ vytvorená jedinečná vizuálna identita, ktorej súčasťou je zástava EÚ, názov iniciatívy a slogan dobrovoľníkov pomoci EÚ „We Care, We Act“. Zavádza sa naprieč všetkými oblasťami iniciatívy a bude ju používať Komisia a všetky tretie strany zapojené do iniciatívy, ako sú napríklad vykonávajúce organizácie v tretích krajinách, vysielajúce organizácie v celej EÚ a dobrovoľníci, v súlade s usmerneniami o zviditeľňovaní iniciatívy Dobrovoľníci pomoci EÚ a komunikačným plánom iniciatívy Dobrovoľníci pomoci EÚ</w:t>
      </w:r>
      <w:r>
        <w:rPr>
          <w:rStyle w:val="FootnoteReference"/>
          <w:rFonts w:ascii="Times New Roman" w:hAnsi="Times New Roman"/>
          <w:noProof/>
          <w:sz w:val="24"/>
        </w:rPr>
        <w:footnoteReference w:id="21"/>
      </w:r>
      <w:r>
        <w:rPr>
          <w:rFonts w:ascii="Times New Roman" w:hAnsi="Times New Roman"/>
          <w:noProof/>
          <w:sz w:val="24"/>
        </w:rPr>
        <w:t>.</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r>
        <w:rPr>
          <w:rFonts w:ascii="Times New Roman" w:hAnsi="Times New Roman"/>
          <w:noProof/>
          <w:sz w:val="24"/>
        </w:rPr>
        <w:t>V roku 2015 prebehlo niekoľko podporných aktivít s účasťou členských štátov a medzinárodných organizácií, zameraných na prezentovanie informácií o príležitostiach vyplývajúcich z iniciatívy Dobrovoľníci pomoci EÚ a na povzbudenie potenciálnych prijímateľov a dobrovoľníkov, aby sa zúčastnili tohto programu.</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4"/>
          <w:szCs w:val="24"/>
        </w:rPr>
      </w:pPr>
      <w:r>
        <w:rPr>
          <w:rFonts w:ascii="Times New Roman" w:hAnsi="Times New Roman"/>
          <w:noProof/>
          <w:sz w:val="24"/>
        </w:rPr>
        <w:t>Činnosti predstavené v oddiele 6 vykonáva Komisia v spolupráci s EACEA na základe rozdelenia úloh medzi EACEA a útvary Komisie v rámci delegovania právomocí.</w:t>
      </w:r>
    </w:p>
    <w:p>
      <w:pPr>
        <w:spacing w:after="0" w:line="240" w:lineRule="auto"/>
        <w:jc w:val="both"/>
        <w:rPr>
          <w:rFonts w:ascii="Times New Roman" w:hAnsi="Times New Roman"/>
          <w:noProof/>
          <w:sz w:val="24"/>
          <w:szCs w:val="24"/>
        </w:rPr>
      </w:pPr>
    </w:p>
    <w:p>
      <w:pPr>
        <w:spacing w:after="0" w:line="240" w:lineRule="auto"/>
        <w:jc w:val="both"/>
        <w:rPr>
          <w:rFonts w:ascii="Times New Roman" w:hAnsi="Times New Roman"/>
          <w:noProof/>
          <w:sz w:val="28"/>
          <w:szCs w:val="28"/>
        </w:rPr>
      </w:pPr>
    </w:p>
    <w:p>
      <w:pPr>
        <w:spacing w:after="0" w:line="240" w:lineRule="auto"/>
        <w:jc w:val="both"/>
        <w:rPr>
          <w:rFonts w:ascii="Times New Roman" w:hAnsi="Times New Roman"/>
          <w:b/>
          <w:noProof/>
          <w:sz w:val="32"/>
          <w:szCs w:val="32"/>
        </w:rPr>
      </w:pPr>
      <w:r>
        <w:rPr>
          <w:rFonts w:ascii="Times New Roman" w:hAnsi="Times New Roman"/>
          <w:b/>
          <w:noProof/>
          <w:sz w:val="32"/>
        </w:rPr>
        <w:t>IV. Závery a ďalšie kroky</w:t>
      </w:r>
    </w:p>
    <w:p>
      <w:pPr>
        <w:pStyle w:val="NoSpacing"/>
        <w:jc w:val="both"/>
        <w:rPr>
          <w:rFonts w:ascii="Times New Roman" w:hAnsi="Times New Roman"/>
          <w:noProof/>
          <w:sz w:val="24"/>
          <w:szCs w:val="24"/>
        </w:rPr>
      </w:pPr>
    </w:p>
    <w:p>
      <w:pPr>
        <w:pStyle w:val="NoSpacing"/>
        <w:jc w:val="both"/>
        <w:rPr>
          <w:rFonts w:ascii="Times New Roman" w:hAnsi="Times New Roman"/>
          <w:noProof/>
          <w:sz w:val="24"/>
          <w:szCs w:val="24"/>
        </w:rPr>
      </w:pPr>
      <w:r>
        <w:rPr>
          <w:rFonts w:ascii="Times New Roman" w:hAnsi="Times New Roman"/>
          <w:noProof/>
          <w:sz w:val="24"/>
        </w:rPr>
        <w:t>Po prijatí legislatívneho balíka týkajúceho sa iniciatívy Dobrovoľníci Pomoci EÚ bol rok 2015 prvým rokom vykonávania celého spektra činností vrátane certifikácie organizácií, uverejnenia výzvy na predkladanie návrhov na technickú pomoc a budovanie kapacít, výzvy na predkladanie návrhov na vysielanie, výzvy na predkladanie ponúk na poskytovanie odbornej prípravy dobrovoľníkov, založenie systému poistenia a začatie vývoja Platformy dobrovoľníkov pomoci EÚ. Pilotná fáza realizovaná v rokoch 2011 až 2014 sa ukončila a iniciatíva bola formálne spustená na konferencii s účasťou dobrovoľníkov a organizácií, ktoré sa zapojili do pilotnej fázy.</w:t>
      </w:r>
    </w:p>
    <w:p>
      <w:pPr>
        <w:pStyle w:val="NoSpacing"/>
        <w:jc w:val="both"/>
        <w:rPr>
          <w:rFonts w:ascii="Times New Roman" w:hAnsi="Times New Roman"/>
          <w:noProof/>
          <w:sz w:val="24"/>
          <w:szCs w:val="24"/>
        </w:rPr>
      </w:pPr>
    </w:p>
    <w:p>
      <w:pPr>
        <w:pStyle w:val="NoSpacing"/>
        <w:jc w:val="both"/>
        <w:rPr>
          <w:rFonts w:ascii="Times New Roman" w:hAnsi="Times New Roman"/>
          <w:noProof/>
          <w:sz w:val="24"/>
        </w:rPr>
      </w:pPr>
      <w:r>
        <w:rPr>
          <w:rFonts w:ascii="Times New Roman" w:hAnsi="Times New Roman"/>
          <w:noProof/>
          <w:sz w:val="24"/>
        </w:rPr>
        <w:t>Vykonávanie iniciatívy bude naďalej pokračovať na týchto pevných základoch. Konkrétne akcie sa budú zameriavať na výber, odbornú prípravu a vysielanie dobrovoľníkov; vykonávanie súčasných projektov a výber nových projektov na</w:t>
      </w:r>
      <w:r>
        <w:rPr>
          <w:rFonts w:ascii="Times New Roman" w:hAnsi="Times New Roman"/>
          <w:b/>
          <w:noProof/>
          <w:sz w:val="24"/>
        </w:rPr>
        <w:t xml:space="preserve"> </w:t>
      </w:r>
      <w:r>
        <w:rPr>
          <w:rFonts w:ascii="Times New Roman" w:hAnsi="Times New Roman"/>
          <w:noProof/>
          <w:sz w:val="24"/>
        </w:rPr>
        <w:t>vysielanie dobrovoľníkov,</w:t>
      </w:r>
      <w:r>
        <w:rPr>
          <w:rFonts w:ascii="Times New Roman" w:hAnsi="Times New Roman"/>
          <w:b/>
          <w:noProof/>
          <w:sz w:val="24"/>
        </w:rPr>
        <w:t xml:space="preserve"> </w:t>
      </w:r>
      <w:r>
        <w:rPr>
          <w:rFonts w:ascii="Times New Roman" w:hAnsi="Times New Roman"/>
          <w:noProof/>
          <w:sz w:val="24"/>
        </w:rPr>
        <w:t>budovanie kapacít a technickú pomoc pre hostiteľské a vysielajúce organizácie; certifikáciu uchádzačov spomedzi vysielajúcich a hostiteľských organizácií. Pokračovať budú aj činnosti súvisiace s aplikovaním systému poistenia a odbornou prípravou dobrovoľníkov. Začne fungovať</w:t>
      </w:r>
      <w:r>
        <w:rPr>
          <w:rFonts w:ascii="Times New Roman" w:hAnsi="Times New Roman"/>
          <w:b/>
          <w:noProof/>
          <w:sz w:val="24"/>
        </w:rPr>
        <w:t xml:space="preserve"> </w:t>
      </w:r>
      <w:r>
        <w:rPr>
          <w:rFonts w:ascii="Times New Roman" w:hAnsi="Times New Roman"/>
          <w:noProof/>
          <w:sz w:val="24"/>
        </w:rPr>
        <w:t>Platforma dobrovoľníkov pomoci EÚ určená</w:t>
      </w:r>
      <w:r>
        <w:rPr>
          <w:rFonts w:ascii="Times New Roman" w:hAnsi="Times New Roman"/>
          <w:b/>
          <w:noProof/>
          <w:sz w:val="24"/>
        </w:rPr>
        <w:t xml:space="preserve"> </w:t>
      </w:r>
      <w:r>
        <w:rPr>
          <w:rFonts w:ascii="Times New Roman" w:hAnsi="Times New Roman"/>
          <w:noProof/>
          <w:sz w:val="24"/>
        </w:rPr>
        <w:t>na registráciu, nadväzovanie kontaktov, on-line dobrovoľníctvo a vzdelávanie.</w:t>
      </w:r>
    </w:p>
    <w:p>
      <w:pPr>
        <w:pStyle w:val="NoSpacing"/>
        <w:jc w:val="both"/>
        <w:rPr>
          <w:rFonts w:ascii="Times New Roman" w:hAnsi="Times New Roman"/>
          <w:noProof/>
          <w:sz w:val="24"/>
          <w:szCs w:val="24"/>
        </w:rPr>
      </w:pPr>
    </w:p>
    <w:p>
      <w:pPr>
        <w:pStyle w:val="NoSpacing"/>
        <w:jc w:val="both"/>
        <w:rPr>
          <w:rFonts w:ascii="Times New Roman" w:hAnsi="Times New Roman"/>
          <w:noProof/>
          <w:sz w:val="24"/>
        </w:rPr>
      </w:pPr>
      <w:r>
        <w:rPr>
          <w:rFonts w:ascii="Times New Roman" w:hAnsi="Times New Roman"/>
          <w:noProof/>
          <w:sz w:val="24"/>
        </w:rPr>
        <w:t>V súlade s pracovným programom na rok 2016</w:t>
      </w:r>
      <w:r>
        <w:rPr>
          <w:rStyle w:val="FootnoteReference"/>
          <w:rFonts w:ascii="Times New Roman" w:hAnsi="Times New Roman"/>
          <w:noProof/>
          <w:sz w:val="24"/>
        </w:rPr>
        <w:footnoteReference w:id="22"/>
      </w:r>
      <w:r>
        <w:rPr>
          <w:rFonts w:ascii="Times New Roman" w:hAnsi="Times New Roman"/>
          <w:noProof/>
          <w:sz w:val="24"/>
        </w:rPr>
        <w:t xml:space="preserve"> bude jedným z hlavných cieľov prispievať k budovaniu odolnosti a riadeniu rizika katastrof v zraniteľných, nestabilných alebo katastrofou zasiahnutých krajinách a „zabudnutých krízach“ vrátane akcií v rámci týchto fáz cyklu riadenia katastrof: predchádzanie katastrofám, pripravenosť, znižovanie rizika katastrof a obnova po prírodných a ľudskou činnosťou spôsobených katastrofách, včasné varovanie. Vysielanie dobrovoľníkov pomoci EÚ do tretích krajín a projekty zamerané na budovanie kapacít miestnych komunít budú odzrkadľovať silný politický záväzok Komisie v oblasti zvyšovania odolnosti a prispejú k budovaniu lepšie pripravených, inkluzívnych a stabilných spoločností, zlepšovaniu služieb a príležitostí, zmierňovaniu rizík a zmenšovaniu utrpenia a strát.</w:t>
      </w:r>
    </w:p>
    <w:p>
      <w:pPr>
        <w:pStyle w:val="NoSpacing"/>
        <w:jc w:val="both"/>
        <w:rPr>
          <w:rFonts w:ascii="Times New Roman" w:hAnsi="Times New Roman"/>
          <w:noProof/>
          <w:sz w:val="24"/>
          <w:szCs w:val="24"/>
        </w:rPr>
      </w:pPr>
    </w:p>
    <w:p>
      <w:pPr>
        <w:pStyle w:val="NoSpacing"/>
        <w:jc w:val="both"/>
        <w:rPr>
          <w:rFonts w:ascii="Times New Roman" w:hAnsi="Times New Roman"/>
          <w:noProof/>
          <w:sz w:val="24"/>
          <w:szCs w:val="24"/>
        </w:rPr>
      </w:pPr>
      <w:r>
        <w:rPr>
          <w:rFonts w:ascii="Times New Roman" w:hAnsi="Times New Roman"/>
          <w:noProof/>
          <w:sz w:val="24"/>
        </w:rPr>
        <w:t xml:space="preserve">Viac informácií o iniciatíve Dobrovoľníci pomoci EÚ možno nájsť na tejto adrese: </w:t>
      </w:r>
      <w:hyperlink r:id="rId18">
        <w:r>
          <w:rPr>
            <w:rStyle w:val="Hyperlink"/>
            <w:rFonts w:ascii="Times New Roman" w:hAnsi="Times New Roman"/>
            <w:noProof/>
            <w:sz w:val="24"/>
          </w:rPr>
          <w:t>http://ec.europa.eu/echo/what/humanitarian-aid/eu-aid-volunteers_en</w:t>
        </w:r>
      </w:hyperlink>
      <w:r>
        <w:rPr>
          <w:rStyle w:val="Hyperlink"/>
          <w:rFonts w:ascii="Times New Roman" w:hAnsi="Times New Roman"/>
          <w:noProof/>
          <w:sz w:val="24"/>
        </w:rPr>
        <w:t>.</w:t>
      </w:r>
    </w:p>
    <w:sectPr>
      <w:headerReference w:type="even" r:id="rId19"/>
      <w:headerReference w:type="default" r:id="rId20"/>
      <w:footerReference w:type="even" r:id="rId21"/>
      <w:footerReference w:type="default" r:id="rId22"/>
      <w:headerReference w:type="first" r:id="rId23"/>
      <w:footerReference w:type="first" r:id="rId24"/>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Fixed">
    <w:panose1 w:val="02070309020205020404"/>
    <w:charset w:val="00"/>
    <w:family w:val="modern"/>
    <w:pitch w:val="fixed"/>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2020803070505020304"/>
    <w:charset w:val="00"/>
    <w:family w:val="auto"/>
    <w:pitch w:val="variable"/>
    <w:sig w:usb0="00000000"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rPr>
        <w:rFonts w:ascii="Arial" w:hAnsi="Arial" w:cs="Arial"/>
        <w:b/>
        <w:sz w:val="48"/>
      </w:rPr>
    </w:pPr>
    <w:r>
      <w:rPr>
        <w:rFonts w:ascii="Arial" w:hAnsi="Arial" w:cs="Arial"/>
        <w:b/>
        <w:sz w:val="48"/>
      </w:rPr>
      <w:t>SK</w:t>
    </w:r>
    <w:r>
      <w:rPr>
        <w:rFonts w:ascii="Arial" w:hAnsi="Arial" w:cs="Arial"/>
        <w:b/>
        <w:sz w:val="48"/>
      </w:rPr>
      <w:tab/>
    </w:r>
    <w:r>
      <w:rPr>
        <w:rFonts w:ascii="Arial" w:hAnsi="Arial" w:cs="Arial"/>
        <w:b/>
        <w:sz w:val="48"/>
      </w:rPr>
      <w:tab/>
    </w:r>
    <w:r>
      <w:fldChar w:fldCharType="begin"/>
    </w:r>
    <w:r>
      <w:instrText xml:space="preserve"> DOCVARIABLE "LW_Confidence" \* MERGEFORMAT </w:instrText>
    </w:r>
    <w:r>
      <w:fldChar w:fldCharType="separate"/>
    </w:r>
    <w:r>
      <w:t xml:space="preserve"> </w:t>
    </w:r>
    <w:r>
      <w:fldChar w:fldCharType="end"/>
    </w:r>
    <w:r>
      <w:tab/>
    </w:r>
    <w:r>
      <w:rPr>
        <w:rFonts w:ascii="Arial" w:hAnsi="Arial" w:cs="Arial"/>
        <w:b/>
        <w:sz w:val="48"/>
      </w:rPr>
      <w:t>SK</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CoverPage"/>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jc w:val="right"/>
    </w:pPr>
    <w:r>
      <w:fldChar w:fldCharType="begin"/>
    </w:r>
    <w:r>
      <w:instrText xml:space="preserve"> PAGE   \* MERGEFORMAT </w:instrText>
    </w:r>
    <w:r>
      <w:fldChar w:fldCharType="separate"/>
    </w:r>
    <w:r>
      <w:rPr>
        <w:noProof/>
      </w:rPr>
      <w:t>2</w:t>
    </w:r>
    <w:r>
      <w:rPr>
        <w:noProof/>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pPr>
        <w:spacing w:after="0" w:line="240" w:lineRule="auto"/>
      </w:pPr>
      <w:r>
        <w:separator/>
      </w:r>
    </w:p>
  </w:footnote>
  <w:footnote w:type="continuationSeparator" w:id="0">
    <w:p>
      <w:pPr>
        <w:spacing w:after="0" w:line="240" w:lineRule="auto"/>
      </w:pPr>
      <w:r>
        <w:continuationSeparator/>
      </w:r>
    </w:p>
  </w:footnote>
  <w:footnote w:id="1">
    <w:p>
      <w:pPr>
        <w:pStyle w:val="FootnoteText"/>
        <w:rPr>
          <w:rFonts w:ascii="Times New Roman" w:hAnsi="Times New Roman"/>
          <w:sz w:val="16"/>
          <w:szCs w:val="16"/>
        </w:rPr>
      </w:pPr>
      <w:r>
        <w:rPr>
          <w:rStyle w:val="FootnoteReference"/>
        </w:rPr>
        <w:footnoteRef/>
      </w:r>
      <w:r>
        <w:t xml:space="preserve"> </w:t>
      </w:r>
      <w:r>
        <w:tab/>
      </w:r>
      <w:r>
        <w:rPr>
          <w:rFonts w:ascii="Times New Roman" w:hAnsi="Times New Roman"/>
          <w:sz w:val="16"/>
        </w:rPr>
        <w:t>Nariadenie Európskeho parlamentu a Rady (EÚ) č. 375/2014 z 3. apríla 2014, ktorým sa zakladá Európsky dobrovoľnícky zbor pre humanitárnu pomoc („iniciatíva Dobrovoľníci pomoci EÚ“) (Ú. v. EÚ L 122, 24.4.2014, s. 1). Delegované nariadenie Komisie (EÚ) č. 1398/2014 z 24. októbra 2014, ktorým sa stanovujú normy týkajúce sa záujemcov o dobrovoľnícku činnosť a dobrovoľníkov pomoci EÚ (Ú. v. EÚ L 373, 31.12.2014, s. 8). Vykonávacie nariadenie Komisie (EÚ) č. 1244/2014 z 20. novembra 2014, ktorým sa stanovujú pravidlá na vykonávanie nariadenia Európskeho parlamentu a Rady (EÚ) č. 375/2014, ktorým sa zakladá Európsky dobrovoľnícky zbor pre humanitárnu pomoc („iniciatíva Dobrovoľníci pomoci EÚ“) (Ú. v. EÚ L 334, 21.11.2014, s. 52).</w:t>
      </w:r>
    </w:p>
  </w:footnote>
  <w:footnote w:id="2">
    <w:p>
      <w:pPr>
        <w:pStyle w:val="FootnoteText"/>
        <w:spacing w:after="0"/>
        <w:rPr>
          <w:rFonts w:ascii="Times New Roman" w:hAnsi="Times New Roman"/>
          <w:sz w:val="16"/>
          <w:szCs w:val="16"/>
        </w:rPr>
      </w:pPr>
      <w:r>
        <w:rPr>
          <w:rStyle w:val="FootnoteReference"/>
        </w:rPr>
        <w:footnoteRef/>
      </w:r>
      <w:r>
        <w:tab/>
      </w:r>
      <w:r>
        <w:rPr>
          <w:rFonts w:ascii="Times New Roman" w:hAnsi="Times New Roman"/>
          <w:sz w:val="16"/>
        </w:rPr>
        <w:t>Článok 214 ods. 5 Zmluvy o fungovaní Európskej únie: „</w:t>
      </w:r>
      <w:r>
        <w:rPr>
          <w:rFonts w:ascii="Times New Roman" w:hAnsi="Times New Roman"/>
          <w:color w:val="000000"/>
          <w:sz w:val="16"/>
        </w:rPr>
        <w:t>S cieľom vytvoriť rámec pre spoločné príspevky mladých Európanov na humanitárne činnosti Únie sa zakladá Európsky dobrovoľnícky zbor pre humanitárnu pomoc. Európsky parlament a Rada v súlade s riadnym legislatívnym postupom prostredníctvom nariadení ustanovia jeho štatút a spôsob jeho fungovania</w:t>
      </w:r>
      <w:r>
        <w:rPr>
          <w:rFonts w:ascii="Times New Roman" w:hAnsi="Times New Roman"/>
          <w:sz w:val="16"/>
        </w:rPr>
        <w:t>.“</w:t>
      </w:r>
    </w:p>
  </w:footnote>
  <w:footnote w:id="3">
    <w:p>
      <w:pPr>
        <w:pStyle w:val="FootnoteText"/>
        <w:spacing w:after="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r>
        <w:rPr>
          <w:rFonts w:ascii="Times New Roman" w:hAnsi="Times New Roman"/>
          <w:sz w:val="16"/>
        </w:rPr>
        <w:t>Prvá výročná správa o vykonávaní iniciatívy Dobrovoľníci pomoci EÚ bola predložená v roku 2014, COM(2015) 335 z 13.7.2015.</w:t>
      </w:r>
    </w:p>
  </w:footnote>
  <w:footnote w:id="4">
    <w:p>
      <w:pPr>
        <w:pStyle w:val="FootnoteText"/>
        <w:spacing w:after="0"/>
        <w:rPr>
          <w:rFonts w:ascii="Times New Roman" w:hAnsi="Times New Roman"/>
          <w:sz w:val="16"/>
          <w:szCs w:val="16"/>
        </w:rPr>
      </w:pPr>
      <w:r>
        <w:rPr>
          <w:rStyle w:val="FootnoteReference"/>
        </w:rPr>
        <w:footnoteRef/>
      </w:r>
      <w:r>
        <w:tab/>
      </w:r>
      <w:r>
        <w:rPr>
          <w:rFonts w:ascii="Times New Roman" w:hAnsi="Times New Roman"/>
          <w:sz w:val="16"/>
        </w:rPr>
        <w:t>Vykonávacie rozhodnutie Komisie C(2015) 1548 z 12.3.2015 týkajúce sa prijatia pracovného programu na rok 2015 a financovania vykonávania iniciatívy Dobrovoľníci pomoci EÚ</w:t>
      </w:r>
      <w:r>
        <w:rPr>
          <w:rStyle w:val="Hyperlink"/>
          <w:rFonts w:ascii="Times New Roman" w:hAnsi="Times New Roman"/>
          <w:sz w:val="16"/>
        </w:rPr>
        <w:t>.</w:t>
      </w:r>
    </w:p>
  </w:footnote>
  <w:footnote w:id="5">
    <w:p>
      <w:pPr>
        <w:pStyle w:val="FootnoteText"/>
        <w:spacing w:after="0"/>
        <w:rPr>
          <w:rFonts w:ascii="Times New Roman" w:hAnsi="Times New Roman"/>
          <w:sz w:val="16"/>
          <w:szCs w:val="16"/>
        </w:rPr>
      </w:pPr>
      <w:r>
        <w:rPr>
          <w:rStyle w:val="FootnoteReference"/>
        </w:rPr>
        <w:footnoteRef/>
      </w:r>
      <w:r>
        <w:t xml:space="preserve"> </w:t>
      </w:r>
      <w:r>
        <w:tab/>
      </w:r>
      <w:r>
        <w:rPr>
          <w:rFonts w:ascii="Times New Roman" w:hAnsi="Times New Roman"/>
          <w:sz w:val="16"/>
        </w:rPr>
        <w:t>Vykonávacie rozhodnutie Komisie C(2014) 3872 zo 16.6.2014 týkajúce sa prijatia pracovného programu na rok 2014 a financovania vykonávania iniciatívy Dobrovoľníci pomoci EÚ.</w:t>
      </w:r>
    </w:p>
  </w:footnote>
  <w:footnote w:id="6">
    <w:p>
      <w:pPr>
        <w:pStyle w:val="FootnoteText"/>
        <w:spacing w:after="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r>
        <w:rPr>
          <w:rFonts w:ascii="Times New Roman" w:hAnsi="Times New Roman"/>
          <w:sz w:val="16"/>
        </w:rPr>
        <w:t>Článok 10 nariadenia (EÚ) č. 375/2014; články 32 a 33 delegovaného nariadenia (EÚ) č. 1398/2014.</w:t>
      </w:r>
    </w:p>
  </w:footnote>
  <w:footnote w:id="7">
    <w:p>
      <w:pPr>
        <w:pStyle w:val="FootnoteText"/>
        <w:spacing w:after="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r>
        <w:rPr>
          <w:rFonts w:ascii="Times New Roman" w:hAnsi="Times New Roman"/>
          <w:sz w:val="16"/>
        </w:rPr>
        <w:t>https://eacea.ec.europa.eu/sites/eacea-site/files/certification-call-announcement-012115.pdf</w:t>
      </w:r>
    </w:p>
  </w:footnote>
  <w:footnote w:id="8">
    <w:p>
      <w:pPr>
        <w:pStyle w:val="FootnoteText"/>
        <w:spacing w:after="0"/>
        <w:ind w:firstLine="0"/>
        <w:rPr>
          <w:rFonts w:ascii="Times New Roman" w:hAnsi="Times New Roman"/>
          <w:sz w:val="16"/>
          <w:szCs w:val="16"/>
          <w:lang w:val="fr-BE"/>
        </w:rPr>
      </w:pPr>
      <w:r>
        <w:rPr>
          <w:rStyle w:val="FootnoteReference"/>
          <w:rFonts w:ascii="Times New Roman" w:hAnsi="Times New Roman"/>
          <w:sz w:val="16"/>
        </w:rPr>
        <w:footnoteRef/>
      </w:r>
      <w:hyperlink r:id="rId1">
        <w:r>
          <w:rPr>
            <w:rStyle w:val="Hyperlink"/>
            <w:rFonts w:ascii="Times New Roman" w:hAnsi="Times New Roman"/>
            <w:sz w:val="16"/>
          </w:rPr>
          <w:t>https://eacea.ec.europa.eu/eu-aid-volunteers/selection-results/selection-results-certification-mechanism-for-sending-and-hosting organisations_en</w:t>
        </w:r>
      </w:hyperlink>
    </w:p>
  </w:footnote>
  <w:footnote w:id="9">
    <w:p>
      <w:pPr>
        <w:pStyle w:val="FootnoteText"/>
        <w:spacing w:after="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r>
        <w:rPr>
          <w:rFonts w:ascii="Times New Roman" w:hAnsi="Times New Roman"/>
          <w:sz w:val="16"/>
        </w:rPr>
        <w:t xml:space="preserve">Článok 10 a 15 nariadenia (EÚ) č. 375/2014. </w:t>
      </w:r>
    </w:p>
  </w:footnote>
  <w:footnote w:id="10">
    <w:p>
      <w:pPr>
        <w:pStyle w:val="FootnoteText"/>
        <w:spacing w:after="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r>
        <w:rPr>
          <w:rFonts w:ascii="Times New Roman" w:hAnsi="Times New Roman"/>
          <w:sz w:val="16"/>
        </w:rPr>
        <w:t>Ú. v. EÚ C 17, 20.1.2015, s. 10.</w:t>
      </w:r>
    </w:p>
  </w:footnote>
  <w:footnote w:id="11">
    <w:p>
      <w:pPr>
        <w:pStyle w:val="FootnoteText"/>
        <w:spacing w:after="0"/>
        <w:rPr>
          <w:rFonts w:ascii="Times New Roman" w:hAnsi="Times New Roman"/>
          <w:sz w:val="16"/>
          <w:szCs w:val="16"/>
          <w:lang w:val="fr-BE"/>
        </w:rPr>
      </w:pPr>
      <w:r>
        <w:rPr>
          <w:rStyle w:val="FootnoteReference"/>
        </w:rPr>
        <w:footnoteRef/>
      </w:r>
      <w:r>
        <w:t xml:space="preserve"> </w:t>
      </w:r>
      <w:r>
        <w:tab/>
      </w:r>
      <w:r>
        <w:rPr>
          <w:rFonts w:ascii="Times New Roman" w:hAnsi="Times New Roman"/>
          <w:sz w:val="16"/>
        </w:rPr>
        <w:t xml:space="preserve">Zoznam žiadostí vybraných na financovanie v 1. kole a v 2. kole </w:t>
      </w:r>
      <w:hyperlink r:id="rId2">
        <w:r>
          <w:rPr>
            <w:rStyle w:val="Hyperlink"/>
            <w:rFonts w:ascii="Times New Roman" w:hAnsi="Times New Roman"/>
            <w:sz w:val="16"/>
          </w:rPr>
          <w:t>https://eacea.ec.europa.eu/eu-aid-volunteers/selection-results/technical-assistance-and-capacity-building_en</w:t>
        </w:r>
      </w:hyperlink>
      <w:r>
        <w:rPr>
          <w:rFonts w:ascii="Times New Roman" w:hAnsi="Times New Roman"/>
          <w:sz w:val="16"/>
        </w:rPr>
        <w:t xml:space="preserve">  </w:t>
      </w:r>
    </w:p>
  </w:footnote>
  <w:footnote w:id="12">
    <w:p>
      <w:pPr>
        <w:pStyle w:val="FootnoteText"/>
        <w:spacing w:after="0"/>
        <w:rPr>
          <w:rFonts w:ascii="Times New Roman" w:hAnsi="Times New Roman"/>
          <w:sz w:val="16"/>
          <w:szCs w:val="16"/>
          <w:lang w:val="fr-BE"/>
        </w:rPr>
      </w:pPr>
      <w:r>
        <w:rPr>
          <w:rStyle w:val="FootnoteReference"/>
        </w:rPr>
        <w:footnoteRef/>
      </w:r>
      <w:r>
        <w:t xml:space="preserve"> </w:t>
      </w:r>
      <w:r>
        <w:tab/>
      </w:r>
      <w:r>
        <w:rPr>
          <w:rFonts w:ascii="Times New Roman" w:hAnsi="Times New Roman"/>
          <w:sz w:val="16"/>
        </w:rPr>
        <w:t>Partneri ECHO viazaní rámcovými dohodami o partnerstve (RDP) alebo finančnou a administratívnou rámcovou dohodou (FAFA) medzi Európskou úniou a OSN.</w:t>
      </w:r>
    </w:p>
  </w:footnote>
  <w:footnote w:id="13">
    <w:p>
      <w:pPr>
        <w:pStyle w:val="FootnoteText"/>
        <w:spacing w:after="0"/>
        <w:rPr>
          <w:rFonts w:ascii="Times New Roman" w:hAnsi="Times New Roman"/>
          <w:sz w:val="16"/>
          <w:szCs w:val="16"/>
          <w:lang w:val="fr-BE"/>
        </w:rPr>
      </w:pPr>
      <w:r>
        <w:rPr>
          <w:rStyle w:val="FootnoteReference"/>
          <w:rFonts w:ascii="Times New Roman" w:hAnsi="Times New Roman"/>
          <w:sz w:val="16"/>
        </w:rPr>
        <w:footnoteRef/>
      </w:r>
      <w:r>
        <w:rPr>
          <w:rFonts w:ascii="Times New Roman" w:hAnsi="Times New Roman"/>
          <w:sz w:val="16"/>
        </w:rPr>
        <w:t xml:space="preserve"> </w:t>
      </w:r>
      <w:r>
        <w:tab/>
      </w:r>
      <w:r>
        <w:rPr>
          <w:rFonts w:ascii="Times New Roman" w:hAnsi="Times New Roman"/>
          <w:sz w:val="16"/>
        </w:rPr>
        <w:t>Ú. v. EÚ C 249, 30.7.2015, s. 8.</w:t>
      </w:r>
    </w:p>
  </w:footnote>
  <w:footnote w:id="14">
    <w:p>
      <w:pPr>
        <w:pStyle w:val="FootnoteText"/>
        <w:spacing w:after="0"/>
        <w:rPr>
          <w:rFonts w:ascii="Times New Roman" w:hAnsi="Times New Roman"/>
          <w:sz w:val="16"/>
          <w:szCs w:val="16"/>
          <w:lang w:val="fr-BE"/>
        </w:rPr>
      </w:pPr>
      <w:r>
        <w:rPr>
          <w:rStyle w:val="FootnoteReference"/>
          <w:rFonts w:ascii="Times New Roman" w:hAnsi="Times New Roman"/>
          <w:sz w:val="16"/>
        </w:rPr>
        <w:footnoteRef/>
      </w:r>
      <w:r>
        <w:rPr>
          <w:rFonts w:ascii="Times New Roman" w:hAnsi="Times New Roman"/>
          <w:sz w:val="16"/>
        </w:rPr>
        <w:t xml:space="preserve"> </w:t>
      </w:r>
      <w:r>
        <w:tab/>
      </w:r>
      <w:r>
        <w:rPr>
          <w:sz w:val="22"/>
          <w:szCs w:val="22"/>
        </w:rPr>
        <w:fldChar w:fldCharType="begin"/>
      </w:r>
      <w:r>
        <w:rPr>
          <w:rFonts w:ascii="Times New Roman" w:hAnsi="Times New Roman"/>
          <w:sz w:val="16"/>
          <w:szCs w:val="16"/>
        </w:rPr>
        <w:instrText xml:space="preserve">https://eacea.ec.europa.eu/about-eacea/calls-for-tender-eacea/insurance-for-eu-aid-volunteers_en" </w:instrText>
      </w:r>
      <w:r>
        <w:rPr>
          <w:sz w:val="22"/>
          <w:szCs w:val="22"/>
        </w:rPr>
        <w:fldChar w:fldCharType="separate"/>
      </w:r>
      <w:r>
        <w:rPr>
          <w:rStyle w:val="Hyperlink"/>
          <w:rFonts w:ascii="Times New Roman" w:hAnsi="Times New Roman"/>
          <w:sz w:val="16"/>
          <w:szCs w:val="16"/>
        </w:rPr>
        <w:t>https://eacea.ec.europa.eu/about-eacea/calls-for-tender-eacea/insurance-for-eu-aid-volunteers_en</w:t>
      </w:r>
      <w:r>
        <w:rPr>
          <w:rStyle w:val="Hyperlink"/>
          <w:rFonts w:ascii="Times New Roman" w:hAnsi="Times New Roman"/>
          <w:sz w:val="16"/>
          <w:szCs w:val="16"/>
        </w:rPr>
        <w:fldChar w:fldCharType="end"/>
      </w:r>
      <w:r>
        <w:rPr>
          <w:rFonts w:ascii="Times New Roman" w:hAnsi="Times New Roman"/>
          <w:sz w:val="16"/>
        </w:rPr>
        <w:t xml:space="preserve"> </w:t>
      </w:r>
      <w:hyperlink r:id="rId3">
        <w:r>
          <w:rPr>
            <w:rStyle w:val="Hyperlink"/>
            <w:rFonts w:ascii="Times New Roman" w:hAnsi="Times New Roman"/>
            <w:sz w:val="16"/>
          </w:rPr>
          <w:t>https://eacea.ec.europa.eu/about-eacea/calls-for-tender-eacea/insurance-for-eu-aid-volunteers_en</w:t>
        </w:r>
      </w:hyperlink>
    </w:p>
    <w:p>
      <w:pPr>
        <w:pStyle w:val="FootnoteText"/>
        <w:spacing w:after="0"/>
        <w:ind w:left="0" w:firstLine="0"/>
        <w:rPr>
          <w:rFonts w:ascii="Times New Roman" w:hAnsi="Times New Roman"/>
          <w:sz w:val="16"/>
          <w:szCs w:val="16"/>
          <w:lang w:val="fr-BE"/>
        </w:rPr>
      </w:pPr>
    </w:p>
  </w:footnote>
  <w:footnote w:id="15">
    <w:p>
      <w:pPr>
        <w:pStyle w:val="FootnoteText"/>
        <w:spacing w:after="0"/>
        <w:rPr>
          <w:rFonts w:ascii="Times New Roman" w:hAnsi="Times New Roman"/>
          <w:sz w:val="16"/>
          <w:szCs w:val="16"/>
          <w:lang w:val="fr-BE"/>
        </w:rPr>
      </w:pPr>
      <w:r>
        <w:rPr>
          <w:rStyle w:val="FootnoteReference"/>
          <w:rFonts w:ascii="Times New Roman" w:hAnsi="Times New Roman"/>
          <w:sz w:val="16"/>
        </w:rPr>
        <w:footnoteRef/>
      </w:r>
      <w:r>
        <w:rPr>
          <w:rFonts w:ascii="Times New Roman" w:hAnsi="Times New Roman"/>
          <w:sz w:val="16"/>
        </w:rPr>
        <w:t xml:space="preserve"> </w:t>
      </w:r>
      <w:r>
        <w:tab/>
      </w:r>
      <w:hyperlink r:id="rId4">
        <w:r>
          <w:rPr>
            <w:rStyle w:val="Hyperlink"/>
            <w:rFonts w:ascii="Times New Roman" w:hAnsi="Times New Roman"/>
            <w:sz w:val="16"/>
          </w:rPr>
          <w:t>http://ted.europa.eu/udl?uri=TED:NOTICE:396826-2015:TEXT:EN:HTML&amp;tabId=1</w:t>
        </w:r>
      </w:hyperlink>
      <w:r>
        <w:rPr>
          <w:rFonts w:ascii="Times New Roman" w:hAnsi="Times New Roman"/>
          <w:sz w:val="16"/>
        </w:rPr>
        <w:t xml:space="preserve"> </w:t>
      </w:r>
    </w:p>
  </w:footnote>
  <w:footnote w:id="16">
    <w:p>
      <w:pPr>
        <w:pStyle w:val="FootnoteText"/>
        <w:spacing w:after="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r>
        <w:rPr>
          <w:rFonts w:ascii="Times New Roman" w:hAnsi="Times New Roman"/>
          <w:sz w:val="16"/>
        </w:rPr>
        <w:t>Rozhodnutie Komisie C(2013) 9189 z 18.12.2013, ktorým sa delegujú právomoci na Výkonnú agentúru pre vzdelávanie, audiovizuálny sektor a kultúru s cieľom vykonávať úlohy spojené s vykonávaním programov Únie v oblasti vzdelávania, audiovizuálneho sektora a kultúry, ktoré zahŕňa najmä plnenie rozpočtových prostriedkov zahrnutých do všeobecného rozpočtu Únie a prostriedkov pridelených z ERF (zmenené rozhodnutím Komisie C(2015) 658 z 12.2.2015).</w:t>
      </w:r>
    </w:p>
  </w:footnote>
  <w:footnote w:id="17">
    <w:p>
      <w:pPr>
        <w:pStyle w:val="FootnoteText"/>
        <w:spacing w:after="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hyperlink r:id="rId5">
        <w:r>
          <w:rPr>
            <w:rStyle w:val="Hyperlink"/>
            <w:rFonts w:ascii="Times New Roman" w:hAnsi="Times New Roman"/>
            <w:sz w:val="16"/>
          </w:rPr>
          <w:t>http://ec.europa.eu/echo/files/euaidvolunteers/EUAV_CommunicationPlan_en.pdf</w:t>
        </w:r>
      </w:hyperlink>
    </w:p>
  </w:footnote>
  <w:footnote w:id="18">
    <w:p>
      <w:pPr>
        <w:pStyle w:val="FootnoteText"/>
        <w:spacing w:after="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r>
        <w:rPr>
          <w:rFonts w:ascii="Times New Roman" w:hAnsi="Times New Roman"/>
          <w:sz w:val="16"/>
        </w:rPr>
        <w:t xml:space="preserve">Zhrnutie konferencie: </w:t>
      </w:r>
      <w:hyperlink r:id="rId6">
        <w:r>
          <w:rPr>
            <w:rStyle w:val="Hyperlink"/>
            <w:rFonts w:ascii="Times New Roman" w:hAnsi="Times New Roman"/>
            <w:sz w:val="16"/>
          </w:rPr>
          <w:t>http://ec.europa.eu/echo/sites/echo-site/files/EUAV_report.pdf</w:t>
        </w:r>
      </w:hyperlink>
      <w:r>
        <w:rPr>
          <w:rFonts w:ascii="Times New Roman" w:hAnsi="Times New Roman"/>
          <w:sz w:val="16"/>
        </w:rPr>
        <w:t xml:space="preserve"> </w:t>
      </w:r>
    </w:p>
  </w:footnote>
  <w:footnote w:id="19">
    <w:p>
      <w:pPr>
        <w:pStyle w:val="FootnoteText"/>
        <w:spacing w:after="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hyperlink r:id="rId7">
        <w:r>
          <w:rPr>
            <w:rStyle w:val="Hyperlink"/>
            <w:rFonts w:ascii="Times New Roman" w:hAnsi="Times New Roman"/>
            <w:sz w:val="16"/>
          </w:rPr>
          <w:t>http://ec.europa.eu/echo/what/humanitarian-aid/eu-aid-volunteers_en</w:t>
        </w:r>
      </w:hyperlink>
      <w:r>
        <w:rPr>
          <w:rFonts w:ascii="Times New Roman" w:hAnsi="Times New Roman"/>
          <w:sz w:val="16"/>
        </w:rPr>
        <w:t xml:space="preserve">  </w:t>
      </w:r>
    </w:p>
  </w:footnote>
  <w:footnote w:id="20">
    <w:p>
      <w:pPr>
        <w:pStyle w:val="FootnoteText"/>
        <w:spacing w:after="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hyperlink r:id="rId8">
        <w:r>
          <w:rPr>
            <w:rStyle w:val="Hyperlink"/>
            <w:rFonts w:ascii="Times New Roman" w:hAnsi="Times New Roman"/>
            <w:sz w:val="16"/>
          </w:rPr>
          <w:t>https://www.youtube.com/watch?v=fOKqT_xpIXw</w:t>
        </w:r>
      </w:hyperlink>
    </w:p>
  </w:footnote>
  <w:footnote w:id="21">
    <w:p>
      <w:pPr>
        <w:pStyle w:val="FootnoteText"/>
        <w:spacing w:after="0"/>
      </w:pPr>
      <w:r>
        <w:rPr>
          <w:rStyle w:val="FootnoteReference"/>
          <w:rFonts w:ascii="Times New Roman" w:hAnsi="Times New Roman"/>
          <w:sz w:val="16"/>
        </w:rPr>
        <w:footnoteRef/>
      </w:r>
      <w:r>
        <w:rPr>
          <w:rFonts w:ascii="Times New Roman" w:hAnsi="Times New Roman"/>
          <w:sz w:val="16"/>
        </w:rPr>
        <w:t xml:space="preserve"> </w:t>
      </w:r>
      <w:r>
        <w:tab/>
      </w:r>
      <w:r>
        <w:rPr>
          <w:rStyle w:val="Hyperlink"/>
          <w:rFonts w:ascii="Times New Roman" w:hAnsi="Times New Roman"/>
          <w:sz w:val="16"/>
        </w:rPr>
        <w:t>http://ec.europa.eu/echo/files/euaidvolunteers/EUAV_CommunicationPlan_en.pdf</w:t>
      </w:r>
    </w:p>
  </w:footnote>
  <w:footnote w:id="22">
    <w:p>
      <w:pPr>
        <w:pStyle w:val="FootnoteText"/>
        <w:spacing w:after="0"/>
        <w:rPr>
          <w:rFonts w:ascii="Times New Roman" w:hAnsi="Times New Roman"/>
          <w:sz w:val="16"/>
          <w:szCs w:val="16"/>
        </w:rPr>
      </w:pPr>
      <w:r>
        <w:rPr>
          <w:rStyle w:val="FootnoteReference"/>
          <w:rFonts w:ascii="Times New Roman" w:hAnsi="Times New Roman"/>
          <w:sz w:val="16"/>
        </w:rPr>
        <w:footnoteRef/>
      </w:r>
      <w:r>
        <w:rPr>
          <w:rFonts w:ascii="Times New Roman" w:hAnsi="Times New Roman"/>
          <w:sz w:val="16"/>
        </w:rPr>
        <w:t xml:space="preserve"> </w:t>
      </w:r>
      <w:r>
        <w:tab/>
      </w:r>
      <w:r>
        <w:rPr>
          <w:rFonts w:ascii="Times New Roman" w:hAnsi="Times New Roman"/>
          <w:sz w:val="16"/>
        </w:rPr>
        <w:t>Vykonávacie rozhodnutie Komisie C(2015) 9058 z 15.12.2015 týkajúce sa prijatia pracovného programu na rok 2016 a financovania vykonávania iniciatívy Dobrovoľníci pomoci EÚ.</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CoverPage"/>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972EA7"/>
    <w:multiLevelType w:val="hybridMultilevel"/>
    <w:tmpl w:val="008C690A"/>
    <w:lvl w:ilvl="0" w:tplc="D1F2BC1C">
      <w:start w:val="2007"/>
      <w:numFmt w:val="bullet"/>
      <w:lvlText w:val="-"/>
      <w:lvlJc w:val="left"/>
      <w:pPr>
        <w:tabs>
          <w:tab w:val="num" w:pos="720"/>
        </w:tabs>
        <w:ind w:left="720" w:hanging="360"/>
      </w:pPr>
      <w:rPr>
        <w:rFonts w:ascii="Times New Roman" w:eastAsia="Times New Roman" w:hAnsi="Times New Roman"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
    <w:nsid w:val="0BA73F03"/>
    <w:multiLevelType w:val="hybridMultilevel"/>
    <w:tmpl w:val="0D885D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nsid w:val="14996626"/>
    <w:multiLevelType w:val="hybridMultilevel"/>
    <w:tmpl w:val="EFB2FE7C"/>
    <w:lvl w:ilvl="0" w:tplc="FFFFFFFF">
      <w:start w:val="1"/>
      <w:numFmt w:val="bullet"/>
      <w:pStyle w:val="Briefingheading1"/>
      <w:lvlText w:val=""/>
      <w:lvlJc w:val="left"/>
      <w:pPr>
        <w:tabs>
          <w:tab w:val="num" w:pos="284"/>
        </w:tabs>
        <w:ind w:left="284" w:hanging="284"/>
      </w:pPr>
      <w:rPr>
        <w:rFonts w:ascii="Symbol" w:hAnsi="Symbol" w:hint="default"/>
        <w:b w:val="0"/>
        <w:i w:val="0"/>
        <w:color w:val="auto"/>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b w:val="0"/>
        <w:i w:val="0"/>
        <w:color w:val="auto"/>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nsid w:val="1FDE315E"/>
    <w:multiLevelType w:val="hybridMultilevel"/>
    <w:tmpl w:val="225A1D2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23B33EEF"/>
    <w:multiLevelType w:val="hybridMultilevel"/>
    <w:tmpl w:val="1C3448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273B2CC1"/>
    <w:multiLevelType w:val="multilevel"/>
    <w:tmpl w:val="56E62498"/>
    <w:lvl w:ilvl="0">
      <w:start w:val="1"/>
      <w:numFmt w:val="decimal"/>
      <w:pStyle w:val="AARHeading11"/>
      <w:lvlText w:val="%1."/>
      <w:lvlJc w:val="left"/>
      <w:pPr>
        <w:ind w:left="1004" w:hanging="720"/>
      </w:pPr>
      <w:rPr>
        <w:rFonts w:hint="default"/>
      </w:rPr>
    </w:lvl>
    <w:lvl w:ilvl="1">
      <w:start w:val="1"/>
      <w:numFmt w:val="decimal"/>
      <w:pStyle w:val="AARHeading211"/>
      <w:isLgl/>
      <w:lvlText w:val="%1.%2"/>
      <w:lvlJc w:val="left"/>
      <w:pPr>
        <w:ind w:left="720" w:hanging="720"/>
      </w:pPr>
      <w:rPr>
        <w:rFonts w:hint="default"/>
      </w:rPr>
    </w:lvl>
    <w:lvl w:ilvl="2">
      <w:start w:val="1"/>
      <w:numFmt w:val="decimal"/>
      <w:pStyle w:val="AARHeading3111"/>
      <w:isLgl/>
      <w:lvlText w:val="%1.%2.%3"/>
      <w:lvlJc w:val="left"/>
      <w:pPr>
        <w:ind w:left="1080" w:hanging="1080"/>
      </w:pPr>
      <w:rPr>
        <w:rFonts w:hint="default"/>
      </w:rPr>
    </w:lvl>
    <w:lvl w:ilvl="3">
      <w:start w:val="1"/>
      <w:numFmt w:val="decimal"/>
      <w:isLgl/>
      <w:lvlText w:val="%1.%2.%3.%4"/>
      <w:lvlJc w:val="left"/>
      <w:pPr>
        <w:ind w:left="3164" w:hanging="1800"/>
      </w:pPr>
      <w:rPr>
        <w:rFonts w:hint="default"/>
      </w:rPr>
    </w:lvl>
    <w:lvl w:ilvl="4">
      <w:start w:val="1"/>
      <w:numFmt w:val="decimal"/>
      <w:isLgl/>
      <w:lvlText w:val="%1.%2.%3.%4.%5"/>
      <w:lvlJc w:val="left"/>
      <w:pPr>
        <w:ind w:left="3884" w:hanging="2160"/>
      </w:pPr>
      <w:rPr>
        <w:rFonts w:hint="default"/>
      </w:rPr>
    </w:lvl>
    <w:lvl w:ilvl="5">
      <w:start w:val="1"/>
      <w:numFmt w:val="decimal"/>
      <w:isLgl/>
      <w:lvlText w:val="%1.%2.%3.%4.%5.%6"/>
      <w:lvlJc w:val="left"/>
      <w:pPr>
        <w:ind w:left="4604" w:hanging="2520"/>
      </w:pPr>
      <w:rPr>
        <w:rFonts w:hint="default"/>
      </w:rPr>
    </w:lvl>
    <w:lvl w:ilvl="6">
      <w:start w:val="1"/>
      <w:numFmt w:val="decimal"/>
      <w:isLgl/>
      <w:lvlText w:val="%1.%2.%3.%4.%5.%6.%7"/>
      <w:lvlJc w:val="left"/>
      <w:pPr>
        <w:ind w:left="5324" w:hanging="2880"/>
      </w:pPr>
      <w:rPr>
        <w:rFonts w:hint="default"/>
      </w:rPr>
    </w:lvl>
    <w:lvl w:ilvl="7">
      <w:start w:val="1"/>
      <w:numFmt w:val="decimal"/>
      <w:isLgl/>
      <w:lvlText w:val="%1.%2.%3.%4.%5.%6.%7.%8"/>
      <w:lvlJc w:val="left"/>
      <w:pPr>
        <w:ind w:left="6044" w:hanging="3240"/>
      </w:pPr>
      <w:rPr>
        <w:rFonts w:hint="default"/>
      </w:rPr>
    </w:lvl>
    <w:lvl w:ilvl="8">
      <w:start w:val="1"/>
      <w:numFmt w:val="decimal"/>
      <w:isLgl/>
      <w:lvlText w:val="%1.%2.%3.%4.%5.%6.%7.%8.%9"/>
      <w:lvlJc w:val="left"/>
      <w:pPr>
        <w:ind w:left="6764" w:hanging="3600"/>
      </w:pPr>
      <w:rPr>
        <w:rFonts w:hint="default"/>
      </w:rPr>
    </w:lvl>
  </w:abstractNum>
  <w:abstractNum w:abstractNumId="6">
    <w:nsid w:val="2B7030C1"/>
    <w:multiLevelType w:val="hybridMultilevel"/>
    <w:tmpl w:val="0D327C1E"/>
    <w:lvl w:ilvl="0" w:tplc="08090001">
      <w:start w:val="1"/>
      <w:numFmt w:val="bullet"/>
      <w:lvlText w:val=""/>
      <w:lvlJc w:val="left"/>
      <w:pPr>
        <w:ind w:left="1200" w:hanging="360"/>
      </w:pPr>
      <w:rPr>
        <w:rFonts w:ascii="Symbol" w:hAnsi="Symbol" w:hint="default"/>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7">
    <w:nsid w:val="3C030CCF"/>
    <w:multiLevelType w:val="hybridMultilevel"/>
    <w:tmpl w:val="367217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467D79BA"/>
    <w:multiLevelType w:val="hybridMultilevel"/>
    <w:tmpl w:val="367217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nsid w:val="4D1E3282"/>
    <w:multiLevelType w:val="hybridMultilevel"/>
    <w:tmpl w:val="5352D030"/>
    <w:lvl w:ilvl="0" w:tplc="08090003">
      <w:start w:val="1"/>
      <w:numFmt w:val="bullet"/>
      <w:lvlText w:val="o"/>
      <w:lvlJc w:val="left"/>
      <w:pPr>
        <w:ind w:left="644"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65C74530"/>
    <w:multiLevelType w:val="hybridMultilevel"/>
    <w:tmpl w:val="0EBC814A"/>
    <w:lvl w:ilvl="0" w:tplc="BC860584">
      <w:start w:val="1"/>
      <w:numFmt w:val="bullet"/>
      <w:lvlText w:val="-"/>
      <w:lvlJc w:val="left"/>
      <w:pPr>
        <w:ind w:left="720" w:hanging="360"/>
      </w:pPr>
      <w:rPr>
        <w:rFonts w:ascii="Simplified Arabic Fixed" w:hAnsi="Simplified Arabic Fixed" w:hint="default"/>
      </w:rPr>
    </w:lvl>
    <w:lvl w:ilvl="1" w:tplc="08090003">
      <w:start w:val="1"/>
      <w:numFmt w:val="bullet"/>
      <w:lvlText w:val="o"/>
      <w:lvlJc w:val="left"/>
      <w:pPr>
        <w:ind w:left="48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68543A7B"/>
    <w:multiLevelType w:val="hybridMultilevel"/>
    <w:tmpl w:val="6ABC1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75091D7A"/>
    <w:multiLevelType w:val="multilevel"/>
    <w:tmpl w:val="7D301D92"/>
    <w:lvl w:ilvl="0">
      <w:start w:val="1"/>
      <w:numFmt w:val="decimal"/>
      <w:lvlText w:val="%1."/>
      <w:lvlJc w:val="left"/>
      <w:pPr>
        <w:ind w:left="360" w:hanging="360"/>
      </w:pPr>
    </w:lvl>
    <w:lvl w:ilvl="1">
      <w:start w:val="1"/>
      <w:numFmt w:val="upperLetter"/>
      <w:lvlText w:val="%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5"/>
  </w:num>
  <w:num w:numId="2">
    <w:abstractNumId w:val="10"/>
  </w:num>
  <w:num w:numId="3">
    <w:abstractNumId w:val="12"/>
  </w:num>
  <w:num w:numId="4">
    <w:abstractNumId w:val="9"/>
  </w:num>
  <w:num w:numId="5">
    <w:abstractNumId w:val="8"/>
  </w:num>
  <w:num w:numId="6">
    <w:abstractNumId w:val="6"/>
  </w:num>
  <w:num w:numId="7">
    <w:abstractNumId w:val="11"/>
  </w:num>
  <w:num w:numId="8">
    <w:abstractNumId w:val="1"/>
  </w:num>
  <w:num w:numId="9">
    <w:abstractNumId w:val="2"/>
  </w:num>
  <w:num w:numId="10">
    <w:abstractNumId w:val="4"/>
  </w:num>
  <w:num w:numId="11">
    <w:abstractNumId w:val="7"/>
  </w:num>
  <w:num w:numId="12">
    <w:abstractNumId w:val="0"/>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hideSpellingErrors/>
  <w:hideGrammaticalErrors/>
  <w:revisionView w:markup="0"/>
  <w:defaultTabStop w:val="720"/>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VERPAGE_EXISTS" w:val="True"/>
    <w:docVar w:name="DocStatus" w:val="Green"/>
    <w:docVar w:name="FigNum" w:val="1"/>
    <w:docVar w:name="LW_CONFIDENCE" w:val=" "/>
    <w:docVar w:name="LW_CONST_RESTREINT_UE" w:val="RESTREINT UE"/>
    <w:docVar w:name="LW_CORRIGENDUM" w:val="&lt;UNUSED&gt;"/>
    <w:docVar w:name="LW_COVERPAGE_GUID" w:val="4229ECF57B85432EAFD53EC3D5AEBFFE"/>
    <w:docVar w:name="LW_CROSSREFERENCE" w:val="&lt;UNUSED&gt;"/>
    <w:docVar w:name="LW_DocType" w:val="NORMAL"/>
    <w:docVar w:name="LW_EMISSION" w:val="30. 6. 2016"/>
    <w:docVar w:name="LW_EMISSION_ISODATE" w:val="2016-06-30"/>
    <w:docVar w:name="LW_EMISSION_LOCATION" w:val="BRX"/>
    <w:docVar w:name="LW_EMISSION_PREFIX" w:val="V Bruseli"/>
    <w:docVar w:name="LW_EMISSION_SUFFIX" w:val=" "/>
    <w:docVar w:name="LW_ID_DOCTYPE_NONLW" w:val="CP-006"/>
    <w:docVar w:name="LW_LANGUE" w:val="SK"/>
    <w:docVar w:name="LW_MARKING" w:val="&lt;UNUSED&gt;"/>
    <w:docVar w:name="LW_NOM.INST" w:val="EURÓPSKA KOMISIA"/>
    <w:docVar w:name="LW_NOM.INST_JOINTDOC" w:val="&lt;EMPTY&gt;"/>
    <w:docVar w:name="LW_PART_NBR" w:val="1"/>
    <w:docVar w:name="LW_PART_NBR_TOTAL" w:val="1"/>
    <w:docVar w:name="LW_REF.INST.NEW" w:val="COM"/>
    <w:docVar w:name="LW_REF.INST.NEW_ADOPTED" w:val="final"/>
    <w:docVar w:name="LW_REF.INST.NEW_TEXT" w:val="(2016) 436"/>
    <w:docVar w:name="LW_REF.INTERNE" w:val="&lt;UNUSED&gt;"/>
    <w:docVar w:name="LW_SOUS.TITRE.OBJ.CP" w:val="&lt;UNUSED&gt;"/>
    <w:docVar w:name="LW_SUPERTITRE" w:val="&lt;UNUSED&gt;"/>
    <w:docVar w:name="LW_TITRE.OBJ.CP" w:val="Výro\u269?ná správa o vykonávaní iniciatívy Dobrovo\u318?níci pomoci EÚ v roku 2015"/>
    <w:docVar w:name="LW_TYPE.DOC.CP" w:val="SPRÁVA KOMISIE EURÓPSKEMU PARLAMENTU A RADE"/>
  </w:docVar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sk-SK" w:eastAsia="sk-SK" w:bidi="sk-SK"/>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paragraph" w:customStyle="1" w:styleId="Default">
    <w:name w:val="Default"/>
    <w:pPr>
      <w:autoSpaceDE w:val="0"/>
      <w:autoSpaceDN w:val="0"/>
      <w:adjustRightInd w:val="0"/>
    </w:pPr>
    <w:rPr>
      <w:rFonts w:ascii="Times New Roman" w:hAnsi="Times New Roman"/>
      <w:color w:val="000000"/>
      <w:sz w:val="24"/>
      <w:szCs w:val="24"/>
    </w:rPr>
  </w:style>
  <w:style w:type="paragraph" w:customStyle="1" w:styleId="AARHeading11">
    <w:name w:val="AAR Heading 1 (1.)"/>
    <w:basedOn w:val="Heading1"/>
    <w:next w:val="Normal"/>
    <w:qFormat/>
    <w:pPr>
      <w:keepLines w:val="0"/>
      <w:pageBreakBefore/>
      <w:widowControl w:val="0"/>
      <w:numPr>
        <w:numId w:val="1"/>
      </w:numPr>
      <w:autoSpaceDE w:val="0"/>
      <w:autoSpaceDN w:val="0"/>
      <w:adjustRightInd w:val="0"/>
      <w:spacing w:before="0" w:after="240" w:line="240" w:lineRule="auto"/>
      <w:jc w:val="both"/>
    </w:pPr>
    <w:rPr>
      <w:rFonts w:ascii="Calibri" w:hAnsi="Calibri" w:cs="Times New Roman Bold"/>
      <w:caps/>
      <w:color w:val="004494"/>
      <w:sz w:val="36"/>
      <w:szCs w:val="44"/>
    </w:rPr>
  </w:style>
  <w:style w:type="paragraph" w:customStyle="1" w:styleId="AARHeading211">
    <w:name w:val="AAR Heading 2 (1.1)"/>
    <w:basedOn w:val="Heading2"/>
    <w:next w:val="Normal"/>
    <w:qFormat/>
    <w:pPr>
      <w:keepLines w:val="0"/>
      <w:widowControl w:val="0"/>
      <w:numPr>
        <w:ilvl w:val="1"/>
        <w:numId w:val="1"/>
      </w:numPr>
      <w:autoSpaceDE w:val="0"/>
      <w:autoSpaceDN w:val="0"/>
      <w:adjustRightInd w:val="0"/>
      <w:spacing w:before="120" w:after="240" w:line="240" w:lineRule="auto"/>
      <w:jc w:val="both"/>
    </w:pPr>
    <w:rPr>
      <w:rFonts w:ascii="Calibri" w:eastAsia="Calibri" w:hAnsi="Calibri"/>
      <w:iCs/>
      <w:color w:val="2681B4"/>
      <w:sz w:val="32"/>
      <w:szCs w:val="28"/>
    </w:rPr>
  </w:style>
  <w:style w:type="paragraph" w:customStyle="1" w:styleId="AARHeading3111">
    <w:name w:val="AAR Heading 3 (1.1.1)"/>
    <w:basedOn w:val="AARHeading211"/>
    <w:next w:val="Normal"/>
    <w:qFormat/>
    <w:pPr>
      <w:numPr>
        <w:ilvl w:val="2"/>
      </w:numPr>
    </w:pPr>
    <w:rPr>
      <w:sz w:val="28"/>
    </w:rPr>
  </w:style>
  <w:style w:type="paragraph" w:customStyle="1" w:styleId="AARText">
    <w:name w:val="AAR Text"/>
    <w:basedOn w:val="Normal"/>
    <w:link w:val="AARTextChar"/>
    <w:qFormat/>
    <w:pPr>
      <w:widowControl w:val="0"/>
      <w:autoSpaceDE w:val="0"/>
      <w:autoSpaceDN w:val="0"/>
      <w:adjustRightInd w:val="0"/>
      <w:spacing w:after="240" w:line="240" w:lineRule="auto"/>
      <w:jc w:val="both"/>
    </w:pPr>
    <w:rPr>
      <w:rFonts w:eastAsia="Times New Roman"/>
      <w:sz w:val="24"/>
      <w:szCs w:val="24"/>
    </w:rPr>
  </w:style>
  <w:style w:type="character" w:customStyle="1" w:styleId="AARTextChar">
    <w:name w:val="AAR Text Char"/>
    <w:link w:val="AARText"/>
    <w:rPr>
      <w:rFonts w:ascii="Calibri" w:eastAsia="Times New Roman" w:hAnsi="Calibri" w:cs="Times New Roman"/>
      <w:sz w:val="24"/>
      <w:szCs w:val="24"/>
      <w:lang w:eastAsia="sk-SK"/>
    </w:rPr>
  </w:style>
  <w:style w:type="character" w:customStyle="1" w:styleId="Heading1Char">
    <w:name w:val="Heading 1 Char"/>
    <w:link w:val="Heading1"/>
    <w:uiPriority w:val="9"/>
    <w:rPr>
      <w:rFonts w:ascii="Cambria" w:eastAsia="Times New Roman" w:hAnsi="Cambria" w:cs="Times New Roman"/>
      <w:b/>
      <w:bCs/>
      <w:color w:val="365F91"/>
      <w:sz w:val="28"/>
      <w:szCs w:val="28"/>
    </w:rPr>
  </w:style>
  <w:style w:type="character" w:customStyle="1" w:styleId="Heading2Char">
    <w:name w:val="Heading 2 Char"/>
    <w:link w:val="Heading2"/>
    <w:uiPriority w:val="9"/>
    <w:semiHidden/>
    <w:rPr>
      <w:rFonts w:ascii="Cambria" w:eastAsia="Times New Roman" w:hAnsi="Cambria" w:cs="Times New Roman"/>
      <w:b/>
      <w:bCs/>
      <w:color w:val="4F81BD"/>
      <w:sz w:val="26"/>
      <w:szCs w:val="26"/>
    </w:rPr>
  </w:style>
  <w:style w:type="paragraph" w:styleId="FootnoteText">
    <w:name w:val="footnote text"/>
    <w:aliases w:val="Footnote Text Char1 Char,Footnote Text Char Char Char,Footnote Text Char1 Char Char Char,Footnote Text Char Char Char Char Char,Footnote Text Char1 Char1 Char,Footnote Text Char Char Char1 Char,Footnote Text Char1 Char Char Char Char Char"/>
    <w:basedOn w:val="Normal"/>
    <w:link w:val="FootnoteTextChar1"/>
    <w:pPr>
      <w:widowControl w:val="0"/>
      <w:autoSpaceDE w:val="0"/>
      <w:autoSpaceDN w:val="0"/>
      <w:adjustRightInd w:val="0"/>
      <w:spacing w:after="120" w:line="240" w:lineRule="auto"/>
      <w:ind w:left="284" w:hanging="284"/>
      <w:jc w:val="both"/>
    </w:pPr>
    <w:rPr>
      <w:rFonts w:eastAsia="Times New Roman"/>
      <w:sz w:val="20"/>
      <w:szCs w:val="20"/>
    </w:rPr>
  </w:style>
  <w:style w:type="character" w:customStyle="1" w:styleId="FootnoteTextChar">
    <w:name w:val="Footnote Text Char"/>
    <w:aliases w:val="Footnote Text Char Char Char Char Char Char Char Char Char Char,Footnote Text.SES Char,Fußnotentext Char Char Char1,Fußnotentext Char Char Char Char Char,Fußnotentext Char Char Char Char1,Char Char,f Char"/>
    <w:rPr>
      <w:sz w:val="20"/>
      <w:szCs w:val="20"/>
    </w:rPr>
  </w:style>
  <w:style w:type="character" w:customStyle="1" w:styleId="FootnoteTextChar1">
    <w:name w:val="Footnote Text Char1"/>
    <w:aliases w:val="Footnote Text Char1 Char Char,Footnote Text Char Char Char Char,Footnote Text Char1 Char Char Char Char,Footnote Text Char Char Char Char Char Char,Footnote Text Char1 Char1 Char Char,Footnote Text Char Char Char1 Char Char"/>
    <w:link w:val="FootnoteText"/>
    <w:uiPriority w:val="99"/>
    <w:locked/>
    <w:rPr>
      <w:rFonts w:ascii="Calibri" w:eastAsia="Times New Roman" w:hAnsi="Calibri" w:cs="Times New Roman"/>
      <w:sz w:val="20"/>
      <w:szCs w:val="20"/>
      <w:lang w:eastAsia="sk-SK"/>
    </w:rPr>
  </w:style>
  <w:style w:type="character" w:styleId="FootnoteReference">
    <w:name w:val="footnote reference"/>
    <w:aliases w:val="Footnote symbol,Footnote reference number,Footnote,Times 10 Point,Exposant 3 Point,Ref,de nota al pie,note TESI,SUPERS,EN Footnote Reference,EN Footnote text,BVI fnr, BVI fnr,-E Fußnotenzeichen,Footnote number, BVI fnr Car"/>
    <w:rPr>
      <w:vertAlign w:val="superscript"/>
    </w:rPr>
  </w:style>
  <w:style w:type="character" w:styleId="FollowedHyperlink">
    <w:name w:val="FollowedHyperlink"/>
    <w:uiPriority w:val="99"/>
    <w:semiHidden/>
    <w:unhideWhenUsed/>
    <w:rPr>
      <w:color w:val="800080"/>
      <w:u w:val="single"/>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link w:val="EndnoteText"/>
    <w:uiPriority w:val="99"/>
    <w:semiHidden/>
    <w:rPr>
      <w:sz w:val="20"/>
      <w:szCs w:val="20"/>
    </w:rPr>
  </w:style>
  <w:style w:type="character" w:styleId="EndnoteReference">
    <w:name w:val="endnote reference"/>
    <w:uiPriority w:val="99"/>
    <w:semiHidden/>
    <w:unhideWhenUsed/>
    <w:rPr>
      <w:vertAlign w:val="superscript"/>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sz w:val="20"/>
      <w:szCs w:val="20"/>
    </w:rPr>
  </w:style>
  <w:style w:type="character" w:customStyle="1" w:styleId="Marker">
    <w:name w:val="Marker"/>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sz w:val="24"/>
      <w:szCs w:val="24"/>
    </w:rPr>
  </w:style>
  <w:style w:type="character" w:customStyle="1" w:styleId="FooterCoverPageChar">
    <w:name w:val="Footer Cover Page Char"/>
    <w:link w:val="FooterCoverPage"/>
    <w:rPr>
      <w:rFonts w:ascii="Times New Roman" w:hAnsi="Times New Roman"/>
      <w:sz w:val="24"/>
      <w:szCs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sz w:val="24"/>
      <w:szCs w:val="24"/>
    </w:rPr>
  </w:style>
  <w:style w:type="character" w:customStyle="1" w:styleId="HeaderCoverPageChar">
    <w:name w:val="Header Cover Page Char"/>
    <w:link w:val="HeaderCoverPage"/>
    <w:rPr>
      <w:rFonts w:ascii="Times New Roman" w:hAnsi="Times New Roman"/>
      <w:sz w:val="24"/>
      <w:szCs w:val="24"/>
    </w:rPr>
  </w:style>
  <w:style w:type="paragraph" w:styleId="ListParagraph">
    <w:name w:val="List Paragraph"/>
    <w:basedOn w:val="Normal"/>
    <w:uiPriority w:val="34"/>
    <w:qFormat/>
    <w:pPr>
      <w:ind w:left="720"/>
      <w:contextualSpacing/>
    </w:pPr>
  </w:style>
  <w:style w:type="paragraph" w:customStyle="1" w:styleId="Briefingheading1">
    <w:name w:val="Briefing heading 1"/>
    <w:basedOn w:val="Normal"/>
    <w:next w:val="Normal"/>
    <w:pPr>
      <w:keepNext/>
      <w:numPr>
        <w:numId w:val="9"/>
      </w:numPr>
      <w:tabs>
        <w:tab w:val="clear" w:pos="284"/>
      </w:tabs>
      <w:spacing w:before="240" w:after="240" w:line="240" w:lineRule="auto"/>
      <w:ind w:left="0" w:firstLine="0"/>
      <w:jc w:val="both"/>
    </w:pPr>
    <w:rPr>
      <w:rFonts w:ascii="Arial" w:eastAsia="Times New Roman" w:hAnsi="Arial" w:cs="Arial"/>
      <w:b/>
      <w:sz w:val="24"/>
      <w:szCs w:val="24"/>
      <w:u w:val="single"/>
    </w:rPr>
  </w:style>
  <w:style w:type="paragraph" w:styleId="NoSpacing">
    <w:name w:val="No Spacing"/>
    <w:link w:val="NoSpacingChar"/>
    <w:uiPriority w:val="1"/>
    <w:qFormat/>
    <w:rPr>
      <w:sz w:val="22"/>
      <w:szCs w:val="22"/>
    </w:rPr>
  </w:style>
  <w:style w:type="character" w:customStyle="1" w:styleId="NoSpacingChar">
    <w:name w:val="No Spacing Char"/>
    <w:link w:val="NoSpacing"/>
    <w:uiPriority w:val="1"/>
    <w:rPr>
      <w:rFonts w:ascii="Calibri" w:eastAsia="Calibri" w:hAnsi="Calibri" w:cs="Times New Roman"/>
    </w:rPr>
  </w:style>
  <w:style w:type="character" w:styleId="Strong">
    <w:name w:val="Strong"/>
    <w:uiPriority w:val="22"/>
    <w:qFormat/>
    <w:rPr>
      <w:b/>
      <w:bC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pPr>
      <w:spacing w:before="60" w:after="180" w:line="240" w:lineRule="auto"/>
      <w:ind w:right="90"/>
    </w:pPr>
    <w:rPr>
      <w:rFonts w:ascii="Times New Roman" w:eastAsia="Times New Roman" w:hAnsi="Times New Roman"/>
      <w:sz w:val="24"/>
      <w:szCs w:val="24"/>
    </w:rPr>
  </w:style>
  <w:style w:type="character" w:customStyle="1" w:styleId="Corpsdutexte">
    <w:name w:val="Corps du texte_"/>
    <w:link w:val="Corpsdutexte0"/>
    <w:uiPriority w:val="99"/>
    <w:rPr>
      <w:rFonts w:ascii="Arial" w:hAnsi="Arial" w:cs="Arial"/>
      <w:sz w:val="16"/>
      <w:szCs w:val="16"/>
      <w:shd w:val="clear" w:color="auto" w:fill="FFFFFF"/>
    </w:rPr>
  </w:style>
  <w:style w:type="paragraph" w:customStyle="1" w:styleId="Corpsdutexte0">
    <w:name w:val="Corps du texte"/>
    <w:basedOn w:val="Normal"/>
    <w:link w:val="Corpsdutexte"/>
    <w:uiPriority w:val="99"/>
    <w:pPr>
      <w:widowControl w:val="0"/>
      <w:shd w:val="clear" w:color="auto" w:fill="FFFFFF"/>
      <w:spacing w:before="480" w:after="0" w:line="221" w:lineRule="exact"/>
      <w:ind w:hanging="2380"/>
    </w:pPr>
    <w:rPr>
      <w:rFonts w:ascii="Arial" w:hAnsi="Arial" w:cs="Arial"/>
      <w:sz w:val="16"/>
      <w:szCs w:val="16"/>
    </w:rPr>
  </w:style>
  <w:style w:type="character" w:customStyle="1" w:styleId="watch-title">
    <w:name w:val="watch-title"/>
    <w:rPr>
      <w:sz w:val="24"/>
      <w:szCs w:val="24"/>
      <w:bdr w:val="none" w:sz="0" w:space="0" w:color="auto" w:frame="1"/>
      <w:shd w:val="clear" w:color="auto" w:fil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sk-SK"/>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pPr>
      <w:keepNext/>
      <w:keepLines/>
      <w:spacing w:before="480" w:after="0"/>
      <w:outlineLvl w:val="0"/>
    </w:pPr>
    <w:rPr>
      <w:rFonts w:ascii="Cambria" w:eastAsia="Times New Roman" w:hAnsi="Cambria"/>
      <w:b/>
      <w:bCs/>
      <w:color w:val="365F91"/>
      <w:sz w:val="28"/>
      <w:szCs w:val="28"/>
    </w:rPr>
  </w:style>
  <w:style w:type="paragraph" w:styleId="Heading2">
    <w:name w:val="heading 2"/>
    <w:basedOn w:val="Normal"/>
    <w:next w:val="Normal"/>
    <w:link w:val="Heading2Char"/>
    <w:uiPriority w:val="9"/>
    <w:semiHidden/>
    <w:unhideWhenUsed/>
    <w:qFormat/>
    <w:pPr>
      <w:keepNext/>
      <w:keepLines/>
      <w:spacing w:before="200" w:after="0"/>
      <w:outlineLvl w:val="1"/>
    </w:pPr>
    <w:rPr>
      <w:rFonts w:ascii="Cambria" w:eastAsia="Times New Roman" w:hAnsi="Cambria"/>
      <w:b/>
      <w:bCs/>
      <w:color w:val="4F81BD"/>
      <w:sz w:val="26"/>
      <w:szCs w:val="26"/>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Pr>
      <w:color w:val="0000FF"/>
      <w:u w:val="single"/>
    </w:rPr>
  </w:style>
  <w:style w:type="paragraph" w:customStyle="1" w:styleId="Default">
    <w:name w:val="Default"/>
    <w:pPr>
      <w:autoSpaceDE w:val="0"/>
      <w:autoSpaceDN w:val="0"/>
      <w:adjustRightInd w:val="0"/>
    </w:pPr>
    <w:rPr>
      <w:rFonts w:ascii="Times New Roman" w:hAnsi="Times New Roman"/>
      <w:color w:val="000000"/>
      <w:sz w:val="24"/>
      <w:szCs w:val="24"/>
    </w:rPr>
  </w:style>
  <w:style w:type="paragraph" w:customStyle="1" w:styleId="AARHeading11">
    <w:name w:val="AAR Heading 1 (1.)"/>
    <w:basedOn w:val="Heading1"/>
    <w:next w:val="Normal"/>
    <w:qFormat/>
    <w:pPr>
      <w:keepLines w:val="0"/>
      <w:pageBreakBefore/>
      <w:widowControl w:val="0"/>
      <w:numPr>
        <w:numId w:val="1"/>
      </w:numPr>
      <w:autoSpaceDE w:val="0"/>
      <w:autoSpaceDN w:val="0"/>
      <w:adjustRightInd w:val="0"/>
      <w:spacing w:before="0" w:after="240" w:line="240" w:lineRule="auto"/>
      <w:jc w:val="both"/>
    </w:pPr>
    <w:rPr>
      <w:rFonts w:ascii="Calibri" w:hAnsi="Calibri" w:cs="Times New Roman Bold"/>
      <w:caps/>
      <w:color w:val="004494"/>
      <w:sz w:val="36"/>
      <w:szCs w:val="44"/>
    </w:rPr>
  </w:style>
  <w:style w:type="paragraph" w:customStyle="1" w:styleId="AARHeading211">
    <w:name w:val="AAR Heading 2 (1.1)"/>
    <w:basedOn w:val="Heading2"/>
    <w:next w:val="Normal"/>
    <w:qFormat/>
    <w:pPr>
      <w:keepLines w:val="0"/>
      <w:widowControl w:val="0"/>
      <w:numPr>
        <w:ilvl w:val="1"/>
        <w:numId w:val="1"/>
      </w:numPr>
      <w:autoSpaceDE w:val="0"/>
      <w:autoSpaceDN w:val="0"/>
      <w:adjustRightInd w:val="0"/>
      <w:spacing w:before="120" w:after="240" w:line="240" w:lineRule="auto"/>
      <w:jc w:val="both"/>
    </w:pPr>
    <w:rPr>
      <w:rFonts w:ascii="Calibri" w:eastAsia="Calibri" w:hAnsi="Calibri"/>
      <w:iCs/>
      <w:color w:val="2681B4"/>
      <w:sz w:val="32"/>
      <w:szCs w:val="28"/>
    </w:rPr>
  </w:style>
  <w:style w:type="paragraph" w:customStyle="1" w:styleId="AARHeading3111">
    <w:name w:val="AAR Heading 3 (1.1.1)"/>
    <w:basedOn w:val="AARHeading211"/>
    <w:next w:val="Normal"/>
    <w:qFormat/>
    <w:pPr>
      <w:numPr>
        <w:ilvl w:val="2"/>
      </w:numPr>
    </w:pPr>
    <w:rPr>
      <w:sz w:val="28"/>
    </w:rPr>
  </w:style>
  <w:style w:type="paragraph" w:customStyle="1" w:styleId="AARText">
    <w:name w:val="AAR Text"/>
    <w:basedOn w:val="Normal"/>
    <w:link w:val="AARTextChar"/>
    <w:qFormat/>
    <w:pPr>
      <w:widowControl w:val="0"/>
      <w:autoSpaceDE w:val="0"/>
      <w:autoSpaceDN w:val="0"/>
      <w:adjustRightInd w:val="0"/>
      <w:spacing w:after="240" w:line="240" w:lineRule="auto"/>
      <w:jc w:val="both"/>
    </w:pPr>
    <w:rPr>
      <w:rFonts w:eastAsia="Times New Roman"/>
      <w:sz w:val="24"/>
      <w:szCs w:val="24"/>
    </w:rPr>
  </w:style>
  <w:style w:type="character" w:customStyle="1" w:styleId="AARTextChar">
    <w:name w:val="AAR Text Char"/>
    <w:link w:val="AARText"/>
    <w:rPr>
      <w:rFonts w:ascii="Calibri" w:eastAsia="Times New Roman" w:hAnsi="Calibri" w:cs="Times New Roman"/>
      <w:sz w:val="24"/>
      <w:szCs w:val="24"/>
      <w:lang w:eastAsia="sk-SK"/>
    </w:rPr>
  </w:style>
  <w:style w:type="character" w:customStyle="1" w:styleId="Heading1Char">
    <w:name w:val="Heading 1 Char"/>
    <w:link w:val="Heading1"/>
    <w:uiPriority w:val="9"/>
    <w:rPr>
      <w:rFonts w:ascii="Cambria" w:eastAsia="Times New Roman" w:hAnsi="Cambria" w:cs="Times New Roman"/>
      <w:b/>
      <w:bCs/>
      <w:color w:val="365F91"/>
      <w:sz w:val="28"/>
      <w:szCs w:val="28"/>
    </w:rPr>
  </w:style>
  <w:style w:type="character" w:customStyle="1" w:styleId="Heading2Char">
    <w:name w:val="Heading 2 Char"/>
    <w:link w:val="Heading2"/>
    <w:uiPriority w:val="9"/>
    <w:semiHidden/>
    <w:rPr>
      <w:rFonts w:ascii="Cambria" w:eastAsia="Times New Roman" w:hAnsi="Cambria" w:cs="Times New Roman"/>
      <w:b/>
      <w:bCs/>
      <w:color w:val="4F81BD"/>
      <w:sz w:val="26"/>
      <w:szCs w:val="26"/>
    </w:rPr>
  </w:style>
  <w:style w:type="paragraph" w:styleId="FootnoteText">
    <w:name w:val="footnote text"/>
    <w:aliases w:val="Footnote Text Char1 Char,Footnote Text Char Char Char,Footnote Text Char1 Char Char Char,Footnote Text Char Char Char Char Char,Footnote Text Char1 Char1 Char,Footnote Text Char Char Char1 Char,Footnote Text Char1 Char Char Char Char Char"/>
    <w:basedOn w:val="Normal"/>
    <w:link w:val="FootnoteTextChar1"/>
    <w:pPr>
      <w:widowControl w:val="0"/>
      <w:autoSpaceDE w:val="0"/>
      <w:autoSpaceDN w:val="0"/>
      <w:adjustRightInd w:val="0"/>
      <w:spacing w:after="120" w:line="240" w:lineRule="auto"/>
      <w:ind w:left="284" w:hanging="284"/>
      <w:jc w:val="both"/>
    </w:pPr>
    <w:rPr>
      <w:rFonts w:eastAsia="Times New Roman"/>
      <w:sz w:val="20"/>
      <w:szCs w:val="20"/>
    </w:rPr>
  </w:style>
  <w:style w:type="character" w:customStyle="1" w:styleId="FootnoteTextChar">
    <w:name w:val="Footnote Text Char"/>
    <w:aliases w:val="Footnote Text Char Char Char Char Char Char Char Char Char Char,Footnote Text.SES Char,Fußnotentext Char Char Char1,Fußnotentext Char Char Char Char Char,Fußnotentext Char Char Char Char1,Char Char,f Char"/>
    <w:rPr>
      <w:sz w:val="20"/>
      <w:szCs w:val="20"/>
    </w:rPr>
  </w:style>
  <w:style w:type="character" w:customStyle="1" w:styleId="FootnoteTextChar1">
    <w:name w:val="Footnote Text Char1"/>
    <w:aliases w:val="Footnote Text Char1 Char Char,Footnote Text Char Char Char Char,Footnote Text Char1 Char Char Char Char,Footnote Text Char Char Char Char Char Char,Footnote Text Char1 Char1 Char Char,Footnote Text Char Char Char1 Char Char"/>
    <w:link w:val="FootnoteText"/>
    <w:uiPriority w:val="99"/>
    <w:locked/>
    <w:rPr>
      <w:rFonts w:ascii="Calibri" w:eastAsia="Times New Roman" w:hAnsi="Calibri" w:cs="Times New Roman"/>
      <w:sz w:val="20"/>
      <w:szCs w:val="20"/>
      <w:lang w:eastAsia="sk-SK"/>
    </w:rPr>
  </w:style>
  <w:style w:type="character" w:styleId="FootnoteReference">
    <w:name w:val="footnote reference"/>
    <w:aliases w:val="Footnote symbol,Footnote reference number,Footnote,Times 10 Point,Exposant 3 Point,Ref,de nota al pie,note TESI,SUPERS,EN Footnote Reference,EN Footnote text,BVI fnr, BVI fnr,-E Fußnotenzeichen,Footnote number, BVI fnr Car"/>
    <w:rPr>
      <w:vertAlign w:val="superscript"/>
    </w:rPr>
  </w:style>
  <w:style w:type="character" w:styleId="FollowedHyperlink">
    <w:name w:val="FollowedHyperlink"/>
    <w:uiPriority w:val="99"/>
    <w:semiHidden/>
    <w:unhideWhenUsed/>
    <w:rPr>
      <w:color w:val="800080"/>
      <w:u w:val="single"/>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customStyle="1" w:styleId="EndnoteTextChar">
    <w:name w:val="Endnote Text Char"/>
    <w:link w:val="EndnoteText"/>
    <w:uiPriority w:val="99"/>
    <w:semiHidden/>
    <w:rPr>
      <w:sz w:val="20"/>
      <w:szCs w:val="20"/>
    </w:rPr>
  </w:style>
  <w:style w:type="character" w:styleId="EndnoteReference">
    <w:name w:val="endnote reference"/>
    <w:uiPriority w:val="99"/>
    <w:semiHidden/>
    <w:unhideWhenUsed/>
    <w:rPr>
      <w:vertAlign w:val="superscript"/>
    </w:rPr>
  </w:style>
  <w:style w:type="paragraph" w:styleId="Header">
    <w:name w:val="header"/>
    <w:basedOn w:val="Normal"/>
    <w:link w:val="HeaderChar"/>
    <w:uiPriority w:val="99"/>
    <w:unhideWhenUsed/>
    <w:pPr>
      <w:tabs>
        <w:tab w:val="center" w:pos="4536"/>
        <w:tab w:val="right" w:pos="9072"/>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36"/>
        <w:tab w:val="right" w:pos="9072"/>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character" w:styleId="CommentReference">
    <w:name w:val="annotation reference"/>
    <w:uiPriority w:val="99"/>
    <w:semiHidden/>
    <w:unhideWhenUsed/>
    <w:rPr>
      <w:sz w:val="16"/>
      <w:szCs w:val="16"/>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link w:val="CommentText"/>
    <w:uiPriority w:val="99"/>
    <w:semiHidden/>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link w:val="CommentSubject"/>
    <w:uiPriority w:val="99"/>
    <w:semiHidden/>
    <w:rPr>
      <w:b/>
      <w:bCs/>
      <w:sz w:val="20"/>
      <w:szCs w:val="20"/>
    </w:rPr>
  </w:style>
  <w:style w:type="character" w:customStyle="1" w:styleId="Marker">
    <w:name w:val="Marker"/>
    <w:rPr>
      <w:color w:val="0000FF"/>
      <w:shd w:val="clear" w:color="auto" w:fill="auto"/>
    </w:rPr>
  </w:style>
  <w:style w:type="paragraph" w:customStyle="1" w:styleId="Pagedecouverture">
    <w:name w:val="Page de couverture"/>
    <w:basedOn w:val="Normal"/>
    <w:next w:val="Normal"/>
    <w:pPr>
      <w:spacing w:after="0" w:line="240" w:lineRule="auto"/>
      <w:jc w:val="both"/>
    </w:pPr>
    <w:rPr>
      <w:rFonts w:ascii="Times New Roman" w:hAnsi="Times New Roman"/>
      <w:sz w:val="24"/>
    </w:rPr>
  </w:style>
  <w:style w:type="paragraph" w:customStyle="1" w:styleId="FooterCoverPage">
    <w:name w:val="Footer Cover Page"/>
    <w:basedOn w:val="Normal"/>
    <w:link w:val="FooterCoverPageChar"/>
    <w:pPr>
      <w:tabs>
        <w:tab w:val="center" w:pos="4535"/>
        <w:tab w:val="right" w:pos="9071"/>
        <w:tab w:val="right" w:pos="9921"/>
      </w:tabs>
      <w:spacing w:before="360" w:after="0" w:line="240" w:lineRule="auto"/>
      <w:ind w:left="-850" w:right="-850"/>
    </w:pPr>
    <w:rPr>
      <w:rFonts w:ascii="Times New Roman" w:hAnsi="Times New Roman"/>
      <w:sz w:val="24"/>
      <w:szCs w:val="24"/>
    </w:rPr>
  </w:style>
  <w:style w:type="character" w:customStyle="1" w:styleId="FooterCoverPageChar">
    <w:name w:val="Footer Cover Page Char"/>
    <w:link w:val="FooterCoverPage"/>
    <w:rPr>
      <w:rFonts w:ascii="Times New Roman" w:hAnsi="Times New Roman"/>
      <w:sz w:val="24"/>
      <w:szCs w:val="24"/>
    </w:rPr>
  </w:style>
  <w:style w:type="paragraph" w:customStyle="1" w:styleId="HeaderCoverPage">
    <w:name w:val="Header Cover Page"/>
    <w:basedOn w:val="Normal"/>
    <w:link w:val="HeaderCoverPageChar"/>
    <w:pPr>
      <w:tabs>
        <w:tab w:val="center" w:pos="4535"/>
        <w:tab w:val="right" w:pos="9071"/>
      </w:tabs>
      <w:spacing w:after="120" w:line="240" w:lineRule="auto"/>
      <w:jc w:val="both"/>
    </w:pPr>
    <w:rPr>
      <w:rFonts w:ascii="Times New Roman" w:hAnsi="Times New Roman"/>
      <w:sz w:val="24"/>
      <w:szCs w:val="24"/>
    </w:rPr>
  </w:style>
  <w:style w:type="character" w:customStyle="1" w:styleId="HeaderCoverPageChar">
    <w:name w:val="Header Cover Page Char"/>
    <w:link w:val="HeaderCoverPage"/>
    <w:rPr>
      <w:rFonts w:ascii="Times New Roman" w:hAnsi="Times New Roman"/>
      <w:sz w:val="24"/>
      <w:szCs w:val="24"/>
    </w:rPr>
  </w:style>
  <w:style w:type="paragraph" w:styleId="ListParagraph">
    <w:name w:val="List Paragraph"/>
    <w:basedOn w:val="Normal"/>
    <w:uiPriority w:val="34"/>
    <w:qFormat/>
    <w:pPr>
      <w:ind w:left="720"/>
      <w:contextualSpacing/>
    </w:pPr>
  </w:style>
  <w:style w:type="paragraph" w:customStyle="1" w:styleId="Briefingheading1">
    <w:name w:val="Briefing heading 1"/>
    <w:basedOn w:val="Normal"/>
    <w:next w:val="Normal"/>
    <w:pPr>
      <w:keepNext/>
      <w:numPr>
        <w:numId w:val="9"/>
      </w:numPr>
      <w:tabs>
        <w:tab w:val="clear" w:pos="284"/>
      </w:tabs>
      <w:spacing w:before="240" w:after="240" w:line="240" w:lineRule="auto"/>
      <w:ind w:left="0" w:firstLine="0"/>
      <w:jc w:val="both"/>
    </w:pPr>
    <w:rPr>
      <w:rFonts w:ascii="Arial" w:eastAsia="Times New Roman" w:hAnsi="Arial" w:cs="Arial"/>
      <w:b/>
      <w:sz w:val="24"/>
      <w:szCs w:val="24"/>
      <w:u w:val="single"/>
    </w:rPr>
  </w:style>
  <w:style w:type="paragraph" w:styleId="NoSpacing">
    <w:name w:val="No Spacing"/>
    <w:link w:val="NoSpacingChar"/>
    <w:uiPriority w:val="1"/>
    <w:qFormat/>
    <w:rPr>
      <w:sz w:val="22"/>
      <w:szCs w:val="22"/>
    </w:rPr>
  </w:style>
  <w:style w:type="character" w:customStyle="1" w:styleId="NoSpacingChar">
    <w:name w:val="No Spacing Char"/>
    <w:link w:val="NoSpacing"/>
    <w:uiPriority w:val="1"/>
    <w:rPr>
      <w:rFonts w:ascii="Calibri" w:eastAsia="Calibri" w:hAnsi="Calibri" w:cs="Times New Roman"/>
    </w:rPr>
  </w:style>
  <w:style w:type="character" w:styleId="Strong">
    <w:name w:val="Strong"/>
    <w:uiPriority w:val="22"/>
    <w:qFormat/>
    <w:rPr>
      <w:b/>
      <w:bCs/>
    </w:rPr>
  </w:style>
  <w:style w:type="table" w:styleId="TableGrid">
    <w:name w:val="Table Grid"/>
    <w:basedOn w:val="TableNormal"/>
    <w:uiPriority w:val="5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pPr>
      <w:spacing w:before="60" w:after="180" w:line="240" w:lineRule="auto"/>
      <w:ind w:right="90"/>
    </w:pPr>
    <w:rPr>
      <w:rFonts w:ascii="Times New Roman" w:eastAsia="Times New Roman" w:hAnsi="Times New Roman"/>
      <w:sz w:val="24"/>
      <w:szCs w:val="24"/>
    </w:rPr>
  </w:style>
  <w:style w:type="character" w:customStyle="1" w:styleId="Corpsdutexte">
    <w:name w:val="Corps du texte_"/>
    <w:link w:val="Corpsdutexte0"/>
    <w:uiPriority w:val="99"/>
    <w:rPr>
      <w:rFonts w:ascii="Arial" w:hAnsi="Arial" w:cs="Arial"/>
      <w:sz w:val="16"/>
      <w:szCs w:val="16"/>
      <w:shd w:val="clear" w:color="auto" w:fill="FFFFFF"/>
    </w:rPr>
  </w:style>
  <w:style w:type="paragraph" w:customStyle="1" w:styleId="Corpsdutexte0">
    <w:name w:val="Corps du texte"/>
    <w:basedOn w:val="Normal"/>
    <w:link w:val="Corpsdutexte"/>
    <w:uiPriority w:val="99"/>
    <w:pPr>
      <w:widowControl w:val="0"/>
      <w:shd w:val="clear" w:color="auto" w:fill="FFFFFF"/>
      <w:spacing w:before="480" w:after="0" w:line="221" w:lineRule="exact"/>
      <w:ind w:hanging="2380"/>
    </w:pPr>
    <w:rPr>
      <w:rFonts w:ascii="Arial" w:hAnsi="Arial" w:cs="Arial"/>
      <w:sz w:val="16"/>
      <w:szCs w:val="16"/>
    </w:rPr>
  </w:style>
  <w:style w:type="character" w:customStyle="1" w:styleId="watch-title">
    <w:name w:val="watch-title"/>
    <w:rPr>
      <w:sz w:val="24"/>
      <w:szCs w:val="24"/>
      <w:bdr w:val="none" w:sz="0" w:space="0" w:color="auto" w:frame="1"/>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608592">
      <w:bodyDiv w:val="1"/>
      <w:marLeft w:val="0"/>
      <w:marRight w:val="0"/>
      <w:marTop w:val="0"/>
      <w:marBottom w:val="0"/>
      <w:divBdr>
        <w:top w:val="none" w:sz="0" w:space="0" w:color="auto"/>
        <w:left w:val="none" w:sz="0" w:space="0" w:color="auto"/>
        <w:bottom w:val="none" w:sz="0" w:space="0" w:color="auto"/>
        <w:right w:val="none" w:sz="0" w:space="0" w:color="auto"/>
      </w:divBdr>
    </w:div>
    <w:div w:id="238758044">
      <w:bodyDiv w:val="1"/>
      <w:marLeft w:val="0"/>
      <w:marRight w:val="0"/>
      <w:marTop w:val="0"/>
      <w:marBottom w:val="0"/>
      <w:divBdr>
        <w:top w:val="none" w:sz="0" w:space="0" w:color="auto"/>
        <w:left w:val="none" w:sz="0" w:space="0" w:color="auto"/>
        <w:bottom w:val="none" w:sz="0" w:space="0" w:color="auto"/>
        <w:right w:val="none" w:sz="0" w:space="0" w:color="auto"/>
      </w:divBdr>
    </w:div>
    <w:div w:id="1155951586">
      <w:bodyDiv w:val="1"/>
      <w:marLeft w:val="0"/>
      <w:marRight w:val="0"/>
      <w:marTop w:val="0"/>
      <w:marBottom w:val="0"/>
      <w:divBdr>
        <w:top w:val="none" w:sz="0" w:space="0" w:color="auto"/>
        <w:left w:val="none" w:sz="0" w:space="0" w:color="auto"/>
        <w:bottom w:val="none" w:sz="0" w:space="0" w:color="auto"/>
        <w:right w:val="none" w:sz="0" w:space="0" w:color="auto"/>
      </w:divBdr>
    </w:div>
    <w:div w:id="21424598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yperlink" Target="http://ec.europa.eu/echo/what/humanitarian-aid/eu-aid-volunteers_en"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image" Target="media/image3.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footer" Target="footer6.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6.xml"/><Relationship Id="rId10" Type="http://schemas.openxmlformats.org/officeDocument/2006/relationships/header" Target="header1.xml"/><Relationship Id="rId19" Type="http://schemas.openxmlformats.org/officeDocument/2006/relationships/header" Target="header4.xml"/><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eader" Target="header3.xml"/><Relationship Id="rId22" Type="http://schemas.openxmlformats.org/officeDocument/2006/relationships/footer" Target="footer5.xml"/></Relationships>
</file>

<file path=word/_rels/footnotes.xml.rels><?xml version="1.0" encoding="UTF-8" standalone="yes"?>
<Relationships xmlns="http://schemas.openxmlformats.org/package/2006/relationships"><Relationship Id="rId8" Type="http://schemas.openxmlformats.org/officeDocument/2006/relationships/hyperlink" Target="https://www.youtube.com/watch?v=fOKqT_xpIXw" TargetMode="External"/><Relationship Id="rId3" Type="http://schemas.openxmlformats.org/officeDocument/2006/relationships/hyperlink" Target="https://eacea.ec.europa.eu/about-eacea/calls-for-tender-eacea/insurance-for-eu-aid-volunteers_en" TargetMode="External"/><Relationship Id="rId7" Type="http://schemas.openxmlformats.org/officeDocument/2006/relationships/hyperlink" Target="http://ec.europa.eu/echo/what/humanitarian-aid/eu-aid-volunteers_en" TargetMode="External"/><Relationship Id="rId2" Type="http://schemas.openxmlformats.org/officeDocument/2006/relationships/hyperlink" Target="https://eacea.ec.europa.eu/eu-aid-volunteers/selection-results/technical-assistance-and-capacity-building_en" TargetMode="External"/><Relationship Id="rId1" Type="http://schemas.openxmlformats.org/officeDocument/2006/relationships/hyperlink" Target="https://eacea.ec.europa.eu/eu-aid-volunteers/selection-results/selection-results-certification-mechanism-for-sending-and-hosting%20organisations_en" TargetMode="External"/><Relationship Id="rId6" Type="http://schemas.openxmlformats.org/officeDocument/2006/relationships/hyperlink" Target="http://ec.europa.eu/echo/sites/echo-site/files/EUAV_report.pdf" TargetMode="External"/><Relationship Id="rId5" Type="http://schemas.openxmlformats.org/officeDocument/2006/relationships/hyperlink" Target="http://ec.europa.eu/echo/files/euaidvolunteers/EUAV_CommunicationPlan_en.pdf" TargetMode="External"/><Relationship Id="rId4" Type="http://schemas.openxmlformats.org/officeDocument/2006/relationships/hyperlink" Target="http://ted.europa.eu/udl?uri=TED:NOTICE:396826-2015:TEXT:EN:HTML&amp;tabI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824822-154D-4C50-9463-86B661BE01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2617</Words>
  <Characters>16808</Characters>
  <Application>Microsoft Office Word</Application>
  <DocSecurity>0</DocSecurity>
  <Lines>294</Lines>
  <Paragraphs>52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19373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2016-06-27T15:19:00Z</dcterms:created>
  <dcterms:modified xsi:type="dcterms:W3CDTF">2016-06-29T15:07:00Z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rt">
    <vt:lpwstr>1</vt:lpwstr>
  </property>
  <property fmtid="{D5CDD505-2E9C-101B-9397-08002B2CF9AE}" pid="3" name="Total parts">
    <vt:lpwstr>1</vt:lpwstr>
  </property>
  <property fmtid="{D5CDD505-2E9C-101B-9397-08002B2CF9AE}" pid="4" name="DocStatus">
    <vt:lpwstr>Green</vt:lpwstr>
  </property>
  <property fmtid="{D5CDD505-2E9C-101B-9397-08002B2CF9AE}" pid="5" name="Classification">
    <vt:lpwstr> </vt:lpwstr>
  </property>
</Properties>
</file>