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D4B48773EA4145CBBDCC18B3F94DE11D" style="width:450.75pt;height:339pt">
            <v:imagedata r:id="rId9" o:title=""/>
          </v:shape>
        </w:pict>
      </w:r>
    </w:p>
    <w:bookmarkEnd w:id="0"/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spacing w:before="240" w:after="240"/>
        <w:rPr>
          <w:noProof/>
        </w:rPr>
      </w:pPr>
      <w:bookmarkStart w:id="1" w:name="_GoBack"/>
      <w:bookmarkEnd w:id="1"/>
      <w:r>
        <w:rPr>
          <w:noProof/>
        </w:rPr>
        <w:lastRenderedPageBreak/>
        <w:t>DÔVODOVÁ SPRÁVA</w:t>
      </w:r>
    </w:p>
    <w:p>
      <w:pPr>
        <w:rPr>
          <w:noProof/>
        </w:rPr>
      </w:pPr>
      <w:r>
        <w:rPr>
          <w:noProof/>
        </w:rPr>
        <w:t>Nariadením Rady (EÚ, Euratom) č. 1311/2013 z 2 decembra 2013, ktorým sa ustanovuje viacročný finančný rámec na roky 2014 – 2020</w:t>
      </w:r>
      <w:r>
        <w:rPr>
          <w:rStyle w:val="FootnoteReference"/>
          <w:noProof/>
        </w:rPr>
        <w:footnoteReference w:id="1"/>
      </w:r>
      <w:r>
        <w:rPr>
          <w:noProof/>
        </w:rPr>
        <w:t>, sa umožňuje mobilizácia nástroja flexibility, aby sa dali financovať presne určené výdavky, ktoré by nebolo možné financovať v rámci stanovených stropov pre jeden alebo viacero okruhov viacročného finančného rámca.</w:t>
      </w:r>
    </w:p>
    <w:p>
      <w:pPr>
        <w:rPr>
          <w:noProof/>
        </w:rPr>
      </w:pPr>
      <w:r>
        <w:rPr>
          <w:noProof/>
        </w:rPr>
        <w:t>V súlade s článkom 11 nariadenia Rady č. 1311/2013 a bodom 12 Medziinštitucionálnej dohody z 2. decembra 2013 medzi Európskym parlamentom, Radou a Komisiou o rozpočtovej disciplíne, spolupráci v rozpočtových otázkach a riadnom finančnom hospodárení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, po preskúmaní všetkých možností prerozdelenia rozpočtových prostriedkov a vyčerpaní všetkých nepridelených rezerv v rámci výdavkového okruhu </w:t>
      </w:r>
      <w:r>
        <w:rPr>
          <w:i/>
          <w:noProof/>
        </w:rPr>
        <w:t>Bezpečnosť a občianstvo</w:t>
      </w:r>
      <w:r>
        <w:rPr>
          <w:noProof/>
        </w:rPr>
        <w:t xml:space="preserve"> (okruh 3) Komisia navrhuje mobilizovať nástroj flexibility, pre ktorý je strop dostupnej ročnej sumy 471 miliónov EUR (v cenách roku 2011).</w:t>
      </w:r>
    </w:p>
    <w:p>
      <w:pPr>
        <w:rPr>
          <w:noProof/>
        </w:rPr>
      </w:pPr>
      <w:r>
        <w:rPr>
          <w:noProof/>
        </w:rPr>
        <w:t>Táto mobilizácia sa týka sumy 1 504,0 milióna EUR nad rámec stropu stanovený pre okruh 3 viacročného finančného rámca, ktorá je určená na finančnú podporu opatrení zameraných na riešenie utečeneckej krízy. To zahŕňa sumu 123 966 698 EUR, ktorú Komisia navrhla mobilizovať z nástroja flexibility na ten istý účel, ktorý sprevádzal pôvodný návrh rozpočtu na rok 2016</w:t>
      </w:r>
      <w:r>
        <w:rPr>
          <w:rStyle w:val="FootnoteReference"/>
          <w:noProof/>
        </w:rPr>
        <w:footnoteReference w:id="3"/>
      </w:r>
      <w:r>
        <w:rPr>
          <w:noProof/>
        </w:rPr>
        <w:t>, ktorý je v súčasnosti zrušený a nahradený týmto návrhom.</w:t>
      </w:r>
    </w:p>
    <w:p>
      <w:pPr>
        <w:rPr>
          <w:noProof/>
        </w:rPr>
      </w:pPr>
      <w:r>
        <w:rPr>
          <w:noProof/>
        </w:rPr>
        <w:t>V súlade s článkom 11 ods. 2 nariadenia Rady č. 1311/2013 sa na sumu, ktorá je navrhnutá na mobilizáciu na rozpočtový rok 2016, použijú ročné sumy z nástroja flexibility nevyužité v predchádzajúcich rokoch (2014 a 2015).</w:t>
      </w:r>
    </w:p>
    <w:p>
      <w:pPr>
        <w:rPr>
          <w:noProof/>
        </w:rPr>
      </w:pPr>
      <w:r>
        <w:rPr>
          <w:noProof/>
        </w:rPr>
        <w:t>Platobné rozpočtové prostriedky zodpovedajúce navrhovanej mobilizácii nástroja flexibility boli vypočítané na základe pravidiel uplatniteľných na predbežné financovanie, zúčtovanie predbežného financovania a konečné platby pre rôzne druhy opatrení, ktoré sa majú financovať, a sú uvedené v tabuľke:</w:t>
      </w:r>
    </w:p>
    <w:p>
      <w:pPr>
        <w:ind w:left="5040" w:firstLine="720"/>
        <w:jc w:val="left"/>
        <w:rPr>
          <w:noProof/>
        </w:rPr>
      </w:pPr>
      <w:r>
        <w:rPr>
          <w:i/>
          <w:noProof/>
          <w:sz w:val="16"/>
        </w:rPr>
        <w:t>(v mil. EUR, v bežných cenách)</w:t>
      </w:r>
    </w:p>
    <w:tbl>
      <w:tblPr>
        <w:tblW w:w="7164" w:type="dxa"/>
        <w:jc w:val="center"/>
        <w:tblInd w:w="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04"/>
      </w:tblGrid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Rok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Platobné rozpočtové prostriedky súvisiace s mobilizáciou nástroja flexibility pre opatrenia na riešenie utečeneckej krízy v roku 2016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2016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710,0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2017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652,9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2018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82,7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2019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58,5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Spolu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1 504,0</w:t>
            </w:r>
          </w:p>
        </w:tc>
      </w:tr>
    </w:tbl>
    <w:p>
      <w:pPr>
        <w:pStyle w:val="Statut"/>
        <w:rPr>
          <w:noProof/>
        </w:rPr>
        <w:sectPr>
          <w:footerReference w:type="default" r:id="rId11"/>
          <w:footerReference w:type="first" r:id="rId12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Statut"/>
        <w:rPr>
          <w:noProof/>
        </w:rPr>
      </w:pPr>
      <w:r>
        <w:rPr>
          <w:noProof/>
        </w:rPr>
        <w:t>Návrh</w:t>
      </w:r>
    </w:p>
    <w:p>
      <w:pPr>
        <w:pStyle w:val="Typedudocument"/>
        <w:rPr>
          <w:noProof/>
        </w:rPr>
      </w:pPr>
      <w:r>
        <w:rPr>
          <w:noProof/>
        </w:rPr>
        <w:t>ROZHODNUTIE EURÓPSKEHO PARLAMENTU A RADY</w:t>
      </w:r>
    </w:p>
    <w:p>
      <w:pPr>
        <w:pStyle w:val="Titreobjet"/>
        <w:rPr>
          <w:noProof/>
        </w:rPr>
      </w:pPr>
      <w:r>
        <w:rPr>
          <w:noProof/>
        </w:rPr>
        <w:t>o mobilizácii nástroja flexibility na okamžité rozpočtové opatrenia v rámci európskej migračnej agendy</w:t>
      </w:r>
    </w:p>
    <w:p>
      <w:pPr>
        <w:pStyle w:val="Institutionquiagit"/>
        <w:rPr>
          <w:noProof/>
        </w:rPr>
      </w:pPr>
      <w:r>
        <w:rPr>
          <w:noProof/>
        </w:rPr>
        <w:t>EURÓPSKY PARLAMENT A RADA EURÓPSKEJ ÚNIE,</w:t>
      </w:r>
    </w:p>
    <w:p>
      <w:pPr>
        <w:rPr>
          <w:noProof/>
        </w:rPr>
      </w:pPr>
      <w:r>
        <w:rPr>
          <w:noProof/>
        </w:rPr>
        <w:t>so zreteľom na Zmluvu o fungovaní Európskej únie,</w:t>
      </w:r>
    </w:p>
    <w:p>
      <w:pPr>
        <w:rPr>
          <w:noProof/>
        </w:rPr>
      </w:pPr>
      <w:r>
        <w:rPr>
          <w:noProof/>
        </w:rPr>
        <w:t>so zreteľom na Medziinštitucionálnu dohodu z 2. decembra 2013 medzi Európskym parlamentom, Radou a Komisiou o rozpočtovej disciplíne, spolupráci v rozpočtových otázkach a riadnom finančnom hospodárení</w:t>
      </w:r>
      <w:r>
        <w:rPr>
          <w:rStyle w:val="FootnoteReference"/>
          <w:noProof/>
        </w:rPr>
        <w:footnoteReference w:id="4"/>
      </w:r>
      <w:r>
        <w:rPr>
          <w:noProof/>
        </w:rPr>
        <w:t>, a najmä na jej bod 12 tretí odsek,</w:t>
      </w:r>
    </w:p>
    <w:p>
      <w:pPr>
        <w:rPr>
          <w:noProof/>
        </w:rPr>
      </w:pPr>
      <w:r>
        <w:rPr>
          <w:noProof/>
        </w:rPr>
        <w:t>so zreteľom na návrh Európskej komisie,</w:t>
      </w:r>
    </w:p>
    <w:p>
      <w:pPr>
        <w:rPr>
          <w:noProof/>
        </w:rPr>
      </w:pPr>
      <w:r>
        <w:rPr>
          <w:noProof/>
        </w:rPr>
        <w:t>keďže:</w:t>
      </w:r>
    </w:p>
    <w:p>
      <w:pPr>
        <w:pStyle w:val="Point0number"/>
        <w:numPr>
          <w:ilvl w:val="0"/>
          <w:numId w:val="24"/>
        </w:numPr>
        <w:spacing w:before="0" w:after="0"/>
        <w:jc w:val="left"/>
        <w:rPr>
          <w:noProof/>
        </w:rPr>
      </w:pPr>
      <w:r>
        <w:rPr>
          <w:noProof/>
        </w:rPr>
        <w:t>V článku 11 nariadenia Rady (EÚ, Euratom) č. 1311/2013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sa ustanovuje nástroj flexibility do výšky 471 miliónov EUR za rok (v cenách roku 2011).</w:t>
      </w:r>
    </w:p>
    <w:p>
      <w:pPr>
        <w:pStyle w:val="Point0number"/>
        <w:rPr>
          <w:noProof/>
        </w:rPr>
      </w:pPr>
      <w:r>
        <w:rPr>
          <w:noProof/>
        </w:rPr>
        <w:t>Z dôvodu naliehavej potreby riešiť utečeneckú krízu, je potrebné mobilizovať značné dodatočné rozpočtové prostriedky na financovanie politiky v oblasti migrácie a vnútorných záležitostí.</w:t>
      </w:r>
    </w:p>
    <w:p>
      <w:pPr>
        <w:pStyle w:val="Point0number"/>
        <w:rPr>
          <w:noProof/>
        </w:rPr>
      </w:pPr>
      <w:r>
        <w:rPr>
          <w:noProof/>
        </w:rPr>
        <w:t>Po preskúmaní všetkých možností prerozdelenia rozpočtových prostriedkov v rámci stropu výdavkov pre okruh Bezpečnosť a občianstvo (okruh 3) je vhodné z nástroja flexibility mobilizovať 1 504,0 milióna EUR na financovanie opatrení v oblasti migrácie. Mobilizuje sa nevyužitá ročná suma dostupná z nástroja flexibility z predchádzajúcich rokov (2014 a 2015).</w:t>
      </w:r>
    </w:p>
    <w:p>
      <w:pPr>
        <w:pStyle w:val="Point0number"/>
        <w:rPr>
          <w:noProof/>
        </w:rPr>
      </w:pPr>
      <w:r>
        <w:rPr>
          <w:noProof/>
        </w:rPr>
        <w:t>Platobné rozpočtové prostriedky, ktoré zodpovedajú zamýšľanej mobilizácii nástroja flexibility, by sa mali distribuovať v priebehu niekoľkých rozpočtových rokov (710,0 milióna EUR v roku 2016, 652,9 milióna EUR v roku 2017, ďalej 82,7 milióna EUR v roku 2018 a 58,5 milióna EUR v roku 2019),</w:t>
      </w:r>
    </w:p>
    <w:p>
      <w:pPr>
        <w:pStyle w:val="Formuledadoption"/>
        <w:rPr>
          <w:noProof/>
        </w:rPr>
      </w:pPr>
      <w:r>
        <w:rPr>
          <w:noProof/>
        </w:rPr>
        <w:t>PRIJALI TOTO ROZHODNUTIE:</w:t>
      </w:r>
    </w:p>
    <w:p>
      <w:pPr>
        <w:pStyle w:val="Titrearticle"/>
        <w:rPr>
          <w:noProof/>
        </w:rPr>
      </w:pPr>
      <w:r>
        <w:rPr>
          <w:noProof/>
        </w:rPr>
        <w:t>Článok 1</w:t>
      </w:r>
    </w:p>
    <w:p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</w:r>
      <w:r>
        <w:rPr>
          <w:noProof/>
          <w:spacing w:val="-2"/>
        </w:rPr>
        <w:t>V rámci všeobecného rozpočtu Európskej únie na rozpočtový rok 2016 sa nástroj flexibility využije na zvýšenie viazaných rozpočtových prostriedkov o 1 504,0 milióna EUR nad úroveň stropu výdavkov okruhu Bezpečnosť a občianstvo (okruh 3).</w:t>
      </w:r>
    </w:p>
    <w:p>
      <w:pPr>
        <w:ind w:firstLine="426"/>
        <w:rPr>
          <w:noProof/>
        </w:rPr>
      </w:pPr>
      <w:r>
        <w:rPr>
          <w:noProof/>
        </w:rPr>
        <w:t>Táto suma sa použije na financovanie opatrení na riešenie utečeneckej krízy.</w:t>
      </w:r>
    </w:p>
    <w:p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Platobné rozpočtové prostriedky zodpovedajúce mobilizácii nástroja flexibility:</w:t>
      </w:r>
    </w:p>
    <w:p>
      <w:pPr>
        <w:pStyle w:val="Point0"/>
        <w:ind w:left="1570"/>
        <w:rPr>
          <w:noProof/>
        </w:rPr>
      </w:pPr>
      <w:r>
        <w:rPr>
          <w:noProof/>
        </w:rPr>
        <w:t>a)</w:t>
      </w:r>
      <w:r>
        <w:rPr>
          <w:noProof/>
        </w:rPr>
        <w:tab/>
        <w:t>710,0 milióna EUR v roku 2016,</w:t>
      </w:r>
    </w:p>
    <w:p>
      <w:pPr>
        <w:pStyle w:val="Point0"/>
        <w:ind w:left="1570"/>
        <w:rPr>
          <w:noProof/>
        </w:rPr>
      </w:pPr>
      <w:r>
        <w:rPr>
          <w:noProof/>
        </w:rPr>
        <w:t>b)</w:t>
      </w:r>
      <w:r>
        <w:rPr>
          <w:noProof/>
        </w:rPr>
        <w:tab/>
        <w:t>652,9 milióna EUR v roku 2017,</w:t>
      </w:r>
    </w:p>
    <w:p>
      <w:pPr>
        <w:pStyle w:val="Point0"/>
        <w:ind w:left="1570"/>
        <w:rPr>
          <w:noProof/>
        </w:rPr>
      </w:pPr>
      <w:r>
        <w:rPr>
          <w:noProof/>
        </w:rPr>
        <w:t>c)</w:t>
      </w:r>
      <w:r>
        <w:rPr>
          <w:noProof/>
        </w:rPr>
        <w:tab/>
        <w:t>82,7 milióna EUR v roku 2018,</w:t>
      </w:r>
    </w:p>
    <w:p>
      <w:pPr>
        <w:pStyle w:val="Point0"/>
        <w:ind w:left="1570"/>
        <w:rPr>
          <w:noProof/>
        </w:rPr>
      </w:pPr>
      <w:r>
        <w:rPr>
          <w:noProof/>
        </w:rPr>
        <w:t>d)</w:t>
      </w:r>
      <w:r>
        <w:rPr>
          <w:noProof/>
        </w:rPr>
        <w:tab/>
        <w:t>58,5 milióna EUR v roku 2019.</w:t>
      </w:r>
    </w:p>
    <w:p>
      <w:pPr>
        <w:pStyle w:val="Titrearticle"/>
        <w:rPr>
          <w:noProof/>
        </w:rPr>
      </w:pPr>
      <w:r>
        <w:rPr>
          <w:noProof/>
        </w:rPr>
        <w:t>Článok 2</w:t>
      </w:r>
    </w:p>
    <w:p>
      <w:pPr>
        <w:rPr>
          <w:noProof/>
        </w:rPr>
      </w:pPr>
      <w:r>
        <w:rPr>
          <w:noProof/>
        </w:rPr>
        <w:t>Toto rozhodnutie sa uverejní v </w:t>
      </w:r>
      <w:r>
        <w:rPr>
          <w:i/>
          <w:noProof/>
        </w:rPr>
        <w:t>Úradnom vestníku Európskej únie</w:t>
      </w:r>
      <w:r>
        <w:rPr>
          <w:noProof/>
        </w:rPr>
        <w:t>.</w:t>
      </w:r>
    </w:p>
    <w:p>
      <w:pPr>
        <w:pStyle w:val="Fait"/>
        <w:rPr>
          <w:noProof/>
        </w:rPr>
      </w:pPr>
      <w:r>
        <w:rPr>
          <w:noProof/>
        </w:rPr>
        <w:t>V Bruseli</w:t>
      </w:r>
    </w:p>
    <w:p>
      <w:pPr>
        <w:pStyle w:val="Institutionquisigne"/>
        <w:rPr>
          <w:noProof/>
        </w:rPr>
      </w:pPr>
      <w:r>
        <w:rPr>
          <w:noProof/>
        </w:rPr>
        <w:t xml:space="preserve">Za Európsky parlament </w:t>
      </w:r>
      <w:r>
        <w:rPr>
          <w:noProof/>
        </w:rPr>
        <w:tab/>
        <w:t>Za Radu</w:t>
      </w:r>
    </w:p>
    <w:p>
      <w:pPr>
        <w:pStyle w:val="Personnequisigne"/>
        <w:rPr>
          <w:noProof/>
        </w:rPr>
      </w:pPr>
      <w:r>
        <w:rPr>
          <w:noProof/>
        </w:rPr>
        <w:t>predseda</w:t>
      </w:r>
      <w:r>
        <w:rPr>
          <w:noProof/>
        </w:rPr>
        <w:tab/>
        <w:t>predseda</w:t>
      </w:r>
    </w:p>
    <w:sectPr>
      <w:pgSz w:w="11906" w:h="16838" w:code="9"/>
      <w:pgMar w:top="1134" w:right="1418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SK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SK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SK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SK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Ú. v. EÚ L 347, 20.12.2013, s. 884.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Ú. v. EÚ C 373, 20.12.2013, s. 1.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COM(2015) 238, 27.5.2015.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>Ú. v. EÚ C 373, 20.12.2013, s. 1.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ab/>
        <w:t>Nariadenie Rady (EÚ, Euratom) č. 1311/2013 z 2. decembra 2013, ktorým sa ustanovuje viacročný finančný rámec na roky 2014 – 2020 (Ú. v. EÚ L 347, 20.12.2013, s. 884).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E20FB7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1">
    <w:nsid w:val="FFFFFF7E"/>
    <w:multiLevelType w:val="singleLevel"/>
    <w:tmpl w:val="400A10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2">
    <w:nsid w:val="FFFFFF7F"/>
    <w:multiLevelType w:val="singleLevel"/>
    <w:tmpl w:val="45F40C6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3">
    <w:nsid w:val="FFFFFF81"/>
    <w:multiLevelType w:val="singleLevel"/>
    <w:tmpl w:val="C1989C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9182BA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4536B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57745A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FFFFFF89"/>
    <w:multiLevelType w:val="singleLevel"/>
    <w:tmpl w:val="96EC4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5-10-19 14:06:54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6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D4B48773EA4145CBBDCC18B3F94DE11D"/>
    <w:docVar w:name="LW_CROSSREFERENCE" w:val="&lt;UNUSED&gt;"/>
    <w:docVar w:name="LW_DocType" w:val="COM"/>
    <w:docVar w:name="LW_EMISSION" w:val="14. 10. 2015"/>
    <w:docVar w:name="LW_EMISSION_ISODATE" w:val="2015-10-14"/>
    <w:docVar w:name="LW_EMISSION_LOCATION" w:val="BRX"/>
    <w:docVar w:name="LW_EMISSION_PREFIX" w:val="V Bruseli"/>
    <w:docVar w:name="LW_EMISSION_SUFFIX" w:val=" "/>
    <w:docVar w:name="LW_ID_DOCMODEL" w:val="SJ-026"/>
    <w:docVar w:name="LW_ID_DOCSIGNATURE" w:val="SJ-026"/>
    <w:docVar w:name="LW_ID_DOCSTRUCTURE" w:val="COM/PL/ORG"/>
    <w:docVar w:name="LW_ID_DOCTYPE" w:val="SJ-026"/>
    <w:docVar w:name="LW_ID_STATUT" w:val="SJ-026"/>
    <w:docVar w:name="LW_INTERETEEE.CP" w:val="&lt;UNUSED&gt;"/>
    <w:docVar w:name="LW_LANGUE" w:val="SK"/>
    <w:docVar w:name="LW_MARKING" w:val="&lt;UNUSED&gt;"/>
    <w:docVar w:name="LW_NOM.INST" w:val="EURÓPSKA KOMISI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15"/>
    <w:docVar w:name="LW_REF.INST.NEW" w:val="COM"/>
    <w:docVar w:name="LW_REF.INST.NEW_ADOPTED" w:val="final"/>
    <w:docVar w:name="LW_REF.INST.NEW_TEXT" w:val="(2015) 514"/>
    <w:docVar w:name="LW_REF.INTERNE" w:val="&lt;UNUSED&gt;"/>
    <w:docVar w:name="LW_SOUS.TITRE.OBJ.CP" w:val="&lt;UNUSED&gt;"/>
    <w:docVar w:name="LW_STATUT.CP" w:val="Návrh"/>
    <w:docVar w:name="LW_SUPERTITRE" w:val="&lt;UNUSED&gt;"/>
    <w:docVar w:name="LW_TITRE.OBJ.CP" w:val="o mobilizácii nástroja flexibility na okam\u382?ité rozpo\u269?tové opatrenia v rámci európskej migra\u269?nej agendy"/>
    <w:docVar w:name="LW_TYPE.DOC.CP" w:val="ROZHODNUTIE EURÓPSKEHO PARLAMENTU A RADY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sk-SK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styleId="Caption">
    <w:name w:val="caption"/>
    <w:basedOn w:val="Normal"/>
    <w:next w:val="Normal"/>
    <w:uiPriority w:val="35"/>
    <w:qFormat/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semiHidden/>
  </w:style>
  <w:style w:type="paragraph" w:styleId="ListBullet">
    <w:name w:val="List Bullet"/>
    <w:basedOn w:val="Normal"/>
    <w:uiPriority w:val="99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uiPriority w:val="99"/>
    <w:pPr>
      <w:numPr>
        <w:numId w:val="3"/>
      </w:numPr>
    </w:pPr>
  </w:style>
  <w:style w:type="paragraph" w:styleId="ListBullet4">
    <w:name w:val="List Bullet 4"/>
    <w:basedOn w:val="Normal"/>
    <w:uiPriority w:val="99"/>
    <w:pPr>
      <w:numPr>
        <w:numId w:val="4"/>
      </w:numPr>
    </w:pPr>
  </w:style>
  <w:style w:type="paragraph" w:styleId="ListNumber">
    <w:name w:val="List Number"/>
    <w:basedOn w:val="Normal"/>
    <w:uiPriority w:val="99"/>
    <w:pPr>
      <w:numPr>
        <w:numId w:val="5"/>
      </w:numPr>
    </w:pPr>
  </w:style>
  <w:style w:type="paragraph" w:styleId="ListNumber2">
    <w:name w:val="List Number 2"/>
    <w:basedOn w:val="Normal"/>
    <w:uiPriority w:val="99"/>
    <w:pPr>
      <w:numPr>
        <w:numId w:val="6"/>
      </w:numPr>
    </w:pPr>
  </w:style>
  <w:style w:type="paragraph" w:styleId="ListNumber3">
    <w:name w:val="List Number 3"/>
    <w:basedOn w:val="Normal"/>
    <w:uiPriority w:val="99"/>
    <w:pPr>
      <w:numPr>
        <w:numId w:val="7"/>
      </w:numPr>
    </w:pPr>
  </w:style>
  <w:style w:type="paragraph" w:styleId="ListNumber4">
    <w:name w:val="List Number 4"/>
    <w:basedOn w:val="Normal"/>
    <w:uiPriority w:val="99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sk-SK"/>
    </w:rPr>
  </w:style>
  <w:style w:type="character" w:styleId="CommentReference">
    <w:name w:val="annotation reference"/>
    <w:uiPriority w:val="99"/>
    <w:rPr>
      <w:sz w:val="16"/>
      <w:shd w:val="clear" w:color="auto" w:fill="auto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sk-SK"/>
    </w:rPr>
  </w:style>
  <w:style w:type="character" w:styleId="Hyperlink">
    <w:name w:val="Hyperlink"/>
    <w:uiPriority w:val="99"/>
    <w:rPr>
      <w:color w:val="0000FF"/>
      <w:u w:val="single"/>
      <w:shd w:val="clear" w:color="auto" w:fill="auto"/>
    </w:r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before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rFonts w:eastAsiaTheme="minorHAnsi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HAnsi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rFonts w:eastAsiaTheme="minorHAnsi"/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sk-SK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styleId="Caption">
    <w:name w:val="caption"/>
    <w:basedOn w:val="Normal"/>
    <w:next w:val="Normal"/>
    <w:uiPriority w:val="35"/>
    <w:qFormat/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semiHidden/>
  </w:style>
  <w:style w:type="paragraph" w:styleId="ListBullet">
    <w:name w:val="List Bullet"/>
    <w:basedOn w:val="Normal"/>
    <w:uiPriority w:val="99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uiPriority w:val="99"/>
    <w:pPr>
      <w:numPr>
        <w:numId w:val="3"/>
      </w:numPr>
    </w:pPr>
  </w:style>
  <w:style w:type="paragraph" w:styleId="ListBullet4">
    <w:name w:val="List Bullet 4"/>
    <w:basedOn w:val="Normal"/>
    <w:uiPriority w:val="99"/>
    <w:pPr>
      <w:numPr>
        <w:numId w:val="4"/>
      </w:numPr>
    </w:pPr>
  </w:style>
  <w:style w:type="paragraph" w:styleId="ListNumber">
    <w:name w:val="List Number"/>
    <w:basedOn w:val="Normal"/>
    <w:uiPriority w:val="99"/>
    <w:pPr>
      <w:numPr>
        <w:numId w:val="5"/>
      </w:numPr>
    </w:pPr>
  </w:style>
  <w:style w:type="paragraph" w:styleId="ListNumber2">
    <w:name w:val="List Number 2"/>
    <w:basedOn w:val="Normal"/>
    <w:uiPriority w:val="99"/>
    <w:pPr>
      <w:numPr>
        <w:numId w:val="6"/>
      </w:numPr>
    </w:pPr>
  </w:style>
  <w:style w:type="paragraph" w:styleId="ListNumber3">
    <w:name w:val="List Number 3"/>
    <w:basedOn w:val="Normal"/>
    <w:uiPriority w:val="99"/>
    <w:pPr>
      <w:numPr>
        <w:numId w:val="7"/>
      </w:numPr>
    </w:pPr>
  </w:style>
  <w:style w:type="paragraph" w:styleId="ListNumber4">
    <w:name w:val="List Number 4"/>
    <w:basedOn w:val="Normal"/>
    <w:uiPriority w:val="99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sk-SK"/>
    </w:rPr>
  </w:style>
  <w:style w:type="character" w:styleId="CommentReference">
    <w:name w:val="annotation reference"/>
    <w:uiPriority w:val="99"/>
    <w:rPr>
      <w:sz w:val="16"/>
      <w:shd w:val="clear" w:color="auto" w:fill="auto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sk-SK"/>
    </w:rPr>
  </w:style>
  <w:style w:type="character" w:styleId="Hyperlink">
    <w:name w:val="Hyperlink"/>
    <w:uiPriority w:val="99"/>
    <w:rPr>
      <w:color w:val="0000FF"/>
      <w:u w:val="single"/>
      <w:shd w:val="clear" w:color="auto" w:fill="auto"/>
    </w:r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before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rFonts w:eastAsiaTheme="minorHAnsi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HAnsi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rFonts w:eastAsiaTheme="minorHAnsi"/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1C9A3-2D41-4293-B8FF-282A7237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4</Pages>
  <Words>627</Words>
  <Characters>3678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17</cp:revision>
  <cp:lastPrinted>2015-09-29T10:24:00Z</cp:lastPrinted>
  <dcterms:created xsi:type="dcterms:W3CDTF">2015-10-19T07:49:00Z</dcterms:created>
  <dcterms:modified xsi:type="dcterms:W3CDTF">2015-10-19T12:06:00Z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5.8.40.0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5.8, Build 20111205</vt:lpwstr>
  </property>
  <property fmtid="{D5CDD505-2E9C-101B-9397-08002B2CF9AE}" pid="7" name="LWTemplateID">
    <vt:lpwstr>SJ-026</vt:lpwstr>
  </property>
  <property fmtid="{D5CDD505-2E9C-101B-9397-08002B2CF9AE}" pid="8" name="Part">
    <vt:lpwstr>1</vt:lpwstr>
  </property>
  <property fmtid="{D5CDD505-2E9C-101B-9397-08002B2CF9AE}" pid="9" name="Total parts">
    <vt:lpwstr>1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