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53F3F" w:rsidR="008835DB" w:rsidP="001F7BA7" w:rsidRDefault="00085E81" w14:paraId="0E141714" w14:textId="7B8CF7FD">
      <w:pPr>
        <w:pStyle w:val="Footer"/>
        <w:jc w:val="center"/>
      </w:pPr>
      <w:r>
        <w:rPr>
          <w:noProof/>
        </w:rPr>
        <w:drawing>
          <wp:inline distT="0" distB="0" distL="0" distR="0" wp14:anchorId="43595AD5" wp14:editId="3EB68805">
            <wp:extent cx="1792605" cy="1239520"/>
            <wp:effectExtent l="0" t="0" r="0" b="0"/>
            <wp:docPr id="2" name="Picture 2" title="EESCLogo_RO"/>
            <wp:cNvGraphicFramePr/>
            <a:graphic xmlns:a="http://schemas.openxmlformats.org/drawingml/2006/main">
              <a:graphicData uri="http://schemas.openxmlformats.org/drawingml/2006/picture">
                <pic:pic xmlns:pic="http://schemas.openxmlformats.org/drawingml/2006/picture">
                  <pic:nvPicPr>
                    <pic:cNvPr id="2" name="Picture 2" title="EESCLogo_R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603CA4">
        <w:rPr>
          <w:noProof/>
          <w:sz w:val="20"/>
        </w:rPr>
        <mc:AlternateContent>
          <mc:Choice Requires="wps">
            <w:drawing>
              <wp:anchor distT="0" distB="0" distL="114300" distR="114300" simplePos="0" relativeHeight="251659264" behindDoc="1" locked="0" layoutInCell="0" allowOverlap="1" wp14:editId="6A128C62" wp14:anchorId="5EEC5842">
                <wp:simplePos x="0" y="0"/>
                <wp:positionH relativeFrom="page">
                  <wp:posOffset>6769100</wp:posOffset>
                </wp:positionH>
                <wp:positionV relativeFrom="page">
                  <wp:posOffset>10081260</wp:posOffset>
                </wp:positionV>
                <wp:extent cx="647700" cy="3962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wps:spPr>
                      <wps:txbx>
                        <w:txbxContent>
                          <w:p w:rsidRPr="00EA02E8" w:rsidR="008835DB" w:rsidP="008835DB" w:rsidRDefault="008835DB" w14:paraId="7BF2C23F" w14:textId="77777777">
                            <w:pPr>
                              <w:jc w:val="center"/>
                              <w:rPr>
                                <w:rFonts w:ascii="Arial" w:hAnsi="Arial" w:cs="Arial"/>
                                <w:b/>
                                <w:bCs/>
                                <w:sz w:val="48"/>
                              </w:rPr>
                            </w:pPr>
                            <w:r>
                              <w:rPr>
                                <w:rFonts w:ascii="Arial" w:hAnsi="Arial"/>
                                <w:b/>
                                <w:sz w:val="48"/>
                              </w:rPr>
                              <w:t>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EEC5842">
                <v:stroke joinstyle="miter"/>
                <v:path gradientshapeok="t" o:connecttype="rect"/>
              </v:shapetype>
              <v:shape id="Text Box 1"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mxM8AEAAMUDAAAOAAAAZHJzL2Uyb0RvYy54bWysU9uO0zAQfUfiHyy/06SltGzUdLXsahHS&#10;cpF2+QDHsRuL2GPGbpPy9Yydbinwhnix7Jnx8Tlnxpvr0fbsoDAYcDWfz0rOlJPQGrer+den+1dv&#10;OQtRuFb04FTNjyrw6+3LF5vBV2oBHfStQkYgLlSDr3kXo6+KIshOWRFm4JWjpAa0ItIRd0WLYiB0&#10;2xeLslwVA2DrEaQKgaJ3U5JvM77WSsbPWgcVWV9z4hbzinlt0lpsN6LaofCdkSca4h9YWGEcPXqG&#10;uhNRsD2av6CskQgBdJxJsAVobaTKGkjNvPxDzWMnvMpayJzgzzaF/wcrPx2+IDMt9Y4zJyy16EmN&#10;kb2Dkc2TO4MPFRU9eiqLI4VTZVIa/APIb4E5uO2E26kbRBg6JVpil28WF1cnnJBAmuEjtPSM2EfI&#10;QKNGmwDJDEbo1KXjuTOJiqTgarlel5SRlHp9tVosc+cKUT1f9hjiewWWpU3NkRqfwcXhIUSSQaXP&#10;JektB/em73Pze/dbgApTJJNPfCfmcWzGkxkNtEeSgTDNEs0+bTrAH5wNNEc1D9/3AhVn/QdHVlzN&#10;l0SWxXxYvlkv6ICXmeYyI5wkqJpHzqbtbZyGde/R7Dp6aTLfwQ3Zp02WlnyeWJ1406xkxae5TsN4&#10;ec5Vv37f9icAAAD//wMAUEsDBBQABgAIAAAAIQDrVDFa3gAAAA8BAAAPAAAAZHJzL2Rvd25yZXYu&#10;eG1sTE9BTsMwELwj8QdrkbhRu4iYEOJUCMQVRIFKvbnxNomI11HsNuH3bE/0NrMzmp0pV7PvxRHH&#10;2AUysFwoEEh1cB01Br4+X29yEDFZcrYPhAZ+McKqurwobeHCRB94XKdGcAjFwhpoUxoKKWPdordx&#10;EQYk1vZh9DYxHRvpRjtxuO/lrVJaetsRf2jtgM8t1j/rgzfw/bbfbu7Ue/Pis2EKs5LkH6Qx11fz&#10;0yOIhHP6N8OpPleHijvtwoFcFD1zpTWPSYyy/F6DOHmWOufbjpHOlAJZlfJ8R/UHAAD//wMAUEsB&#10;Ai0AFAAGAAgAAAAhALaDOJL+AAAA4QEAABMAAAAAAAAAAAAAAAAAAAAAAFtDb250ZW50X1R5cGVz&#10;XS54bWxQSwECLQAUAAYACAAAACEAOP0h/9YAAACUAQAACwAAAAAAAAAAAAAAAAAvAQAAX3JlbHMv&#10;LnJlbHNQSwECLQAUAAYACAAAACEA+U5sTPABAADFAwAADgAAAAAAAAAAAAAAAAAuAgAAZHJzL2Uy&#10;b0RvYy54bWxQSwECLQAUAAYACAAAACEA61QxWt4AAAAPAQAADwAAAAAAAAAAAAAAAABKBAAAZHJz&#10;L2Rvd25yZXYueG1sUEsFBgAAAAAEAAQA8wAAAFUFAAAAAA==&#10;">
                <v:textbox>
                  <w:txbxContent>
                    <w:p w:rsidRPr="00EA02E8" w:rsidR="008835DB" w:rsidP="008835DB" w:rsidRDefault="008835DB" w14:paraId="7BF2C23F" w14:textId="77777777">
                      <w:pPr>
                        <w:jc w:val="center"/>
                        <w:rPr>
                          <w:rFonts w:ascii="Arial" w:hAnsi="Arial" w:cs="Arial"/>
                          <w:b/>
                          <w:bCs/>
                          <w:sz w:val="48"/>
                        </w:rPr>
                      </w:pPr>
                      <w:r>
                        <w:rPr>
                          <w:rFonts w:ascii="Arial" w:hAnsi="Arial"/>
                          <w:b/>
                          <w:sz w:val="48"/>
                        </w:rPr>
                        <w:t>RO</w:t>
                      </w:r>
                    </w:p>
                  </w:txbxContent>
                </v:textbox>
                <w10:wrap anchorx="page" anchory="page"/>
              </v:shape>
            </w:pict>
          </mc:Fallback>
        </mc:AlternateContent>
      </w:r>
    </w:p>
    <w:p w:rsidRPr="004E7ABB" w:rsidR="008835DB" w:rsidRDefault="008835DB" w14:paraId="33C5FFE1" w14:textId="77777777"/>
    <w:p w:rsidRPr="004E7ABB" w:rsidR="008835DB" w:rsidRDefault="008835DB" w14:paraId="4DF63B9F" w14:textId="77777777">
      <w:pPr>
        <w:jc w:val="right"/>
      </w:pPr>
      <w:r>
        <w:rPr>
          <w:b/>
        </w:rPr>
        <w:t>ECO/637</w:t>
      </w:r>
    </w:p>
    <w:p w:rsidRPr="00653F3F" w:rsidR="008835DB" w:rsidRDefault="008835DB" w14:paraId="7A5A1747" w14:textId="77777777">
      <w:pPr>
        <w:jc w:val="right"/>
        <w:rPr>
          <w:b/>
          <w:bCs/>
        </w:rPr>
      </w:pPr>
      <w:r>
        <w:rPr>
          <w:b/>
        </w:rPr>
        <w:t>Facilitarea soluțiilor transfrontaliere</w:t>
      </w:r>
    </w:p>
    <w:p w:rsidRPr="00653F3F" w:rsidR="008835DB" w:rsidRDefault="008835DB" w14:paraId="6D3BFACC" w14:textId="77777777"/>
    <w:p w:rsidRPr="00653F3F" w:rsidR="008835DB" w:rsidRDefault="008835DB" w14:paraId="311155A1" w14:textId="77777777"/>
    <w:p w:rsidRPr="00653F3F" w:rsidR="008835DB" w:rsidRDefault="00163CEE" w14:paraId="010EBC29" w14:textId="7C1D7107">
      <w:pPr>
        <w:jc w:val="center"/>
        <w:rPr>
          <w:b/>
          <w:bCs/>
          <w:sz w:val="28"/>
          <w:szCs w:val="28"/>
        </w:rPr>
      </w:pPr>
      <w:r>
        <w:rPr>
          <w:b/>
          <w:sz w:val="28"/>
        </w:rPr>
        <w:t>AVIZ</w:t>
      </w:r>
    </w:p>
    <w:p w:rsidRPr="00653F3F" w:rsidR="008835DB" w:rsidRDefault="008835DB" w14:paraId="2D552CFD" w14:textId="77777777">
      <w:pPr>
        <w:jc w:val="center"/>
      </w:pPr>
    </w:p>
    <w:p w:rsidRPr="00653F3F" w:rsidR="008835DB" w:rsidRDefault="008835DB" w14:paraId="37ABB350" w14:textId="77777777">
      <w:pPr>
        <w:jc w:val="center"/>
      </w:pPr>
      <w:r>
        <w:t>Secțiunea pentru uniunea economică și monetară și coeziune economică și socială</w:t>
      </w:r>
    </w:p>
    <w:p w:rsidRPr="00653F3F" w:rsidR="008835DB" w:rsidRDefault="008835DB" w14:paraId="510ADB64" w14:textId="77777777">
      <w:pPr>
        <w:jc w:val="center"/>
      </w:pPr>
    </w:p>
    <w:p w:rsidRPr="00653F3F" w:rsidR="008835DB" w:rsidRDefault="00036EBB" w14:paraId="288F6CE3" w14:textId="4576D93D">
      <w:pPr>
        <w:jc w:val="center"/>
        <w:rPr>
          <w:b/>
        </w:rPr>
      </w:pPr>
      <w:r>
        <w:rPr>
          <w:b/>
        </w:rPr>
        <w:t xml:space="preserve">Propunerea modificată de regulament al Parlamentului European și al Consiliului </w:t>
      </w:r>
      <w:r w:rsidR="00240D54">
        <w:rPr>
          <w:b/>
        </w:rPr>
        <w:br/>
      </w:r>
      <w:r>
        <w:rPr>
          <w:b/>
        </w:rPr>
        <w:t xml:space="preserve">privind un mecanism de soluționare a obstacolelor juridice și administrative </w:t>
      </w:r>
      <w:r w:rsidR="00240D54">
        <w:rPr>
          <w:b/>
        </w:rPr>
        <w:br/>
      </w:r>
      <w:r>
        <w:rPr>
          <w:b/>
        </w:rPr>
        <w:t>în context transfrontalier</w:t>
      </w:r>
    </w:p>
    <w:p w:rsidRPr="00653F3F" w:rsidR="008835DB" w:rsidRDefault="008835DB" w14:paraId="215106F9" w14:textId="77777777">
      <w:pPr>
        <w:jc w:val="center"/>
        <w:rPr>
          <w:bCs/>
        </w:rPr>
      </w:pPr>
      <w:r>
        <w:t>(COM(2023) 790 final – 2018/0198 (COD)</w:t>
      </w:r>
    </w:p>
    <w:p w:rsidRPr="00653F3F" w:rsidR="008835DB" w:rsidRDefault="008835DB" w14:paraId="3C855560" w14:textId="77777777">
      <w:pPr>
        <w:jc w:val="cente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Pr="00653F3F" w:rsidR="008835DB" w:rsidTr="00180050" w14:paraId="1112EE24" w14:textId="77777777">
        <w:tc>
          <w:tcPr>
            <w:tcW w:w="3085" w:type="dxa"/>
          </w:tcPr>
          <w:p w:rsidRPr="00653F3F" w:rsidR="008835DB" w:rsidP="001F7BA7" w:rsidRDefault="008835DB" w14:paraId="1EF2D400" w14:textId="77777777">
            <w:pPr>
              <w:jc w:val="left"/>
            </w:pPr>
            <w:r>
              <w:t>Date de contact</w:t>
            </w:r>
          </w:p>
        </w:tc>
        <w:tc>
          <w:tcPr>
            <w:tcW w:w="6204" w:type="dxa"/>
          </w:tcPr>
          <w:p w:rsidRPr="00653F3F" w:rsidR="008835DB" w:rsidP="001F7BA7" w:rsidRDefault="000D5D4D" w14:paraId="64BBBB72" w14:textId="77777777">
            <w:pPr>
              <w:jc w:val="left"/>
            </w:pPr>
            <w:hyperlink w:history="1" r:id="rId12">
              <w:r w:rsidR="005D5793">
                <w:rPr>
                  <w:rStyle w:val="Hyperlink"/>
                </w:rPr>
                <w:t>ECO@eesc.europa.eu</w:t>
              </w:r>
            </w:hyperlink>
          </w:p>
        </w:tc>
      </w:tr>
      <w:tr w:rsidRPr="00653F3F" w:rsidR="008835DB" w:rsidTr="00180050" w14:paraId="5FF3C5DB" w14:textId="77777777">
        <w:tc>
          <w:tcPr>
            <w:tcW w:w="3085" w:type="dxa"/>
          </w:tcPr>
          <w:p w:rsidRPr="00653F3F" w:rsidR="008835DB" w:rsidP="001F7BA7" w:rsidRDefault="008835DB" w14:paraId="1E4699DF" w14:textId="77777777">
            <w:pPr>
              <w:jc w:val="left"/>
            </w:pPr>
            <w:r>
              <w:t>Administrator</w:t>
            </w:r>
          </w:p>
        </w:tc>
        <w:tc>
          <w:tcPr>
            <w:tcW w:w="6204" w:type="dxa"/>
          </w:tcPr>
          <w:p w:rsidRPr="00653F3F" w:rsidR="008835DB" w:rsidP="001F7BA7" w:rsidRDefault="00A27875" w14:paraId="1589BBBC" w14:textId="509A020B">
            <w:pPr>
              <w:jc w:val="left"/>
            </w:pPr>
            <w:r>
              <w:t>Georgios MELEAS</w:t>
            </w:r>
          </w:p>
        </w:tc>
      </w:tr>
      <w:tr w:rsidRPr="00653F3F" w:rsidR="008835DB" w:rsidTr="00180050" w14:paraId="5C33AD56" w14:textId="77777777">
        <w:tc>
          <w:tcPr>
            <w:tcW w:w="3085" w:type="dxa"/>
          </w:tcPr>
          <w:p w:rsidRPr="00653F3F" w:rsidR="008835DB" w:rsidP="001F7BA7" w:rsidRDefault="008835DB" w14:paraId="25FA42FE" w14:textId="77777777">
            <w:pPr>
              <w:jc w:val="left"/>
            </w:pPr>
            <w:r>
              <w:t>Data documentului</w:t>
            </w:r>
          </w:p>
        </w:tc>
        <w:tc>
          <w:tcPr>
            <w:tcW w:w="6204" w:type="dxa"/>
          </w:tcPr>
          <w:p w:rsidRPr="00653F3F" w:rsidR="008835DB" w:rsidP="001F7BA7" w:rsidRDefault="00AA2979" w14:paraId="0CE8DB59" w14:textId="5F760C78">
            <w:pPr>
              <w:jc w:val="left"/>
            </w:pPr>
            <w:r>
              <w:t>15/4/2024</w:t>
            </w:r>
          </w:p>
        </w:tc>
      </w:tr>
    </w:tbl>
    <w:p w:rsidRPr="00653F3F" w:rsidR="001875D0" w:rsidRDefault="008835DB" w14:paraId="11767C4A" w14:textId="10549C8E">
      <w:pPr>
        <w:jc w:val="center"/>
        <w:rPr>
          <w:b/>
        </w:rPr>
      </w:pPr>
      <w:r>
        <w:t xml:space="preserve">Raportor: </w:t>
      </w:r>
      <w:r>
        <w:rPr>
          <w:b/>
        </w:rPr>
        <w:t>Athanasios IOANNIDIS</w:t>
      </w:r>
    </w:p>
    <w:p w:rsidRPr="00653F3F" w:rsidR="001875D0" w:rsidRDefault="001875D0" w14:paraId="3DB046F1" w14:textId="3433148A">
      <w:pPr>
        <w:jc w:val="center"/>
        <w:rPr>
          <w:bCs/>
        </w:rPr>
      </w:pPr>
    </w:p>
    <w:p w:rsidRPr="00653F3F" w:rsidR="000E2ED9" w:rsidP="00180050" w:rsidRDefault="000E2ED9" w14:paraId="26A7BA71" w14:textId="77777777">
      <w:pPr>
        <w:jc w:val="left"/>
        <w:rPr>
          <w:bCs/>
        </w:rPr>
      </w:pPr>
    </w:p>
    <w:p w:rsidRPr="00653F3F" w:rsidR="008835DB" w:rsidP="008925E0" w:rsidRDefault="008835DB" w14:paraId="4D72AF30" w14:textId="3932DAFC">
      <w:pPr>
        <w:rPr>
          <w:bCs/>
        </w:rPr>
      </w:pPr>
    </w:p>
    <w:p w:rsidRPr="00653F3F" w:rsidR="001875D0" w:rsidRDefault="001875D0" w14:paraId="2A75DBCD" w14:textId="25EE9910">
      <w:pPr>
        <w:jc w:val="center"/>
        <w:rPr>
          <w:bCs/>
        </w:rPr>
        <w:sectPr w:rsidRPr="00653F3F" w:rsidR="001875D0" w:rsidSect="00381FAC">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gNumType w:start="1"/>
          <w:cols w:space="720"/>
          <w:docGrid w:linePitch="299"/>
        </w:sectPr>
      </w:pPr>
    </w:p>
    <w:p w:rsidRPr="00653F3F" w:rsidR="008835DB" w:rsidRDefault="008835DB" w14:paraId="49192549" w14:textId="77777777"/>
    <w:tbl>
      <w:tblPr>
        <w:tblW w:w="0" w:type="auto"/>
        <w:tblLook w:val="04A0" w:firstRow="1" w:lastRow="0" w:firstColumn="1" w:lastColumn="0" w:noHBand="0" w:noVBand="1"/>
      </w:tblPr>
      <w:tblGrid>
        <w:gridCol w:w="3402"/>
        <w:gridCol w:w="5671"/>
      </w:tblGrid>
      <w:tr w:rsidRPr="00653F3F" w:rsidR="008835DB" w:rsidTr="00240D54" w14:paraId="2F7D4503" w14:textId="77777777">
        <w:tc>
          <w:tcPr>
            <w:tcW w:w="3402" w:type="dxa"/>
          </w:tcPr>
          <w:p w:rsidRPr="00653F3F" w:rsidR="008835DB" w:rsidRDefault="008835DB" w14:paraId="64B83284" w14:textId="77777777">
            <w:pPr>
              <w:jc w:val="left"/>
            </w:pPr>
            <w:r>
              <w:t>Sesizare</w:t>
            </w:r>
          </w:p>
        </w:tc>
        <w:tc>
          <w:tcPr>
            <w:tcW w:w="5671" w:type="dxa"/>
          </w:tcPr>
          <w:p w:rsidRPr="00653F3F" w:rsidR="008835DB" w:rsidRDefault="004C30B4" w14:paraId="4CE7740C" w14:textId="25D5593B">
            <w:pPr>
              <w:jc w:val="left"/>
            </w:pPr>
            <w:r>
              <w:t xml:space="preserve">Parlamentul European, 25/1/2024 </w:t>
            </w:r>
          </w:p>
          <w:p w:rsidRPr="00653F3F" w:rsidR="004C30B4" w:rsidRDefault="004C30B4" w14:paraId="0976D95C" w14:textId="3EFF4E32">
            <w:pPr>
              <w:jc w:val="left"/>
            </w:pPr>
            <w:r>
              <w:t xml:space="preserve">Consiliul Uniunii Europene, 1/2/2024 </w:t>
            </w:r>
          </w:p>
        </w:tc>
      </w:tr>
      <w:tr w:rsidRPr="00653F3F" w:rsidR="008835DB" w:rsidTr="00240D54" w14:paraId="3CE7A24B" w14:textId="77777777">
        <w:trPr>
          <w:trHeight w:val="251"/>
        </w:trPr>
        <w:tc>
          <w:tcPr>
            <w:tcW w:w="3402" w:type="dxa"/>
          </w:tcPr>
          <w:p w:rsidRPr="00653F3F" w:rsidR="008835DB" w:rsidRDefault="008835DB" w14:paraId="73CD4C78" w14:textId="77777777">
            <w:pPr>
              <w:jc w:val="left"/>
            </w:pPr>
            <w:r>
              <w:t>Temei juridic</w:t>
            </w:r>
          </w:p>
        </w:tc>
        <w:tc>
          <w:tcPr>
            <w:tcW w:w="5671" w:type="dxa"/>
          </w:tcPr>
          <w:p w:rsidRPr="00653F3F" w:rsidR="008835DB" w:rsidP="00240D54" w:rsidRDefault="00283C6E" w14:paraId="25FB8345" w14:textId="182FB4B5">
            <w:r>
              <w:t>Articolele 175 alineatul (3) și 304 din Tratatul privind funcționarea Uniunii Europene</w:t>
            </w:r>
          </w:p>
        </w:tc>
      </w:tr>
      <w:tr w:rsidRPr="00653F3F" w:rsidR="008835DB" w:rsidTr="00240D54" w14:paraId="47741D58" w14:textId="77777777">
        <w:tc>
          <w:tcPr>
            <w:tcW w:w="3402" w:type="dxa"/>
          </w:tcPr>
          <w:p w:rsidRPr="00653F3F" w:rsidR="008835DB" w:rsidRDefault="008835DB" w14:paraId="1D49E1E1" w14:textId="77777777">
            <w:pPr>
              <w:jc w:val="left"/>
            </w:pPr>
          </w:p>
        </w:tc>
        <w:tc>
          <w:tcPr>
            <w:tcW w:w="5671" w:type="dxa"/>
          </w:tcPr>
          <w:p w:rsidRPr="00653F3F" w:rsidR="008835DB" w:rsidRDefault="008835DB" w14:paraId="366B24EB" w14:textId="79343B59">
            <w:pPr>
              <w:jc w:val="left"/>
            </w:pPr>
          </w:p>
        </w:tc>
      </w:tr>
      <w:tr w:rsidRPr="00653F3F" w:rsidR="008835DB" w:rsidTr="00240D54" w14:paraId="51B9405D" w14:textId="77777777">
        <w:tc>
          <w:tcPr>
            <w:tcW w:w="3402" w:type="dxa"/>
          </w:tcPr>
          <w:p w:rsidRPr="00653F3F" w:rsidR="008835DB" w:rsidRDefault="008835DB" w14:paraId="4C9687DE" w14:textId="77777777">
            <w:pPr>
              <w:jc w:val="left"/>
            </w:pPr>
            <w:r>
              <w:t>Secțiunea competentă</w:t>
            </w:r>
          </w:p>
        </w:tc>
        <w:tc>
          <w:tcPr>
            <w:tcW w:w="5671" w:type="dxa"/>
          </w:tcPr>
          <w:p w:rsidRPr="00653F3F" w:rsidR="008835DB" w:rsidRDefault="008835DB" w14:paraId="45E733C1" w14:textId="77777777">
            <w:pPr>
              <w:jc w:val="left"/>
            </w:pPr>
            <w:r>
              <w:t>Secțiunea pentru uniunea economică și monetară și coeziune economică și socială</w:t>
            </w:r>
          </w:p>
        </w:tc>
      </w:tr>
      <w:tr w:rsidRPr="00653F3F" w:rsidR="008835DB" w:rsidTr="00240D54" w14:paraId="65F1BA4D" w14:textId="77777777">
        <w:tc>
          <w:tcPr>
            <w:tcW w:w="3402" w:type="dxa"/>
          </w:tcPr>
          <w:p w:rsidRPr="00653F3F" w:rsidR="008835DB" w:rsidRDefault="008835DB" w14:paraId="4AE7140A" w14:textId="77777777">
            <w:pPr>
              <w:jc w:val="left"/>
            </w:pPr>
            <w:r>
              <w:t>Data adoptării în secțiune</w:t>
            </w:r>
          </w:p>
        </w:tc>
        <w:tc>
          <w:tcPr>
            <w:tcW w:w="5671" w:type="dxa"/>
          </w:tcPr>
          <w:p w:rsidRPr="00653F3F" w:rsidR="008835DB" w:rsidRDefault="00521F6E" w14:paraId="1DF89ED3" w14:textId="19C03943">
            <w:pPr>
              <w:jc w:val="left"/>
            </w:pPr>
            <w:r>
              <w:t>10/4/2024</w:t>
            </w:r>
          </w:p>
        </w:tc>
      </w:tr>
      <w:tr w:rsidRPr="00653F3F" w:rsidR="008835DB" w:rsidTr="00240D54" w14:paraId="5A97B220" w14:textId="77777777">
        <w:tc>
          <w:tcPr>
            <w:tcW w:w="3402" w:type="dxa"/>
          </w:tcPr>
          <w:p w:rsidRPr="00653F3F" w:rsidR="008835DB" w:rsidRDefault="008835DB" w14:paraId="0584F7EA" w14:textId="57B863E6">
            <w:pPr>
              <w:jc w:val="left"/>
            </w:pPr>
            <w:r>
              <w:t>Rezultatul votului (voturi pentru/</w:t>
            </w:r>
            <w:r w:rsidR="00240D54">
              <w:br/>
            </w:r>
            <w:r>
              <w:t>voturi împotrivă/abțineri)</w:t>
            </w:r>
          </w:p>
        </w:tc>
        <w:tc>
          <w:tcPr>
            <w:tcW w:w="5671" w:type="dxa"/>
            <w:vAlign w:val="bottom"/>
          </w:tcPr>
          <w:p w:rsidRPr="00653F3F" w:rsidR="008835DB" w:rsidRDefault="000467EB" w14:paraId="59277A9D" w14:textId="01A11AC3">
            <w:pPr>
              <w:jc w:val="left"/>
            </w:pPr>
            <w:r>
              <w:t>72/0/2</w:t>
            </w:r>
          </w:p>
        </w:tc>
      </w:tr>
      <w:tr w:rsidRPr="00653F3F" w:rsidR="008835DB" w:rsidTr="00240D54" w14:paraId="6C8797F2" w14:textId="77777777">
        <w:tc>
          <w:tcPr>
            <w:tcW w:w="3402" w:type="dxa"/>
          </w:tcPr>
          <w:p w:rsidRPr="00653F3F" w:rsidR="008835DB" w:rsidRDefault="008835DB" w14:paraId="08994E58" w14:textId="77777777">
            <w:pPr>
              <w:jc w:val="left"/>
            </w:pPr>
            <w:r>
              <w:t>Data adoptării în sesiunea plenară</w:t>
            </w:r>
          </w:p>
        </w:tc>
        <w:tc>
          <w:tcPr>
            <w:tcW w:w="5671" w:type="dxa"/>
          </w:tcPr>
          <w:p w:rsidRPr="00653F3F" w:rsidR="008835DB" w:rsidRDefault="008835DB" w14:paraId="7C5F3BD7" w14:textId="77777777">
            <w:pPr>
              <w:jc w:val="left"/>
            </w:pPr>
            <w:r>
              <w:t>DD/MM/YYYY</w:t>
            </w:r>
          </w:p>
        </w:tc>
      </w:tr>
      <w:tr w:rsidRPr="00653F3F" w:rsidR="008835DB" w:rsidTr="00240D54" w14:paraId="4219B23A" w14:textId="77777777">
        <w:tc>
          <w:tcPr>
            <w:tcW w:w="3402" w:type="dxa"/>
          </w:tcPr>
          <w:p w:rsidRPr="00653F3F" w:rsidR="008835DB" w:rsidRDefault="008835DB" w14:paraId="28DD0E09" w14:textId="77777777">
            <w:pPr>
              <w:jc w:val="left"/>
            </w:pPr>
            <w:r>
              <w:t>Sesiunea plenară nr.</w:t>
            </w:r>
          </w:p>
        </w:tc>
        <w:tc>
          <w:tcPr>
            <w:tcW w:w="5671" w:type="dxa"/>
          </w:tcPr>
          <w:p w:rsidRPr="00653F3F" w:rsidR="008835DB" w:rsidRDefault="008835DB" w14:paraId="43703122" w14:textId="77777777">
            <w:pPr>
              <w:jc w:val="left"/>
            </w:pPr>
            <w:r>
              <w:t>…</w:t>
            </w:r>
          </w:p>
        </w:tc>
      </w:tr>
      <w:tr w:rsidRPr="00653F3F" w:rsidR="008835DB" w:rsidTr="00240D54" w14:paraId="64DD0C7A" w14:textId="77777777">
        <w:tc>
          <w:tcPr>
            <w:tcW w:w="3402" w:type="dxa"/>
          </w:tcPr>
          <w:p w:rsidRPr="00653F3F" w:rsidR="008835DB" w:rsidRDefault="008835DB" w14:paraId="6ED742D8" w14:textId="57DD5D4C">
            <w:pPr>
              <w:jc w:val="left"/>
            </w:pPr>
            <w:r>
              <w:t>Rezultatul votului (voturi pentru/</w:t>
            </w:r>
            <w:r w:rsidR="00240D54">
              <w:br/>
            </w:r>
            <w:r>
              <w:t>voturi împotrivă/abțineri)</w:t>
            </w:r>
          </w:p>
        </w:tc>
        <w:tc>
          <w:tcPr>
            <w:tcW w:w="5671" w:type="dxa"/>
            <w:vAlign w:val="bottom"/>
          </w:tcPr>
          <w:p w:rsidRPr="00653F3F" w:rsidR="008835DB" w:rsidRDefault="008835DB" w14:paraId="532C4843" w14:textId="77777777">
            <w:pPr>
              <w:jc w:val="left"/>
            </w:pPr>
            <w:r>
              <w:t>…/…/…</w:t>
            </w:r>
          </w:p>
        </w:tc>
      </w:tr>
    </w:tbl>
    <w:p w:rsidRPr="00653F3F" w:rsidR="008835DB" w:rsidRDefault="008835DB" w14:paraId="0F3491DE" w14:textId="77777777"/>
    <w:p w:rsidRPr="00653F3F" w:rsidR="008835DB" w:rsidRDefault="008835DB" w14:paraId="6ECCBA8D" w14:textId="77777777">
      <w:r>
        <w:br w:type="page"/>
      </w:r>
    </w:p>
    <w:p w:rsidRPr="00653F3F" w:rsidR="008835DB" w:rsidP="001F7BA7" w:rsidRDefault="008835DB" w14:paraId="3F1DA94F" w14:textId="6C6B8733">
      <w:pPr>
        <w:pStyle w:val="Heading1"/>
        <w:ind w:left="567" w:hanging="567"/>
      </w:pPr>
      <w:r>
        <w:rPr>
          <w:b/>
        </w:rPr>
        <w:lastRenderedPageBreak/>
        <w:t>Concluzii și recomandări</w:t>
      </w:r>
    </w:p>
    <w:p w:rsidRPr="00653F3F" w:rsidR="00777D57" w:rsidP="00777D57" w:rsidRDefault="00777D57" w14:paraId="75DACB8E" w14:textId="77777777"/>
    <w:p w:rsidRPr="00653F3F" w:rsidR="00777D57" w:rsidP="00777D57" w:rsidRDefault="00777D57" w14:paraId="65BFF421" w14:textId="5703F521">
      <w:pPr>
        <w:numPr>
          <w:ilvl w:val="1"/>
          <w:numId w:val="1"/>
        </w:numPr>
        <w:ind w:left="567" w:hanging="567"/>
        <w:outlineLvl w:val="1"/>
        <w:rPr>
          <w:iCs/>
        </w:rPr>
      </w:pPr>
      <w:r>
        <w:t xml:space="preserve">CESE </w:t>
      </w:r>
      <w:r>
        <w:rPr>
          <w:b/>
        </w:rPr>
        <w:t>sprijină</w:t>
      </w:r>
      <w:r>
        <w:t xml:space="preserve"> propunerea modificată de regulament prezentată de Comisia Europeană privind o procedură de soluționare a obstacolelor juridice și administrative în context transfrontalier, ca un efort de consolidare în continuare a procesului de integrare în contextul pieței interne a Uniunii Europene.</w:t>
      </w:r>
    </w:p>
    <w:p w:rsidRPr="00653F3F" w:rsidR="00777D57" w:rsidP="00777D57" w:rsidRDefault="00777D57" w14:paraId="10058569" w14:textId="77777777"/>
    <w:p w:rsidRPr="00653F3F" w:rsidR="00777D57" w:rsidP="00777D57" w:rsidRDefault="00777D57" w14:paraId="3EDBC471" w14:textId="726869E4">
      <w:pPr>
        <w:numPr>
          <w:ilvl w:val="1"/>
          <w:numId w:val="1"/>
        </w:numPr>
        <w:ind w:left="567" w:hanging="567"/>
        <w:outlineLvl w:val="1"/>
        <w:rPr>
          <w:i/>
        </w:rPr>
      </w:pPr>
      <w:r>
        <w:t xml:space="preserve">CESE </w:t>
      </w:r>
      <w:r>
        <w:rPr>
          <w:b/>
        </w:rPr>
        <w:t>salută</w:t>
      </w:r>
      <w:r>
        <w:t xml:space="preserve"> constanța eforturilor Comisiei Europene de a prezenta din nou o propunere modificată de regulament privind soluționarea obstacolelor juridice și administrative în context transfrontalier. Acest text impune statelor membre instituirea unor puncte de coordonare transfrontalieră, lăsându-le însă libertatea de a alege dacă pun în aplicare sau nu instrumentul de soluționare care însoțește acest mecanism sau orice alt instrument pe care l-ar putea avea în vedere.</w:t>
      </w:r>
    </w:p>
    <w:p w:rsidRPr="00653F3F" w:rsidR="00777D57" w:rsidP="00777D57" w:rsidRDefault="00777D57" w14:paraId="100BFED7" w14:textId="77777777"/>
    <w:p w:rsidRPr="00653F3F" w:rsidR="00777D57" w:rsidP="00777D57" w:rsidRDefault="00777D57" w14:paraId="373C4523" w14:textId="1D2399CE">
      <w:pPr>
        <w:numPr>
          <w:ilvl w:val="1"/>
          <w:numId w:val="1"/>
        </w:numPr>
        <w:ind w:left="567" w:hanging="567"/>
        <w:outlineLvl w:val="1"/>
      </w:pPr>
      <w:r>
        <w:t xml:space="preserve">CESE </w:t>
      </w:r>
      <w:r>
        <w:rPr>
          <w:b/>
        </w:rPr>
        <w:t>consideră</w:t>
      </w:r>
      <w:r>
        <w:t xml:space="preserve"> că eforturile anterioare relevante au oferit o experiență instructivă în materie de identificare și corectare a neajunsurilor pe care le conținea propunerea inițială, și dorește să </w:t>
      </w:r>
      <w:r>
        <w:rPr>
          <w:b/>
        </w:rPr>
        <w:t>valorifice</w:t>
      </w:r>
      <w:r>
        <w:t xml:space="preserve"> această experiență în prezentul aviz privind propunerea modificată de regulament.</w:t>
      </w:r>
    </w:p>
    <w:p w:rsidRPr="00653F3F" w:rsidR="00777D57" w:rsidP="00777D57" w:rsidRDefault="00777D57" w14:paraId="1E35310D" w14:textId="77777777"/>
    <w:p w:rsidRPr="00653F3F" w:rsidR="00777D57" w:rsidP="00777D57" w:rsidRDefault="00777D57" w14:paraId="79A77152" w14:textId="79D02356">
      <w:pPr>
        <w:numPr>
          <w:ilvl w:val="1"/>
          <w:numId w:val="1"/>
        </w:numPr>
        <w:ind w:left="567" w:hanging="567"/>
        <w:outlineLvl w:val="1"/>
      </w:pPr>
      <w:r>
        <w:t xml:space="preserve">CESE </w:t>
      </w:r>
      <w:r>
        <w:rPr>
          <w:b/>
        </w:rPr>
        <w:t>consideră</w:t>
      </w:r>
      <w:r>
        <w:t xml:space="preserve"> că procedura propusă este, în principiu, complementară schemelor existente de sprijin pentru activitățile transfrontaliere care se desfășoară în Uniune și creează condițiile necesare dezvoltării unui cadru cuprinzător pentru abordarea obstacolelor juridice și administrative transfrontaliere; acest cadru va facilita și va îmbunătăți viețile a milioane de oameni care trăiesc în regiuni transfrontaliere.</w:t>
      </w:r>
    </w:p>
    <w:p w:rsidRPr="00653F3F" w:rsidR="00777D57" w:rsidP="00777D57" w:rsidRDefault="00777D57" w14:paraId="27B3606F" w14:textId="77777777"/>
    <w:p w:rsidRPr="00653F3F" w:rsidR="00777D57" w:rsidP="00777D57" w:rsidRDefault="00777D57" w14:paraId="27874FBA" w14:textId="40E8A097">
      <w:pPr>
        <w:numPr>
          <w:ilvl w:val="1"/>
          <w:numId w:val="1"/>
        </w:numPr>
        <w:ind w:left="567" w:hanging="567"/>
        <w:outlineLvl w:val="1"/>
      </w:pPr>
      <w:r>
        <w:t xml:space="preserve">CESE </w:t>
      </w:r>
      <w:r>
        <w:rPr>
          <w:b/>
        </w:rPr>
        <w:t>salută</w:t>
      </w:r>
      <w:r>
        <w:t xml:space="preserve"> intenția de a simplifica procedurile în cadrul procedurii propuse, prin obligația de a înființa, în fiecare stat membru, puncte de coordonare transfrontalieră care să aibă rolul de ghișee unice. Aceste ghișee unice vor colecta toate cererile de asistență din partea tuturor părților interesate, în vederea soluționării obstacolelor transfrontaliere. Ele vor evalua, apoi, dosarele relevante, identificând soluțiile posibile și informându-i pe inițiatori.</w:t>
      </w:r>
    </w:p>
    <w:p w:rsidRPr="00653F3F" w:rsidR="00777D57" w:rsidP="00777D57" w:rsidRDefault="00777D57" w14:paraId="0D0A5E67" w14:textId="77777777"/>
    <w:p w:rsidRPr="00653F3F" w:rsidR="00777D57" w:rsidP="00777D57" w:rsidRDefault="00777D57" w14:paraId="61D44200" w14:textId="4E1AC549">
      <w:pPr>
        <w:numPr>
          <w:ilvl w:val="1"/>
          <w:numId w:val="1"/>
        </w:numPr>
        <w:ind w:left="567" w:hanging="567"/>
        <w:outlineLvl w:val="1"/>
      </w:pPr>
      <w:r>
        <w:t xml:space="preserve"> CESE </w:t>
      </w:r>
      <w:r>
        <w:rPr>
          <w:b/>
        </w:rPr>
        <w:t>consideră</w:t>
      </w:r>
      <w:r>
        <w:t xml:space="preserve"> că punerea în aplicare a instrumentului de facilitare transfrontalieră reprezintă un proces important. Cu toate acestea, utilizarea sa opțională nu ar trebui să reducă valoarea adăugată pe care o aduce procedurii de soluționare a obstacolelor transfrontaliere.</w:t>
      </w:r>
    </w:p>
    <w:p w:rsidRPr="00653F3F" w:rsidR="00777D57" w:rsidP="00777D57" w:rsidRDefault="00777D57" w14:paraId="26F4D6C3" w14:textId="77777777">
      <w:pPr>
        <w:outlineLvl w:val="1"/>
      </w:pPr>
    </w:p>
    <w:p w:rsidRPr="00491A82" w:rsidR="00777D57" w:rsidP="00777D57" w:rsidRDefault="00777D57" w14:paraId="19DFCBBC" w14:textId="4FD19DAF">
      <w:pPr>
        <w:numPr>
          <w:ilvl w:val="1"/>
          <w:numId w:val="1"/>
        </w:numPr>
        <w:ind w:left="567" w:hanging="567"/>
        <w:outlineLvl w:val="1"/>
      </w:pPr>
      <w:bookmarkStart w:name="_Hlk163720868" w:id="0"/>
      <w:r>
        <w:t xml:space="preserve">CESE </w:t>
      </w:r>
      <w:r>
        <w:rPr>
          <w:b/>
        </w:rPr>
        <w:t>consideră</w:t>
      </w:r>
      <w:r>
        <w:t xml:space="preserve"> că crearea unui registru public care să repertorieze dosarele transfrontaliere la nivelul întregii Uniuni ar contribui la realizarea unui inventar global al obstacolelor juridice și administrative relevante și la schimbul ulterior de opinii și experiențe între autoritățile competente, pentru a asigura perspective de soluționare a acestor obstacole, în special dacă Comisia Europeană are în vedere prezentarea, pe baza datelor care figurează în acest registru, a unui raport anual privind obstacolele și soluțiile propuse.</w:t>
      </w:r>
    </w:p>
    <w:bookmarkEnd w:id="0"/>
    <w:p w:rsidRPr="004E7ABB" w:rsidR="00777D57" w:rsidP="00777D57" w:rsidRDefault="00777D57" w14:paraId="3997BD6B" w14:textId="77777777"/>
    <w:p w:rsidRPr="00653F3F" w:rsidR="00777D57" w:rsidP="00777D57" w:rsidRDefault="00777D57" w14:paraId="0D4A8EB6" w14:textId="0B328BE7">
      <w:pPr>
        <w:numPr>
          <w:ilvl w:val="1"/>
          <w:numId w:val="1"/>
        </w:numPr>
        <w:ind w:left="567" w:hanging="567"/>
        <w:outlineLvl w:val="1"/>
      </w:pPr>
      <w:r>
        <w:t xml:space="preserve">În calitate de reprezentant instituțional al societății civile și al partenerilor sociali, CESE </w:t>
      </w:r>
      <w:r>
        <w:rPr>
          <w:b/>
        </w:rPr>
        <w:t>sprijină</w:t>
      </w:r>
      <w:r>
        <w:t xml:space="preserve"> raționamentul prezentat în propunerea modificată de regulament, care constă în adoptarea unei abordări ascendente pentru a soluționa obstacolele transfrontaliere, deoarece un astfel de demers sporește înțelegerea de către cetățeni a importanței finalizării pieței interne a UE.</w:t>
      </w:r>
    </w:p>
    <w:p w:rsidRPr="00653F3F" w:rsidR="00777D57" w:rsidP="00777D57" w:rsidRDefault="00777D57" w14:paraId="0051919F" w14:textId="77777777"/>
    <w:p w:rsidRPr="00653F3F" w:rsidR="00777D57" w:rsidP="00777D57" w:rsidRDefault="00777D57" w14:paraId="544C2866" w14:textId="68FCEE63">
      <w:pPr>
        <w:numPr>
          <w:ilvl w:val="1"/>
          <w:numId w:val="1"/>
        </w:numPr>
        <w:ind w:left="567" w:hanging="567"/>
        <w:outlineLvl w:val="1"/>
      </w:pPr>
      <w:r>
        <w:lastRenderedPageBreak/>
        <w:t xml:space="preserve">Prin urmare, CESE </w:t>
      </w:r>
      <w:r>
        <w:rPr>
          <w:b/>
        </w:rPr>
        <w:t>observă</w:t>
      </w:r>
      <w:r>
        <w:t xml:space="preserve"> că este necesar ca autoritățile din regiunile în care se desfășoară activități transfrontaliere să fie implicate în demersurile realizate și să-și exprime voința politică la nivel local, pentru a mobiliza autoritățile naționale să declanșeze procedura propusă și să valorifice potențialul său.</w:t>
      </w:r>
    </w:p>
    <w:p w:rsidRPr="00653F3F" w:rsidR="00777D57" w:rsidP="00777D57" w:rsidRDefault="00777D57" w14:paraId="08B6AE45" w14:textId="77777777">
      <w:pPr>
        <w:ind w:left="567"/>
        <w:outlineLvl w:val="1"/>
      </w:pPr>
    </w:p>
    <w:p w:rsidRPr="00653F3F" w:rsidR="00777D57" w:rsidP="00777D57" w:rsidRDefault="00777D57" w14:paraId="63484D6E" w14:textId="21AFFEDF">
      <w:pPr>
        <w:numPr>
          <w:ilvl w:val="1"/>
          <w:numId w:val="1"/>
        </w:numPr>
        <w:ind w:left="567" w:hanging="567"/>
        <w:outlineLvl w:val="1"/>
      </w:pPr>
      <w:r>
        <w:t xml:space="preserve">CESE </w:t>
      </w:r>
      <w:r>
        <w:rPr>
          <w:b/>
        </w:rPr>
        <w:t>subliniază</w:t>
      </w:r>
      <w:r>
        <w:t>, de asemenea, că – pentru a evidenția valoarea adăugată a procedurii propuse – este necesar să se creeze stimulente clare pentru ca statele membre să o utilizeze, furnizând informații detaliate cu privire la impactul obstacolelor transfrontaliere și la beneficiile în materie de dezvoltare pe care le vor obține regiunile implicate, precum și Uniunea Europeană în ansamblu, ca urmare a abordării acestor obstacole.</w:t>
      </w:r>
    </w:p>
    <w:p w:rsidRPr="00653F3F" w:rsidR="00777D57" w:rsidP="00777D57" w:rsidRDefault="00777D57" w14:paraId="67CF4FEC" w14:textId="77777777"/>
    <w:p w:rsidRPr="00653F3F" w:rsidR="00777D57" w:rsidP="00AC7A48" w:rsidRDefault="00777D57" w14:paraId="28AE5CD0" w14:textId="77D181DB">
      <w:pPr>
        <w:pStyle w:val="Heading2"/>
        <w:ind w:left="567" w:hanging="567"/>
      </w:pPr>
      <w:r>
        <w:t xml:space="preserve">În cele din urmă, CESE </w:t>
      </w:r>
      <w:r>
        <w:rPr>
          <w:b/>
        </w:rPr>
        <w:t>consideră</w:t>
      </w:r>
      <w:r>
        <w:t xml:space="preserve"> că importanța instituirii și funcționării procedurii propuse se va dovedi a fi cu atât mai mult o alegere politică serioasă la nivelul Uniunii Europene, dacă se prevede un sprijin financiar pentru structurile naționale (puncte de coordonare transfrontalieră) care vor fi înființate cu ajutorul fondurilor europene, prin intermediul politicii europene de coeziune.</w:t>
      </w:r>
    </w:p>
    <w:p w:rsidRPr="00653F3F" w:rsidR="00777D57" w:rsidP="00777D57" w:rsidRDefault="00777D57" w14:paraId="0350F808" w14:textId="68A899D2"/>
    <w:p w:rsidRPr="00653F3F" w:rsidR="008835DB" w:rsidP="003A7349" w:rsidRDefault="008835DB" w14:paraId="7818D29C" w14:textId="6B1E6FB5">
      <w:pPr>
        <w:pStyle w:val="Heading1"/>
        <w:keepNext/>
        <w:ind w:left="567" w:hanging="567"/>
      </w:pPr>
      <w:r>
        <w:rPr>
          <w:b/>
        </w:rPr>
        <w:t>Context</w:t>
      </w:r>
    </w:p>
    <w:p w:rsidRPr="00653F3F" w:rsidR="008835DB" w:rsidP="003A7349" w:rsidRDefault="008835DB" w14:paraId="6B54A853" w14:textId="77777777">
      <w:pPr>
        <w:keepNext/>
      </w:pPr>
    </w:p>
    <w:p w:rsidRPr="00491A82" w:rsidR="008835DB" w:rsidP="001F7BA7" w:rsidRDefault="008835DB" w14:paraId="29CA6985" w14:textId="5EDC8391">
      <w:pPr>
        <w:pStyle w:val="Heading2"/>
        <w:ind w:left="567" w:hanging="567"/>
      </w:pPr>
      <w:r>
        <w:t>În 2015, la inițiativa Președinției luxemburgheze, a avut loc o dezbatere cu privire la utilitatea unui nou instrument menit să simplifice proiectele sau acțiunile transfrontaliere limitate în timp, prin aplicarea normelor unui stat membru într-un stat membru învecinat, în mod voluntar și sub rezerva aprobării de către autoritățile competente relevante</w:t>
      </w:r>
      <w:r w:rsidRPr="00653F3F">
        <w:rPr>
          <w:rStyle w:val="FootnoteReference"/>
        </w:rPr>
        <w:footnoteReference w:id="1"/>
      </w:r>
      <w:r>
        <w:t>.</w:t>
      </w:r>
    </w:p>
    <w:p w:rsidRPr="004E7ABB" w:rsidR="008835DB" w:rsidRDefault="008835DB" w14:paraId="553EE669" w14:textId="77777777"/>
    <w:p w:rsidRPr="00491A82" w:rsidR="008835DB" w:rsidP="001F7BA7" w:rsidRDefault="000926BD" w14:paraId="691A34D7" w14:textId="7A13FC3C">
      <w:pPr>
        <w:pStyle w:val="Heading2"/>
        <w:ind w:left="567" w:hanging="567"/>
      </w:pPr>
      <w:r>
        <w:t>Pe baza unui studiu recent care a estimat că eliminarea obstacolelor transfrontaliere existente ar aduce beneficii de 457 miliarde EUR pe an, reprezentând 3,8 % din valoarea adăugată brută (VAB) totală a UE, în timp ce prezența lor reduce crearea de locuri de muncă cu 2 % din forța de muncă totală din UE</w:t>
      </w:r>
      <w:r w:rsidRPr="00653F3F" w:rsidR="008835DB">
        <w:rPr>
          <w:rStyle w:val="FootnoteReference"/>
          <w:szCs w:val="24"/>
        </w:rPr>
        <w:footnoteReference w:id="2"/>
      </w:r>
      <w:r>
        <w:t>, Comisia Europeană a prezentat o propunere legislativă de creare a unui mecanism de soluționare a obstacolelor juridice și administrative în context transfrontalier</w:t>
      </w:r>
      <w:r w:rsidRPr="00653F3F" w:rsidR="008835DB">
        <w:rPr>
          <w:rStyle w:val="FootnoteReference"/>
          <w:szCs w:val="24"/>
        </w:rPr>
        <w:footnoteReference w:id="3"/>
      </w:r>
      <w:r>
        <w:t>.</w:t>
      </w:r>
    </w:p>
    <w:p w:rsidRPr="004E7ABB" w:rsidR="008835DB" w:rsidP="003A7349" w:rsidRDefault="008835DB" w14:paraId="2D6A0F1F" w14:textId="77777777">
      <w:pPr>
        <w:pStyle w:val="ListParagraph"/>
        <w:ind w:left="0"/>
      </w:pPr>
    </w:p>
    <w:p w:rsidRPr="00653F3F" w:rsidR="008835DB" w:rsidP="001F7BA7" w:rsidRDefault="00546836" w14:paraId="58D2EB22" w14:textId="6FE1B249">
      <w:pPr>
        <w:numPr>
          <w:ilvl w:val="1"/>
          <w:numId w:val="1"/>
        </w:numPr>
        <w:ind w:left="567" w:hanging="567"/>
        <w:outlineLvl w:val="1"/>
      </w:pPr>
      <w:r>
        <w:t>Parlamentul European a sprijinit în principiu propunerea Comisiei Europene, propunând (în februarie 2019) o serie de modificări ale textului în cursul procedurii de primă lectură. Scopul modificărilor era de a clarifica caracterul voluntar al mecanismului propus, implicațiile procedurale în cazul în care nu este utilizat și procedura de gestionare a rapoartelor prezentate în vederea identificării și soluționării obstacolelor juridice și administrative.</w:t>
      </w:r>
    </w:p>
    <w:p w:rsidRPr="00653F3F" w:rsidR="008835DB" w:rsidP="003A7349" w:rsidRDefault="008835DB" w14:paraId="2E934D25" w14:textId="77777777">
      <w:pPr>
        <w:pStyle w:val="ListParagraph"/>
        <w:ind w:left="0"/>
      </w:pPr>
    </w:p>
    <w:p w:rsidRPr="00653F3F" w:rsidR="008835DB" w:rsidP="001F7BA7" w:rsidRDefault="008835DB" w14:paraId="64035D74" w14:textId="40819148">
      <w:pPr>
        <w:numPr>
          <w:ilvl w:val="1"/>
          <w:numId w:val="1"/>
        </w:numPr>
        <w:ind w:left="567" w:hanging="567"/>
        <w:outlineLvl w:val="1"/>
      </w:pPr>
      <w:r>
        <w:t>Consiliul nu a adoptat o poziție oficială cu privire la propunere, întrucât statele membre și-au exprimat o serie de preocupări cu privire la conținutul său în cadrul grupului de lucru, ceea ce a dus la suspendarea lucrărilor din dosar, împiedicând ca această inițiativă legislativă să progreseze.</w:t>
      </w:r>
    </w:p>
    <w:p w:rsidRPr="00653F3F" w:rsidR="008835DB" w:rsidP="003A7349" w:rsidRDefault="008835DB" w14:paraId="5BC62E9B" w14:textId="77777777">
      <w:pPr>
        <w:outlineLvl w:val="1"/>
      </w:pPr>
    </w:p>
    <w:p w:rsidRPr="00653F3F" w:rsidR="008835DB" w:rsidP="001F7BA7" w:rsidRDefault="008835DB" w14:paraId="5CF6E0ED" w14:textId="6BC09649">
      <w:pPr>
        <w:numPr>
          <w:ilvl w:val="1"/>
          <w:numId w:val="1"/>
        </w:numPr>
        <w:ind w:left="567" w:hanging="567"/>
        <w:outlineLvl w:val="1"/>
      </w:pPr>
      <w:r>
        <w:lastRenderedPageBreak/>
        <w:t>În septembrie 2023, Parlamentul European a adoptat o rezoluție legislativă din proprie inițiativă, cu recomandări adresate Comisiei Europene cu privire la modificarea propunerii sale inițiale, în conformitate cu articolul 225 din Tratatul privind funcționarea Uniunii Europene (TFUE).</w:t>
      </w:r>
    </w:p>
    <w:p w:rsidRPr="00653F3F" w:rsidR="008835DB" w:rsidP="003A7349" w:rsidRDefault="008835DB" w14:paraId="061FBE2A" w14:textId="77777777">
      <w:pPr>
        <w:outlineLvl w:val="1"/>
      </w:pPr>
    </w:p>
    <w:p w:rsidRPr="00491A82" w:rsidR="008835DB" w:rsidP="001F7BA7" w:rsidRDefault="008835DB" w14:paraId="0ACF117A" w14:textId="4947AF5A">
      <w:pPr>
        <w:numPr>
          <w:ilvl w:val="1"/>
          <w:numId w:val="1"/>
        </w:numPr>
        <w:ind w:left="567" w:hanging="567"/>
        <w:outlineLvl w:val="1"/>
      </w:pPr>
      <w:r>
        <w:t>În decembrie 2023, Comisia a prezentat propunerea sa modificată de regulament privind facilitarea soluțiilor transfrontaliere</w:t>
      </w:r>
      <w:r w:rsidRPr="00653F3F">
        <w:rPr>
          <w:rStyle w:val="FootnoteReference"/>
          <w:szCs w:val="24"/>
        </w:rPr>
        <w:footnoteReference w:id="4"/>
      </w:r>
      <w:r>
        <w:t>. Propunerea modificată ține seama de preocupările, observațiile și recomandările Parlamentului European și ale Consiliului, menținând în același timp accentul pe eliminarea obstacolelor care îngreunează viața comunităților transfrontaliere.</w:t>
      </w:r>
    </w:p>
    <w:p w:rsidRPr="004E7ABB" w:rsidR="008835DB" w:rsidRDefault="008835DB" w14:paraId="2F8C75BE" w14:textId="77777777"/>
    <w:p w:rsidRPr="0023618D" w:rsidR="008835DB" w:rsidP="003A7349" w:rsidRDefault="00405EC9" w14:paraId="3A8DD4EA" w14:textId="5347C697">
      <w:pPr>
        <w:keepNext/>
        <w:numPr>
          <w:ilvl w:val="1"/>
          <w:numId w:val="1"/>
        </w:numPr>
        <w:ind w:left="567" w:hanging="567"/>
        <w:outlineLvl w:val="1"/>
        <w:rPr>
          <w:bCs/>
        </w:rPr>
      </w:pPr>
      <w:r>
        <w:rPr>
          <w:b/>
        </w:rPr>
        <w:t>Rezumatul noii propuneri a Comisiei Europene</w:t>
      </w:r>
    </w:p>
    <w:p w:rsidRPr="00653F3F" w:rsidR="008835DB" w:rsidP="003A7349" w:rsidRDefault="008835DB" w14:paraId="6E2DD525" w14:textId="77777777">
      <w:pPr>
        <w:keepNext/>
        <w:outlineLvl w:val="1"/>
        <w:rPr>
          <w:bCs/>
        </w:rPr>
      </w:pPr>
    </w:p>
    <w:p w:rsidRPr="00653F3F" w:rsidR="008835DB" w:rsidP="001F7BA7" w:rsidRDefault="00405EC9" w14:paraId="6F56D8DC" w14:textId="6AD5F83D">
      <w:pPr>
        <w:pStyle w:val="Heading3"/>
        <w:ind w:left="567" w:hanging="567"/>
      </w:pPr>
      <w:r>
        <w:t>Pe scurt, noua propunere a Comisiei prevede înființarea (cu titlu obligatoriu) a unor puncte de coordonare transfrontalieră în toate statele membre. Punctele de coordonare transfrontalieră vor fi responsabile de evaluarea cererilor prezentate de părțile interesate din regiunile frontaliere în raport cu potențialele obstacole transfrontaliere și vor asigura legătura între aceste părți interesate și autoritățile naționale. Propunerea prevede, de asemenea, crearea unei rețele de puncte de coordonare transfrontalieră în colaborare cu Comisia, cu scopul de a institui un forum pentru schimbul de bune practici și de cunoștințe.</w:t>
      </w:r>
    </w:p>
    <w:p w:rsidRPr="00653F3F" w:rsidR="008835DB" w:rsidRDefault="008835DB" w14:paraId="71CA69D4" w14:textId="77777777"/>
    <w:p w:rsidRPr="00653F3F" w:rsidR="008835DB" w:rsidP="001F7BA7" w:rsidRDefault="008835DB" w14:paraId="7D4AD83B" w14:textId="2DA13CAA">
      <w:pPr>
        <w:pStyle w:val="Heading3"/>
        <w:ind w:left="567" w:hanging="567"/>
      </w:pPr>
      <w:r>
        <w:t>În temeiul regulamentului propus, după evaluarea fiecărei cereri, părțile interesate vor primi un răspuns în care se explică modul în care aceasta va fi tratată. În cazul în care există cu adevărat un obstacol transfrontalier și nu există niciun acord bilateral sau internațional de cooperare care să ofere o soluție, statele membre pot aplica instrumentul de facilitare transfrontalieră (cu titlu facultativ).</w:t>
      </w:r>
    </w:p>
    <w:p w:rsidRPr="00653F3F" w:rsidR="008835DB" w:rsidRDefault="008835DB" w14:paraId="3B565721" w14:textId="77777777"/>
    <w:p w:rsidRPr="00653F3F" w:rsidR="008835DB" w:rsidP="001F7BA7" w:rsidRDefault="008835DB" w14:paraId="7A596507" w14:textId="6811C64C">
      <w:pPr>
        <w:pStyle w:val="Heading3"/>
        <w:ind w:left="567" w:hanging="567"/>
      </w:pPr>
      <w:r>
        <w:t>Acest instrument, instituit în temeiul regulamentului, este o procedură standardizată menită să faciliteze soluționarea obstacolelor transfrontaliere (juridice și administrative) care împiedică instituirea și funcționarea oricărui element de infrastructură necesar pentru activitățile publice sau private sau funcționarea oricărui serviciu public furnizat într-o regiune transfrontalieră și care consolidează coeziunea economică, socială și teritorială a acestei regiuni.</w:t>
      </w:r>
    </w:p>
    <w:p w:rsidRPr="00653F3F" w:rsidR="008835DB" w:rsidRDefault="008835DB" w14:paraId="5285A7CA" w14:textId="77777777"/>
    <w:p w:rsidRPr="00653F3F" w:rsidR="008835DB" w:rsidP="001F7BA7" w:rsidRDefault="00F53939" w14:paraId="6C82E019" w14:textId="37019846">
      <w:pPr>
        <w:pStyle w:val="Heading3"/>
        <w:ind w:left="567" w:hanging="567"/>
      </w:pPr>
      <w:r>
        <w:t>Procedura se aplică obstacolelor transfrontaliere din regiunile frontaliere terestre sau maritime ale statelor membre învecinate, dar nu și din regiunile frontaliere dintre statele membre și țări terțe. Ea acoperă numai obstacolele care decurg din legislația națională, inclusiv în cazul în care statele membre transpun directivele UE corect, însă într-un mod diferit. În plus, deși toate cererile ar trebui să primească un răspuns, decizia de a soluționa sau nu un obstacol rămâne responsabilitatea autorităților naționale competente.</w:t>
      </w:r>
    </w:p>
    <w:p w:rsidRPr="00653F3F" w:rsidR="008835DB" w:rsidRDefault="008835DB" w14:paraId="5DA930DA" w14:textId="77777777"/>
    <w:p w:rsidRPr="00653F3F" w:rsidR="008835DB" w:rsidP="001F7BA7" w:rsidRDefault="008835DB" w14:paraId="3EC3F1BD" w14:textId="22E62886">
      <w:pPr>
        <w:pStyle w:val="Heading1"/>
        <w:keepNext/>
        <w:keepLines/>
        <w:ind w:left="567" w:hanging="567"/>
        <w:rPr>
          <w:bCs/>
        </w:rPr>
      </w:pPr>
      <w:r>
        <w:rPr>
          <w:b/>
        </w:rPr>
        <w:t>Observații generale</w:t>
      </w:r>
    </w:p>
    <w:p w:rsidRPr="00653F3F" w:rsidR="008835DB" w:rsidP="008925E0" w:rsidRDefault="008835DB" w14:paraId="78BD43ED" w14:textId="77777777">
      <w:pPr>
        <w:keepNext/>
        <w:keepLines/>
        <w:outlineLvl w:val="1"/>
      </w:pPr>
    </w:p>
    <w:p w:rsidRPr="00653F3F" w:rsidR="008835DB" w:rsidP="001F7BA7" w:rsidRDefault="008835DB" w14:paraId="0FE3D5AF" w14:textId="56525E89">
      <w:pPr>
        <w:numPr>
          <w:ilvl w:val="1"/>
          <w:numId w:val="1"/>
        </w:numPr>
        <w:ind w:left="567" w:hanging="567"/>
        <w:outlineLvl w:val="1"/>
      </w:pPr>
      <w:r>
        <w:t xml:space="preserve">Principala diferență față de propunerea inițială este că nu se mai face trimitere la un mecanism cu documente standardizate specifice (angajament, declarație). Se face, însă, trimitere la o procedură de facilitare a soluționării obstacolelor transfrontaliere; astfel, dispozițiile relevante au fost adaptate în consecință. Se propune ca statele membre să aibă obligația de a institui și de a gestiona </w:t>
      </w:r>
      <w:r>
        <w:lastRenderedPageBreak/>
        <w:t>punctele de coordonare transfrontalieră, însă rămâne la latitudinea lor să ia măsuri pentru a soluționa problemele transfrontaliere prin utilizarea instrumentului de facilitare transfrontalieră. Raportarea obstacolelor transfrontaliere se realizează într-un mod mult mai simplificat (prin intermediul dosarelor transfrontaliere).</w:t>
      </w:r>
    </w:p>
    <w:p w:rsidRPr="00653F3F" w:rsidR="008835DB" w:rsidP="008925E0" w:rsidRDefault="008835DB" w14:paraId="59758F88" w14:textId="77777777"/>
    <w:p w:rsidRPr="00491A82" w:rsidR="008835DB" w:rsidP="001F7BA7" w:rsidRDefault="008835DB" w14:paraId="0E102CE6" w14:textId="3B63BB3C">
      <w:pPr>
        <w:pStyle w:val="Heading2"/>
        <w:ind w:left="567" w:hanging="567"/>
        <w:rPr>
          <w:rFonts w:eastAsiaTheme="minorHAnsi"/>
        </w:rPr>
      </w:pPr>
      <w:r>
        <w:t>Având în vedere impactul instituirii pieței interne asupra mobilității persoanelor, a bunurilor, a capitalurilor și a serviciilor în interiorul UE și asupra utilizării infrastructurii, problema obstacolelor în calea activităților transfrontaliere în Uniune se află în centrul integrării europene. În zonele UE cu frontiere terestre interne (40 de frontiere, 40 % din teritoriul UE și aproape 1/3 din populația sa</w:t>
      </w:r>
      <w:r w:rsidRPr="00653F3F">
        <w:rPr>
          <w:rFonts w:eastAsiaTheme="minorHAnsi"/>
          <w:sz w:val="24"/>
          <w:szCs w:val="24"/>
          <w:vertAlign w:val="superscript"/>
        </w:rPr>
        <w:footnoteReference w:id="5"/>
      </w:r>
      <w:r>
        <w:t>), aproximativ 3,5 milioane de persoane trec zilnic frontierele interne dintre statele membre ale UE pentru muncă, studii și interacțiune socială, în timp ce aproximativ 1,7 milioane de persoane locuiesc într-o țară din UE și lucrează în alta, deplasările transfrontaliere fiind esențiale pentru ele. Se estimează că, în fiecare an, între țările UE se efectuează aproximativ 1,25 miliarde de călătorii, inclusiv în scop turistic</w:t>
      </w:r>
      <w:r w:rsidRPr="00653F3F">
        <w:rPr>
          <w:rStyle w:val="FootnoteReference"/>
          <w:szCs w:val="24"/>
        </w:rPr>
        <w:footnoteReference w:id="6"/>
      </w:r>
      <w:r>
        <w:t>.</w:t>
      </w:r>
    </w:p>
    <w:p w:rsidRPr="004E7ABB" w:rsidR="008835DB" w:rsidP="001F7BA7" w:rsidRDefault="008835DB" w14:paraId="1D973AE4" w14:textId="77777777">
      <w:pPr>
        <w:jc w:val="left"/>
        <w:rPr>
          <w:rFonts w:eastAsiaTheme="minorHAnsi"/>
        </w:rPr>
      </w:pPr>
    </w:p>
    <w:p w:rsidRPr="00491A82" w:rsidR="008835DB" w:rsidP="00AC7A48" w:rsidRDefault="008835DB" w14:paraId="4DBAED4E" w14:textId="651B7DFD">
      <w:pPr>
        <w:pStyle w:val="Heading3"/>
        <w:ind w:left="567" w:hanging="567"/>
        <w:rPr>
          <w:rFonts w:eastAsiaTheme="minorHAnsi"/>
        </w:rPr>
      </w:pPr>
      <w:r>
        <w:t xml:space="preserve">Un astfel de volum de treceri ale frontierei prezintă provocări semnificative în termeni de abordare a dificultăților care pot apărea în activitățile care generează aceste deplasări transfrontaliere (de exemplu, </w:t>
      </w:r>
      <w:proofErr w:type="spellStart"/>
      <w:r>
        <w:t>antreprenoriat</w:t>
      </w:r>
      <w:proofErr w:type="spellEnd"/>
      <w:r>
        <w:t>, ocuparea forței de muncă, asistență medicală, furnizarea de servicii publice). Majoritatea acestor dificultăți sunt cauzate de divergențele dintre legislațiile naționale și de incompatibilitatea dintre procedurile și practicile administrative de o parte și de alta a frontierei, în special atunci când nu există o planificare teritorială comună între statele membre pentru principalele activități (economice, comerciale, sanitare, educative, de stat etc.) între statele membre</w:t>
      </w:r>
      <w:r w:rsidRPr="00653F3F">
        <w:rPr>
          <w:rFonts w:eastAsiaTheme="minorHAnsi"/>
          <w:sz w:val="24"/>
          <w:szCs w:val="24"/>
          <w:vertAlign w:val="superscript"/>
        </w:rPr>
        <w:footnoteReference w:id="7"/>
      </w:r>
      <w:r>
        <w:t>.</w:t>
      </w:r>
    </w:p>
    <w:p w:rsidRPr="004E7ABB" w:rsidR="008835DB" w:rsidP="001F7BA7" w:rsidRDefault="008835DB" w14:paraId="172EB72F" w14:textId="77777777">
      <w:pPr>
        <w:rPr>
          <w:rFonts w:eastAsiaTheme="minorHAnsi"/>
        </w:rPr>
      </w:pPr>
    </w:p>
    <w:p w:rsidRPr="00491A82" w:rsidR="008835DB" w:rsidP="00AC7A48" w:rsidRDefault="008835DB" w14:paraId="7636447D" w14:textId="7BF3B3A9">
      <w:pPr>
        <w:pStyle w:val="Heading3"/>
        <w:ind w:left="567" w:hanging="567"/>
      </w:pPr>
      <w:r>
        <w:t>Regiunile frontaliere ale statelor membre tind să înregistreze rezultate economice mai slabe de-a lungul timpului, în comparație cu celelalte regiuni din aceleași state membre. Locuitorii acestor regiuni întâmpină mult mai multe dificultăți în accesul la servicii publice, furnizori (publici și privați) de servicii de sănătate și de educație și la oportunități de afaceri. Chiar și inițierea unei cooperări transfrontaliere pentru a soluționa aceste probleme, fie de către persoane fizice, fie de către organisme publice, este împiedicată considerabil de divergențele dintre sistemele administrative și juridice existente de-o parte și de alta a frontierei</w:t>
      </w:r>
      <w:r w:rsidRPr="00653F3F">
        <w:rPr>
          <w:rStyle w:val="FootnoteReference"/>
          <w:rFonts w:eastAsiaTheme="minorHAnsi"/>
          <w:szCs w:val="24"/>
        </w:rPr>
        <w:footnoteReference w:id="8"/>
      </w:r>
      <w:r>
        <w:t>.</w:t>
      </w:r>
    </w:p>
    <w:p w:rsidRPr="004E7ABB" w:rsidR="008835DB" w:rsidP="003A7349" w:rsidRDefault="008835DB" w14:paraId="1AEE5504" w14:textId="77777777">
      <w:pPr>
        <w:outlineLvl w:val="1"/>
      </w:pPr>
    </w:p>
    <w:p w:rsidRPr="00491A82" w:rsidR="008835DB" w:rsidP="00AC7A48" w:rsidRDefault="003B0BBE" w14:paraId="4440399E" w14:textId="460717F8">
      <w:pPr>
        <w:pStyle w:val="Heading3"/>
        <w:ind w:left="567" w:hanging="567"/>
      </w:pPr>
      <w:r>
        <w:t xml:space="preserve">Având în vedere cele de mai sus, CESE a sprijinit propunerea inițială a Comisiei Europene (2018), ca mijloc de a crea mecanisme atât la nivel societal, întrucât eliminarea obstacolelor administrative le-ar permite cetățenilor să își aleagă liber munca și ar sprijini dezvoltarea infrastructurii și a serviciilor de interes general, cât și din punct de vedere economic, deoarece ar </w:t>
      </w:r>
      <w:r>
        <w:lastRenderedPageBreak/>
        <w:t>contribui la reducerea în continuare a sarcinii administrative, în beneficiul angajatorilor și al lucrătorilor</w:t>
      </w:r>
      <w:r w:rsidRPr="00653F3F" w:rsidR="008835DB">
        <w:rPr>
          <w:rStyle w:val="FootnoteReference"/>
          <w:szCs w:val="24"/>
        </w:rPr>
        <w:footnoteReference w:id="9"/>
      </w:r>
      <w:r>
        <w:t>.</w:t>
      </w:r>
    </w:p>
    <w:p w:rsidRPr="004E7ABB" w:rsidR="008835DB" w:rsidP="003A7349" w:rsidRDefault="008835DB" w14:paraId="6EEF40F5" w14:textId="77777777">
      <w:pPr>
        <w:pStyle w:val="ListParagraph"/>
        <w:ind w:left="0"/>
      </w:pPr>
    </w:p>
    <w:p w:rsidRPr="0023618D" w:rsidR="008835DB" w:rsidP="00AC7A48" w:rsidRDefault="00CA5273" w14:paraId="39FAAD83" w14:textId="3AD7403C">
      <w:pPr>
        <w:pStyle w:val="Heading3"/>
        <w:ind w:left="567" w:hanging="567"/>
      </w:pPr>
      <w:r>
        <w:t xml:space="preserve">CESE a considerat că mecanismele existente la momentul respectiv pentru sprijinirea regiunilor frontaliere (programul </w:t>
      </w:r>
      <w:proofErr w:type="spellStart"/>
      <w:r>
        <w:t>Interreg</w:t>
      </w:r>
      <w:proofErr w:type="spellEnd"/>
      <w:r>
        <w:t>, Gruparea europeană de cooperare teritorială) nu erau suficiente pentru a lua măsuri juridice și administrative în scopul de a aborda obstacolele transfrontaliere.</w:t>
      </w:r>
    </w:p>
    <w:p w:rsidRPr="00653F3F" w:rsidR="008835DB" w:rsidP="003A7349" w:rsidRDefault="008835DB" w14:paraId="60DF5181" w14:textId="77777777">
      <w:pPr>
        <w:pStyle w:val="ListParagraph"/>
        <w:ind w:left="0"/>
      </w:pPr>
    </w:p>
    <w:p w:rsidRPr="00AF7BAF" w:rsidR="008835DB" w:rsidP="00AC7A48" w:rsidRDefault="00DC7933" w14:paraId="7246B6AC" w14:textId="4F405BB8">
      <w:pPr>
        <w:pStyle w:val="Heading3"/>
        <w:ind w:left="567" w:hanging="567"/>
      </w:pPr>
      <w:r>
        <w:t>De atunci, Comisia Europeană a lansat o inițiativă-pilot cunoscută sub numele „b-</w:t>
      </w:r>
      <w:proofErr w:type="spellStart"/>
      <w:r>
        <w:t>solutions</w:t>
      </w:r>
      <w:proofErr w:type="spellEnd"/>
      <w:r>
        <w:t>” și pusă în aplicare de Asociația regiunilor frontaliere europene (ARFE). Această inițiativă inovatoare oferă, în esență, sprijin juridic autorităților publice din regiunile transfrontaliere pentru a identifica cauzele profunde ale obstacolelor juridice sau administrative care stau în calea interacțiunilor transfrontaliere și pentru a explora posibile soluții. Inițiativa „b-</w:t>
      </w:r>
      <w:proofErr w:type="spellStart"/>
      <w:r>
        <w:t>solutions</w:t>
      </w:r>
      <w:proofErr w:type="spellEnd"/>
      <w:r>
        <w:t>” a evidențiat numeroasele obstacole juridice și administrative, lipsa unor soluții imediate în ceea ce privește activitățile transfrontaliere, necesitatea unor modificări ale cadrelor juridice aplicabile și necesitatea de a sprijini cooperarea transfrontalieră</w:t>
      </w:r>
      <w:r w:rsidRPr="00653F3F" w:rsidR="008835DB">
        <w:rPr>
          <w:rStyle w:val="FootnoteReference"/>
          <w:szCs w:val="24"/>
        </w:rPr>
        <w:footnoteReference w:id="10"/>
      </w:r>
      <w:r>
        <w:t>. În propunerea</w:t>
      </w:r>
      <w:r w:rsidRPr="00653F3F" w:rsidR="008835DB">
        <w:rPr>
          <w:rStyle w:val="FootnoteReference"/>
          <w:szCs w:val="24"/>
        </w:rPr>
        <w:footnoteReference w:id="11"/>
      </w:r>
      <w:r>
        <w:t xml:space="preserve"> sa, Comisia Europeană acoperă suficient această nevoie.</w:t>
      </w:r>
    </w:p>
    <w:p w:rsidRPr="004E7ABB" w:rsidR="008835DB" w:rsidP="008925E0" w:rsidRDefault="008835DB" w14:paraId="1DDAEB82" w14:textId="77777777">
      <w:pPr>
        <w:pStyle w:val="ListParagraph"/>
        <w:ind w:left="0"/>
      </w:pPr>
    </w:p>
    <w:p w:rsidRPr="0023618D" w:rsidR="008835DB" w:rsidP="00AC7A48" w:rsidRDefault="00FD47C0" w14:paraId="728999FD" w14:textId="47B39B45">
      <w:pPr>
        <w:pStyle w:val="Heading3"/>
        <w:ind w:left="567" w:hanging="567"/>
      </w:pPr>
      <w:r>
        <w:t>Propunerea modificată a Comisiei Europene urmărește să găsească un echilibru între exigențele Parlamentului European și cele ale Consiliului. Dacă va fi aprobată, ea va influența în mod semnificativ impactul potențial al inițiativei legislative.</w:t>
      </w:r>
    </w:p>
    <w:p w:rsidRPr="00653F3F" w:rsidR="008835DB" w:rsidP="003A7349" w:rsidRDefault="008835DB" w14:paraId="06BB36F4" w14:textId="77777777">
      <w:pPr>
        <w:outlineLvl w:val="1"/>
      </w:pPr>
    </w:p>
    <w:p w:rsidRPr="00653F3F" w:rsidR="008835DB" w:rsidP="008925E0" w:rsidRDefault="008835DB" w14:paraId="5737D1B5" w14:textId="2E312148">
      <w:pPr>
        <w:pStyle w:val="Heading1"/>
        <w:keepNext/>
        <w:ind w:left="567" w:hanging="567"/>
        <w:rPr>
          <w:bCs/>
        </w:rPr>
      </w:pPr>
      <w:r>
        <w:rPr>
          <w:b/>
        </w:rPr>
        <w:t>Observații specifice</w:t>
      </w:r>
    </w:p>
    <w:p w:rsidRPr="00653F3F" w:rsidR="00F65527" w:rsidP="008925E0" w:rsidRDefault="00F65527" w14:paraId="5D03A46D" w14:textId="6FC7DC16">
      <w:pPr>
        <w:keepNext/>
        <w:rPr>
          <w:bCs/>
          <w:kern w:val="28"/>
        </w:rPr>
      </w:pPr>
    </w:p>
    <w:p w:rsidRPr="00653F3F" w:rsidR="00F65527" w:rsidP="00AC7A48" w:rsidRDefault="00F65527" w14:paraId="30BB8825" w14:textId="730B8F76">
      <w:pPr>
        <w:pStyle w:val="Heading2"/>
        <w:ind w:left="567" w:hanging="567"/>
      </w:pPr>
      <w:r>
        <w:t>Un element semnificativ al propunerii Comisiei constă în menținerea caracterului ascendent al inițiativei de activare a procedurii propuse (prin depunerea dosarului transfrontalier de către fiecare parte interesată). Astfel, cei care sunt afectați efectiv de obstacole pot iniția procesul de armonizare și de găsire a unor soluții.</w:t>
      </w:r>
    </w:p>
    <w:p w:rsidRPr="00653F3F" w:rsidR="00F46FCE" w:rsidP="00943810" w:rsidRDefault="00F46FCE" w14:paraId="4055B9A8" w14:textId="77777777"/>
    <w:p w:rsidRPr="00AF7BAF" w:rsidR="008835DB" w:rsidP="00AC7A48" w:rsidRDefault="009C2BF2" w14:paraId="275D79C8" w14:textId="7C12B5DA">
      <w:pPr>
        <w:pStyle w:val="Heading3"/>
        <w:ind w:left="567" w:hanging="567"/>
      </w:pPr>
      <w:r>
        <w:t>Cu toate acestea, particularitatea propunerii constă în faptul că, în încercarea de a se conforma obiecțiilor formulate de Consiliu cu privire la propunerea sa inițială</w:t>
      </w:r>
      <w:r w:rsidRPr="00653F3F" w:rsidR="00C54827">
        <w:rPr>
          <w:rStyle w:val="FootnoteReference"/>
        </w:rPr>
        <w:footnoteReference w:id="12"/>
      </w:r>
      <w:r>
        <w:t>, Comisia utilizează instrumentul legislativ al regulamentului (care se aplică direct și integral destinatarilor săi, în conformitate cu articolul 288 din TFUE) în ceea ce privește obligația statelor membre de a crea infrastructura instituțională relevantă (puncte de coordonare transfrontalieră), însă prevede că utilizarea acestei infrastructuri de către statele membre este pur voluntară în activarea instrumentului de facilitare transfrontalieră.</w:t>
      </w:r>
    </w:p>
    <w:p w:rsidRPr="004E7ABB" w:rsidR="008835DB" w:rsidP="003A7349" w:rsidRDefault="008835DB" w14:paraId="4815BD61" w14:textId="77777777">
      <w:pPr>
        <w:pStyle w:val="ListParagraph"/>
        <w:ind w:left="0"/>
      </w:pPr>
    </w:p>
    <w:p w:rsidRPr="00AF7BAF" w:rsidR="008835DB" w:rsidP="00240D54" w:rsidRDefault="008835DB" w14:paraId="050F1645" w14:textId="3E194374">
      <w:pPr>
        <w:pStyle w:val="Heading3"/>
        <w:keepNext/>
        <w:keepLines/>
        <w:ind w:left="567" w:hanging="567"/>
      </w:pPr>
      <w:r>
        <w:lastRenderedPageBreak/>
        <w:t>Această particularitate a propunerii modificate a Comisiei nu ar trebui să lase loc pentru inacțiune în ceea ce privește riscul pe care CESE l-a semnalat cu privire la propunerea inițială, și anume că activarea pe bază voluntară a sistemului propus ar putea duce, în cele din urmă, la o fragmentare suplimentară a practicilor juridice și a structurii administrative în Europa</w:t>
      </w:r>
      <w:r w:rsidRPr="00653F3F">
        <w:rPr>
          <w:rStyle w:val="FootnoteReference"/>
          <w:szCs w:val="24"/>
        </w:rPr>
        <w:footnoteReference w:id="13"/>
      </w:r>
      <w:r>
        <w:t>.</w:t>
      </w:r>
    </w:p>
    <w:p w:rsidRPr="004E7ABB" w:rsidR="008835DB" w:rsidP="003A7349" w:rsidRDefault="008835DB" w14:paraId="55EEB391" w14:textId="77777777">
      <w:pPr>
        <w:pStyle w:val="ListParagraph"/>
        <w:ind w:left="0"/>
      </w:pPr>
    </w:p>
    <w:p w:rsidRPr="00653F3F" w:rsidR="003A7349" w:rsidP="001F7BA7" w:rsidRDefault="008835DB" w14:paraId="57D49C9D" w14:textId="0AD98621">
      <w:pPr>
        <w:numPr>
          <w:ilvl w:val="1"/>
          <w:numId w:val="1"/>
        </w:numPr>
        <w:ind w:left="567" w:hanging="567"/>
        <w:outlineLvl w:val="1"/>
      </w:pPr>
      <w:r>
        <w:t>Ar trebui semnalat că, deși numeroase regiuni frontaliere maritime au interacțiuni transfrontaliere mai limitate și o utilizare mai restrânsă a serviciilor publice transfrontaliere din cauza depărtării lor, ele intră totuși în domeniul de aplicare al noii propuneri a Comisiei. În plus, aplicarea unui regim legislativ suplimentar, cum ar fi cel propus, la frontierele maritime prezintă riscuri grave de interferență cu acordurile existente în ceea ce privește activitățile transfrontaliere stabilite bilateral sau multilateral în temeiul dreptului internațional al mării.</w:t>
      </w:r>
    </w:p>
    <w:p w:rsidRPr="00653F3F" w:rsidR="003A7349" w:rsidP="003A7349" w:rsidRDefault="003A7349" w14:paraId="360AC08A" w14:textId="77777777">
      <w:pPr>
        <w:outlineLvl w:val="1"/>
      </w:pPr>
    </w:p>
    <w:p w:rsidRPr="00AF7BAF" w:rsidR="008835DB" w:rsidP="001F7BA7" w:rsidRDefault="008835DB" w14:paraId="7D858B34" w14:textId="0F570F90">
      <w:pPr>
        <w:numPr>
          <w:ilvl w:val="1"/>
          <w:numId w:val="1"/>
        </w:numPr>
        <w:ind w:left="567" w:hanging="567"/>
        <w:outlineLvl w:val="1"/>
      </w:pPr>
      <w:r>
        <w:t>Lipsa – încă o dată – a oricărei dispoziții privind finanțarea UE destinată statelor membre pentru crearea și gestionarea infrastructurilor instituționale propuse, în special având în vedere că propunerea se bazează pe politica de coeziune a UE, reamintește că CESE a semnalat deja că această chestiune reprezintă o sursă potențială de probleme, în special pentru statele membre mai puțin dezvoltate. Se consideră necesar să se prevadă finanțare pentru organizarea și gestionarea structurilor propuse și, în special, a punctelor de coordonare transfrontalieră, din fondurile structurale ale UE</w:t>
      </w:r>
      <w:r w:rsidRPr="00653F3F">
        <w:rPr>
          <w:rStyle w:val="FootnoteReference"/>
        </w:rPr>
        <w:footnoteReference w:id="14"/>
      </w:r>
      <w:r>
        <w:t>.</w:t>
      </w:r>
    </w:p>
    <w:p w:rsidRPr="004E7ABB" w:rsidR="008835DB" w:rsidP="008925E0" w:rsidRDefault="008835DB" w14:paraId="073A3498" w14:textId="77777777">
      <w:pPr>
        <w:pStyle w:val="ListParagraph"/>
        <w:ind w:left="0"/>
      </w:pPr>
    </w:p>
    <w:p w:rsidRPr="00653F3F" w:rsidR="00DC7933" w:rsidP="001F7BA7" w:rsidRDefault="008835DB" w14:paraId="265E969A" w14:textId="2E69FDB5">
      <w:pPr>
        <w:numPr>
          <w:ilvl w:val="1"/>
          <w:numId w:val="1"/>
        </w:numPr>
        <w:ind w:left="567" w:hanging="567"/>
        <w:outlineLvl w:val="1"/>
      </w:pPr>
      <w:r>
        <w:t>Propunerea modificată a Comisiei prevede, în esență, crearea unui ghișeu unic care să acopere toate aspectele relevante, acordând statelor membre libertatea de a decide cu privire la forma și tipul punctelor de coordonare transfrontalieră (chiar și pornind de la structurile administrative existente), făcând obligatorie crearea acestor puncte, însă lăsând soluționarea obstacolelor la latitudinea statelor membre. Prin urmare, se propune un mijloc/instrument care ar putea contribui la elaborarea de soluții eficace la aceste obstacole.</w:t>
      </w:r>
    </w:p>
    <w:p w:rsidRPr="00653F3F" w:rsidR="00DC7933" w:rsidP="008925E0" w:rsidRDefault="00DC7933" w14:paraId="4ADE1475" w14:textId="77777777">
      <w:pPr>
        <w:outlineLvl w:val="1"/>
      </w:pPr>
    </w:p>
    <w:p w:rsidRPr="00653F3F" w:rsidR="008835DB" w:rsidP="001F7BA7" w:rsidRDefault="008835DB" w14:paraId="5F005181" w14:textId="19FCD34B">
      <w:pPr>
        <w:numPr>
          <w:ilvl w:val="1"/>
          <w:numId w:val="1"/>
        </w:numPr>
        <w:ind w:left="567" w:hanging="567"/>
        <w:outlineLvl w:val="1"/>
      </w:pPr>
      <w:r>
        <w:t>Astfel, pentru a nu submina valoarea adăugată a procedurii propuse, acesta nu ar trebui considerat doar un mijloc de evidențiere a problemelor identificate, recunoscând caracteristicile lor prin colectarea de date de la toate statele membre, grație rolului de coordonare al Comisiei. Ar trebui reamintit și subliniat că, prin intermediul instrumentului de soluționare, statelor membre li se oferă posibilitatea (chiar dacă pe bază voluntară) de a aborda fondul obstacolelor transfrontaliere.</w:t>
      </w:r>
    </w:p>
    <w:p w:rsidRPr="00653F3F" w:rsidR="00691E09" w:rsidP="00943810" w:rsidRDefault="00691E09" w14:paraId="0E745B60" w14:textId="77777777">
      <w:pPr>
        <w:ind w:left="720" w:hanging="720"/>
      </w:pPr>
    </w:p>
    <w:p w:rsidRPr="00653F3F" w:rsidR="00DC7933" w:rsidP="001F7BA7" w:rsidRDefault="00DC7933" w14:paraId="220BC2FF" w14:textId="7DD199B8">
      <w:pPr>
        <w:numPr>
          <w:ilvl w:val="1"/>
          <w:numId w:val="1"/>
        </w:numPr>
        <w:ind w:left="567" w:hanging="567"/>
        <w:outlineLvl w:val="1"/>
      </w:pPr>
      <w:r>
        <w:t>Pentru o mai bună înțelegere a modului în care funcționează noua procedură, ar fi fost preferabil ca Comisia să ofere mai multe exemple de probleme transfrontaliere și modalități de soluționare a lor, ceea ce ar fi făcut ca procedura să devină ușor de înțeles și ar fi ajutat părțile interesate și statele membre să devină conștiente de necesitatea sa.</w:t>
      </w:r>
    </w:p>
    <w:p w:rsidRPr="00653F3F" w:rsidR="00B62CE4" w:rsidP="00B62CE4" w:rsidRDefault="00B62CE4" w14:paraId="4933DF48" w14:textId="587238DD"/>
    <w:p w:rsidRPr="00653F3F" w:rsidR="002D0538" w:rsidP="00240D54" w:rsidRDefault="00B62CE4" w14:paraId="5E8C4982" w14:textId="1815CE0A">
      <w:pPr>
        <w:pStyle w:val="Heading2"/>
        <w:keepNext/>
        <w:keepLines/>
        <w:ind w:left="567" w:hanging="567"/>
      </w:pPr>
      <w:r>
        <w:lastRenderedPageBreak/>
        <w:t>În același timp, pentru ca procedura să nu fie considerată o simplă procedură formală, ar fi util să se prevadă posibilitatea de a completa dosarul transfrontalier transmis cu informații suplimentare, în cazul în care prima evaluare nu identifică un obstacol transfrontalier (dreptul de a formula obiecții).</w:t>
      </w:r>
    </w:p>
    <w:p w:rsidRPr="00653F3F" w:rsidR="001D609D" w:rsidP="00180050" w:rsidRDefault="001D609D" w14:paraId="6883C28C" w14:textId="77777777">
      <w:pPr>
        <w:jc w:val="left"/>
      </w:pPr>
    </w:p>
    <w:p w:rsidRPr="00653F3F" w:rsidR="001D609D" w:rsidP="001D609D" w:rsidRDefault="001D609D" w14:paraId="61747336" w14:textId="70B7724D">
      <w:pPr>
        <w:jc w:val="left"/>
      </w:pPr>
      <w:r>
        <w:t>Bruxelles, 10 aprilie 2024.</w:t>
      </w:r>
    </w:p>
    <w:p w:rsidRPr="00653F3F" w:rsidR="00AF208C" w:rsidP="001D609D" w:rsidRDefault="00AF208C" w14:paraId="48A8D72D" w14:textId="22084D11">
      <w:pPr>
        <w:jc w:val="left"/>
      </w:pPr>
    </w:p>
    <w:p w:rsidRPr="00653F3F" w:rsidR="00AF208C" w:rsidP="001D609D" w:rsidRDefault="00AF208C" w14:paraId="33815BF2" w14:textId="130DDC74">
      <w:pPr>
        <w:jc w:val="left"/>
      </w:pPr>
    </w:p>
    <w:p w:rsidRPr="00653F3F" w:rsidR="00D35AB6" w:rsidP="001D609D" w:rsidRDefault="00D35AB6" w14:paraId="15CF12B4" w14:textId="440D3E96">
      <w:pPr>
        <w:jc w:val="left"/>
      </w:pPr>
    </w:p>
    <w:p w:rsidRPr="00653F3F" w:rsidR="00D35AB6" w:rsidP="001D609D" w:rsidRDefault="00D35AB6" w14:paraId="4B26C700" w14:textId="77777777">
      <w:pPr>
        <w:jc w:val="left"/>
      </w:pPr>
    </w:p>
    <w:p w:rsidRPr="00653F3F" w:rsidR="00AF208C" w:rsidP="001D609D" w:rsidRDefault="00AF208C" w14:paraId="18432580" w14:textId="0E8DAD12">
      <w:pPr>
        <w:jc w:val="left"/>
      </w:pPr>
      <w:r>
        <w:t>Ioannis VARDAKASTANIS</w:t>
      </w:r>
    </w:p>
    <w:p w:rsidRPr="00653F3F" w:rsidR="00AF208C" w:rsidP="00180050" w:rsidRDefault="00D35AB6" w14:paraId="6C354C33" w14:textId="74D75551">
      <w:pPr>
        <w:jc w:val="left"/>
      </w:pPr>
      <w:r>
        <w:t>Președintele Secțiunii pentru uniunea economică și monetară și coeziune economică și socială</w:t>
      </w:r>
    </w:p>
    <w:p w:rsidRPr="00653F3F" w:rsidR="001D609D" w:rsidP="00180050" w:rsidRDefault="001D609D" w14:paraId="19A60ECE" w14:textId="77777777">
      <w:pPr>
        <w:jc w:val="left"/>
      </w:pPr>
    </w:p>
    <w:p w:rsidRPr="00653F3F" w:rsidR="00277015" w:rsidP="001F7BA7" w:rsidRDefault="008835DB" w14:paraId="139577FA" w14:textId="2A0B96D4">
      <w:pPr>
        <w:jc w:val="center"/>
      </w:pPr>
      <w:r>
        <w:t>_____________</w:t>
      </w:r>
    </w:p>
    <w:sectPr w:rsidRPr="00653F3F" w:rsidR="00277015" w:rsidSect="00381FAC">
      <w:headerReference w:type="even" r:id="rId19"/>
      <w:headerReference w:type="default" r:id="rId20"/>
      <w:footerReference w:type="even" r:id="rId21"/>
      <w:footerReference w:type="default" r:id="rId22"/>
      <w:headerReference w:type="first" r:id="rId23"/>
      <w:footerReference w:type="first" r:id="rId24"/>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D1EB3" w14:textId="77777777" w:rsidR="00BE16C5" w:rsidRDefault="00BE16C5" w:rsidP="008835DB">
      <w:pPr>
        <w:spacing w:line="240" w:lineRule="auto"/>
      </w:pPr>
      <w:r>
        <w:separator/>
      </w:r>
    </w:p>
  </w:endnote>
  <w:endnote w:type="continuationSeparator" w:id="0">
    <w:p w14:paraId="5E760FA7" w14:textId="77777777" w:rsidR="00BE16C5" w:rsidRDefault="00BE16C5" w:rsidP="008835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7375C" w14:textId="77777777" w:rsidR="00381FAC" w:rsidRPr="00381FAC" w:rsidRDefault="00381FAC" w:rsidP="00381F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004C6" w14:textId="5EEB26CD" w:rsidR="008835DB" w:rsidRPr="00381FAC" w:rsidRDefault="00381FAC" w:rsidP="00381FAC">
    <w:pPr>
      <w:pStyle w:val="Footer"/>
    </w:pPr>
    <w:r>
      <w:t xml:space="preserve">ECO/637 – EESC-2024-00120-00-00-AS-TRA (EN) </w:t>
    </w:r>
    <w:r>
      <w:fldChar w:fldCharType="begin"/>
    </w:r>
    <w:r>
      <w:instrText xml:space="preserve"> PAGE  \* Arabic  \* MERGEFORMAT </w:instrText>
    </w:r>
    <w:r>
      <w:fldChar w:fldCharType="separate"/>
    </w:r>
    <w:r w:rsidR="00373609">
      <w:t>1</w:t>
    </w:r>
    <w:r>
      <w:fldChar w:fldCharType="end"/>
    </w:r>
    <w:r>
      <w:t>/</w:t>
    </w:r>
    <w:r w:rsidR="000D5D4D">
      <w:fldChar w:fldCharType="begin"/>
    </w:r>
    <w:r w:rsidR="000D5D4D">
      <w:instrText xml:space="preserve"> NUMPAGES </w:instrText>
    </w:r>
    <w:r w:rsidR="000D5D4D">
      <w:fldChar w:fldCharType="separate"/>
    </w:r>
    <w:r w:rsidR="00373609">
      <w:t>2</w:t>
    </w:r>
    <w:r w:rsidR="000D5D4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7CD03" w14:textId="77777777" w:rsidR="00381FAC" w:rsidRPr="00381FAC" w:rsidRDefault="00381FAC" w:rsidP="00381FA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9CF4F" w14:textId="77777777" w:rsidR="008E5D03" w:rsidRPr="00381FAC" w:rsidRDefault="000D5D4D" w:rsidP="00381FA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B913E" w14:textId="6B0FC88C" w:rsidR="008E5D03" w:rsidRPr="00381FAC" w:rsidRDefault="00381FAC" w:rsidP="00381FAC">
    <w:pPr>
      <w:pStyle w:val="Footer"/>
    </w:pPr>
    <w:r>
      <w:t xml:space="preserve">ECO/637 – EESC-2024-00120-00-00-AS-TRA (EN) </w:t>
    </w:r>
    <w:r>
      <w:fldChar w:fldCharType="begin"/>
    </w:r>
    <w:r>
      <w:instrText xml:space="preserve"> PAGE  \* Arabic  \* MERGEFORMAT </w:instrText>
    </w:r>
    <w:r>
      <w:fldChar w:fldCharType="separate"/>
    </w:r>
    <w:r>
      <w:t>2</w:t>
    </w:r>
    <w:r>
      <w:fldChar w:fldCharType="end"/>
    </w:r>
    <w:r>
      <w:t>/</w:t>
    </w:r>
    <w:r w:rsidR="000D5D4D">
      <w:fldChar w:fldCharType="begin"/>
    </w:r>
    <w:r w:rsidR="000D5D4D">
      <w:instrText xml:space="preserve"> NUMPAGES </w:instrText>
    </w:r>
    <w:r w:rsidR="000D5D4D">
      <w:fldChar w:fldCharType="separate"/>
    </w:r>
    <w:r>
      <w:t>8</w:t>
    </w:r>
    <w:r w:rsidR="000D5D4D">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B30E3" w14:textId="77777777" w:rsidR="008E5D03" w:rsidRPr="00381FAC" w:rsidRDefault="000D5D4D" w:rsidP="00381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3A224" w14:textId="77777777" w:rsidR="00BE16C5" w:rsidRDefault="00BE16C5" w:rsidP="008835DB">
      <w:pPr>
        <w:spacing w:line="240" w:lineRule="auto"/>
      </w:pPr>
      <w:r>
        <w:separator/>
      </w:r>
    </w:p>
  </w:footnote>
  <w:footnote w:type="continuationSeparator" w:id="0">
    <w:p w14:paraId="38284AD1" w14:textId="77777777" w:rsidR="00BE16C5" w:rsidRDefault="00BE16C5" w:rsidP="008835DB">
      <w:pPr>
        <w:spacing w:line="240" w:lineRule="auto"/>
      </w:pPr>
      <w:r>
        <w:continuationSeparator/>
      </w:r>
    </w:p>
  </w:footnote>
  <w:footnote w:id="1">
    <w:p w14:paraId="0269FD8C" w14:textId="6FFD7472" w:rsidR="008835DB" w:rsidRDefault="008835DB" w:rsidP="008835DB">
      <w:pPr>
        <w:pStyle w:val="FootnoteText"/>
      </w:pPr>
      <w:r>
        <w:rPr>
          <w:rStyle w:val="FootnoteReference"/>
        </w:rPr>
        <w:footnoteRef/>
      </w:r>
      <w:r>
        <w:tab/>
      </w:r>
      <w:hyperlink r:id="rId1" w:history="1">
        <w:r>
          <w:rPr>
            <w:rStyle w:val="Hyperlink"/>
          </w:rPr>
          <w:t>Document de informare pentru reuniunea ministerială informală privind coeziunea teritorială desfășurată în cadrul Președinției luxemburgheze</w:t>
        </w:r>
      </w:hyperlink>
      <w:r>
        <w:t>.</w:t>
      </w:r>
    </w:p>
  </w:footnote>
  <w:footnote w:id="2">
    <w:p w14:paraId="373085F4" w14:textId="12675CEE" w:rsidR="008835DB" w:rsidRDefault="008835DB" w:rsidP="008835DB">
      <w:pPr>
        <w:pStyle w:val="FootnoteText"/>
      </w:pPr>
      <w:r>
        <w:rPr>
          <w:rStyle w:val="FootnoteReference"/>
        </w:rPr>
        <w:footnoteRef/>
      </w:r>
      <w:r>
        <w:tab/>
      </w:r>
      <w:hyperlink r:id="rId2" w:history="1">
        <w:r>
          <w:rPr>
            <w:rStyle w:val="Hyperlink"/>
          </w:rPr>
          <w:t>MTFE, Mecanismul de soluționare a obstacolelor juridice și administrative în context transfrontalier – evaluarea valorii adăugate europene, PE 740.233 – mai 2023, p. 19</w:t>
        </w:r>
      </w:hyperlink>
      <w:r>
        <w:t>.</w:t>
      </w:r>
    </w:p>
  </w:footnote>
  <w:footnote w:id="3">
    <w:p w14:paraId="5B8FADEB" w14:textId="096FA201" w:rsidR="008835DB" w:rsidRPr="00585BBB" w:rsidRDefault="008835DB" w:rsidP="008835DB">
      <w:pPr>
        <w:pStyle w:val="FootnoteText"/>
      </w:pPr>
      <w:r>
        <w:rPr>
          <w:rStyle w:val="FootnoteReference"/>
        </w:rPr>
        <w:footnoteRef/>
      </w:r>
      <w:r>
        <w:tab/>
      </w:r>
      <w:hyperlink r:id="rId3" w:history="1">
        <w:r>
          <w:rPr>
            <w:rStyle w:val="Hyperlink"/>
          </w:rPr>
          <w:t>COM(2018) 373 final</w:t>
        </w:r>
      </w:hyperlink>
      <w:r>
        <w:t>.</w:t>
      </w:r>
    </w:p>
  </w:footnote>
  <w:footnote w:id="4">
    <w:p w14:paraId="1E5144BD" w14:textId="1AA6BDE2" w:rsidR="008835DB" w:rsidRDefault="008835DB" w:rsidP="008835DB">
      <w:pPr>
        <w:pStyle w:val="FootnoteText"/>
      </w:pPr>
      <w:r>
        <w:rPr>
          <w:rStyle w:val="FootnoteReference"/>
        </w:rPr>
        <w:footnoteRef/>
      </w:r>
      <w:r>
        <w:tab/>
      </w:r>
      <w:hyperlink r:id="rId4" w:history="1">
        <w:r>
          <w:rPr>
            <w:rStyle w:val="Hyperlink"/>
          </w:rPr>
          <w:t>COM(2023) 790 final</w:t>
        </w:r>
      </w:hyperlink>
      <w:r>
        <w:t>.</w:t>
      </w:r>
    </w:p>
  </w:footnote>
  <w:footnote w:id="5">
    <w:p w14:paraId="2EC6C394" w14:textId="5E0B0CA1" w:rsidR="008835DB" w:rsidRPr="004D66A3" w:rsidRDefault="008835DB" w:rsidP="008835DB">
      <w:pPr>
        <w:pStyle w:val="FootnoteText"/>
      </w:pPr>
      <w:r>
        <w:rPr>
          <w:rStyle w:val="FootnoteReference"/>
        </w:rPr>
        <w:footnoteRef/>
      </w:r>
      <w:r>
        <w:tab/>
        <w:t xml:space="preserve">Comunicarea Comisiei către Consiliu și Parlamentul European – Stimularea creșterii economice și a coeziunii în regiunile frontaliere ale UE, </w:t>
      </w:r>
      <w:hyperlink r:id="rId5" w:history="1">
        <w:r>
          <w:rPr>
            <w:rStyle w:val="Hyperlink"/>
          </w:rPr>
          <w:t>COM(2017) 534 final, pagina 2</w:t>
        </w:r>
      </w:hyperlink>
      <w:r>
        <w:t>.</w:t>
      </w:r>
    </w:p>
  </w:footnote>
  <w:footnote w:id="6">
    <w:p w14:paraId="1A49D218" w14:textId="50BE3D27" w:rsidR="008835DB" w:rsidRPr="00813475" w:rsidRDefault="008835DB" w:rsidP="008835DB">
      <w:pPr>
        <w:pStyle w:val="FootnoteText"/>
      </w:pPr>
      <w:r>
        <w:rPr>
          <w:rStyle w:val="FootnoteReference"/>
        </w:rPr>
        <w:footnoteRef/>
      </w:r>
      <w:r>
        <w:tab/>
      </w:r>
      <w:hyperlink r:id="rId6" w:history="1">
        <w:r>
          <w:rPr>
            <w:rStyle w:val="Hyperlink"/>
          </w:rPr>
          <w:t>Spațiul Schengen pe înțelesul tuturor</w:t>
        </w:r>
      </w:hyperlink>
      <w:r>
        <w:t>.</w:t>
      </w:r>
    </w:p>
  </w:footnote>
  <w:footnote w:id="7">
    <w:p w14:paraId="1D0DA795" w14:textId="2955A0B9" w:rsidR="008835DB" w:rsidRPr="00B51C09" w:rsidRDefault="008835DB" w:rsidP="008835DB">
      <w:pPr>
        <w:pStyle w:val="FootnoteText"/>
      </w:pPr>
      <w:r>
        <w:rPr>
          <w:rStyle w:val="FootnoteReference"/>
        </w:rPr>
        <w:footnoteRef/>
      </w:r>
      <w:r>
        <w:tab/>
      </w:r>
      <w:hyperlink r:id="rId7" w:history="1">
        <w:r>
          <w:rPr>
            <w:rStyle w:val="Hyperlink"/>
          </w:rPr>
          <w:t>http://ec.europa.eu/regional_policy/en/policy/cooperation/european-territorial/cross-border/review/</w:t>
        </w:r>
      </w:hyperlink>
      <w:r>
        <w:t>.</w:t>
      </w:r>
    </w:p>
  </w:footnote>
  <w:footnote w:id="8">
    <w:p w14:paraId="2FE2AFD5" w14:textId="7B2969DB" w:rsidR="008835DB" w:rsidRDefault="008835DB" w:rsidP="008835DB">
      <w:pPr>
        <w:pStyle w:val="FootnoteText"/>
      </w:pPr>
      <w:r>
        <w:rPr>
          <w:rStyle w:val="FootnoteReference"/>
        </w:rPr>
        <w:footnoteRef/>
      </w:r>
      <w:r>
        <w:tab/>
        <w:t xml:space="preserve">Comunicarea Comisiei către Consiliu și Parlamentul European – Stimularea creșterii economice și a coeziunii în regiunile frontaliere ale UE, </w:t>
      </w:r>
      <w:hyperlink r:id="rId8" w:history="1">
        <w:r>
          <w:rPr>
            <w:rStyle w:val="Hyperlink"/>
          </w:rPr>
          <w:t>COM(2017) 534 final, p. 4</w:t>
        </w:r>
      </w:hyperlink>
      <w:r>
        <w:t>.</w:t>
      </w:r>
    </w:p>
  </w:footnote>
  <w:footnote w:id="9">
    <w:p w14:paraId="26805AC4" w14:textId="1DC6E2A4" w:rsidR="008835DB" w:rsidRPr="000F7EE4" w:rsidRDefault="008835DB" w:rsidP="008925E0">
      <w:pPr>
        <w:pStyle w:val="FootnoteText"/>
      </w:pPr>
      <w:r>
        <w:rPr>
          <w:rStyle w:val="FootnoteReference"/>
        </w:rPr>
        <w:footnoteRef/>
      </w:r>
      <w:r>
        <w:t xml:space="preserve"> </w:t>
      </w:r>
      <w:r>
        <w:tab/>
        <w:t xml:space="preserve">Avizul CESE cu privire la </w:t>
      </w:r>
      <w:r>
        <w:rPr>
          <w:i/>
        </w:rPr>
        <w:t>Propunerea de regulament al Parlamentului European și al Consiliului privind un mecanism de soluționare a obstacolelor juridice și administrative în context transfrontalier</w:t>
      </w:r>
      <w:r>
        <w:t xml:space="preserve">, </w:t>
      </w:r>
      <w:hyperlink r:id="rId9" w:history="1">
        <w:r>
          <w:rPr>
            <w:rStyle w:val="Hyperlink"/>
          </w:rPr>
          <w:t>JO C 440 din 6.12.2018</w:t>
        </w:r>
      </w:hyperlink>
      <w:r>
        <w:t>.</w:t>
      </w:r>
    </w:p>
  </w:footnote>
  <w:footnote w:id="10">
    <w:p w14:paraId="2526E99F" w14:textId="12765CC7" w:rsidR="008835DB" w:rsidRPr="00FA1214" w:rsidRDefault="008835DB" w:rsidP="008835DB">
      <w:pPr>
        <w:pStyle w:val="FootnoteText"/>
      </w:pPr>
      <w:r>
        <w:rPr>
          <w:rStyle w:val="FootnoteReference"/>
        </w:rPr>
        <w:footnoteRef/>
      </w:r>
      <w:r>
        <w:tab/>
        <w:t>Comisia Europeană și Asociația regiunilor frontaliere europene,„</w:t>
      </w:r>
      <w:proofErr w:type="spellStart"/>
      <w:r>
        <w:rPr>
          <w:i/>
        </w:rPr>
        <w:t>b-solutio</w:t>
      </w:r>
      <w:proofErr w:type="spellEnd"/>
      <w:r>
        <w:rPr>
          <w:i/>
        </w:rPr>
        <w:t>ns</w:t>
      </w:r>
      <w:r>
        <w:rPr>
          <w:i/>
          <w:iCs/>
        </w:rPr>
        <w:t xml:space="preserve">: </w:t>
      </w:r>
      <w:proofErr w:type="spellStart"/>
      <w:r>
        <w:rPr>
          <w:i/>
          <w:iCs/>
        </w:rPr>
        <w:t>Solving</w:t>
      </w:r>
      <w:proofErr w:type="spellEnd"/>
      <w:r>
        <w:rPr>
          <w:i/>
          <w:iCs/>
        </w:rPr>
        <w:t xml:space="preserve"> </w:t>
      </w:r>
      <w:proofErr w:type="spellStart"/>
      <w:r>
        <w:rPr>
          <w:i/>
          <w:iCs/>
        </w:rPr>
        <w:t>Border</w:t>
      </w:r>
      <w:proofErr w:type="spellEnd"/>
      <w:r>
        <w:rPr>
          <w:i/>
          <w:iCs/>
        </w:rPr>
        <w:t xml:space="preserve"> </w:t>
      </w:r>
      <w:proofErr w:type="spellStart"/>
      <w:r>
        <w:rPr>
          <w:i/>
          <w:iCs/>
        </w:rPr>
        <w:t>Obstacles</w:t>
      </w:r>
      <w:proofErr w:type="spellEnd"/>
      <w:r>
        <w:rPr>
          <w:i/>
          <w:iCs/>
        </w:rPr>
        <w:t xml:space="preserve"> – A Compendium of 43 </w:t>
      </w:r>
      <w:proofErr w:type="spellStart"/>
      <w:r>
        <w:rPr>
          <w:i/>
          <w:iCs/>
        </w:rPr>
        <w:t>Cases</w:t>
      </w:r>
      <w:proofErr w:type="spellEnd"/>
      <w:r>
        <w:t>” („</w:t>
      </w:r>
      <w:r>
        <w:rPr>
          <w:i/>
        </w:rPr>
        <w:t>b-</w:t>
      </w:r>
      <w:proofErr w:type="spellStart"/>
      <w:r>
        <w:rPr>
          <w:i/>
        </w:rPr>
        <w:t>solutions</w:t>
      </w:r>
      <w:proofErr w:type="spellEnd"/>
      <w:r>
        <w:t>: Soluționarea obstacolelor frontaliere – Compendiu de 43 de cazuri”), Oficiul pentru Publicații al Uniunii Europene, 2020.</w:t>
      </w:r>
    </w:p>
  </w:footnote>
  <w:footnote w:id="11">
    <w:p w14:paraId="60DD3920" w14:textId="61D20147" w:rsidR="008835DB" w:rsidRDefault="008835DB" w:rsidP="008835DB">
      <w:pPr>
        <w:pStyle w:val="FootnoteText"/>
      </w:pPr>
      <w:r>
        <w:rPr>
          <w:rStyle w:val="FootnoteReference"/>
        </w:rPr>
        <w:footnoteRef/>
      </w:r>
      <w:r>
        <w:t xml:space="preserve"> </w:t>
      </w:r>
      <w:r>
        <w:tab/>
        <w:t xml:space="preserve">Comisia Europeană, Propunerea modificată de regulament al Parlamentului European și al Consiliului privind un mecanism de soluționare a obstacolelor juridice și administrative în context transfrontalier, </w:t>
      </w:r>
      <w:hyperlink r:id="rId10" w:history="1">
        <w:r>
          <w:rPr>
            <w:rStyle w:val="Hyperlink"/>
          </w:rPr>
          <w:t>COM(2023) 790 final</w:t>
        </w:r>
      </w:hyperlink>
      <w:r>
        <w:t>.</w:t>
      </w:r>
    </w:p>
  </w:footnote>
  <w:footnote w:id="12">
    <w:p w14:paraId="3A0DB2C7" w14:textId="5087E978" w:rsidR="00C54827" w:rsidRPr="00943810" w:rsidRDefault="00C54827">
      <w:pPr>
        <w:pStyle w:val="FootnoteText"/>
      </w:pPr>
      <w:r>
        <w:rPr>
          <w:rStyle w:val="FootnoteReference"/>
        </w:rPr>
        <w:footnoteRef/>
      </w:r>
      <w:r>
        <w:t xml:space="preserve"> </w:t>
      </w:r>
      <w:r>
        <w:tab/>
      </w:r>
      <w:hyperlink r:id="rId11" w:history="1">
        <w:r>
          <w:rPr>
            <w:rStyle w:val="Hyperlink"/>
          </w:rPr>
          <w:t>https://data.consilium.europa.eu/doc/document/ST-6009-2020-INIT/ro/pdf</w:t>
        </w:r>
      </w:hyperlink>
      <w:r>
        <w:t>.</w:t>
      </w:r>
    </w:p>
  </w:footnote>
  <w:footnote w:id="13">
    <w:p w14:paraId="0E9BA3AC" w14:textId="703CB66B" w:rsidR="008835DB" w:rsidRDefault="008835DB" w:rsidP="008835DB">
      <w:pPr>
        <w:pStyle w:val="FootnoteText"/>
      </w:pPr>
      <w:r>
        <w:rPr>
          <w:rStyle w:val="FootnoteReference"/>
        </w:rPr>
        <w:footnoteRef/>
      </w:r>
      <w:r>
        <w:t xml:space="preserve"> </w:t>
      </w:r>
      <w:r>
        <w:tab/>
        <w:t xml:space="preserve">Avizul CESE cu privire la </w:t>
      </w:r>
      <w:r>
        <w:rPr>
          <w:i/>
        </w:rPr>
        <w:t>Propunerea de regulament al Parlamentului European și al Consiliului privind un mecanism de soluționare a obstacolelor juridice și administrative în context transfrontalier</w:t>
      </w:r>
      <w:r>
        <w:t xml:space="preserve">, </w:t>
      </w:r>
      <w:hyperlink r:id="rId12" w:history="1">
        <w:r>
          <w:rPr>
            <w:rStyle w:val="Hyperlink"/>
          </w:rPr>
          <w:t>JO C 440 din 6.12.2018</w:t>
        </w:r>
      </w:hyperlink>
      <w:r>
        <w:t>.</w:t>
      </w:r>
    </w:p>
  </w:footnote>
  <w:footnote w:id="14">
    <w:p w14:paraId="29C5A963" w14:textId="15F112AC" w:rsidR="008835DB" w:rsidRDefault="008835DB" w:rsidP="008835DB">
      <w:pPr>
        <w:pStyle w:val="FootnoteText"/>
      </w:pPr>
      <w:r>
        <w:rPr>
          <w:rStyle w:val="FootnoteReference"/>
        </w:rPr>
        <w:footnoteRef/>
      </w:r>
      <w:r>
        <w:t xml:space="preserve"> </w:t>
      </w:r>
      <w:r>
        <w:tab/>
        <w:t xml:space="preserve">Avizul CESE cu privire la </w:t>
      </w:r>
      <w:r>
        <w:rPr>
          <w:i/>
        </w:rPr>
        <w:t>Propunerea de regulament al Parlamentului European și al Consiliului privind un mecanism de soluționare a obstacolelor juridice și administrative în context transfrontalier</w:t>
      </w:r>
      <w:r>
        <w:t xml:space="preserve">, </w:t>
      </w:r>
      <w:hyperlink r:id="rId13" w:history="1">
        <w:r>
          <w:rPr>
            <w:rStyle w:val="Hyperlink"/>
          </w:rPr>
          <w:t>JO C 440 din 6.12.2018</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9431C" w14:textId="77777777" w:rsidR="00381FAC" w:rsidRPr="00381FAC" w:rsidRDefault="00381FAC" w:rsidP="00381F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B845A" w14:textId="6B747EAE" w:rsidR="00381FAC" w:rsidRPr="00381FAC" w:rsidRDefault="00381FAC" w:rsidP="00381F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800B7" w14:textId="77777777" w:rsidR="00381FAC" w:rsidRPr="00381FAC" w:rsidRDefault="00381FAC" w:rsidP="00381F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67404" w14:textId="77777777" w:rsidR="008E5D03" w:rsidRPr="00381FAC" w:rsidRDefault="000D5D4D" w:rsidP="00381FA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023EA" w14:textId="24982089" w:rsidR="008E5D03" w:rsidRPr="00381FAC" w:rsidRDefault="000D5D4D" w:rsidP="00381FA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EF603" w14:textId="77777777" w:rsidR="008E5D03" w:rsidRPr="00381FAC" w:rsidRDefault="000D5D4D" w:rsidP="00381F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DE6096E"/>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rPr>
        <w:b w:val="0"/>
        <w:bCs/>
        <w:i w:val="0"/>
        <w:iCs/>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015"/>
    <w:rsid w:val="00001647"/>
    <w:rsid w:val="00010C05"/>
    <w:rsid w:val="00020DE9"/>
    <w:rsid w:val="000323BA"/>
    <w:rsid w:val="00036495"/>
    <w:rsid w:val="00036EBB"/>
    <w:rsid w:val="000467EB"/>
    <w:rsid w:val="00054259"/>
    <w:rsid w:val="00060094"/>
    <w:rsid w:val="000627DD"/>
    <w:rsid w:val="00071A70"/>
    <w:rsid w:val="00083E9B"/>
    <w:rsid w:val="00085E81"/>
    <w:rsid w:val="000926BD"/>
    <w:rsid w:val="000A35A0"/>
    <w:rsid w:val="000A6048"/>
    <w:rsid w:val="000B0A88"/>
    <w:rsid w:val="000C0F23"/>
    <w:rsid w:val="000D3F3D"/>
    <w:rsid w:val="000D5D4D"/>
    <w:rsid w:val="000E2ED9"/>
    <w:rsid w:val="000E4638"/>
    <w:rsid w:val="000F4019"/>
    <w:rsid w:val="0012375E"/>
    <w:rsid w:val="0013683E"/>
    <w:rsid w:val="00147E00"/>
    <w:rsid w:val="00163CEE"/>
    <w:rsid w:val="00176090"/>
    <w:rsid w:val="00177D2E"/>
    <w:rsid w:val="00180050"/>
    <w:rsid w:val="001875D0"/>
    <w:rsid w:val="00196359"/>
    <w:rsid w:val="001A70AD"/>
    <w:rsid w:val="001C76F3"/>
    <w:rsid w:val="001D609D"/>
    <w:rsid w:val="001D6D66"/>
    <w:rsid w:val="001E566D"/>
    <w:rsid w:val="001F1D30"/>
    <w:rsid w:val="001F7BA7"/>
    <w:rsid w:val="00201BEB"/>
    <w:rsid w:val="00212942"/>
    <w:rsid w:val="0022569E"/>
    <w:rsid w:val="0023618D"/>
    <w:rsid w:val="00240D54"/>
    <w:rsid w:val="00241164"/>
    <w:rsid w:val="0024162B"/>
    <w:rsid w:val="00244582"/>
    <w:rsid w:val="00272592"/>
    <w:rsid w:val="00277015"/>
    <w:rsid w:val="00283301"/>
    <w:rsid w:val="00283C6E"/>
    <w:rsid w:val="002A7248"/>
    <w:rsid w:val="002D0538"/>
    <w:rsid w:val="002D1987"/>
    <w:rsid w:val="002D6E29"/>
    <w:rsid w:val="002F628B"/>
    <w:rsid w:val="003463C6"/>
    <w:rsid w:val="00363BC5"/>
    <w:rsid w:val="00373609"/>
    <w:rsid w:val="00381FAC"/>
    <w:rsid w:val="00387B7D"/>
    <w:rsid w:val="0039377E"/>
    <w:rsid w:val="003A7349"/>
    <w:rsid w:val="003B0BBE"/>
    <w:rsid w:val="003E1B21"/>
    <w:rsid w:val="003F0E83"/>
    <w:rsid w:val="003F4ED9"/>
    <w:rsid w:val="00405EC9"/>
    <w:rsid w:val="00406442"/>
    <w:rsid w:val="0040720E"/>
    <w:rsid w:val="00431362"/>
    <w:rsid w:val="00447B09"/>
    <w:rsid w:val="0045165A"/>
    <w:rsid w:val="004548F6"/>
    <w:rsid w:val="00460738"/>
    <w:rsid w:val="00476F46"/>
    <w:rsid w:val="00491A82"/>
    <w:rsid w:val="004B60C9"/>
    <w:rsid w:val="004C30B4"/>
    <w:rsid w:val="004D66A3"/>
    <w:rsid w:val="004E521E"/>
    <w:rsid w:val="004E7ABB"/>
    <w:rsid w:val="004F4526"/>
    <w:rsid w:val="004F526B"/>
    <w:rsid w:val="004F59B3"/>
    <w:rsid w:val="00521F6E"/>
    <w:rsid w:val="00522271"/>
    <w:rsid w:val="00534040"/>
    <w:rsid w:val="00540F1D"/>
    <w:rsid w:val="00544892"/>
    <w:rsid w:val="00546836"/>
    <w:rsid w:val="00552D3C"/>
    <w:rsid w:val="00557D13"/>
    <w:rsid w:val="0056467F"/>
    <w:rsid w:val="00566B10"/>
    <w:rsid w:val="00590080"/>
    <w:rsid w:val="005A1F9D"/>
    <w:rsid w:val="005A5E9A"/>
    <w:rsid w:val="005D5093"/>
    <w:rsid w:val="005D5793"/>
    <w:rsid w:val="005E40DA"/>
    <w:rsid w:val="005E40E1"/>
    <w:rsid w:val="00603CA4"/>
    <w:rsid w:val="00607DD3"/>
    <w:rsid w:val="006245AB"/>
    <w:rsid w:val="00640FCE"/>
    <w:rsid w:val="00653F3F"/>
    <w:rsid w:val="00672070"/>
    <w:rsid w:val="00676BB6"/>
    <w:rsid w:val="0068329B"/>
    <w:rsid w:val="00691E09"/>
    <w:rsid w:val="006C0842"/>
    <w:rsid w:val="006C37DC"/>
    <w:rsid w:val="006D7322"/>
    <w:rsid w:val="006F2355"/>
    <w:rsid w:val="007333DE"/>
    <w:rsid w:val="00754F01"/>
    <w:rsid w:val="00762F49"/>
    <w:rsid w:val="0076342D"/>
    <w:rsid w:val="00763A02"/>
    <w:rsid w:val="00771AAF"/>
    <w:rsid w:val="00777D57"/>
    <w:rsid w:val="007B5A35"/>
    <w:rsid w:val="007C3225"/>
    <w:rsid w:val="007D747E"/>
    <w:rsid w:val="007E0FEF"/>
    <w:rsid w:val="007E6CA9"/>
    <w:rsid w:val="007F2C89"/>
    <w:rsid w:val="007F3AE5"/>
    <w:rsid w:val="007F6538"/>
    <w:rsid w:val="008025F4"/>
    <w:rsid w:val="00805B0F"/>
    <w:rsid w:val="008156C7"/>
    <w:rsid w:val="00827519"/>
    <w:rsid w:val="008750DC"/>
    <w:rsid w:val="00881A79"/>
    <w:rsid w:val="008835DB"/>
    <w:rsid w:val="00891A5C"/>
    <w:rsid w:val="008925E0"/>
    <w:rsid w:val="0089351E"/>
    <w:rsid w:val="008B4D86"/>
    <w:rsid w:val="008C01EE"/>
    <w:rsid w:val="008C5328"/>
    <w:rsid w:val="008F2795"/>
    <w:rsid w:val="009037AF"/>
    <w:rsid w:val="0091083A"/>
    <w:rsid w:val="00921494"/>
    <w:rsid w:val="00924909"/>
    <w:rsid w:val="009326E9"/>
    <w:rsid w:val="00943810"/>
    <w:rsid w:val="00945A0F"/>
    <w:rsid w:val="009637C4"/>
    <w:rsid w:val="00964629"/>
    <w:rsid w:val="00967CA3"/>
    <w:rsid w:val="009A2E04"/>
    <w:rsid w:val="009A7104"/>
    <w:rsid w:val="009A7C8B"/>
    <w:rsid w:val="009C2BF2"/>
    <w:rsid w:val="009C2DAE"/>
    <w:rsid w:val="009C7EF7"/>
    <w:rsid w:val="00A0402D"/>
    <w:rsid w:val="00A11ECA"/>
    <w:rsid w:val="00A1261A"/>
    <w:rsid w:val="00A27875"/>
    <w:rsid w:val="00A34DD6"/>
    <w:rsid w:val="00A36512"/>
    <w:rsid w:val="00A372D0"/>
    <w:rsid w:val="00A439CC"/>
    <w:rsid w:val="00A6344D"/>
    <w:rsid w:val="00A77D9D"/>
    <w:rsid w:val="00AA0641"/>
    <w:rsid w:val="00AA2979"/>
    <w:rsid w:val="00AB17E3"/>
    <w:rsid w:val="00AB4975"/>
    <w:rsid w:val="00AC7A48"/>
    <w:rsid w:val="00AE178B"/>
    <w:rsid w:val="00AE3298"/>
    <w:rsid w:val="00AE5FE0"/>
    <w:rsid w:val="00AF208C"/>
    <w:rsid w:val="00AF4A54"/>
    <w:rsid w:val="00AF7BAF"/>
    <w:rsid w:val="00B0639D"/>
    <w:rsid w:val="00B20CD2"/>
    <w:rsid w:val="00B62CE4"/>
    <w:rsid w:val="00B938D6"/>
    <w:rsid w:val="00B9594D"/>
    <w:rsid w:val="00BA0F13"/>
    <w:rsid w:val="00BA7D68"/>
    <w:rsid w:val="00BE16C5"/>
    <w:rsid w:val="00BE35B7"/>
    <w:rsid w:val="00BF09D8"/>
    <w:rsid w:val="00BF0EE1"/>
    <w:rsid w:val="00BF0EF4"/>
    <w:rsid w:val="00C017D4"/>
    <w:rsid w:val="00C07CF0"/>
    <w:rsid w:val="00C374AB"/>
    <w:rsid w:val="00C524EF"/>
    <w:rsid w:val="00C54827"/>
    <w:rsid w:val="00C62C05"/>
    <w:rsid w:val="00C74D00"/>
    <w:rsid w:val="00C7687F"/>
    <w:rsid w:val="00C81334"/>
    <w:rsid w:val="00CA5273"/>
    <w:rsid w:val="00CB48FE"/>
    <w:rsid w:val="00CC2BE3"/>
    <w:rsid w:val="00CE4D0B"/>
    <w:rsid w:val="00D04D8B"/>
    <w:rsid w:val="00D07183"/>
    <w:rsid w:val="00D33277"/>
    <w:rsid w:val="00D3492E"/>
    <w:rsid w:val="00D35AB6"/>
    <w:rsid w:val="00D42406"/>
    <w:rsid w:val="00D4294A"/>
    <w:rsid w:val="00D54C48"/>
    <w:rsid w:val="00D67E72"/>
    <w:rsid w:val="00D71ECF"/>
    <w:rsid w:val="00D74022"/>
    <w:rsid w:val="00D840C0"/>
    <w:rsid w:val="00D90C8D"/>
    <w:rsid w:val="00DB2AF2"/>
    <w:rsid w:val="00DC7933"/>
    <w:rsid w:val="00DD21B7"/>
    <w:rsid w:val="00DF4B4E"/>
    <w:rsid w:val="00E0246A"/>
    <w:rsid w:val="00E05AD6"/>
    <w:rsid w:val="00E22105"/>
    <w:rsid w:val="00E43EF5"/>
    <w:rsid w:val="00E524B8"/>
    <w:rsid w:val="00E7185E"/>
    <w:rsid w:val="00E73C9A"/>
    <w:rsid w:val="00E75DD1"/>
    <w:rsid w:val="00E77372"/>
    <w:rsid w:val="00E80FF4"/>
    <w:rsid w:val="00E81880"/>
    <w:rsid w:val="00E84EC0"/>
    <w:rsid w:val="00EA38FA"/>
    <w:rsid w:val="00EA6B73"/>
    <w:rsid w:val="00EB1482"/>
    <w:rsid w:val="00EB42B9"/>
    <w:rsid w:val="00EB4B9F"/>
    <w:rsid w:val="00EC39DC"/>
    <w:rsid w:val="00ED24B0"/>
    <w:rsid w:val="00EF0596"/>
    <w:rsid w:val="00EF62DC"/>
    <w:rsid w:val="00F00CF9"/>
    <w:rsid w:val="00F132C9"/>
    <w:rsid w:val="00F17AB4"/>
    <w:rsid w:val="00F46FCE"/>
    <w:rsid w:val="00F53939"/>
    <w:rsid w:val="00F6364F"/>
    <w:rsid w:val="00F64088"/>
    <w:rsid w:val="00F65527"/>
    <w:rsid w:val="00F901BC"/>
    <w:rsid w:val="00F9076D"/>
    <w:rsid w:val="00F93622"/>
    <w:rsid w:val="00FA4C75"/>
    <w:rsid w:val="00FB0E7F"/>
    <w:rsid w:val="00FB12BB"/>
    <w:rsid w:val="00FB2265"/>
    <w:rsid w:val="00FC174F"/>
    <w:rsid w:val="00FD47C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2EB5FFB"/>
  <w15:chartTrackingRefBased/>
  <w15:docId w15:val="{251F904D-AC64-4EF4-8DCE-1D8C313E3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5D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8835DB"/>
    <w:pPr>
      <w:numPr>
        <w:numId w:val="1"/>
      </w:numPr>
      <w:outlineLvl w:val="0"/>
    </w:pPr>
    <w:rPr>
      <w:kern w:val="28"/>
    </w:rPr>
  </w:style>
  <w:style w:type="paragraph" w:styleId="Heading2">
    <w:name w:val="heading 2"/>
    <w:basedOn w:val="Normal"/>
    <w:next w:val="Normal"/>
    <w:link w:val="Heading2Char"/>
    <w:qFormat/>
    <w:rsid w:val="008835DB"/>
    <w:pPr>
      <w:numPr>
        <w:ilvl w:val="1"/>
        <w:numId w:val="1"/>
      </w:numPr>
      <w:outlineLvl w:val="1"/>
    </w:pPr>
  </w:style>
  <w:style w:type="paragraph" w:styleId="Heading3">
    <w:name w:val="heading 3"/>
    <w:basedOn w:val="Normal"/>
    <w:next w:val="Normal"/>
    <w:link w:val="Heading3Char"/>
    <w:qFormat/>
    <w:rsid w:val="008835DB"/>
    <w:pPr>
      <w:numPr>
        <w:ilvl w:val="2"/>
        <w:numId w:val="1"/>
      </w:numPr>
      <w:outlineLvl w:val="2"/>
    </w:pPr>
  </w:style>
  <w:style w:type="paragraph" w:styleId="Heading4">
    <w:name w:val="heading 4"/>
    <w:basedOn w:val="Normal"/>
    <w:next w:val="Normal"/>
    <w:link w:val="Heading4Char"/>
    <w:qFormat/>
    <w:rsid w:val="008835DB"/>
    <w:pPr>
      <w:numPr>
        <w:ilvl w:val="3"/>
        <w:numId w:val="1"/>
      </w:numPr>
      <w:outlineLvl w:val="3"/>
    </w:pPr>
  </w:style>
  <w:style w:type="paragraph" w:styleId="Heading5">
    <w:name w:val="heading 5"/>
    <w:basedOn w:val="Normal"/>
    <w:next w:val="Normal"/>
    <w:link w:val="Heading5Char"/>
    <w:qFormat/>
    <w:rsid w:val="008835DB"/>
    <w:pPr>
      <w:numPr>
        <w:ilvl w:val="4"/>
        <w:numId w:val="1"/>
      </w:numPr>
      <w:outlineLvl w:val="4"/>
    </w:pPr>
  </w:style>
  <w:style w:type="paragraph" w:styleId="Heading6">
    <w:name w:val="heading 6"/>
    <w:basedOn w:val="Normal"/>
    <w:next w:val="Normal"/>
    <w:link w:val="Heading6Char"/>
    <w:qFormat/>
    <w:rsid w:val="008835DB"/>
    <w:pPr>
      <w:numPr>
        <w:ilvl w:val="5"/>
        <w:numId w:val="1"/>
      </w:numPr>
      <w:outlineLvl w:val="5"/>
    </w:pPr>
  </w:style>
  <w:style w:type="paragraph" w:styleId="Heading7">
    <w:name w:val="heading 7"/>
    <w:basedOn w:val="Normal"/>
    <w:next w:val="Normal"/>
    <w:link w:val="Heading7Char"/>
    <w:qFormat/>
    <w:rsid w:val="008835DB"/>
    <w:pPr>
      <w:numPr>
        <w:ilvl w:val="6"/>
        <w:numId w:val="1"/>
      </w:numPr>
      <w:outlineLvl w:val="6"/>
    </w:pPr>
  </w:style>
  <w:style w:type="paragraph" w:styleId="Heading8">
    <w:name w:val="heading 8"/>
    <w:basedOn w:val="Normal"/>
    <w:next w:val="Normal"/>
    <w:link w:val="Heading8Char"/>
    <w:qFormat/>
    <w:rsid w:val="008835DB"/>
    <w:pPr>
      <w:numPr>
        <w:ilvl w:val="7"/>
        <w:numId w:val="1"/>
      </w:numPr>
      <w:outlineLvl w:val="7"/>
    </w:pPr>
  </w:style>
  <w:style w:type="paragraph" w:styleId="Heading9">
    <w:name w:val="heading 9"/>
    <w:basedOn w:val="Normal"/>
    <w:next w:val="Normal"/>
    <w:link w:val="Heading9Char"/>
    <w:qFormat/>
    <w:rsid w:val="008835DB"/>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5DB"/>
    <w:rPr>
      <w:rFonts w:ascii="Times New Roman" w:eastAsia="Times New Roman" w:hAnsi="Times New Roman" w:cs="Times New Roman"/>
      <w:kern w:val="28"/>
    </w:rPr>
  </w:style>
  <w:style w:type="character" w:customStyle="1" w:styleId="Heading2Char">
    <w:name w:val="Heading 2 Char"/>
    <w:basedOn w:val="DefaultParagraphFont"/>
    <w:link w:val="Heading2"/>
    <w:rsid w:val="008835DB"/>
    <w:rPr>
      <w:rFonts w:ascii="Times New Roman" w:eastAsia="Times New Roman" w:hAnsi="Times New Roman" w:cs="Times New Roman"/>
    </w:rPr>
  </w:style>
  <w:style w:type="character" w:customStyle="1" w:styleId="Heading3Char">
    <w:name w:val="Heading 3 Char"/>
    <w:basedOn w:val="DefaultParagraphFont"/>
    <w:link w:val="Heading3"/>
    <w:rsid w:val="008835DB"/>
    <w:rPr>
      <w:rFonts w:ascii="Times New Roman" w:eastAsia="Times New Roman" w:hAnsi="Times New Roman" w:cs="Times New Roman"/>
    </w:rPr>
  </w:style>
  <w:style w:type="character" w:customStyle="1" w:styleId="Heading4Char">
    <w:name w:val="Heading 4 Char"/>
    <w:basedOn w:val="DefaultParagraphFont"/>
    <w:link w:val="Heading4"/>
    <w:rsid w:val="008835DB"/>
    <w:rPr>
      <w:rFonts w:ascii="Times New Roman" w:eastAsia="Times New Roman" w:hAnsi="Times New Roman" w:cs="Times New Roman"/>
    </w:rPr>
  </w:style>
  <w:style w:type="character" w:customStyle="1" w:styleId="Heading5Char">
    <w:name w:val="Heading 5 Char"/>
    <w:basedOn w:val="DefaultParagraphFont"/>
    <w:link w:val="Heading5"/>
    <w:rsid w:val="008835DB"/>
    <w:rPr>
      <w:rFonts w:ascii="Times New Roman" w:eastAsia="Times New Roman" w:hAnsi="Times New Roman" w:cs="Times New Roman"/>
    </w:rPr>
  </w:style>
  <w:style w:type="character" w:customStyle="1" w:styleId="Heading6Char">
    <w:name w:val="Heading 6 Char"/>
    <w:basedOn w:val="DefaultParagraphFont"/>
    <w:link w:val="Heading6"/>
    <w:rsid w:val="008835DB"/>
    <w:rPr>
      <w:rFonts w:ascii="Times New Roman" w:eastAsia="Times New Roman" w:hAnsi="Times New Roman" w:cs="Times New Roman"/>
    </w:rPr>
  </w:style>
  <w:style w:type="character" w:customStyle="1" w:styleId="Heading7Char">
    <w:name w:val="Heading 7 Char"/>
    <w:basedOn w:val="DefaultParagraphFont"/>
    <w:link w:val="Heading7"/>
    <w:rsid w:val="008835DB"/>
    <w:rPr>
      <w:rFonts w:ascii="Times New Roman" w:eastAsia="Times New Roman" w:hAnsi="Times New Roman" w:cs="Times New Roman"/>
    </w:rPr>
  </w:style>
  <w:style w:type="character" w:customStyle="1" w:styleId="Heading8Char">
    <w:name w:val="Heading 8 Char"/>
    <w:basedOn w:val="DefaultParagraphFont"/>
    <w:link w:val="Heading8"/>
    <w:rsid w:val="008835DB"/>
    <w:rPr>
      <w:rFonts w:ascii="Times New Roman" w:eastAsia="Times New Roman" w:hAnsi="Times New Roman" w:cs="Times New Roman"/>
    </w:rPr>
  </w:style>
  <w:style w:type="character" w:customStyle="1" w:styleId="Heading9Char">
    <w:name w:val="Heading 9 Char"/>
    <w:basedOn w:val="DefaultParagraphFont"/>
    <w:link w:val="Heading9"/>
    <w:rsid w:val="008835DB"/>
    <w:rPr>
      <w:rFonts w:ascii="Times New Roman" w:eastAsia="Times New Roman" w:hAnsi="Times New Roman" w:cs="Times New Roman"/>
    </w:rPr>
  </w:style>
  <w:style w:type="paragraph" w:styleId="Footer">
    <w:name w:val="footer"/>
    <w:basedOn w:val="Normal"/>
    <w:link w:val="FooterChar"/>
    <w:qFormat/>
    <w:rsid w:val="008835DB"/>
  </w:style>
  <w:style w:type="character" w:customStyle="1" w:styleId="FooterChar">
    <w:name w:val="Footer Char"/>
    <w:basedOn w:val="DefaultParagraphFont"/>
    <w:link w:val="Footer"/>
    <w:rsid w:val="008835DB"/>
    <w:rPr>
      <w:rFonts w:ascii="Times New Roman" w:eastAsia="Times New Roman" w:hAnsi="Times New Roman" w:cs="Times New Roman"/>
    </w:rPr>
  </w:style>
  <w:style w:type="paragraph" w:styleId="FootnoteText">
    <w:name w:val="footnote text"/>
    <w:basedOn w:val="Normal"/>
    <w:link w:val="FootnoteTextChar"/>
    <w:qFormat/>
    <w:rsid w:val="008835DB"/>
    <w:pPr>
      <w:keepLines/>
      <w:spacing w:after="60" w:line="240" w:lineRule="auto"/>
      <w:ind w:left="567" w:hanging="567"/>
    </w:pPr>
    <w:rPr>
      <w:sz w:val="16"/>
    </w:rPr>
  </w:style>
  <w:style w:type="character" w:customStyle="1" w:styleId="FootnoteTextChar">
    <w:name w:val="Footnote Text Char"/>
    <w:basedOn w:val="DefaultParagraphFont"/>
    <w:link w:val="FootnoteText"/>
    <w:rsid w:val="008835DB"/>
    <w:rPr>
      <w:rFonts w:ascii="Times New Roman" w:eastAsia="Times New Roman" w:hAnsi="Times New Roman" w:cs="Times New Roman"/>
      <w:sz w:val="16"/>
    </w:rPr>
  </w:style>
  <w:style w:type="paragraph" w:styleId="Header">
    <w:name w:val="header"/>
    <w:basedOn w:val="Normal"/>
    <w:link w:val="HeaderChar"/>
    <w:qFormat/>
    <w:rsid w:val="008835DB"/>
  </w:style>
  <w:style w:type="character" w:customStyle="1" w:styleId="HeaderChar">
    <w:name w:val="Header Char"/>
    <w:basedOn w:val="DefaultParagraphFont"/>
    <w:link w:val="Header"/>
    <w:rsid w:val="008835DB"/>
    <w:rPr>
      <w:rFonts w:ascii="Times New Roman" w:eastAsia="Times New Roman" w:hAnsi="Times New Roman" w:cs="Times New Roman"/>
    </w:rPr>
  </w:style>
  <w:style w:type="character" w:styleId="Hyperlink">
    <w:name w:val="Hyperlink"/>
    <w:basedOn w:val="DefaultParagraphFont"/>
    <w:uiPriority w:val="99"/>
    <w:rsid w:val="008835DB"/>
    <w:rPr>
      <w:color w:val="0000FF"/>
      <w:u w:val="single"/>
    </w:rPr>
  </w:style>
  <w:style w:type="character" w:styleId="FootnoteReference">
    <w:name w:val="footnote reference"/>
    <w:basedOn w:val="DefaultParagraphFont"/>
    <w:uiPriority w:val="99"/>
    <w:unhideWhenUsed/>
    <w:qFormat/>
    <w:rsid w:val="008835DB"/>
    <w:rPr>
      <w:sz w:val="24"/>
      <w:vertAlign w:val="superscript"/>
    </w:rPr>
  </w:style>
  <w:style w:type="paragraph" w:styleId="ListParagraph">
    <w:name w:val="List Paragraph"/>
    <w:basedOn w:val="Normal"/>
    <w:uiPriority w:val="34"/>
    <w:qFormat/>
    <w:rsid w:val="008835DB"/>
    <w:pPr>
      <w:ind w:left="720"/>
      <w:contextualSpacing/>
    </w:pPr>
  </w:style>
  <w:style w:type="character" w:styleId="CommentReference">
    <w:name w:val="annotation reference"/>
    <w:basedOn w:val="DefaultParagraphFont"/>
    <w:uiPriority w:val="99"/>
    <w:semiHidden/>
    <w:unhideWhenUsed/>
    <w:rsid w:val="00DC7933"/>
    <w:rPr>
      <w:sz w:val="16"/>
      <w:szCs w:val="16"/>
    </w:rPr>
  </w:style>
  <w:style w:type="paragraph" w:styleId="CommentText">
    <w:name w:val="annotation text"/>
    <w:basedOn w:val="Normal"/>
    <w:link w:val="CommentTextChar"/>
    <w:uiPriority w:val="99"/>
    <w:semiHidden/>
    <w:unhideWhenUsed/>
    <w:rsid w:val="00DC7933"/>
    <w:pPr>
      <w:spacing w:line="240" w:lineRule="auto"/>
    </w:pPr>
    <w:rPr>
      <w:sz w:val="20"/>
      <w:szCs w:val="20"/>
    </w:rPr>
  </w:style>
  <w:style w:type="character" w:customStyle="1" w:styleId="CommentTextChar">
    <w:name w:val="Comment Text Char"/>
    <w:basedOn w:val="DefaultParagraphFont"/>
    <w:link w:val="CommentText"/>
    <w:uiPriority w:val="99"/>
    <w:semiHidden/>
    <w:rsid w:val="00DC793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C7933"/>
    <w:rPr>
      <w:b/>
      <w:bCs/>
    </w:rPr>
  </w:style>
  <w:style w:type="character" w:customStyle="1" w:styleId="CommentSubjectChar">
    <w:name w:val="Comment Subject Char"/>
    <w:basedOn w:val="CommentTextChar"/>
    <w:link w:val="CommentSubject"/>
    <w:uiPriority w:val="99"/>
    <w:semiHidden/>
    <w:rsid w:val="00DC793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6344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4D"/>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D67E72"/>
    <w:rPr>
      <w:color w:val="605E5C"/>
      <w:shd w:val="clear" w:color="auto" w:fill="E1DFDD"/>
    </w:rPr>
  </w:style>
  <w:style w:type="character" w:styleId="FollowedHyperlink">
    <w:name w:val="FollowedHyperlink"/>
    <w:basedOn w:val="DefaultParagraphFont"/>
    <w:uiPriority w:val="99"/>
    <w:semiHidden/>
    <w:unhideWhenUsed/>
    <w:rsid w:val="001875D0"/>
    <w:rPr>
      <w:color w:val="954F72" w:themeColor="followedHyperlink"/>
      <w:u w:val="single"/>
    </w:rPr>
  </w:style>
  <w:style w:type="character" w:customStyle="1" w:styleId="UnresolvedMention2">
    <w:name w:val="Unresolved Mention2"/>
    <w:basedOn w:val="DefaultParagraphFont"/>
    <w:uiPriority w:val="99"/>
    <w:semiHidden/>
    <w:unhideWhenUsed/>
    <w:rsid w:val="00FA4C75"/>
    <w:rPr>
      <w:color w:val="605E5C"/>
      <w:shd w:val="clear" w:color="auto" w:fill="E1DFDD"/>
    </w:rPr>
  </w:style>
  <w:style w:type="character" w:customStyle="1" w:styleId="UnresolvedMention3">
    <w:name w:val="Unresolved Mention3"/>
    <w:basedOn w:val="DefaultParagraphFont"/>
    <w:uiPriority w:val="99"/>
    <w:semiHidden/>
    <w:unhideWhenUsed/>
    <w:rsid w:val="003F0E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ECO@eesc.europa.eu" TargetMode="External"/><Relationship Id="rId17" Type="http://schemas.openxmlformats.org/officeDocument/2006/relationships/header" Target="header3.xml"/><Relationship Id="rId25" Type="http://schemas.openxmlformats.org/officeDocument/2006/relationships/fontTable" Target="fontTable.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customXml" Target="../customXml/item3.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header" Target="header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customXml" Target="../customXml/item1.xml"/><Relationship Id="rId30"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RO/TXT/?uri=CELEX%3A52017DC0534&amp;qid=1712761343224" TargetMode="External"/><Relationship Id="rId13" Type="http://schemas.openxmlformats.org/officeDocument/2006/relationships/hyperlink" Target="https://eur-lex.europa.eu/legal-content/RO/TXT/?uri=CELEX%3A52018AE2790&amp;qid=1712761478895" TargetMode="External"/><Relationship Id="rId3" Type="http://schemas.openxmlformats.org/officeDocument/2006/relationships/hyperlink" Target="https://eur-lex.europa.eu/legal-content/RO/TXT/?uri=CELEX%3A52018PC0373&amp;qid=1712760942316" TargetMode="External"/><Relationship Id="rId7" Type="http://schemas.openxmlformats.org/officeDocument/2006/relationships/hyperlink" Target="http://ec.europa.eu/regional_policy/en/policy/cooperation/european-territorial/cross-border/review/" TargetMode="External"/><Relationship Id="rId12" Type="http://schemas.openxmlformats.org/officeDocument/2006/relationships/hyperlink" Target="https://eur-lex.europa.eu/legal-content/RO/TXT/?uri=CELEX%3A52018AE2790&amp;qid=1712761478895" TargetMode="External"/><Relationship Id="rId2" Type="http://schemas.openxmlformats.org/officeDocument/2006/relationships/hyperlink" Target="https://www.europarl.europa.eu/thinktank/ro/document/EPRS_STU(2023)740233" TargetMode="External"/><Relationship Id="rId1" Type="http://schemas.openxmlformats.org/officeDocument/2006/relationships/hyperlink" Target="https://amenagement-territoire.public.lu/fr/eu-presidency/Informal-Ministerial-Meetings-on-Territorial-Cohesion-and-Urban-Policy-_26-27-November-2015_-Luxembourg-City_.html" TargetMode="External"/><Relationship Id="rId6" Type="http://schemas.openxmlformats.org/officeDocument/2006/relationships/hyperlink" Target="https://www.consilium.europa.eu/ro/policies/schengen-area/" TargetMode="External"/><Relationship Id="rId11" Type="http://schemas.openxmlformats.org/officeDocument/2006/relationships/hyperlink" Target="https://data.consilium.europa.eu/doc/document/ST-6009-2020-INIT/ro/pdf" TargetMode="External"/><Relationship Id="rId5" Type="http://schemas.openxmlformats.org/officeDocument/2006/relationships/hyperlink" Target="https://eur-lex.europa.eu/legal-content/RO/TXT/?uri=CELEX%3A52017DC0534&amp;qid=1712761343224" TargetMode="External"/><Relationship Id="rId10" Type="http://schemas.openxmlformats.org/officeDocument/2006/relationships/hyperlink" Target="https://eur-lex.europa.eu/legal-content/RO/TXT/?uri=CELEX%3A52023PC0790&amp;qid=1712762602201" TargetMode="External"/><Relationship Id="rId4" Type="http://schemas.openxmlformats.org/officeDocument/2006/relationships/hyperlink" Target="https://eur-lex.europa.eu/legal-content/RO/TXT/?uri=CELEX%3A52023PC0790&amp;qid=1712761160232" TargetMode="External"/><Relationship Id="rId9" Type="http://schemas.openxmlformats.org/officeDocument/2006/relationships/hyperlink" Target="https://eur-lex.europa.eu/legal-content/RO/TXT/?uri=CELEX%3A52018AE2790&amp;qid=17127614788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F7M6YNZUATRX-416430479-7464</_dlc_DocId>
    <_dlc_DocIdUrl xmlns="59ace41b-6786-4ce3-be71-52c27066c6ef">
      <Url>http://dm/eesc/2024/_layouts/15/DocIdRedir.aspx?ID=F7M6YNZUATRX-416430479-7464</Url>
      <Description>F7M6YNZUATRX-416430479-7464</Description>
    </_dlc_DocIdUrl>
    <Procedure xmlns="59ace41b-6786-4ce3-be71-52c27066c6ef">2018/0198(COD)</Procedure>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2024-04-15T12:00:00+00:00</ProductionDate>
    <DocumentNumber xmlns="1178e5e2-058a-41a1-9851-331c7b3fffb8">120</DocumentNumber>
    <FicheYear xmlns="59ace41b-6786-4ce3-be71-52c27066c6ef" xsi:nil="true"/>
    <DossierNumber xmlns="59ace41b-6786-4ce3-be71-52c27066c6ef">637</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2024-04-24T12:00:00+00:00</MeetingDate>
    <TaxCatchAll xmlns="59ace41b-6786-4ce3-be71-52c27066c6ef">
      <Value>43</Value>
      <Value>66</Value>
      <Value>132</Value>
      <Value>37</Value>
      <Value>36</Value>
      <Value>35</Value>
      <Value>34</Value>
      <Value>33</Value>
      <Value>32</Value>
      <Value>31</Value>
      <Value>30</Value>
      <Value>29</Value>
      <Value>28</Value>
      <Value>27</Value>
      <Value>26</Value>
      <Value>25</Value>
      <Value>24</Value>
      <Value>23</Value>
      <Value>22</Value>
      <Value>21</Value>
      <Value>18</Value>
      <Value>17</Value>
      <Value>16</Value>
      <Value>14</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feb747a2-64cd-4299-af12-4833ddc30497</TermId>
        </TermInfo>
      </Terms>
    </DocumentLanguage_0>
    <Rapporteur xmlns="59ace41b-6786-4ce3-be71-52c27066c6ef">IOANNIDIS</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59ace41b-6786-4ce3-be71-52c27066c6ef">2024</DocumentYear>
    <FicheNumber xmlns="59ace41b-6786-4ce3-be71-52c27066c6ef">4063</FicheNumber>
    <OriginalSender xmlns="59ace41b-6786-4ce3-be71-52c27066c6ef">
      <UserInfo>
        <DisplayName>Greff Daniela</DisplayName>
        <AccountId>1553</AccountId>
        <AccountType/>
      </UserInfo>
    </OriginalSender>
    <DocumentPart xmlns="59ace41b-6786-4ce3-be71-52c27066c6ef">0</DocumentPart>
    <AdoptionDate xmlns="59ace41b-6786-4ce3-be71-52c27066c6ef" xsi:nil="true"/>
    <RequestingService xmlns="59ace41b-6786-4ce3-be71-52c27066c6ef">Union économique et monétaire et cohésion économique et sociale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178e5e2-058a-41a1-9851-331c7b3fffb8">587</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ECO</TermName>
          <TermId xmlns="http://schemas.microsoft.com/office/infopath/2007/PartnerControls">8df351f5-c957-404c-8cf3-8ffb22c9cba2</TermId>
        </TermInfo>
      </Terms>
    </DossierName_0>
    <DocumentVersion xmlns="59ace41b-6786-4ce3-be71-52c27066c6ef">0</DocumentVersion>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E20A70424F8EF14D84929FAE9E34774B" ma:contentTypeVersion="4" ma:contentTypeDescription="Defines the documents for Document Manager V2" ma:contentTypeScope="" ma:versionID="3c88e340e370a402dfed352137800822">
  <xsd:schema xmlns:xsd="http://www.w3.org/2001/XMLSchema" xmlns:xs="http://www.w3.org/2001/XMLSchema" xmlns:p="http://schemas.microsoft.com/office/2006/metadata/properties" xmlns:ns2="59ace41b-6786-4ce3-be71-52c27066c6ef" xmlns:ns3="http://schemas.microsoft.com/sharepoint/v3/fields" xmlns:ns4="1178e5e2-058a-41a1-9851-331c7b3fffb8" targetNamespace="http://schemas.microsoft.com/office/2006/metadata/properties" ma:root="true" ma:fieldsID="cff03e2a422031f7afb63180aa455c21" ns2:_="" ns3:_="" ns4:_="">
    <xsd:import namespace="59ace41b-6786-4ce3-be71-52c27066c6ef"/>
    <xsd:import namespace="http://schemas.microsoft.com/sharepoint/v3/fields"/>
    <xsd:import namespace="1178e5e2-058a-41a1-9851-331c7b3fffb8"/>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78e5e2-058a-41a1-9851-331c7b3fffb8"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B760C1-FCA7-44FF-A1D5-D98DB1236356}"/>
</file>

<file path=customXml/itemProps2.xml><?xml version="1.0" encoding="utf-8"?>
<ds:datastoreItem xmlns:ds="http://schemas.openxmlformats.org/officeDocument/2006/customXml" ds:itemID="{655C1445-3EF8-42C6-A592-F3DC69CBCDDF}"/>
</file>

<file path=customXml/itemProps3.xml><?xml version="1.0" encoding="utf-8"?>
<ds:datastoreItem xmlns:ds="http://schemas.openxmlformats.org/officeDocument/2006/customXml" ds:itemID="{20692CB3-80CC-439F-993D-EB389CC94F1C}"/>
</file>

<file path=customXml/itemProps4.xml><?xml version="1.0" encoding="utf-8"?>
<ds:datastoreItem xmlns:ds="http://schemas.openxmlformats.org/officeDocument/2006/customXml" ds:itemID="{7246383E-1601-4656-9052-BD41521BBCB0}"/>
</file>

<file path=docProps/app.xml><?xml version="1.0" encoding="utf-8"?>
<Properties xmlns="http://schemas.openxmlformats.org/officeDocument/2006/extended-properties" xmlns:vt="http://schemas.openxmlformats.org/officeDocument/2006/docPropsVTypes">
  <Template>Normal.dotm</Template>
  <TotalTime>0</TotalTime>
  <Pages>9</Pages>
  <Words>2830</Words>
  <Characters>16135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Facilitating cross-border solutions</vt:lpstr>
    </vt:vector>
  </TitlesOfParts>
  <Company/>
  <LinksUpToDate>false</LinksUpToDate>
  <CharactersWithSpaces>18928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Facilitarea soluțiilor transfrontaliere</dc:title>
  <dc:subject>AS</dc:subject>
  <dc:creator/>
  <cp:keywords>EESC-2024-00120-00-00-AS-TRA-EN</cp:keywords>
  <dc:description>Rapporteur: IOANNIDIS - Original language: EN - Date of document: 15/04/2024 - Date of meeting: 30/24/2024 14:30 - External documents: COM(2023)790- final - Administrator:  MELEAS Georgios</dc:description>
  <cp:lastModifiedBy/>
  <cp:revision>6</cp:revision>
  <dcterms:created xsi:type="dcterms:W3CDTF">2024-04-15T10:29:00Z</dcterms:created>
  <dcterms:modified xsi:type="dcterms:W3CDTF">2024-04-15T10:30:00Z</dcterms:modified>
  <cp:category>ECO/637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11/04/2024, 21/03/2024, 26/02/2024, 29/01/2024</vt:lpwstr>
  </property>
  <property fmtid="{D5CDD505-2E9C-101B-9397-08002B2CF9AE}" pid="4" name="Pref_Time">
    <vt:lpwstr>11:21:59, 11:17:46, 17:23:14, 14:09:27</vt:lpwstr>
  </property>
  <property fmtid="{D5CDD505-2E9C-101B-9397-08002B2CF9AE}" pid="5" name="Pref_User">
    <vt:lpwstr>jhvi, amett, pacup, enied</vt:lpwstr>
  </property>
  <property fmtid="{D5CDD505-2E9C-101B-9397-08002B2CF9AE}" pid="6" name="Pref_FileName">
    <vt:lpwstr>EESC-2024-00120-00-00-AS-TRA-EN-CRR.docx, EESC-2024-00120-00-00-PA-ORI.docx, EESC-2024-00120-00-00-APA-TRA-EL-CRR.docx, EESC-2024-00120-00-00-DT-TRA-EL-CRR.docx</vt:lpwstr>
  </property>
  <property fmtid="{D5CDD505-2E9C-101B-9397-08002B2CF9AE}" pid="7" name="ContentTypeId">
    <vt:lpwstr>0x010100EA97B91038054C99906057A708A1480A00E20A70424F8EF14D84929FAE9E34774B</vt:lpwstr>
  </property>
  <property fmtid="{D5CDD505-2E9C-101B-9397-08002B2CF9AE}" pid="8" name="_dlc_DocIdItemGuid">
    <vt:lpwstr>1cc70af1-8b4b-48f6-896d-63337dc94516</vt:lpwstr>
  </property>
  <property fmtid="{D5CDD505-2E9C-101B-9397-08002B2CF9AE}" pid="9" name="Procedure">
    <vt:lpwstr>2018/0198(COD)</vt:lpwstr>
  </property>
  <property fmtid="{D5CDD505-2E9C-101B-9397-08002B2CF9AE}" pid="10" name="AvailableTranslations">
    <vt:lpwstr>34;#LT|a7ff5ce7-6123-4f68-865a-a57c31810414;#17;#PL|1e03da61-4678-4e07-b136-b5024ca9197b;#18;#GA|762d2456-c427-4ecb-b312-af3dad8e258c;#29;#EL|6d4f4d51-af9b-4650-94b4-4276bee85c91;#27;#SL|98a412ae-eb01-49e9-ae3d-585a81724cfc;#43;#CS|72f9705b-0217-4fd3-bea2-cbc7ed80e26e;#32;#HU|6b229040-c589-4408-b4c1-4285663d20a8;#37;#RO|feb747a2-64cd-4299-af12-4833ddc30497;#30;#HR|2f555653-ed1a-4fe6-8362-9082d95989e5;#22;#BG|1a1b3951-7821-4e6a-85f5-5673fc08bd2c;#35;#FI|87606a43-d45f-42d6-b8c9-e1a3457db5b7;#21;#SV|c2ed69e7-a339-43d7-8f22-d93680a92aa0;#25;#DE|f6b31e5a-26fa-4935-b661-318e46daf27e;#28;#LV|46f7e311-5d9f-4663-b433-18aeccb7ace7;#16;#DA|5d49c027-8956-412b-aa16-e85a0f96ad0e;#14;#FR|d2afafd3-4c81-4f60-8f52-ee33f2f54ff3;#5;#EN|f2175f21-25d7-44a3-96da-d6a61b075e1b;#12;#IT|0774613c-01ed-4e5d-a25d-11d2388de825;#24;#ES|e7a6b05b-ae16-40c8-add9-68b64b03aeba;#26;#SK|46d9fce0-ef79-4f71-b89b-cd6aa82426b8;#23;#MT|7df99101-6854-4a26-b53a-b88c0da02c26;#36;#PT|50ccc04a-eadd-42ae-a0cb-acaf45f812ba;#31;#NL|55c6556c-b4f4-441d-9acf-c498d4f838bd;#33;#ET|ff6c3f4c-b02c-4c3c-ab07-2c37995a7a0a</vt:lpwstr>
  </property>
  <property fmtid="{D5CDD505-2E9C-101B-9397-08002B2CF9AE}" pid="11" name="DocumentType_0">
    <vt:lpwstr>AS|c7a748eb-f6f2-4d9d-8b5a-af0cafebc224</vt:lpwstr>
  </property>
  <property fmtid="{D5CDD505-2E9C-101B-9397-08002B2CF9AE}" pid="12" name="MeetingNumber">
    <vt:i4>587</vt:i4>
  </property>
  <property fmtid="{D5CDD505-2E9C-101B-9397-08002B2CF9AE}" pid="13" name="DossierName_0">
    <vt:lpwstr>ECO|8df351f5-c957-404c-8cf3-8ffb22c9cba2</vt:lpwstr>
  </property>
  <property fmtid="{D5CDD505-2E9C-101B-9397-08002B2CF9AE}" pid="14" name="DocumentSource_0">
    <vt:lpwstr>EESC|422833ec-8d7e-4e65-8e4e-8bed07ffb729</vt:lpwstr>
  </property>
  <property fmtid="{D5CDD505-2E9C-101B-9397-08002B2CF9AE}" pid="15" name="DocumentNumber">
    <vt:i4>120</vt:i4>
  </property>
  <property fmtid="{D5CDD505-2E9C-101B-9397-08002B2CF9AE}" pid="16" name="DocumentVersion">
    <vt:i4>0</vt:i4>
  </property>
  <property fmtid="{D5CDD505-2E9C-101B-9397-08002B2CF9AE}" pid="17" name="DossierNumber">
    <vt:i4>637</vt:i4>
  </property>
  <property fmtid="{D5CDD505-2E9C-101B-9397-08002B2CF9AE}" pid="18" name="DocumentStatus">
    <vt:lpwstr>3;#TRA|150d2a88-1431-44e6-a8ca-0bb753ab8672</vt:lpwstr>
  </property>
  <property fmtid="{D5CDD505-2E9C-101B-9397-08002B2CF9AE}" pid="19" name="DossierName">
    <vt:lpwstr>66;#ECO|8df351f5-c957-404c-8cf3-8ffb22c9cba2</vt:lpwstr>
  </property>
  <property fmtid="{D5CDD505-2E9C-101B-9397-08002B2CF9AE}" pid="20" name="RequestingService">
    <vt:lpwstr>Union économique et monétaire et cohésion économique et sociale</vt:lpwstr>
  </property>
  <property fmtid="{D5CDD505-2E9C-101B-9397-08002B2CF9AE}" pid="21" name="Confidentiality">
    <vt:lpwstr>6;#Unrestricted|826e22d7-d029-4ec0-a450-0c28ff673572</vt:lpwstr>
  </property>
  <property fmtid="{D5CDD505-2E9C-101B-9397-08002B2CF9AE}" pid="22" name="MeetingName_0">
    <vt:lpwstr>SPL-CES|32d8cb1f-c9ec-4365-95c7-8385a18618ac</vt:lpwstr>
  </property>
  <property fmtid="{D5CDD505-2E9C-101B-9397-08002B2CF9AE}" pid="23" name="Confidentiality_0">
    <vt:lpwstr>Unrestricted|826e22d7-d029-4ec0-a450-0c28ff673572</vt:lpwstr>
  </property>
  <property fmtid="{D5CDD505-2E9C-101B-9397-08002B2CF9AE}" pid="24" name="OriginalLanguage">
    <vt:lpwstr>5;#EN|f2175f21-25d7-44a3-96da-d6a61b075e1b</vt:lpwstr>
  </property>
  <property fmtid="{D5CDD505-2E9C-101B-9397-08002B2CF9AE}" pid="25" name="MeetingName">
    <vt:lpwstr>7;#SPL-CES|32d8cb1f-c9ec-4365-95c7-8385a18618ac</vt:lpwstr>
  </property>
  <property fmtid="{D5CDD505-2E9C-101B-9397-08002B2CF9AE}" pid="26" name="MeetingDate">
    <vt:filetime>2024-04-24T12:00:00Z</vt:filetime>
  </property>
  <property fmtid="{D5CDD505-2E9C-101B-9397-08002B2CF9AE}" pid="27" name="AvailableTranslations_0">
    <vt:lpwstr>LT|a7ff5ce7-6123-4f68-865a-a57c31810414;PL|1e03da61-4678-4e07-b136-b5024ca9197b;GA|762d2456-c427-4ecb-b312-af3dad8e258c;EL|6d4f4d51-af9b-4650-94b4-4276bee85c91;SL|98a412ae-eb01-49e9-ae3d-585a81724cfc;CS|72f9705b-0217-4fd3-bea2-cbc7ed80e26e;HU|6b229040-c589-4408-b4c1-4285663d20a8;HR|2f555653-ed1a-4fe6-8362-9082d95989e5;BG|1a1b3951-7821-4e6a-85f5-5673fc08bd2c;FI|87606a43-d45f-42d6-b8c9-e1a3457db5b7;SV|c2ed69e7-a339-43d7-8f22-d93680a92aa0;DE|f6b31e5a-26fa-4935-b661-318e46daf27e;LV|46f7e311-5d9f-4663-b433-18aeccb7ace7;DA|5d49c027-8956-412b-aa16-e85a0f96ad0e;FR|d2afafd3-4c81-4f60-8f52-ee33f2f54ff3;EN|f2175f21-25d7-44a3-96da-d6a61b075e1b;IT|0774613c-01ed-4e5d-a25d-11d2388de825;ES|e7a6b05b-ae16-40c8-add9-68b64b03aeba;SK|46d9fce0-ef79-4f71-b89b-cd6aa82426b8;MT|7df99101-6854-4a26-b53a-b88c0da02c26;PT|50ccc04a-eadd-42ae-a0cb-acaf45f812ba;NL|55c6556c-b4f4-441d-9acf-c498d4f838bd;ET|ff6c3f4c-b02c-4c3c-ab07-2c37995a7a0a</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43;#CS|72f9705b-0217-4fd3-bea2-cbc7ed80e26e;#66;#ECO|8df351f5-c957-404c-8cf3-8ffb22c9cba2;#132;#AS|c7a748eb-f6f2-4d9d-8b5a-af0cafebc224;#36;#PT|50ccc04a-eadd-42ae-a0cb-acaf45f812ba;#35;#FI|87606a43-d45f-42d6-b8c9-e1a3457db5b7;#34;#LT|a7ff5ce7-6123-4f68-865a-a57c31810414;#33;#ET|ff6c3f4c-b02c-4c3c-ab07-2c37995a7a0a;#32;#HU|6b229040-c589-4408-b4c1-4285663d20a8;#31;#NL|55c6556c-b4f4-441d-9acf-c498d4f838bd;#30;#HR|2f555653-ed1a-4fe6-8362-9082d95989e5;#29;#EL|6d4f4d51-af9b-4650-94b4-4276bee85c91;#28;#LV|46f7e311-5d9f-4663-b433-18aeccb7ace7;#27;#SL|98a412ae-eb01-49e9-ae3d-585a81724cfc;#26;#SK|46d9fce0-ef79-4f71-b89b-cd6aa82426b8;#25;#DE|f6b31e5a-26fa-4935-b661-318e46daf27e;#24;#ES|e7a6b05b-ae16-40c8-add9-68b64b03aeba;#23;#MT|7df99101-6854-4a26-b53a-b88c0da02c26;#22;#BG|1a1b3951-7821-4e6a-85f5-5673fc08bd2c;#21;#SV|c2ed69e7-a339-43d7-8f22-d93680a92aa0;#18;#GA|762d2456-c427-4ecb-b312-af3dad8e258c;#17;#PL|1e03da61-4678-4e07-b136-b5024ca9197b;#16;#DA|5d49c027-8956-412b-aa16-e85a0f96ad0e;#14;#FR|d2afafd3-4c81-4f60-8f52-ee33f2f54ff3;#12;#IT|0774613c-01ed-4e5d-a25d-11d2388de825;#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31" name="Rapporteur">
    <vt:lpwstr>IOANNIDIS</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2024</vt:i4>
  </property>
  <property fmtid="{D5CDD505-2E9C-101B-9397-08002B2CF9AE}" pid="35" name="FicheNumber">
    <vt:i4>4063</vt:i4>
  </property>
  <property fmtid="{D5CDD505-2E9C-101B-9397-08002B2CF9AE}" pid="36" name="DocumentPart">
    <vt:i4>0</vt:i4>
  </property>
  <property fmtid="{D5CDD505-2E9C-101B-9397-08002B2CF9AE}" pid="37" name="DocumentSource">
    <vt:lpwstr>1;#EESC|422833ec-8d7e-4e65-8e4e-8bed07ffb729</vt:lpwstr>
  </property>
  <property fmtid="{D5CDD505-2E9C-101B-9397-08002B2CF9AE}" pid="39" name="DocumentType">
    <vt:lpwstr>132;#AS|c7a748eb-f6f2-4d9d-8b5a-af0cafebc224</vt:lpwstr>
  </property>
  <property fmtid="{D5CDD505-2E9C-101B-9397-08002B2CF9AE}" pid="40" name="DocumentLanguage">
    <vt:lpwstr>37;#RO|feb747a2-64cd-4299-af12-4833ddc30497</vt:lpwstr>
  </property>
  <property name="OP_sanitized" fmtid="{D5CDD505-2E9C-101B-9397-08002B2CF9AE}" pid="40">
    <vt:lpwstr>True</vt:lpwstr>
  </property>
</Properties>
</file>