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3F5269" w14:textId="599EE3B2" w:rsidR="00646AC2" w:rsidRPr="001325F5" w:rsidRDefault="00646BDF" w:rsidP="008C74D9">
      <w:pPr>
        <w:jc w:val="center"/>
      </w:pPr>
      <w:r>
        <w:rPr>
          <w:noProof/>
          <w:lang w:val="en-US" w:bidi="ar-SA"/>
        </w:rPr>
        <w:drawing>
          <wp:inline distT="0" distB="0" distL="0" distR="0" wp14:anchorId="37A2055C" wp14:editId="26B1679E">
            <wp:extent cx="1792605" cy="1239520"/>
            <wp:effectExtent l="0" t="0" r="0" b="0"/>
            <wp:docPr id="1" name="Picture 1" title="EESCLogo_RO"/>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8C74D9">
        <w:rPr>
          <w:b/>
          <w:noProof/>
          <w:sz w:val="20"/>
          <w:lang w:val="en-US" w:bidi="ar-SA"/>
        </w:rPr>
        <mc:AlternateContent>
          <mc:Choice Requires="wps">
            <w:drawing>
              <wp:anchor distT="0" distB="0" distL="114300" distR="114300" simplePos="0" relativeHeight="251658240" behindDoc="1" locked="0" layoutInCell="0" allowOverlap="1" wp14:anchorId="235A8578" wp14:editId="3F921927">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0FFCB" w14:textId="77777777" w:rsidR="003E78DA" w:rsidRPr="00260E65" w:rsidRDefault="003E78DA">
                            <w:pPr>
                              <w:jc w:val="center"/>
                              <w:rPr>
                                <w:rFonts w:ascii="Arial" w:hAnsi="Arial" w:cs="Arial"/>
                                <w:b/>
                                <w:bCs/>
                                <w:sz w:val="48"/>
                              </w:rPr>
                            </w:pPr>
                            <w:r>
                              <w:rPr>
                                <w:rFonts w:ascii="Arial" w:hAnsi="Arial"/>
                                <w:b/>
                                <w:bCs/>
                                <w:sz w:val="48"/>
                              </w:rPr>
                              <w:t>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235A8578">
                <v:stroke joinstyle="miter"/>
                <v:path gradientshapeok="t" o:connecttype="rect"/>
              </v:shapetype>
              <v:shape id="Text Box 17" style="position:absolute;left:0;text-align:left;margin-left:533pt;margin-top:793.8pt;width:51pt;height:3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3E78DA" w:rsidRDefault="003E78DA" w14:paraId="5C50FFCB" w14:textId="77777777">
                      <w:pPr>
                        <w:jc w:val="center"/>
                        <w:rPr>
                          <w:rFonts w:ascii="Arial" w:hAnsi="Arial" w:cs="Arial"/>
                          <w:b/>
                          <w:bCs/>
                          <w:sz w:val="48"/>
                        </w:rPr>
                      </w:pPr>
                      <w:r>
                        <w:rPr>
                          <w:rFonts w:ascii="Arial" w:hAnsi="Arial"/>
                          <w:b/>
                          <w:bCs/>
                          <w:sz w:val="48"/>
                        </w:rPr>
                        <w:t>RO</w:t>
                      </w:r>
                    </w:p>
                  </w:txbxContent>
                </v:textbox>
                <w10:wrap anchorx="page" anchory="page"/>
              </v:shape>
            </w:pict>
          </mc:Fallback>
        </mc:AlternateContent>
      </w:r>
    </w:p>
    <w:p w14:paraId="68494C5A" w14:textId="77777777" w:rsidR="008C74D9" w:rsidRPr="001325F5" w:rsidRDefault="008C74D9" w:rsidP="0015678B"/>
    <w:p w14:paraId="5F02FA1A" w14:textId="77777777" w:rsidR="00646AC2" w:rsidRPr="001325F5" w:rsidRDefault="00E1703C" w:rsidP="0015678B">
      <w:pPr>
        <w:jc w:val="right"/>
      </w:pPr>
      <w:r>
        <w:rPr>
          <w:b/>
        </w:rPr>
        <w:t>SOC/667</w:t>
      </w:r>
    </w:p>
    <w:p w14:paraId="10419662" w14:textId="2F84D585" w:rsidR="00563C84" w:rsidRPr="001325F5" w:rsidRDefault="000F0FD8" w:rsidP="0015678B">
      <w:pPr>
        <w:jc w:val="right"/>
      </w:pPr>
      <w:r>
        <w:rPr>
          <w:b/>
        </w:rPr>
        <w:t xml:space="preserve">O Uniune a egalității: </w:t>
      </w:r>
      <w:r w:rsidR="00C739A8">
        <w:rPr>
          <w:b/>
        </w:rPr>
        <w:br/>
      </w:r>
      <w:r>
        <w:rPr>
          <w:b/>
        </w:rPr>
        <w:t>Strategia privind egalitatea pentru persoanele LGBTIQ 2020-2025</w:t>
      </w:r>
    </w:p>
    <w:p w14:paraId="3F32E666" w14:textId="77777777" w:rsidR="009B30AA" w:rsidRPr="001325F5" w:rsidRDefault="009B30AA" w:rsidP="0015678B"/>
    <w:p w14:paraId="1EBDA4C2" w14:textId="77777777" w:rsidR="009B30AA" w:rsidRPr="001325F5" w:rsidRDefault="009B30AA" w:rsidP="0015678B"/>
    <w:p w14:paraId="6C6667D0" w14:textId="672B9BF2" w:rsidR="00646AC2" w:rsidRPr="001325F5" w:rsidRDefault="00FB0780" w:rsidP="0015678B">
      <w:pPr>
        <w:jc w:val="center"/>
      </w:pPr>
      <w:r>
        <w:rPr>
          <w:b/>
          <w:sz w:val="28"/>
        </w:rPr>
        <w:t>AVIZ</w:t>
      </w:r>
      <w:r w:rsidR="00C739A8">
        <w:rPr>
          <w:b/>
          <w:sz w:val="28"/>
        </w:rPr>
        <w:t xml:space="preserve"> </w:t>
      </w:r>
      <w:r>
        <w:rPr>
          <w:b/>
          <w:sz w:val="28"/>
        </w:rPr>
        <w:br/>
      </w:r>
      <w:r>
        <w:rPr>
          <w:b/>
        </w:rPr>
        <w:br/>
      </w:r>
      <w:r>
        <w:t>Comitetul Economic și Social European</w:t>
      </w:r>
      <w:r w:rsidR="00C739A8">
        <w:t xml:space="preserve"> </w:t>
      </w:r>
      <w:r>
        <w:br/>
      </w:r>
      <w:r>
        <w:rPr>
          <w:b/>
        </w:rPr>
        <w:br/>
        <w:t>Comunicarea Comisiei către Parlamentul European, Consiliu,</w:t>
      </w:r>
      <w:r w:rsidR="00C739A8">
        <w:rPr>
          <w:b/>
        </w:rPr>
        <w:t xml:space="preserve"> </w:t>
      </w:r>
      <w:r>
        <w:rPr>
          <w:b/>
        </w:rPr>
        <w:br/>
        <w:t>Comitetul Economic și Social European și Comitetul Regiunilor</w:t>
      </w:r>
      <w:r w:rsidR="00C739A8">
        <w:rPr>
          <w:b/>
        </w:rPr>
        <w:t xml:space="preserve"> </w:t>
      </w:r>
      <w:r>
        <w:rPr>
          <w:b/>
        </w:rPr>
        <w:br/>
        <w:t>O Uniune a egalității: Strategia privind egalitatea pentru persoanele LGBTIQ 2020-2025</w:t>
      </w:r>
      <w:r w:rsidR="00C739A8">
        <w:rPr>
          <w:b/>
        </w:rPr>
        <w:t xml:space="preserve"> </w:t>
      </w:r>
      <w:r>
        <w:rPr>
          <w:b/>
        </w:rPr>
        <w:br/>
      </w:r>
      <w:r>
        <w:t xml:space="preserve">[COM(2020) 698 </w:t>
      </w:r>
      <w:r w:rsidR="00C739A8">
        <w:t>–</w:t>
      </w:r>
      <w:r>
        <w:t xml:space="preserve"> final]</w:t>
      </w:r>
    </w:p>
    <w:p w14:paraId="2FA97F63" w14:textId="77777777" w:rsidR="009B30AA" w:rsidRPr="001325F5" w:rsidRDefault="009B30AA" w:rsidP="0015678B">
      <w:pPr>
        <w:jc w:val="center"/>
      </w:pPr>
    </w:p>
    <w:p w14:paraId="108A00C0" w14:textId="0C14D1A0" w:rsidR="00704FBB" w:rsidRPr="001325F5" w:rsidRDefault="00DF0509" w:rsidP="0015678B">
      <w:pPr>
        <w:jc w:val="center"/>
        <w:rPr>
          <w:b/>
        </w:rPr>
      </w:pPr>
      <w:r>
        <w:t xml:space="preserve">Raportor: </w:t>
      </w:r>
      <w:r>
        <w:rPr>
          <w:b/>
        </w:rPr>
        <w:t>Ionuț SIBIAN</w:t>
      </w:r>
    </w:p>
    <w:p w14:paraId="194B825F" w14:textId="77777777" w:rsidR="00E376DF" w:rsidRPr="001325F5" w:rsidRDefault="00E376DF" w:rsidP="0015678B">
      <w:pPr>
        <w:jc w:val="center"/>
        <w:rPr>
          <w:b/>
        </w:rPr>
      </w:pPr>
      <w:r>
        <w:t>Coraportoare:</w:t>
      </w:r>
      <w:r>
        <w:rPr>
          <w:b/>
        </w:rPr>
        <w:t xml:space="preserve"> Maria del Carmen BARRERA CHAMORRO</w:t>
      </w:r>
    </w:p>
    <w:p w14:paraId="00D527F8" w14:textId="77777777" w:rsidR="00E376DF" w:rsidRPr="001325F5" w:rsidRDefault="00E376DF" w:rsidP="0015678B">
      <w:pPr>
        <w:jc w:val="center"/>
        <w:rPr>
          <w:b/>
        </w:rPr>
      </w:pPr>
    </w:p>
    <w:p w14:paraId="0C6B0414" w14:textId="77777777" w:rsidR="00E32DC6" w:rsidRPr="001325F5" w:rsidRDefault="00E32DC6" w:rsidP="0015678B"/>
    <w:p w14:paraId="0088227A" w14:textId="77777777" w:rsidR="00E32DC6" w:rsidRPr="001325F5" w:rsidRDefault="00E32DC6" w:rsidP="0015678B"/>
    <w:p w14:paraId="019F4B93" w14:textId="77777777" w:rsidR="00E32DC6" w:rsidRPr="001325F5" w:rsidRDefault="00E32DC6" w:rsidP="0015678B">
      <w:pPr>
        <w:sectPr w:rsidR="00E32DC6" w:rsidRPr="001325F5" w:rsidSect="001652D8">
          <w:footerReference w:type="default" r:id="rId12"/>
          <w:pgSz w:w="11907" w:h="16839" w:code="9"/>
          <w:pgMar w:top="1417" w:right="1417" w:bottom="1417" w:left="1417" w:header="709" w:footer="709" w:gutter="0"/>
          <w:pgNumType w:start="1"/>
          <w:cols w:space="720"/>
          <w:docGrid w:linePitch="299"/>
        </w:sectPr>
      </w:pPr>
    </w:p>
    <w:tbl>
      <w:tblPr>
        <w:tblW w:w="0" w:type="auto"/>
        <w:tblLook w:val="04A0" w:firstRow="1" w:lastRow="0" w:firstColumn="1" w:lastColumn="0" w:noHBand="0" w:noVBand="1"/>
      </w:tblPr>
      <w:tblGrid>
        <w:gridCol w:w="3402"/>
        <w:gridCol w:w="5671"/>
      </w:tblGrid>
      <w:tr w:rsidR="00B81F1B" w:rsidRPr="001325F5" w14:paraId="7A5CFEF1" w14:textId="77777777" w:rsidTr="00C739A8">
        <w:tc>
          <w:tcPr>
            <w:tcW w:w="3402" w:type="dxa"/>
          </w:tcPr>
          <w:p w14:paraId="1508D3BB" w14:textId="77777777" w:rsidR="0011656A" w:rsidRPr="001325F5" w:rsidRDefault="004A5738" w:rsidP="004A5738">
            <w:pPr>
              <w:jc w:val="left"/>
            </w:pPr>
            <w:r>
              <w:lastRenderedPageBreak/>
              <w:t>Sesizare</w:t>
            </w:r>
          </w:p>
        </w:tc>
        <w:tc>
          <w:tcPr>
            <w:tcW w:w="5671" w:type="dxa"/>
          </w:tcPr>
          <w:p w14:paraId="0EAF6908" w14:textId="77777777" w:rsidR="0011656A" w:rsidRPr="001325F5" w:rsidRDefault="00D11C02" w:rsidP="002C51A4">
            <w:pPr>
              <w:jc w:val="left"/>
              <w:rPr>
                <w:highlight w:val="yellow"/>
              </w:rPr>
            </w:pPr>
            <w:r>
              <w:t>Comisia Europeană, 14/01/2021</w:t>
            </w:r>
          </w:p>
        </w:tc>
      </w:tr>
      <w:tr w:rsidR="00B81F1B" w:rsidRPr="001325F5" w14:paraId="412D02DB" w14:textId="77777777" w:rsidTr="00C739A8">
        <w:trPr>
          <w:trHeight w:val="251"/>
        </w:trPr>
        <w:tc>
          <w:tcPr>
            <w:tcW w:w="3402" w:type="dxa"/>
          </w:tcPr>
          <w:p w14:paraId="5CAD55BD" w14:textId="77777777" w:rsidR="0016503F" w:rsidRPr="001325F5" w:rsidRDefault="0016503F" w:rsidP="0015678B">
            <w:pPr>
              <w:jc w:val="left"/>
            </w:pPr>
            <w:r>
              <w:t>Temei juridic</w:t>
            </w:r>
          </w:p>
        </w:tc>
        <w:tc>
          <w:tcPr>
            <w:tcW w:w="5671" w:type="dxa"/>
          </w:tcPr>
          <w:p w14:paraId="00BF2CF9" w14:textId="77777777" w:rsidR="0016503F" w:rsidRPr="001325F5" w:rsidRDefault="00653889" w:rsidP="00D1065A">
            <w:r>
              <w:t>Articolul 304 din Tratatul privind funcționarea Uniunii Europene</w:t>
            </w:r>
          </w:p>
        </w:tc>
      </w:tr>
      <w:tr w:rsidR="00B81F1B" w:rsidRPr="001325F5" w14:paraId="6C55F776" w14:textId="77777777" w:rsidTr="00C739A8">
        <w:trPr>
          <w:trHeight w:val="250"/>
        </w:trPr>
        <w:tc>
          <w:tcPr>
            <w:tcW w:w="3402" w:type="dxa"/>
          </w:tcPr>
          <w:p w14:paraId="76D36073" w14:textId="77777777" w:rsidR="00436255" w:rsidRPr="001325F5" w:rsidRDefault="00436255" w:rsidP="0015678B">
            <w:pPr>
              <w:jc w:val="left"/>
            </w:pPr>
          </w:p>
        </w:tc>
        <w:tc>
          <w:tcPr>
            <w:tcW w:w="5671" w:type="dxa"/>
          </w:tcPr>
          <w:p w14:paraId="26281FBA" w14:textId="77777777" w:rsidR="00436255" w:rsidRPr="001325F5" w:rsidRDefault="00436255" w:rsidP="0015678B">
            <w:pPr>
              <w:jc w:val="left"/>
            </w:pPr>
          </w:p>
        </w:tc>
      </w:tr>
      <w:tr w:rsidR="00B81F1B" w:rsidRPr="001325F5" w14:paraId="3DEB8445" w14:textId="77777777" w:rsidTr="00C739A8">
        <w:tc>
          <w:tcPr>
            <w:tcW w:w="3402" w:type="dxa"/>
          </w:tcPr>
          <w:p w14:paraId="3903625A" w14:textId="77777777" w:rsidR="00436255" w:rsidRPr="001325F5" w:rsidRDefault="00436255" w:rsidP="0015678B">
            <w:pPr>
              <w:jc w:val="left"/>
            </w:pPr>
            <w:r>
              <w:t>Secțiunea competentă</w:t>
            </w:r>
          </w:p>
        </w:tc>
        <w:tc>
          <w:tcPr>
            <w:tcW w:w="5671" w:type="dxa"/>
          </w:tcPr>
          <w:p w14:paraId="51E0F388" w14:textId="77777777" w:rsidR="00436255" w:rsidRPr="001325F5" w:rsidRDefault="002A4DBD" w:rsidP="00C739A8">
            <w:r>
              <w:t>Secțiunea pentru ocuparea forței de muncă, afaceri sociale și cetățenie</w:t>
            </w:r>
          </w:p>
        </w:tc>
      </w:tr>
      <w:tr w:rsidR="00B81F1B" w:rsidRPr="001325F5" w14:paraId="3081744E" w14:textId="77777777" w:rsidTr="00C739A8">
        <w:tc>
          <w:tcPr>
            <w:tcW w:w="3402" w:type="dxa"/>
          </w:tcPr>
          <w:p w14:paraId="0F3E1912" w14:textId="77777777" w:rsidR="00436255" w:rsidRPr="001325F5" w:rsidRDefault="00436255" w:rsidP="0015678B">
            <w:pPr>
              <w:jc w:val="left"/>
            </w:pPr>
            <w:r>
              <w:t>Data adoptării în secțiune</w:t>
            </w:r>
          </w:p>
        </w:tc>
        <w:tc>
          <w:tcPr>
            <w:tcW w:w="5671" w:type="dxa"/>
          </w:tcPr>
          <w:p w14:paraId="5C547E63" w14:textId="26AE21AE" w:rsidR="00436255" w:rsidRPr="001325F5" w:rsidRDefault="00165176">
            <w:pPr>
              <w:jc w:val="left"/>
            </w:pPr>
            <w:r>
              <w:t>16/04/2021</w:t>
            </w:r>
          </w:p>
        </w:tc>
      </w:tr>
      <w:tr w:rsidR="00B81F1B" w:rsidRPr="001325F5" w14:paraId="6B9134A4" w14:textId="77777777" w:rsidTr="00C739A8">
        <w:tc>
          <w:tcPr>
            <w:tcW w:w="3402" w:type="dxa"/>
          </w:tcPr>
          <w:p w14:paraId="7157B417" w14:textId="77777777" w:rsidR="00436255" w:rsidRPr="001325F5" w:rsidRDefault="00436255" w:rsidP="0015678B">
            <w:pPr>
              <w:jc w:val="left"/>
            </w:pPr>
            <w:r>
              <w:t>Data adoptării în sesiunea plenară</w:t>
            </w:r>
          </w:p>
        </w:tc>
        <w:tc>
          <w:tcPr>
            <w:tcW w:w="5671" w:type="dxa"/>
          </w:tcPr>
          <w:p w14:paraId="4CA4DBCD" w14:textId="3625D07E" w:rsidR="00436255" w:rsidRPr="001325F5" w:rsidRDefault="00AD0D32" w:rsidP="00AD0D32">
            <w:pPr>
              <w:jc w:val="left"/>
            </w:pPr>
            <w:r>
              <w:t>27/04/2021</w:t>
            </w:r>
          </w:p>
        </w:tc>
      </w:tr>
      <w:tr w:rsidR="00B81F1B" w:rsidRPr="001325F5" w14:paraId="59E2367A" w14:textId="77777777" w:rsidTr="00C739A8">
        <w:tc>
          <w:tcPr>
            <w:tcW w:w="3402" w:type="dxa"/>
          </w:tcPr>
          <w:p w14:paraId="3C9D6A5E" w14:textId="77777777" w:rsidR="00436255" w:rsidRPr="001325F5" w:rsidRDefault="00436255" w:rsidP="0015678B">
            <w:pPr>
              <w:jc w:val="left"/>
            </w:pPr>
            <w:r>
              <w:t>Sesiunea plenară nr.</w:t>
            </w:r>
          </w:p>
        </w:tc>
        <w:tc>
          <w:tcPr>
            <w:tcW w:w="5671" w:type="dxa"/>
          </w:tcPr>
          <w:p w14:paraId="7E067C79" w14:textId="63BC33C9" w:rsidR="00436255" w:rsidRPr="001325F5" w:rsidRDefault="00535C37" w:rsidP="0015678B">
            <w:pPr>
              <w:jc w:val="left"/>
            </w:pPr>
            <w:r>
              <w:t>560</w:t>
            </w:r>
          </w:p>
        </w:tc>
      </w:tr>
      <w:tr w:rsidR="00B81F1B" w:rsidRPr="001325F5" w14:paraId="0E16C4B1" w14:textId="77777777" w:rsidTr="00C739A8">
        <w:tc>
          <w:tcPr>
            <w:tcW w:w="3402" w:type="dxa"/>
          </w:tcPr>
          <w:p w14:paraId="5650BE5C" w14:textId="59088F7D" w:rsidR="00436255" w:rsidRPr="001325F5" w:rsidRDefault="00436255" w:rsidP="00C739A8">
            <w:pPr>
              <w:jc w:val="left"/>
            </w:pPr>
            <w:r>
              <w:t>Rezultatul votului</w:t>
            </w:r>
            <w:r w:rsidR="00C739A8">
              <w:t xml:space="preserve"> </w:t>
            </w:r>
            <w:r>
              <w:t>(voturi pentru/</w:t>
            </w:r>
            <w:r w:rsidR="00C739A8">
              <w:br/>
            </w:r>
            <w:r>
              <w:t>voturi împotrivă/abțineri)</w:t>
            </w:r>
          </w:p>
        </w:tc>
        <w:tc>
          <w:tcPr>
            <w:tcW w:w="5671" w:type="dxa"/>
            <w:vAlign w:val="bottom"/>
          </w:tcPr>
          <w:p w14:paraId="72A3B9AB" w14:textId="497AFBF9" w:rsidR="00436255" w:rsidRPr="001325F5" w:rsidRDefault="00DF2D38">
            <w:pPr>
              <w:jc w:val="left"/>
            </w:pPr>
            <w:r>
              <w:t>187/8/12</w:t>
            </w:r>
            <w:bookmarkStart w:id="0" w:name="_GoBack"/>
            <w:bookmarkEnd w:id="0"/>
          </w:p>
        </w:tc>
      </w:tr>
    </w:tbl>
    <w:p w14:paraId="1A847F9D" w14:textId="2A7BEAF4" w:rsidR="0090053A" w:rsidRPr="001325F5" w:rsidRDefault="0090053A" w:rsidP="004716B3">
      <w:pPr>
        <w:tabs>
          <w:tab w:val="left" w:pos="6975"/>
        </w:tabs>
      </w:pPr>
    </w:p>
    <w:p w14:paraId="68205E2F" w14:textId="77777777" w:rsidR="00646AC2" w:rsidRPr="001325F5" w:rsidRDefault="00646AC2" w:rsidP="0015678B">
      <w:r>
        <w:br w:type="page"/>
      </w:r>
    </w:p>
    <w:p w14:paraId="3CCA1B19" w14:textId="77777777" w:rsidR="00011D33" w:rsidRPr="001325F5" w:rsidRDefault="00011D33" w:rsidP="00972070">
      <w:pPr>
        <w:pStyle w:val="Heading1"/>
        <w:ind w:left="567" w:hanging="567"/>
        <w:rPr>
          <w:b/>
        </w:rPr>
      </w:pPr>
      <w:r>
        <w:rPr>
          <w:b/>
        </w:rPr>
        <w:lastRenderedPageBreak/>
        <w:t>Concluzii și recomandări</w:t>
      </w:r>
    </w:p>
    <w:p w14:paraId="307E68BF" w14:textId="77777777" w:rsidR="00011D33" w:rsidRPr="001325F5" w:rsidRDefault="00011D33">
      <w:pPr>
        <w:keepNext/>
      </w:pPr>
    </w:p>
    <w:p w14:paraId="7C8538FB" w14:textId="77777777" w:rsidR="00CE2C9D" w:rsidRPr="001325F5" w:rsidRDefault="00CE2C9D" w:rsidP="005D28BA">
      <w:pPr>
        <w:pStyle w:val="Heading2"/>
        <w:ind w:left="567" w:hanging="567"/>
      </w:pPr>
      <w:r>
        <w:t>CESE salută și sprijină curajul Comisiei Europene de a adopta Strategia privind egalitatea pentru persoanele LGBTIQ 2020-2025, care vizează reducerea discriminării și garantarea siguranței și drepturilor fundamentale ale persoanelor LGBTI din întreaga Uniune Europeană, prin adoptarea unor măsuri legislative la nivel european, dar și de a încuraja statele membre să elaboreze și să pună în aplicare, la nivel național, planurile de acțiune menționate în strategie.</w:t>
      </w:r>
    </w:p>
    <w:p w14:paraId="1DE7EDF8" w14:textId="77777777" w:rsidR="00CE2C9D" w:rsidRPr="001325F5" w:rsidRDefault="00CE2C9D" w:rsidP="000575A0">
      <w:pPr>
        <w:pStyle w:val="Heading2"/>
        <w:numPr>
          <w:ilvl w:val="0"/>
          <w:numId w:val="0"/>
        </w:numPr>
        <w:ind w:left="567"/>
      </w:pPr>
    </w:p>
    <w:p w14:paraId="65A11570" w14:textId="77777777" w:rsidR="00CE2C9D" w:rsidRPr="001325F5" w:rsidRDefault="001F6932" w:rsidP="005D28BA">
      <w:pPr>
        <w:pStyle w:val="Heading2"/>
        <w:ind w:left="567" w:hanging="567"/>
      </w:pPr>
      <w:r>
        <w:t>CESE este ferm convins că, pentru ca această strategie să aibă succes, Comisia trebuie să instituie un mecanism solid pentru a o pune în aplicare și pentru a-i monitoriza în mod regulat aplicarea, atât la nivel orizontal, cât și vertical. În acest sens, Comisia trebuie să faciliteze un dialog amplu între instituțiile europene și internaționale, statele membre, organizațiile societății civile și partenerii sociali.</w:t>
      </w:r>
    </w:p>
    <w:p w14:paraId="6FC05B6D" w14:textId="77777777" w:rsidR="00CE2C9D" w:rsidRPr="001325F5" w:rsidRDefault="00CE2C9D" w:rsidP="000575A0">
      <w:pPr>
        <w:pStyle w:val="Heading2"/>
        <w:numPr>
          <w:ilvl w:val="0"/>
          <w:numId w:val="0"/>
        </w:numPr>
        <w:ind w:left="567"/>
      </w:pPr>
    </w:p>
    <w:p w14:paraId="41805A76" w14:textId="77777777" w:rsidR="00CE2C9D" w:rsidRPr="001325F5" w:rsidRDefault="001F6932" w:rsidP="005D28BA">
      <w:pPr>
        <w:pStyle w:val="Heading2"/>
        <w:ind w:left="567" w:hanging="567"/>
      </w:pPr>
      <w:r>
        <w:t>CESE este convins că, pentru a-și atinge obiectivele, Strategia privind egalitatea pentru persoanele LGBTIQ trebuie să fie corelată cu alte strategii europene pentru a avea o perspectivă transsectorială, de exemplu cu Strategia privind drepturile victimelor, cu Strategia privind egalitatea de gen, cu Planul de acțiune al UE de combatere a rasismului, cu Strategia pentru drepturile persoanelor cu dizabilități și cu Strategia privind drepturile copilului.</w:t>
      </w:r>
    </w:p>
    <w:p w14:paraId="741B3010" w14:textId="77777777" w:rsidR="00CE2C9D" w:rsidRPr="001325F5" w:rsidRDefault="00CE2C9D" w:rsidP="000575A0">
      <w:pPr>
        <w:pStyle w:val="Heading2"/>
        <w:numPr>
          <w:ilvl w:val="0"/>
          <w:numId w:val="0"/>
        </w:numPr>
        <w:ind w:left="567"/>
      </w:pPr>
    </w:p>
    <w:p w14:paraId="520FD5CA" w14:textId="630B7377" w:rsidR="00CE2C9D" w:rsidRPr="001325F5" w:rsidRDefault="00CE2C9D" w:rsidP="005D28BA">
      <w:pPr>
        <w:pStyle w:val="Heading2"/>
        <w:ind w:left="567" w:hanging="567"/>
      </w:pPr>
      <w:r>
        <w:t xml:space="preserve">Unul dintre cele mai presante aspecte legate de discriminarea persoanelor LGBTIQ se referă la discriminarea la locul de muncă și în ceea ce privește accesul pe piața muncii. Astfel, Directiva privind egalitatea de tratament în ceea ce privește încadrarea în muncă și ocuparea forței de muncă (2000/78/CE) trebuie să protejeze, de asemenea, persoanele transgen, non-binare, intersexuale și queer împotriva discriminării în aceste domenii. În plus, CESE salută dorința Comisiei de a extinde aplicabilitatea directivei la alte domenii decât ocuparea forței de muncă, considerând-o o măsură eficace de combatere a discriminării persoanelor LGBTIQ. </w:t>
      </w:r>
    </w:p>
    <w:p w14:paraId="44898983" w14:textId="77777777" w:rsidR="00CE2C9D" w:rsidRPr="001325F5" w:rsidRDefault="00CE2C9D" w:rsidP="000575A0">
      <w:pPr>
        <w:pStyle w:val="Heading2"/>
        <w:numPr>
          <w:ilvl w:val="0"/>
          <w:numId w:val="0"/>
        </w:numPr>
        <w:ind w:left="567"/>
      </w:pPr>
    </w:p>
    <w:p w14:paraId="6B6D4C57" w14:textId="77777777" w:rsidR="00CE2C9D" w:rsidRPr="001325F5" w:rsidRDefault="00CE2C9D" w:rsidP="005D28BA">
      <w:pPr>
        <w:pStyle w:val="Heading2"/>
        <w:ind w:left="567" w:hanging="567"/>
      </w:pPr>
      <w:r>
        <w:t>Pentru a îmbunătăți angajabilitatea persoanelor LGBTIQ, este nevoie de politici active în domeniul ocupării forței de muncă și de introducerea unei perspective LGBTIQ în planurile de ocupare a forței de muncă. De asemenea, este esențial ca în întreprinderi să existe planuri privind egalitatea pentru persoanele LGBTIQ, pentru a combate discriminarea cu care se confruntă aceste persoane la locul de muncă, iar aceste planuri să stabilească măsuri, protocoale și instrumente concrete pentru combaterea discriminării.</w:t>
      </w:r>
    </w:p>
    <w:p w14:paraId="5B169912" w14:textId="77777777" w:rsidR="00CE2C9D" w:rsidRPr="001325F5" w:rsidRDefault="00CE2C9D" w:rsidP="000575A0">
      <w:pPr>
        <w:pStyle w:val="Heading2"/>
        <w:numPr>
          <w:ilvl w:val="0"/>
          <w:numId w:val="0"/>
        </w:numPr>
        <w:ind w:left="567"/>
      </w:pPr>
    </w:p>
    <w:p w14:paraId="0CFB1DEF" w14:textId="49597D7D" w:rsidR="00CE2C9D" w:rsidRPr="001325F5" w:rsidRDefault="00CE2C9D" w:rsidP="005D28BA">
      <w:pPr>
        <w:pStyle w:val="Heading2"/>
        <w:ind w:left="567" w:hanging="567"/>
      </w:pPr>
      <w:r>
        <w:t xml:space="preserve">Pentru ca persoanele LGBTIQ să nu se confrunte cu lipsuri socioeconomice și cu rate ridicate de sărăcie și excluziune socială, statele membre trebuie să fie încurajate să ofere servicii medicale și sociale, adăposturi, programe de asistență și locuri sigure persoanelor LGBTIQ care sunt victime ale violenței domestice, ale infracțiunilor motivate de ură și ale discursului de incitare la ură, precum și tinerilor LGBTIQ care nu primesc sprijin din partea familiei etc. </w:t>
      </w:r>
    </w:p>
    <w:p w14:paraId="18B81DDD" w14:textId="77777777" w:rsidR="00CE2C9D" w:rsidRPr="001325F5" w:rsidRDefault="00CE2C9D" w:rsidP="000575A0">
      <w:pPr>
        <w:pStyle w:val="Heading2"/>
        <w:numPr>
          <w:ilvl w:val="0"/>
          <w:numId w:val="0"/>
        </w:numPr>
        <w:ind w:left="567"/>
      </w:pPr>
    </w:p>
    <w:p w14:paraId="0781E2EB" w14:textId="0BC149A6" w:rsidR="00E10C9A" w:rsidRPr="001325F5" w:rsidRDefault="00CE2C9D">
      <w:pPr>
        <w:pStyle w:val="Heading2"/>
        <w:ind w:left="567" w:hanging="567"/>
      </w:pPr>
      <w:r>
        <w:t xml:space="preserve">CESE este ferm convins că așa-numitele practici de conversie ar trebui interzise de toate statele membre ale UE, deoarece încalcă drepturile fundamentale și au fost clasificate drept acte de tortură. Comisia Europeană trebuie să sprijine statele membre să interzică orice forme de practici dăunătoare, inclusiv intervențiile medicale inutile asupra persoanelor intersexuale, și să își </w:t>
      </w:r>
      <w:r>
        <w:lastRenderedPageBreak/>
        <w:t>reformeze legislația în materie de gen, pentru a garanta că respectă normele privind autodeterminarea în materie de drepturi ale omului.</w:t>
      </w:r>
    </w:p>
    <w:p w14:paraId="1CEB121D" w14:textId="77777777" w:rsidR="00E10C9A" w:rsidRPr="001325F5" w:rsidRDefault="00E10C9A" w:rsidP="000575A0"/>
    <w:p w14:paraId="0122939E" w14:textId="72AEC6C7" w:rsidR="00CE2C9D" w:rsidRPr="001325F5" w:rsidRDefault="00CE2C9D" w:rsidP="005D28BA">
      <w:pPr>
        <w:pStyle w:val="Heading2"/>
        <w:ind w:left="567" w:hanging="567"/>
      </w:pPr>
      <w:r>
        <w:t>CESE solicită Comisiei Europene să finanțeze pregătirea specialiștilor care interacționează cu persoane LGBTIQ și să încurajeze schimbul de bune practici între statele membre. În plus, este nevoie de finanțare europeană pentru pregătirea specializată a medicilor, profesorilor și a altor specialiști, pentru a înțelege mai bine circumstanțele și nevoile specifice ale persoanelor LGBTIQ. În plus, proiectul-pilot EUHealth4LGBTIQ oferă manuale pentru furnizorii de servicii medicale, iar Comisia Europeană ar trebui să sprijine statele membre să garanteze că aceste cursuri de formare sunt disponibile la nivel național.</w:t>
      </w:r>
    </w:p>
    <w:p w14:paraId="2685C6E7" w14:textId="77777777" w:rsidR="00CE2C9D" w:rsidRPr="001325F5" w:rsidRDefault="00CE2C9D" w:rsidP="000575A0">
      <w:pPr>
        <w:pStyle w:val="Heading2"/>
        <w:numPr>
          <w:ilvl w:val="0"/>
          <w:numId w:val="0"/>
        </w:numPr>
        <w:ind w:left="567"/>
      </w:pPr>
    </w:p>
    <w:p w14:paraId="752C4FBA" w14:textId="7ADCF350" w:rsidR="00CE2C9D" w:rsidRPr="001325F5" w:rsidRDefault="00CE2C9D" w:rsidP="005D28BA">
      <w:pPr>
        <w:pStyle w:val="Heading2"/>
        <w:ind w:left="567" w:hanging="567"/>
      </w:pPr>
      <w:r>
        <w:t xml:space="preserve">În ceea ce privește finanțarea acordată statelor membre din bugetul UE, considerăm că Comisia Europeană trebuie să pună în aplicare un mecanism solid pentru supravegherea utilizării acestor fonduri de către statele membre în conformitate cu principiul european al nediscriminării, menționat la articolul 2 din TUE, și cu respectarea deplină a drepturilor fundamentale prevăzute în Carta drepturilor fundamentale. Această supraveghere trebuie să fie efectuată atât </w:t>
      </w:r>
      <w:r>
        <w:rPr>
          <w:i/>
        </w:rPr>
        <w:t>ex ante</w:t>
      </w:r>
      <w:r>
        <w:t xml:space="preserve">, prin efectuarea unui audit privind diversitatea, cât și </w:t>
      </w:r>
      <w:r>
        <w:rPr>
          <w:i/>
        </w:rPr>
        <w:t>ex post</w:t>
      </w:r>
      <w:r>
        <w:t xml:space="preserve">, așa cum prevede Regulamentul privind dispozițiile comune pentru perioada de finanțare 2021-2027. </w:t>
      </w:r>
    </w:p>
    <w:p w14:paraId="3FFB86AC" w14:textId="77777777" w:rsidR="00CE2C9D" w:rsidRPr="001325F5" w:rsidRDefault="00CE2C9D" w:rsidP="000575A0">
      <w:pPr>
        <w:pStyle w:val="Heading2"/>
        <w:numPr>
          <w:ilvl w:val="0"/>
          <w:numId w:val="0"/>
        </w:numPr>
        <w:ind w:left="567" w:hanging="567"/>
      </w:pPr>
    </w:p>
    <w:p w14:paraId="2F6A4C87" w14:textId="2BFB011A" w:rsidR="00C4151F" w:rsidRPr="001325F5" w:rsidRDefault="00CE2C9D" w:rsidP="000575A0">
      <w:pPr>
        <w:pStyle w:val="Heading2"/>
        <w:ind w:left="567" w:hanging="567"/>
      </w:pPr>
      <w:r>
        <w:t>Comisia Europeană trebuie să își asume rolul de gardian al tratatelor Uniunii Europene și să își intensifice eforturile de a veghea la implementarea și aplicarea deplină a legislației relevante a UE și a jurisprudenței Curții de Justiție a Uniunii Europene în statele membre, în special în ceea ce privește Directiva 2004/38/CE și legislația în materie de azil. De asemenea, este important ca, în contextul libertății de circulație și al situațiilor transfrontaliere, să se adopte o reglementare clară, incluzivă și nediscriminatorie privind noțiunea de „familie” la nivel european, care să includă și familiile-curcubeu, și recunoașterea certificatelor de naștere ale persoanelor transgen în toate statele membre, independent de alte proceduri administrative sau judiciare.</w:t>
      </w:r>
    </w:p>
    <w:p w14:paraId="1C069AEE" w14:textId="77777777" w:rsidR="00C4151F" w:rsidRPr="001325F5" w:rsidRDefault="00C4151F" w:rsidP="000575A0">
      <w:pPr>
        <w:ind w:left="567" w:hanging="567"/>
      </w:pPr>
    </w:p>
    <w:p w14:paraId="447265AA" w14:textId="7EDFE1A9" w:rsidR="00011D33" w:rsidRPr="001325F5" w:rsidRDefault="00CE2C9D" w:rsidP="000575A0">
      <w:pPr>
        <w:pStyle w:val="Heading2"/>
        <w:ind w:left="567" w:hanging="567"/>
      </w:pPr>
      <w:r>
        <w:t>Uniunea Europeană trebuie să își asume rolul de a contribui la progresul drepturilor omului la nivel mondial, inclusiv a libertății și demnității persoanelor LGBTIQ. Pentru a atinge acest obiectiv, comunitatea europeană trebuie să colaboreze cu instituțiile internaționale și regionale pentru dezincriminarea universală a homosexualității și pentru respectarea demnității și a drepturilor fundamentale ale persoanelor LGBTIQ din întreaga lume.</w:t>
      </w:r>
    </w:p>
    <w:p w14:paraId="73B3165A" w14:textId="77777777" w:rsidR="00011D33" w:rsidRPr="001325F5" w:rsidRDefault="00011D33" w:rsidP="00137822">
      <w:pPr>
        <w:pStyle w:val="Heading1"/>
        <w:numPr>
          <w:ilvl w:val="0"/>
          <w:numId w:val="0"/>
        </w:numPr>
      </w:pPr>
    </w:p>
    <w:p w14:paraId="386D749B" w14:textId="77777777" w:rsidR="000115C2" w:rsidRPr="001325F5" w:rsidRDefault="00011D33" w:rsidP="000575A0">
      <w:pPr>
        <w:pStyle w:val="Heading1"/>
        <w:keepNext/>
        <w:keepLines/>
        <w:ind w:left="567" w:hanging="567"/>
      </w:pPr>
      <w:r>
        <w:rPr>
          <w:b/>
        </w:rPr>
        <w:t>Observații generale</w:t>
      </w:r>
    </w:p>
    <w:p w14:paraId="5A1F262A" w14:textId="77777777" w:rsidR="006C188D" w:rsidRPr="001325F5" w:rsidRDefault="006C188D" w:rsidP="000575A0">
      <w:pPr>
        <w:pStyle w:val="Heading2"/>
        <w:keepNext/>
        <w:keepLines/>
        <w:numPr>
          <w:ilvl w:val="0"/>
          <w:numId w:val="0"/>
        </w:numPr>
        <w:ind w:left="567"/>
      </w:pPr>
    </w:p>
    <w:p w14:paraId="7807FA83" w14:textId="39CD2800" w:rsidR="000115C2" w:rsidRPr="001325F5" w:rsidRDefault="000115C2" w:rsidP="00F408BD">
      <w:pPr>
        <w:pStyle w:val="Heading2"/>
        <w:ind w:left="567" w:hanging="567"/>
      </w:pPr>
      <w:r>
        <w:t>CESE consideră că este esențial ca atât instituțiile europene, cât și cele naționale să instituie politici publice pentru a proteja persoanele LGBTIQ, astfel încât valorile consacrate în Carta drepturilor fundamentale a UE, precum și în Tratatul privind Uniunea Europeană (TUE), și anume, „demnitatea umană, (...), egalitatea, (...), respectarea drepturilor omului, inclusiv a drepturilor persoanelor care aparțin minorităților”, să fie respectate în întreaga Uniune</w:t>
      </w:r>
      <w:r w:rsidR="00793DC5" w:rsidRPr="001325F5">
        <w:rPr>
          <w:rStyle w:val="FootnoteReference"/>
        </w:rPr>
        <w:footnoteReference w:id="1"/>
      </w:r>
      <w:r>
        <w:t>. CESE sprijină rezoluția Parlamentului European prin care UE este declarată „zonă de libertate a persoanelor LGBTIQ”.</w:t>
      </w:r>
    </w:p>
    <w:p w14:paraId="34616709" w14:textId="77777777" w:rsidR="001174B0" w:rsidRPr="001325F5" w:rsidRDefault="001174B0" w:rsidP="00C739A8">
      <w:pPr>
        <w:pStyle w:val="Heading2"/>
        <w:numPr>
          <w:ilvl w:val="0"/>
          <w:numId w:val="0"/>
        </w:numPr>
        <w:spacing w:line="240" w:lineRule="auto"/>
        <w:ind w:left="567"/>
      </w:pPr>
    </w:p>
    <w:p w14:paraId="17BA8888" w14:textId="241AD5BC" w:rsidR="009E09BD" w:rsidRPr="001325F5" w:rsidRDefault="001D1AEC" w:rsidP="00C93F11">
      <w:pPr>
        <w:pStyle w:val="Heading2"/>
        <w:ind w:left="567" w:hanging="567"/>
      </w:pPr>
      <w:r>
        <w:lastRenderedPageBreak/>
        <w:t>Datele</w:t>
      </w:r>
      <w:r w:rsidR="002159E8" w:rsidRPr="001325F5">
        <w:rPr>
          <w:rStyle w:val="FootnoteReference"/>
        </w:rPr>
        <w:footnoteReference w:id="2"/>
      </w:r>
      <w:r>
        <w:t xml:space="preserve"> furnizate de Agenția pentru Drepturi Fundamentale a Uniunii Europene (FRA) arată că persoanele LGBTIQ reprezintă o categorie vulnerabilă care are nevoie de sprijin atât din partea instituțiilor europene, cât și din partea autorităților naționale din statele membre. Comitetul consideră că Strategia privind egalitatea pentru persoanele LGBTIQ 2020-2025 reprezintă primul pas în combaterea discriminării pe motive de orientare sexuală, identitate/exprimare de gen și caracteristici sexuale, precum și în garantarea unui spațiu sigur pentru comunitatea LGBTIQ în întreaga Uniune Europeană.</w:t>
      </w:r>
      <w:r w:rsidR="00C739A8">
        <w:t xml:space="preserve"> </w:t>
      </w:r>
    </w:p>
    <w:p w14:paraId="6A148F16" w14:textId="77777777" w:rsidR="009E09BD" w:rsidRPr="001325F5" w:rsidRDefault="009E09BD" w:rsidP="00C93F11">
      <w:pPr>
        <w:pStyle w:val="Heading2"/>
        <w:numPr>
          <w:ilvl w:val="0"/>
          <w:numId w:val="0"/>
        </w:numPr>
        <w:ind w:left="567"/>
      </w:pPr>
    </w:p>
    <w:p w14:paraId="31C23C59" w14:textId="4C17E64C" w:rsidR="00BA2E98" w:rsidRPr="001325F5" w:rsidRDefault="009E09BD" w:rsidP="00C93F11">
      <w:pPr>
        <w:pStyle w:val="Heading2"/>
        <w:ind w:left="567" w:hanging="567"/>
      </w:pPr>
      <w:r>
        <w:t>CESE salută utilizarea, în documentul Comisiei, a „intersecționalității” ca principiu transversal: orientarea sexuală, identitatea/exprimarea de gen și/sau caracteristicile sexuale sunt luate în considerare alături de alte caracteristici sau identități personale, precum sexul, originea rasială, originea etnică, religia, convingerile, handicapul și vârsta. Toate acestea sunt privite și în contextul crizei provocate de pandemia de COVID-19, care a afectat în mod disproporționat persoanele LGBTIQ vulnerabile.</w:t>
      </w:r>
    </w:p>
    <w:p w14:paraId="0391F7C1" w14:textId="77777777" w:rsidR="003F0A48" w:rsidRPr="001325F5" w:rsidRDefault="003F0A48" w:rsidP="00C93F11">
      <w:pPr>
        <w:pStyle w:val="Heading2"/>
        <w:numPr>
          <w:ilvl w:val="0"/>
          <w:numId w:val="0"/>
        </w:numPr>
        <w:ind w:left="567"/>
      </w:pPr>
    </w:p>
    <w:p w14:paraId="11DA5D4A" w14:textId="2F3F9086" w:rsidR="00BA2E98" w:rsidRPr="001325F5" w:rsidRDefault="00BA2E98" w:rsidP="00C93F11">
      <w:pPr>
        <w:pStyle w:val="Heading2"/>
        <w:ind w:left="567" w:hanging="567"/>
      </w:pPr>
      <w:r>
        <w:t>Cu toate acestea, pentru ca Strategia privind egalitatea pentru persoanele LGBTIQ 2020-2025 să fie pusă în aplicare în mod eficient și eficace în întreaga Uniune Europeană, Comisia Europeană trebuie să creeze un mecanism de operaționalizare și monitorizare pentru a supraveghea dacă și în ce măsură strategia a fost pusă în aplicare. În acest sens, Comisia trebuie să verifice anual dacă și în ce măsură instituțiile europene și statele membre au pus în aplicare principalele priorități menționate în strategie. Această evaluare ar trebui efectuată în consultare cu statele membre și cu societatea civilă organizată.</w:t>
      </w:r>
    </w:p>
    <w:p w14:paraId="01399FE0" w14:textId="77777777" w:rsidR="006A000D" w:rsidRPr="001325F5" w:rsidRDefault="006A000D" w:rsidP="00C93F11">
      <w:pPr>
        <w:pStyle w:val="Heading2"/>
        <w:numPr>
          <w:ilvl w:val="0"/>
          <w:numId w:val="0"/>
        </w:numPr>
        <w:ind w:left="567"/>
      </w:pPr>
    </w:p>
    <w:p w14:paraId="1AB70C80" w14:textId="77777777" w:rsidR="006A000D" w:rsidRPr="001325F5" w:rsidRDefault="006A000D" w:rsidP="000575A0">
      <w:pPr>
        <w:pStyle w:val="Heading1"/>
        <w:keepNext/>
        <w:keepLines/>
        <w:ind w:left="567" w:hanging="567"/>
        <w:rPr>
          <w:b/>
        </w:rPr>
      </w:pPr>
      <w:r>
        <w:rPr>
          <w:b/>
        </w:rPr>
        <w:t>Observații specifice</w:t>
      </w:r>
    </w:p>
    <w:p w14:paraId="7B673FD9" w14:textId="77777777" w:rsidR="00BA4CE1" w:rsidRPr="001325F5" w:rsidRDefault="00BA4CE1" w:rsidP="000575A0">
      <w:pPr>
        <w:keepNext/>
        <w:keepLines/>
        <w:tabs>
          <w:tab w:val="left" w:pos="540"/>
        </w:tabs>
        <w:ind w:left="540" w:hanging="540"/>
      </w:pPr>
    </w:p>
    <w:p w14:paraId="430959C3" w14:textId="77777777" w:rsidR="00CB05FE" w:rsidRPr="001325F5" w:rsidRDefault="00CB05FE" w:rsidP="000575A0">
      <w:pPr>
        <w:pStyle w:val="Heading2"/>
        <w:keepNext/>
        <w:keepLines/>
        <w:ind w:left="567" w:hanging="567"/>
        <w:rPr>
          <w:b/>
        </w:rPr>
      </w:pPr>
      <w:r>
        <w:rPr>
          <w:b/>
        </w:rPr>
        <w:t>Discriminarea persoanelor LGBTIQ</w:t>
      </w:r>
    </w:p>
    <w:p w14:paraId="58C55BB0" w14:textId="77777777" w:rsidR="00CB05FE" w:rsidRPr="001325F5" w:rsidRDefault="00CB05FE" w:rsidP="000575A0">
      <w:pPr>
        <w:pStyle w:val="Heading2"/>
        <w:keepNext/>
        <w:keepLines/>
        <w:numPr>
          <w:ilvl w:val="0"/>
          <w:numId w:val="0"/>
        </w:numPr>
      </w:pPr>
    </w:p>
    <w:p w14:paraId="265B6494" w14:textId="77777777" w:rsidR="00E21867" w:rsidRPr="001325F5" w:rsidRDefault="00CB05FE">
      <w:pPr>
        <w:pStyle w:val="Heading3"/>
        <w:ind w:left="567" w:hanging="567"/>
      </w:pPr>
      <w:r>
        <w:t>Discriminarea afectează persoanele LGBTIQ în toate etapele vieții lor. De la o vârstă timpurie, copiii, tinerii și copiii din familiile LGBTIQ sau „curcubeu”, în care unul dintre membri aparține comunității LGBTIQ, sunt adesea stigmatizați, ceea ce îi transformă în ținte ale discriminării și agresiunii și le afectează rezultatele școlare, perspectivele de angajare, viața de zi cu zi, precum și bunăstarea personală și a întregii familii. Prin urmare, este nevoie de măsuri mai bune și mai extinse de protecție a copiilor, în special în domeniul educației, pentru a eradica discriminarea la care sunt supuse persoanele LGBTI.</w:t>
      </w:r>
    </w:p>
    <w:p w14:paraId="1B2E3BFD" w14:textId="77777777" w:rsidR="00E21867" w:rsidRPr="001325F5" w:rsidRDefault="00E21867" w:rsidP="000575A0">
      <w:pPr>
        <w:pStyle w:val="Heading3"/>
        <w:numPr>
          <w:ilvl w:val="0"/>
          <w:numId w:val="0"/>
        </w:numPr>
        <w:ind w:left="567"/>
      </w:pPr>
    </w:p>
    <w:p w14:paraId="57C0118E" w14:textId="77777777" w:rsidR="00E21867" w:rsidRPr="001325F5" w:rsidRDefault="00E21867">
      <w:pPr>
        <w:pStyle w:val="Heading3"/>
        <w:ind w:left="567" w:hanging="567"/>
      </w:pPr>
      <w:r>
        <w:t>Unul dintre cele mai presante aspecte legate de discriminarea persoanelor LGBTIQ se referă la discriminarea la locul de muncă</w:t>
      </w:r>
      <w:r w:rsidR="00F07507" w:rsidRPr="001325F5">
        <w:rPr>
          <w:rStyle w:val="FootnoteReference"/>
        </w:rPr>
        <w:footnoteReference w:id="3"/>
      </w:r>
      <w:r>
        <w:t xml:space="preserve"> și accesul pe piața muncii. Astfel, Directiva privind egalitatea de tratament în ceea ce privește încadrarea în muncă și ocuparea forței de muncă trebuie să protejeze, de asemenea, persoanele transgen, non-binare, intersexuale și queer împotriva discriminării în aceste domenii. În plus, CESE salută dorința Comisiei de a extinde aplicabilitatea </w:t>
      </w:r>
      <w:r>
        <w:lastRenderedPageBreak/>
        <w:t>directivei la alte domenii decât ocuparea forței de muncă și formarea profesională, considerând-o o măsură eficace de combatere a discriminării persoanelor LGBTIQ.</w:t>
      </w:r>
    </w:p>
    <w:p w14:paraId="7E6E5AB6" w14:textId="77777777" w:rsidR="005146BA" w:rsidRPr="001325F5" w:rsidRDefault="005146BA" w:rsidP="00F65E9A">
      <w:pPr>
        <w:pStyle w:val="Heading3"/>
        <w:numPr>
          <w:ilvl w:val="0"/>
          <w:numId w:val="0"/>
        </w:numPr>
        <w:ind w:left="567"/>
      </w:pPr>
    </w:p>
    <w:p w14:paraId="6A9AE80F" w14:textId="77777777" w:rsidR="00326138" w:rsidRPr="001325F5" w:rsidRDefault="00CF4DD8" w:rsidP="00F65E9A">
      <w:pPr>
        <w:pStyle w:val="Heading3"/>
        <w:ind w:left="567" w:hanging="567"/>
      </w:pPr>
      <w:r>
        <w:t xml:space="preserve">În ceea ce privește discriminarea la locul de muncă, o atenție specială trebuie acordată persoanelor transgen din cauza provocărilor sociale cu care se confruntă (de exemplu: necorelarea dintre situația factuală și cea juridică ca urmare a procedurilor dificile de schimbare a documentelor de identitate în cele mai multe state membre, lipsa procedurilor medicale, prejudiciile cu care se confruntă etc.). Aceste provocări sociale pot duce la hărțuire la locul de muncă, la concedieri și, în general, la numeroase probleme, de la căutarea unui loc de muncă la altele. </w:t>
      </w:r>
    </w:p>
    <w:p w14:paraId="53C56FAC" w14:textId="77777777" w:rsidR="00326138" w:rsidRPr="001325F5" w:rsidRDefault="00326138" w:rsidP="000575A0">
      <w:pPr>
        <w:pStyle w:val="Heading3"/>
        <w:numPr>
          <w:ilvl w:val="0"/>
          <w:numId w:val="0"/>
        </w:numPr>
        <w:ind w:left="567" w:hanging="567"/>
      </w:pPr>
    </w:p>
    <w:p w14:paraId="585A0CB9" w14:textId="77777777" w:rsidR="00326138" w:rsidRPr="001325F5" w:rsidRDefault="00326138" w:rsidP="000575A0">
      <w:pPr>
        <w:pStyle w:val="Heading3"/>
        <w:ind w:left="567" w:hanging="567"/>
      </w:pPr>
      <w:r>
        <w:t>Comitetul subliniază nevoia ca Uniunea Europeană să stabilească linii de acțiune privind politicile active în domeniul ocupării forței de muncă, vizând elaborarea de către statele membre și de către autoritățile naționale a unor planuri naționale în domeniul ocupării forței de muncă, care să includă măsuri specifice pentru persoanele LGBTIQ și pentru limitarea efectelor lipsei de acces pe piața forței de muncă de care acestea suferă în mod structural.</w:t>
      </w:r>
    </w:p>
    <w:p w14:paraId="11A6FCFC" w14:textId="77777777" w:rsidR="00F60635" w:rsidRPr="001325F5" w:rsidRDefault="00326138" w:rsidP="00F65E9A">
      <w:pPr>
        <w:pStyle w:val="Heading3"/>
        <w:numPr>
          <w:ilvl w:val="0"/>
          <w:numId w:val="0"/>
        </w:numPr>
        <w:ind w:left="567"/>
      </w:pPr>
      <w:r>
        <w:t xml:space="preserve"> </w:t>
      </w:r>
    </w:p>
    <w:p w14:paraId="4E4418FA" w14:textId="77777777" w:rsidR="008768C0" w:rsidRPr="001325F5" w:rsidRDefault="008768C0" w:rsidP="00F65E9A">
      <w:pPr>
        <w:pStyle w:val="Heading3"/>
        <w:ind w:left="567" w:hanging="567"/>
      </w:pPr>
      <w:r>
        <w:t>CESE consideră că este esențială extinderea regulamentelor europene privind egalitatea de tratament, pentru a include persoanele transgen, precum și persoanele non-binare, intersexuale și queer, cu scopul de a garanta protejarea tuturor persoanelor LGBTIQ împotriva discriminării pe piața forței de muncă pe motive de orientare sexuală, identitate și exprimare de gen și caracteristici sexuale.</w:t>
      </w:r>
    </w:p>
    <w:p w14:paraId="257F08F6" w14:textId="77777777" w:rsidR="00B1039A" w:rsidRPr="001325F5" w:rsidRDefault="00B1039A" w:rsidP="000575A0"/>
    <w:p w14:paraId="15878C8D" w14:textId="77777777" w:rsidR="00B1039A" w:rsidRPr="001325F5" w:rsidRDefault="00B1039A">
      <w:pPr>
        <w:pStyle w:val="Heading3"/>
        <w:ind w:left="567" w:hanging="567"/>
      </w:pPr>
      <w:r>
        <w:t>CESE sprijină propunerea Comisiei Europene de a extinde Directiva privind egalitatea de tratament la alte domenii din afara muncii și a formării profesionale. În acest sens, Comitetul consideră că este necesar să fie sprijinită solicitarea Comisiei adresată Consiliului de a adopta propunerea, pentru a acoperi lacunele legate de protecția prevăzută de dreptul UE împotriva discriminării pe motive legate de orientarea sexuală, dar și de identitatea/exprimarea de gen, caracteristicile sexuale sau grupul familial.</w:t>
      </w:r>
    </w:p>
    <w:p w14:paraId="0C27C622" w14:textId="77777777" w:rsidR="00E55CAE" w:rsidRPr="001325F5" w:rsidRDefault="00E55CAE" w:rsidP="000575A0">
      <w:pPr>
        <w:ind w:left="567" w:hanging="567"/>
      </w:pPr>
    </w:p>
    <w:p w14:paraId="6CE8AFB6" w14:textId="4A7A3273" w:rsidR="00F01AB6" w:rsidRPr="001325F5" w:rsidRDefault="00E55CAE">
      <w:pPr>
        <w:pStyle w:val="Heading3"/>
        <w:ind w:left="567" w:hanging="567"/>
      </w:pPr>
      <w:r>
        <w:t>CESE sprijină solicitarea adresată de instituțiile europene statelor membre, de a ratifica Convenția nr. 190 a OIM privind eliminarea violenței și a hărțuirii în câmpul muncii, care face referire la o gamă de comportamente și practici inacceptabile îndreptate împotriva unor persoane pe motive legate de sex sau de gen și care oferă guvernelor și partenerilor sociali îndrumări despre modalitățile de identificare a instrumentelor de prevenire și contracarare a acestor forme de discriminare. Negocierile colective la toate nivelurile și convențiile colective pot contribui la stabilirea unor măsuri specifice pentru locul de muncă și la implementarea acordului autonom semnat de partenerii sociali europeni împotriva violenței la locul de muncă.</w:t>
      </w:r>
    </w:p>
    <w:p w14:paraId="35A9BD26" w14:textId="6C75DEF5" w:rsidR="008768C0" w:rsidRPr="001325F5" w:rsidRDefault="008768C0" w:rsidP="00D1065A">
      <w:pPr>
        <w:pStyle w:val="Heading3"/>
        <w:numPr>
          <w:ilvl w:val="0"/>
          <w:numId w:val="0"/>
        </w:numPr>
      </w:pPr>
    </w:p>
    <w:p w14:paraId="4BCA2129" w14:textId="6C8F709C" w:rsidR="00D85568" w:rsidRPr="001325F5" w:rsidRDefault="00DE6710" w:rsidP="00F65E9A">
      <w:pPr>
        <w:pStyle w:val="Heading3"/>
        <w:ind w:left="567" w:hanging="567"/>
      </w:pPr>
      <w:r>
        <w:t>Dată fiind discriminarea persoanelor LGBTIQ în chiar în mediul în care ar trebui să se simtă cel mai în siguranță, și anume în mijlocul familiei, multe persoane care aparțin minorităților LGBTIQ, în special tineri, devin persoane fără adăpost. În multe state membre, autorităților le lipsește capacitatea de a asigura servicii sociale și medicale pentru a sprijini aceste persoane. Prin urmare, este esențial ca persoanele LGBTIQ să beneficieze de adăposturi sigure și de servicii medicale astfel încât să se poată integra în societate și să-și poată găsi un loc de muncă stabil și sigur.</w:t>
      </w:r>
    </w:p>
    <w:p w14:paraId="2467113D" w14:textId="77777777" w:rsidR="00DE6710" w:rsidRPr="001325F5" w:rsidRDefault="00DE6710" w:rsidP="000575A0">
      <w:pPr>
        <w:pStyle w:val="Heading3"/>
        <w:numPr>
          <w:ilvl w:val="0"/>
          <w:numId w:val="0"/>
        </w:numPr>
        <w:ind w:left="567"/>
      </w:pPr>
    </w:p>
    <w:p w14:paraId="210D27DB" w14:textId="55DFFD2B" w:rsidR="003C332A" w:rsidRPr="001325F5" w:rsidRDefault="003C332A" w:rsidP="00D85568">
      <w:pPr>
        <w:pStyle w:val="Heading3"/>
        <w:ind w:left="567" w:hanging="567"/>
      </w:pPr>
      <w:r>
        <w:lastRenderedPageBreak/>
        <w:t xml:space="preserve">Pe lângă propunerile Comisiei de a reforma sistemul european comun de azil, este esențial ca Uniunea Europeană să asigure fonduri pentru ca judecătorii, procurorii, polițiștii de frontieră, specialiștii din serviciile de imigrare și interpreții să beneficieze de formare pentru a înțelege nevoile specifice ale persoanelor vulnerabile care solicită protecție internațională, inclusiv ale persoanelor LGBTIQ. </w:t>
      </w:r>
    </w:p>
    <w:p w14:paraId="10BEB61B" w14:textId="77777777" w:rsidR="00852FD3" w:rsidRPr="001325F5" w:rsidRDefault="00852FD3" w:rsidP="00CA07F8">
      <w:pPr>
        <w:pStyle w:val="Heading3"/>
        <w:numPr>
          <w:ilvl w:val="0"/>
          <w:numId w:val="0"/>
        </w:numPr>
        <w:ind w:left="567"/>
      </w:pPr>
    </w:p>
    <w:p w14:paraId="7F5CF076" w14:textId="77777777" w:rsidR="000E5026" w:rsidRPr="001325F5" w:rsidRDefault="000E5026" w:rsidP="00F65E9A">
      <w:pPr>
        <w:pStyle w:val="Heading3"/>
        <w:ind w:left="567" w:hanging="567"/>
      </w:pPr>
      <w:r>
        <w:t>În acest sens, CESE consideră că este primordial să se limiteze aplicarea politicilor de returnare a migranților la frontierele UE, ținând seama de faptul că multe dintre aceste persoane fug din țările lor de origine din cauza persecuției pe motive de orientare sexuală, de identitate/exprimare de gen și de caracteristici sexuale. Returnarea fără acordarea posibilității de a solicita protecție internațională încalcă drepturile fundamentale ale omului, tratatele internaționale și, în unele cazuri, legislația națională privind protecția internațională.</w:t>
      </w:r>
    </w:p>
    <w:p w14:paraId="2B81EA16" w14:textId="77777777" w:rsidR="003E0A26" w:rsidRPr="001325F5" w:rsidRDefault="003E0A26" w:rsidP="00CA07F8">
      <w:pPr>
        <w:pStyle w:val="Heading3"/>
        <w:numPr>
          <w:ilvl w:val="0"/>
          <w:numId w:val="0"/>
        </w:numPr>
        <w:ind w:left="567"/>
      </w:pPr>
    </w:p>
    <w:p w14:paraId="31FE145A" w14:textId="77777777" w:rsidR="00F60635" w:rsidRPr="001325F5" w:rsidRDefault="000E5026" w:rsidP="00F65E9A">
      <w:pPr>
        <w:pStyle w:val="Heading3"/>
        <w:ind w:left="567" w:hanging="567"/>
      </w:pPr>
      <w:r>
        <w:t>În opinia Comitetului, Comisia ar trebui să aibă în vedere recunoașterea dreptului la autonomie decizională privind stabilirea genului al persoanelor transgen, respectând astfel cele mai înalte standarde internaționale legate de respectarea drepturilor omului și promovând recunoașterea acestora în statele membre și de către autoritățile naționale, astfel încât să li se poată recunoaște identitatea fără a fi necesară atestarea acesteia de către o terță parte.</w:t>
      </w:r>
    </w:p>
    <w:p w14:paraId="7B5F89AC" w14:textId="77777777" w:rsidR="00F60635" w:rsidRPr="001325F5" w:rsidRDefault="00F60635" w:rsidP="0056244C">
      <w:pPr>
        <w:pStyle w:val="Heading3"/>
        <w:numPr>
          <w:ilvl w:val="0"/>
          <w:numId w:val="0"/>
        </w:numPr>
        <w:ind w:left="567"/>
      </w:pPr>
    </w:p>
    <w:p w14:paraId="1B31888B" w14:textId="04096FA7" w:rsidR="00BC790E" w:rsidRPr="001325F5" w:rsidRDefault="0021649A">
      <w:pPr>
        <w:pStyle w:val="Heading3"/>
        <w:ind w:left="567" w:hanging="567"/>
      </w:pPr>
      <w:r>
        <w:t>Comisia Europeană ar trebui să monitorizeze accesul persoanelor transgen la asigurare medicală pentru tratamentul de confirmare a genului și să colaboreze cu statele membre pentru a fructifica pe deplin posibilitățile oferite de cadrul UE privind asistența medicală transfrontalieră, remediind astfel eventuale deficiențe de la nivel național.</w:t>
      </w:r>
    </w:p>
    <w:p w14:paraId="564FF61D" w14:textId="77777777" w:rsidR="00BC790E" w:rsidRPr="001325F5" w:rsidRDefault="00BC790E" w:rsidP="0056244C">
      <w:pPr>
        <w:pStyle w:val="Heading3"/>
        <w:numPr>
          <w:ilvl w:val="0"/>
          <w:numId w:val="0"/>
        </w:numPr>
        <w:ind w:left="567"/>
      </w:pPr>
    </w:p>
    <w:p w14:paraId="54A1AA86" w14:textId="77777777" w:rsidR="007F2034" w:rsidRPr="001325F5" w:rsidRDefault="00BC790E">
      <w:pPr>
        <w:pStyle w:val="Heading3"/>
        <w:ind w:left="567" w:hanging="567"/>
      </w:pPr>
      <w:r>
        <w:t>Comisia ar trebui să încurajeze statele membre să adopte strategii la nivel național pentru supravegherea, controlul și prevenirea bolilor cu transmitere sexuală. De asemenea, în acest domeniu este esențial să se acorde prioritate fondurilor pentru profesioniștii din domeniul sănătății și să se li se propună acțiuni de formare, în conformitate cu recomandările Organizației Mondiale a Sănătății (OMS) și cu cea de a 11-a ediție a Clasificării Statistice Internaționale a Bolilor și Problemelor de Sănătate Înrudite (ICD-11). În plus, este esențial ca statele membre să încurajeze schimbul de experiență și de practici în rândul profesioniștilor din domeniul sănătății din diferite state membre.</w:t>
      </w:r>
    </w:p>
    <w:p w14:paraId="5917B769" w14:textId="77777777" w:rsidR="007F2034" w:rsidRPr="001325F5" w:rsidRDefault="007F2034" w:rsidP="000575A0">
      <w:pPr>
        <w:pStyle w:val="Heading3"/>
        <w:numPr>
          <w:ilvl w:val="0"/>
          <w:numId w:val="0"/>
        </w:numPr>
        <w:ind w:left="567"/>
      </w:pPr>
    </w:p>
    <w:p w14:paraId="7DE42416" w14:textId="0719BAF5" w:rsidR="007F2034" w:rsidRPr="001325F5" w:rsidRDefault="007F2034">
      <w:pPr>
        <w:pStyle w:val="Heading3"/>
        <w:ind w:left="567" w:hanging="567"/>
      </w:pPr>
      <w:r>
        <w:t>Statele membre ar trebui încurajate să interzică „terapia de conversie” în întreaga UE, o practică degradantă, cu numeroase repercusiuni asupra sănătății fizice și mintale a persoanelor LGBTIQ. În plus, statele membre ar trebui să fie încurajate să adopte măsuri legislative care să interzică „mutilarea persoanelor intersexuale”. Acest lucru ar garanta că persoanele intersexuale au dreptul de a decide ele însele dacă doresc să se supună sau nu unor proceduri medicale de atribuire a unui anumit sex, iar derogările de la această normă ar trebui permise numai în contextul unei nevoi medicale urgente, în care viața persoanei intersexuale este în pericol.</w:t>
      </w:r>
    </w:p>
    <w:p w14:paraId="3449643E" w14:textId="77777777" w:rsidR="00E743CF" w:rsidRPr="001325F5" w:rsidRDefault="00E743CF" w:rsidP="00FB1235">
      <w:pPr>
        <w:pStyle w:val="Heading3"/>
        <w:numPr>
          <w:ilvl w:val="0"/>
          <w:numId w:val="0"/>
        </w:numPr>
        <w:ind w:left="567"/>
      </w:pPr>
    </w:p>
    <w:p w14:paraId="7E9768EC" w14:textId="01260CF8" w:rsidR="00BC790E" w:rsidRPr="001325F5" w:rsidRDefault="008B6C76" w:rsidP="00F65E9A">
      <w:pPr>
        <w:pStyle w:val="Heading3"/>
        <w:ind w:left="567" w:hanging="567"/>
      </w:pPr>
      <w:r>
        <w:t xml:space="preserve">Programele de finanțare ale Uniunii Europene ar trebui strâns corelate cu valorile UE promovate la articolul 2 din TUE și cu respectarea acestora. De asemenea, pentru proiectele de mari dimensiuni, statelor membre ar trebui să li se solicite să efectueze o evaluare a impactului asupra grupurilor vulnerabile, inclusiv asupra persoanelor LGBTIQ, pentru proiectele finanțate din fonduri UE. Astfel, la nivelul statelor membre ar trebui să existe un audit al diversității pentru </w:t>
      </w:r>
      <w:r>
        <w:lastRenderedPageBreak/>
        <w:t>finanțarea UE, efectuat de o comisie independentă alcătuită din autorități publice naționale de la nivel local sau central și din organizațiile societății civile</w:t>
      </w:r>
      <w:r w:rsidR="0096036E" w:rsidRPr="001325F5">
        <w:rPr>
          <w:rStyle w:val="FootnoteReference"/>
        </w:rPr>
        <w:footnoteReference w:id="4"/>
      </w:r>
      <w:r>
        <w:t>.</w:t>
      </w:r>
    </w:p>
    <w:p w14:paraId="11A1341A" w14:textId="77777777" w:rsidR="00BC790E" w:rsidRPr="001325F5" w:rsidRDefault="00BC790E" w:rsidP="00FB1235">
      <w:pPr>
        <w:pStyle w:val="Heading3"/>
        <w:numPr>
          <w:ilvl w:val="0"/>
          <w:numId w:val="0"/>
        </w:numPr>
        <w:ind w:left="567"/>
      </w:pPr>
    </w:p>
    <w:p w14:paraId="7058816A" w14:textId="77777777" w:rsidR="00BC790E" w:rsidRPr="001325F5" w:rsidRDefault="00782DF4">
      <w:pPr>
        <w:pStyle w:val="Heading3"/>
        <w:ind w:left="567" w:hanging="567"/>
      </w:pPr>
      <w:r>
        <w:t>Pentru formarea experților invitați să efectueze acest audit al diversității în cadrul programelor de finanțare ale UE, ar trebui desfășurat un program de formare elaborat la nivel european pentru dezvoltarea competențelor și pentru încurajarea statelor membre să facă schimb de bune practici privind impactul programelor de finanțare ale UE asupra grupurilor vulnerabile, inclusiv a comunității LGBTIQ. Pentru a pune în aplicare această măsură la nivelul UE, trebuie instituit un mecanism de supraveghere la nivelul Comisiei Europene.</w:t>
      </w:r>
    </w:p>
    <w:p w14:paraId="0E69B3A6" w14:textId="77777777" w:rsidR="00BC790E" w:rsidRPr="001325F5" w:rsidRDefault="00BC790E" w:rsidP="00FB1235">
      <w:pPr>
        <w:pStyle w:val="Heading3"/>
        <w:numPr>
          <w:ilvl w:val="0"/>
          <w:numId w:val="0"/>
        </w:numPr>
        <w:ind w:left="567"/>
      </w:pPr>
    </w:p>
    <w:p w14:paraId="081DAFC4" w14:textId="28364040" w:rsidR="00BC790E" w:rsidRPr="001325F5" w:rsidRDefault="00A26B9A" w:rsidP="00F65E9A">
      <w:pPr>
        <w:pStyle w:val="Heading3"/>
        <w:ind w:left="567" w:hanging="567"/>
      </w:pPr>
      <w:r>
        <w:t xml:space="preserve">Statele membre ar trebui stimulate să implementeze campanii și programe naționale de educare și sensibilizare, pentru a reduce și a combate discriminarea împotriva persoanelor diferite din perspectiva orientării sexuale și a identității de gen. În acest sens, autoritățile naționale ar trebui să asigure includerea în programele școlare naționale obligatorii a unor informații privind drepturile omului, inclusiv orientarea sexuală, identitatea de gen și exprimarea acesteia, pentru a preveni discriminarea, prejudecățile și stereotipurile. În plus, școlile primare și liceele ar trebui să ofere o educație sexuală cuprinzătoare, prin care copiii și adolescenții să dobândească cunoștințele și competențele necesare pentru a duce o viață mai sănătoasă și pentru a se implica în relații de egalitate. </w:t>
      </w:r>
    </w:p>
    <w:p w14:paraId="75EC981D" w14:textId="77777777" w:rsidR="00365F95" w:rsidRPr="001325F5" w:rsidRDefault="00365F95" w:rsidP="00F65E9A">
      <w:pPr>
        <w:pStyle w:val="Heading3"/>
        <w:numPr>
          <w:ilvl w:val="0"/>
          <w:numId w:val="0"/>
        </w:numPr>
        <w:ind w:left="567"/>
      </w:pPr>
    </w:p>
    <w:p w14:paraId="10948D4B" w14:textId="77777777" w:rsidR="00BC790E" w:rsidRPr="001325F5" w:rsidRDefault="00BC790E" w:rsidP="00D1065A">
      <w:pPr>
        <w:pStyle w:val="Heading2"/>
        <w:keepNext/>
        <w:ind w:left="567" w:hanging="567"/>
        <w:rPr>
          <w:b/>
        </w:rPr>
      </w:pPr>
      <w:r>
        <w:rPr>
          <w:b/>
        </w:rPr>
        <w:t>Garantarea siguranței persoanelor LGBTIQ</w:t>
      </w:r>
    </w:p>
    <w:p w14:paraId="2DFD3A5B" w14:textId="77777777" w:rsidR="00BC790E" w:rsidRPr="001325F5" w:rsidRDefault="00BC790E" w:rsidP="00D1065A">
      <w:pPr>
        <w:pStyle w:val="Heading2"/>
        <w:keepNext/>
        <w:numPr>
          <w:ilvl w:val="0"/>
          <w:numId w:val="0"/>
        </w:numPr>
        <w:ind w:left="567"/>
      </w:pPr>
    </w:p>
    <w:p w14:paraId="66B4932B" w14:textId="708ADA69" w:rsidR="00BC790E" w:rsidRPr="001325F5" w:rsidRDefault="00BC790E" w:rsidP="009F196A">
      <w:pPr>
        <w:pStyle w:val="Heading3"/>
        <w:ind w:left="567" w:hanging="567"/>
      </w:pPr>
      <w:r>
        <w:t xml:space="preserve">Știm că, în mai multe state membre, au existat referendumuri pentru modificarea constituțiilor naționale, vizând limitarea drepturilor persoanelor LGBTIQ sau stigmatizarea acestei categorii de persoane în rândul publicului larg. Dat fiind că informațiile circulă într-un spațiu transfrontalier în întreaga Uniune Europeană, statele membre trebui să asigure transparența fondurilor publice pentru toți actorii implicați în aceste referendumuri. </w:t>
      </w:r>
    </w:p>
    <w:p w14:paraId="387EB7DB" w14:textId="77777777" w:rsidR="00A8183E" w:rsidRPr="001325F5" w:rsidRDefault="00A8183E" w:rsidP="00391891">
      <w:pPr>
        <w:pStyle w:val="Heading3"/>
        <w:numPr>
          <w:ilvl w:val="0"/>
          <w:numId w:val="0"/>
        </w:numPr>
        <w:ind w:left="567" w:hanging="567"/>
      </w:pPr>
    </w:p>
    <w:p w14:paraId="7060213A" w14:textId="10E51211" w:rsidR="00A8183E" w:rsidRPr="001325F5" w:rsidRDefault="005A68BD" w:rsidP="00391891">
      <w:pPr>
        <w:pStyle w:val="Heading3"/>
        <w:ind w:left="567" w:hanging="567"/>
      </w:pPr>
      <w:r>
        <w:t>CESE sprijină inițiativa de a extinde lista „infracțiunilor UE” prevăzute la articolul 83 alineatul (1) din TFUE pentru a include infracțiunea motivată de ură și discursul de incitare la ură, inclusiv atunci când sunt îndreptate împotriva persoanelor LGBTIQ. Prin urmare, Comisia trebuie să adopte măsuri de informare și sensibilizare cu privire la acest aspect la nivel european. Comisia ar trebui să lanseze o campanie de comunicare cu scopul de a combate această tendință și comportamentele asociate, promovând egalitatea tuturor cetățenilor săi. Propunem ca această campanie să fie lansată la nivel european și să abordeze problemele înregistrate în fiecare stat membru la nivel local. Aceste inițiative ar trebui incluse în cadrul Planului de acțiune al UE pentru democrație. În plus, toate țările europene s-au angajat să colecteze, pentru Organizația pentru Securitate și Cooperare în Europa (OSCE), date referitoare la infracțiunile motivate de ură, care pot fi utilizate în acest context.</w:t>
      </w:r>
    </w:p>
    <w:p w14:paraId="32E791A7" w14:textId="77777777" w:rsidR="00BC790E" w:rsidRPr="001325F5" w:rsidRDefault="00BC790E" w:rsidP="00391891">
      <w:pPr>
        <w:pStyle w:val="Heading3"/>
        <w:numPr>
          <w:ilvl w:val="0"/>
          <w:numId w:val="0"/>
        </w:numPr>
        <w:ind w:left="567"/>
      </w:pPr>
    </w:p>
    <w:p w14:paraId="78CB7693" w14:textId="616445BB" w:rsidR="00BC790E" w:rsidRPr="001325F5" w:rsidRDefault="00BC790E" w:rsidP="00C739A8">
      <w:pPr>
        <w:pStyle w:val="Heading3"/>
        <w:keepNext/>
        <w:keepLines/>
        <w:ind w:left="567" w:hanging="567"/>
      </w:pPr>
      <w:r>
        <w:lastRenderedPageBreak/>
        <w:t xml:space="preserve">Comisia Europeană, în cooperare cu statele membre, ar trebui să adopte, de asemenea, o serie de măsuri pentru a combate știrile false și dezinformarea, precum și discursul de incitare la ură, atât online, cât și offline. În acest sens, Comisia trebuie să elaboreze un mecanism pentru a monitoriza punerea în aplicare corespunzătoare a Directivei serviciilor mass-media audiovizuale (DSMAV) la nivelul statelor membre. De asemenea, Comisia trebuie să adopte un cadru legislativ european pentru a combate mai ușor știrile false și dezinformarea. </w:t>
      </w:r>
    </w:p>
    <w:p w14:paraId="3090ED79" w14:textId="77777777" w:rsidR="00BC790E" w:rsidRPr="001325F5" w:rsidRDefault="00BC790E" w:rsidP="00391891">
      <w:pPr>
        <w:pStyle w:val="Heading3"/>
        <w:numPr>
          <w:ilvl w:val="0"/>
          <w:numId w:val="0"/>
        </w:numPr>
        <w:ind w:left="567"/>
      </w:pPr>
    </w:p>
    <w:p w14:paraId="42F30F67" w14:textId="1E1A7902" w:rsidR="00BC790E" w:rsidRPr="001325F5" w:rsidRDefault="00BC790E" w:rsidP="00391891">
      <w:pPr>
        <w:pStyle w:val="Heading3"/>
        <w:ind w:left="567" w:hanging="567"/>
      </w:pPr>
      <w:r>
        <w:t>Pentru a combate discursul de incitare la ură în mediul online, Comitetul consideră extrem de încurajatoare acțiunile Comisiei de a promova și a pune în aplicare „Codul de conduită privind combaterea discursului ilegal de incitare la ură din mediul online”, semnat de Facebook, Microsoft, Twitter și Youtube. Acest tip de instrument – un cod de conduită pentru a combate discursul de incitare la ură – ar trebui pus în aplicare, ca recomandare, la nivelul statelor membre, atât în spațiul online, cât și în spațiul audiovizual, pentru a crea un spațiu sigur pentru persoanele LGBTIQ, precum și pentru alte grupuri vulnerabile care pot deveni ușor ținta hărțuirii sau a discursului de incitare la ură online</w:t>
      </w:r>
      <w:r w:rsidR="001F050A" w:rsidRPr="001325F5">
        <w:rPr>
          <w:rStyle w:val="FootnoteReference"/>
        </w:rPr>
        <w:footnoteReference w:id="5"/>
      </w:r>
      <w:r>
        <w:t>.</w:t>
      </w:r>
    </w:p>
    <w:p w14:paraId="01A2B119" w14:textId="77777777" w:rsidR="00BC790E" w:rsidRPr="001325F5" w:rsidRDefault="00BC790E" w:rsidP="00391891">
      <w:pPr>
        <w:pStyle w:val="Heading3"/>
        <w:numPr>
          <w:ilvl w:val="0"/>
          <w:numId w:val="0"/>
        </w:numPr>
        <w:ind w:left="567"/>
      </w:pPr>
    </w:p>
    <w:p w14:paraId="5970B4EB" w14:textId="77777777" w:rsidR="00BC790E" w:rsidRPr="001325F5" w:rsidRDefault="00BC790E">
      <w:pPr>
        <w:pStyle w:val="Heading3"/>
        <w:ind w:left="567" w:hanging="567"/>
      </w:pPr>
      <w:r>
        <w:t>Strategia privind egalitatea pentru persoanele LGBTIQ 2020-2025 ar trebui corelată cu Strategia privind drepturile victimelor 2020-2025, astfel încât persoanele care aparțin minorităților sexuale să poată avea încredere să semnaleze infracțiunile motivate de ură împotriva lor. Astfel, este necesar să se asigure formarea profesională continuă a funcționarilor poliției, a avocaților și a magistraților în domeniul infracțiunilor motivate de ură, al prejudiciilor și al stereotipurilor, iar cooperarea cu ONG-urile care oferă sprijin persoanelor LGBTIQ în acest domeniu este esențială.</w:t>
      </w:r>
    </w:p>
    <w:p w14:paraId="53D974FC" w14:textId="77777777" w:rsidR="00365F95" w:rsidRPr="001325F5" w:rsidRDefault="00365F95" w:rsidP="00391891">
      <w:pPr>
        <w:pStyle w:val="Heading3"/>
        <w:numPr>
          <w:ilvl w:val="0"/>
          <w:numId w:val="0"/>
        </w:numPr>
        <w:ind w:left="567"/>
      </w:pPr>
    </w:p>
    <w:p w14:paraId="5869D624" w14:textId="77777777" w:rsidR="003C332A" w:rsidRPr="001325F5" w:rsidRDefault="00BC790E" w:rsidP="00391891">
      <w:pPr>
        <w:pStyle w:val="Heading3"/>
        <w:ind w:left="567" w:hanging="567"/>
      </w:pPr>
      <w:r>
        <w:t xml:space="preserve">Pandemia de COVID-19 ne-a arătat că cele mai multe state membre sunt insuficient echipate pentru a asigura adăpost de urgență sau pe termen scurt persoanelor LGBTIQ care fie sunt victime ale violenței domestice, în special persoanele transgen, fie sunt agresate de propriile familii. Prin urmare, construcția de adăposturi, de locuințe sigure și de centre de asistență și furnizarea de servicii de asistență integrate necesită cooperarea autorităților naționale și a organizațiilor neguvernamentale, și finanțare din partea UE. </w:t>
      </w:r>
    </w:p>
    <w:p w14:paraId="6F4900D0" w14:textId="77777777" w:rsidR="00365F95" w:rsidRPr="001325F5" w:rsidRDefault="00365F95" w:rsidP="00166A47">
      <w:pPr>
        <w:ind w:left="567" w:hanging="567"/>
      </w:pPr>
    </w:p>
    <w:p w14:paraId="5EB10E51" w14:textId="77777777" w:rsidR="003F5FC6" w:rsidRPr="001325F5" w:rsidRDefault="003F5FC6" w:rsidP="000575A0">
      <w:pPr>
        <w:pStyle w:val="Heading2"/>
        <w:keepNext/>
        <w:keepLines/>
        <w:ind w:left="567" w:hanging="567"/>
        <w:rPr>
          <w:b/>
        </w:rPr>
      </w:pPr>
      <w:r>
        <w:rPr>
          <w:b/>
        </w:rPr>
        <w:t>Construirea unei societăți favorabile incluziunii persoanelor LGBTIQ</w:t>
      </w:r>
    </w:p>
    <w:p w14:paraId="497F22DA" w14:textId="77777777" w:rsidR="003F5FC6" w:rsidRPr="001325F5" w:rsidRDefault="003F5FC6" w:rsidP="000575A0">
      <w:pPr>
        <w:pStyle w:val="Heading2"/>
        <w:keepNext/>
        <w:keepLines/>
        <w:numPr>
          <w:ilvl w:val="0"/>
          <w:numId w:val="0"/>
        </w:numPr>
      </w:pPr>
    </w:p>
    <w:p w14:paraId="2D68CE7A" w14:textId="07EA7E03" w:rsidR="00391B25" w:rsidRPr="001325F5" w:rsidRDefault="003F5FC6" w:rsidP="00B65012">
      <w:pPr>
        <w:pStyle w:val="Heading3"/>
        <w:ind w:left="567" w:hanging="567"/>
      </w:pPr>
      <w:r>
        <w:t>Comisia Europeană trebuie să își asume rolul de gardian al dreptului Uniunii Europene, astfel cum rezultă din actele de reglementare europene și din jurisprudența Curții de Justiție a Uniunii Europene (CJUE) pentru aplicarea corectă și uniformă a dreptului european în toate statele membre. Ea trebuie să își intensifice eforturile și să elaboreze mecanisme extensive pentru a monitoriza aplicabilitatea dreptului european și a hotărârilor CJUE în cadrul dreptului național și în practicile autorităților naționale.</w:t>
      </w:r>
    </w:p>
    <w:p w14:paraId="28C5EA86" w14:textId="77777777" w:rsidR="00391B25" w:rsidRPr="001325F5" w:rsidRDefault="00391B25" w:rsidP="00B65012">
      <w:pPr>
        <w:pStyle w:val="Heading3"/>
        <w:numPr>
          <w:ilvl w:val="0"/>
          <w:numId w:val="0"/>
        </w:numPr>
        <w:ind w:left="567"/>
      </w:pPr>
    </w:p>
    <w:p w14:paraId="4BC2E61A" w14:textId="64312223" w:rsidR="00391B25" w:rsidRPr="001325F5" w:rsidRDefault="003F5FC6" w:rsidP="00C739A8">
      <w:pPr>
        <w:pStyle w:val="Heading3"/>
        <w:keepNext/>
        <w:keepLines/>
        <w:ind w:left="567" w:hanging="567"/>
      </w:pPr>
      <w:r>
        <w:lastRenderedPageBreak/>
        <w:t xml:space="preserve">În ceea ce privește libera circulație, unul dintre pilonii dreptului european, Comisia Europeană trebuie să elaboreze un mecanism de monitorizare pentru a se asigura că drepturile prevăzute în Directiva 2004/38/CE în special dreptul de a circula și a trăi liber, le sunt recunoscute tuturor cetățenilor europeni și familiilor lor, inclusiv familiilor-„curcubeu”, în întreaga Uniune Europeană. </w:t>
      </w:r>
    </w:p>
    <w:p w14:paraId="0F0261F8" w14:textId="77777777" w:rsidR="00391B25" w:rsidRPr="001325F5" w:rsidRDefault="00391B25" w:rsidP="00B65012">
      <w:pPr>
        <w:pStyle w:val="Heading3"/>
        <w:numPr>
          <w:ilvl w:val="0"/>
          <w:numId w:val="0"/>
        </w:numPr>
        <w:ind w:left="567"/>
      </w:pPr>
    </w:p>
    <w:p w14:paraId="6975177F" w14:textId="4BF771E1" w:rsidR="00240933" w:rsidRPr="001325F5" w:rsidRDefault="003F5FC6" w:rsidP="004A3255">
      <w:pPr>
        <w:pStyle w:val="Heading3"/>
        <w:ind w:left="567" w:hanging="567"/>
      </w:pPr>
      <w:r>
        <w:t xml:space="preserve">Pentru ca toate persoanele LGBTIQ să se bucure de dreptul la liberă circulație în întreaga Uniune Europeană, Comitetul solicită Comisiei Europene, pe de o parte, să elaboreze un cadru de reglementare prin care noțiunea de „familie” să fie autonomă, independentă de legislația națională a statelor membre, în special în situații transfrontaliere și, pe de altă parte, să se asigure că documentele de naștere modificate în urma unei proceduri administrative sau judiciare sunt recunoscute în toate statele membre, în contextul liberei circulații. Comisia Europeană ar trebui să colaboreze cu statele membre pentru a facilita înregistrarea relațiilor de rudenie pentru părinții transsexuali în funcție de identitatea lor de gen recunoscută legal, pentru a proteja aceste familii împotriva expunerilor nedorite, a discriminării și a violenței. </w:t>
      </w:r>
    </w:p>
    <w:p w14:paraId="1B0B3DFE" w14:textId="77777777" w:rsidR="00B67F20" w:rsidRPr="001325F5" w:rsidRDefault="00B67F20" w:rsidP="00B67F20">
      <w:pPr>
        <w:pStyle w:val="Heading2"/>
        <w:numPr>
          <w:ilvl w:val="0"/>
          <w:numId w:val="0"/>
        </w:numPr>
      </w:pPr>
    </w:p>
    <w:p w14:paraId="1955F824" w14:textId="77777777" w:rsidR="00BE3252" w:rsidRPr="001325F5" w:rsidRDefault="00BC790E" w:rsidP="000575A0">
      <w:pPr>
        <w:pStyle w:val="Heading2"/>
        <w:keepNext/>
        <w:keepLines/>
        <w:ind w:left="567" w:hanging="567"/>
        <w:rPr>
          <w:b/>
        </w:rPr>
      </w:pPr>
      <w:r>
        <w:rPr>
          <w:b/>
        </w:rPr>
        <w:t>Inițierea unui apel la egalitate pentru persoanele LGBTIQ din întreaga lume</w:t>
      </w:r>
    </w:p>
    <w:p w14:paraId="121D3FC4" w14:textId="77777777" w:rsidR="00E733C4" w:rsidRPr="001325F5" w:rsidRDefault="00E733C4" w:rsidP="000575A0">
      <w:pPr>
        <w:pStyle w:val="ListParagraph"/>
        <w:keepNext/>
        <w:keepLines/>
        <w:contextualSpacing w:val="0"/>
        <w:outlineLvl w:val="1"/>
      </w:pPr>
    </w:p>
    <w:p w14:paraId="07240F02" w14:textId="4094A456" w:rsidR="00E733C4" w:rsidRPr="001325F5" w:rsidRDefault="00BC790E" w:rsidP="00D1065A">
      <w:pPr>
        <w:pStyle w:val="Heading3"/>
        <w:keepNext/>
        <w:ind w:left="567" w:hanging="567"/>
        <w:rPr>
          <w:rStyle w:val="Heading3Char"/>
        </w:rPr>
      </w:pPr>
      <w:r>
        <w:rPr>
          <w:rStyle w:val="Heading3Char"/>
        </w:rPr>
        <w:t>Instituțiile europene trebuie să își asume rolul de garant și de protector al drepturilor fundamentale ale omului, în cadrul acțiunilor pe care le desfășoară atât pe plan intern, cât și extern. Pentru a realiza acest lucru, este necesară colaborarea cu alte instituții regionale și internaționale, precum Consiliul Europei și ONU, pentru a garanta persoanelor LGBTIQ și apărătorilor drepturilor omului siguranța și egalitatea pe care le merită. De asemenea, este important ca, pe lângă măsurile de sprijin menite să combată violența, ura și discriminarea împotriva persoanelor LGBTIQ prin Instrumentul de asistență pentru preaderare (IPA) în țările candidate sau potențial candidate, instituțiile europene să introducă aceste criterii în acțiunile lor externe, în domeniul finanțării țărilor din afara UE.</w:t>
      </w:r>
    </w:p>
    <w:p w14:paraId="2E5263C6" w14:textId="15C13FF4" w:rsidR="002B5EEF" w:rsidRPr="001325F5" w:rsidRDefault="002B5EEF" w:rsidP="00D1065A">
      <w:pPr>
        <w:keepNext/>
        <w:rPr>
          <w:lang w:bidi="ar-SA"/>
        </w:rPr>
      </w:pPr>
    </w:p>
    <w:p w14:paraId="3B2B8A16" w14:textId="22EB04A7" w:rsidR="002B5EEF" w:rsidRPr="001325F5" w:rsidRDefault="002B5EEF" w:rsidP="00D1065A">
      <w:pPr>
        <w:keepNext/>
      </w:pPr>
      <w:r>
        <w:t>Bruxelles, 27 aprilie 2021</w:t>
      </w:r>
    </w:p>
    <w:p w14:paraId="105D5282" w14:textId="77777777" w:rsidR="002B5EEF" w:rsidRPr="001325F5" w:rsidRDefault="002B5EEF" w:rsidP="00D1065A">
      <w:pPr>
        <w:keepNext/>
      </w:pPr>
    </w:p>
    <w:p w14:paraId="6732F7A7" w14:textId="77777777" w:rsidR="002B5EEF" w:rsidRPr="001325F5" w:rsidRDefault="002B5EEF" w:rsidP="00D1065A">
      <w:pPr>
        <w:keepNext/>
      </w:pPr>
    </w:p>
    <w:p w14:paraId="2953A4E0" w14:textId="77777777" w:rsidR="002B5EEF" w:rsidRPr="001325F5" w:rsidRDefault="002B5EEF" w:rsidP="00D1065A">
      <w:pPr>
        <w:keepNext/>
      </w:pPr>
    </w:p>
    <w:p w14:paraId="08E8EBBD" w14:textId="77777777" w:rsidR="002B5EEF" w:rsidRPr="001325F5" w:rsidRDefault="002B5EEF" w:rsidP="00D1065A">
      <w:pPr>
        <w:keepNext/>
        <w:jc w:val="left"/>
      </w:pPr>
    </w:p>
    <w:p w14:paraId="31BF43F7" w14:textId="037E0E46" w:rsidR="002B5EEF" w:rsidRPr="00D1065A" w:rsidRDefault="00B87DB3" w:rsidP="00D1065A">
      <w:pPr>
        <w:keepNext/>
        <w:jc w:val="left"/>
      </w:pPr>
      <w:r>
        <w:t xml:space="preserve">Christa </w:t>
      </w:r>
      <w:r w:rsidR="00C739A8">
        <w:t xml:space="preserve">SCHWENG </w:t>
      </w:r>
      <w:r>
        <w:br/>
        <w:t>Președinta Comitetului Economic și Social European</w:t>
      </w:r>
    </w:p>
    <w:p w14:paraId="0D607A2D" w14:textId="77777777" w:rsidR="003E78DA" w:rsidRPr="001325F5" w:rsidRDefault="003E78DA" w:rsidP="00D1065A">
      <w:pPr>
        <w:keepNext/>
        <w:rPr>
          <w:lang w:bidi="ar-SA"/>
        </w:rPr>
      </w:pPr>
    </w:p>
    <w:p w14:paraId="493BB789" w14:textId="77777777" w:rsidR="00391B25" w:rsidRPr="001325F5" w:rsidRDefault="00646AC2" w:rsidP="00D1065A">
      <w:pPr>
        <w:keepNext/>
        <w:jc w:val="center"/>
      </w:pPr>
      <w:r>
        <w:t>_____________</w:t>
      </w:r>
    </w:p>
    <w:sectPr w:rsidR="00391B25" w:rsidRPr="001325F5" w:rsidSect="001652D8">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5A5B5" w16cex:dateUtc="2021-01-22T18:27:00Z"/>
  <w16cex:commentExtensible w16cex:durableId="23B5A1AF" w16cex:dateUtc="2021-01-22T18:10:00Z"/>
  <w16cex:commentExtensible w16cex:durableId="23B4520E" w16cex:dateUtc="2021-01-21T18:18:00Z"/>
  <w16cex:commentExtensible w16cex:durableId="23B5A58B" w16cex:dateUtc="2021-01-22T18:27:00Z"/>
  <w16cex:commentExtensible w16cex:durableId="23B5A3B4" w16cex:dateUtc="2021-01-22T18:19:00Z"/>
  <w16cex:commentExtensible w16cex:durableId="23B5A38E" w16cex:dateUtc="2021-01-22T18:18:00Z"/>
  <w16cex:commentExtensible w16cex:durableId="23B5A37B" w16cex:dateUtc="2021-01-22T18: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3018357" w16cid:durableId="23B59FE1"/>
  <w16cid:commentId w16cid:paraId="6AE89F67" w16cid:durableId="23B5A5B5"/>
  <w16cid:commentId w16cid:paraId="4CBD1D2E" w16cid:durableId="23B4518C"/>
  <w16cid:commentId w16cid:paraId="179D72EA" w16cid:durableId="23B5A1AF"/>
  <w16cid:commentId w16cid:paraId="07CB5A36" w16cid:durableId="23B4520E"/>
  <w16cid:commentId w16cid:paraId="05833798" w16cid:durableId="23B59FE4"/>
  <w16cid:commentId w16cid:paraId="6D39020A" w16cid:durableId="23B4518D"/>
  <w16cid:commentId w16cid:paraId="04128B8E" w16cid:durableId="23B59FE6"/>
  <w16cid:commentId w16cid:paraId="16FC26DB" w16cid:durableId="23B59FE8"/>
  <w16cid:commentId w16cid:paraId="7134B85F" w16cid:durableId="23B5A58B"/>
  <w16cid:commentId w16cid:paraId="2E8269E0" w16cid:durableId="23B59FEA"/>
  <w16cid:commentId w16cid:paraId="4C905D0C" w16cid:durableId="23B5A3B4"/>
  <w16cid:commentId w16cid:paraId="476A2D7C" w16cid:durableId="23B59FEC"/>
  <w16cid:commentId w16cid:paraId="599DA697" w16cid:durableId="23B5A38E"/>
  <w16cid:commentId w16cid:paraId="384CDBAB" w16cid:durableId="23B45191"/>
  <w16cid:commentId w16cid:paraId="25EDCB04" w16cid:durableId="23B59FEE"/>
  <w16cid:commentId w16cid:paraId="16256482" w16cid:durableId="23B45192"/>
  <w16cid:commentId w16cid:paraId="2A20B010" w16cid:durableId="23B59FF0"/>
  <w16cid:commentId w16cid:paraId="7CC59230" w16cid:durableId="23B5A37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BF8C2" w14:textId="77777777" w:rsidR="003C01C8" w:rsidRDefault="003C01C8">
      <w:r>
        <w:rPr>
          <w:lang w:val="en"/>
        </w:rPr>
        <w:separator/>
      </w:r>
    </w:p>
  </w:endnote>
  <w:endnote w:type="continuationSeparator" w:id="0">
    <w:p w14:paraId="45125FBB" w14:textId="77777777" w:rsidR="003C01C8" w:rsidRDefault="003C01C8">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803F0" w14:textId="4A7DEB49" w:rsidR="00E32DC6" w:rsidRPr="001652D8" w:rsidRDefault="001652D8" w:rsidP="001652D8">
    <w:pPr>
      <w:pStyle w:val="Footer"/>
    </w:pPr>
    <w:r>
      <w:t xml:space="preserve">SOC/667 – EESC-2021-00006-00-00-AC-TRA (EN) </w:t>
    </w:r>
    <w:r>
      <w:fldChar w:fldCharType="begin"/>
    </w:r>
    <w:r>
      <w:instrText xml:space="preserve"> PAGE  \* Arabic  \* MERGEFORMAT </w:instrText>
    </w:r>
    <w:r>
      <w:fldChar w:fldCharType="separate"/>
    </w:r>
    <w:r w:rsidR="00DF2D38">
      <w:rPr>
        <w:noProof/>
      </w:rPr>
      <w:t>1</w:t>
    </w:r>
    <w:r>
      <w:fldChar w:fldCharType="end"/>
    </w:r>
    <w:r>
      <w:t>/</w:t>
    </w:r>
    <w:r w:rsidR="00DF2D38">
      <w:fldChar w:fldCharType="begin"/>
    </w:r>
    <w:r w:rsidR="00DF2D38">
      <w:instrText xml:space="preserve"> NUMPAGES </w:instrText>
    </w:r>
    <w:r w:rsidR="00DF2D38">
      <w:fldChar w:fldCharType="separate"/>
    </w:r>
    <w:r w:rsidR="00DF2D38">
      <w:rPr>
        <w:noProof/>
      </w:rPr>
      <w:t>10</w:t>
    </w:r>
    <w:r w:rsidR="00DF2D38">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376AE" w14:textId="77777777" w:rsidR="003E78DA" w:rsidRPr="001652D8" w:rsidRDefault="003E78DA" w:rsidP="001652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EF77F" w14:textId="24B9A0A2" w:rsidR="003E78DA" w:rsidRPr="001652D8" w:rsidRDefault="001652D8" w:rsidP="001652D8">
    <w:pPr>
      <w:pStyle w:val="Footer"/>
    </w:pPr>
    <w:r>
      <w:t xml:space="preserve">SOC/667 – EESC-2021-00006-00-00-AC-TRA (EN) </w:t>
    </w:r>
    <w:r>
      <w:fldChar w:fldCharType="begin"/>
    </w:r>
    <w:r>
      <w:instrText xml:space="preserve"> PAGE  \* Arabic  \* MERGEFORMAT </w:instrText>
    </w:r>
    <w:r>
      <w:fldChar w:fldCharType="separate"/>
    </w:r>
    <w:r w:rsidR="00DF2D38">
      <w:rPr>
        <w:noProof/>
      </w:rPr>
      <w:t>2</w:t>
    </w:r>
    <w:r>
      <w:fldChar w:fldCharType="end"/>
    </w:r>
    <w:r>
      <w:t>/</w:t>
    </w:r>
    <w:r w:rsidR="00DF2D38">
      <w:fldChar w:fldCharType="begin"/>
    </w:r>
    <w:r w:rsidR="00DF2D38">
      <w:instrText xml:space="preserve"> NUMPAGES </w:instrText>
    </w:r>
    <w:r w:rsidR="00DF2D38">
      <w:fldChar w:fldCharType="separate"/>
    </w:r>
    <w:r w:rsidR="00DF2D38">
      <w:rPr>
        <w:noProof/>
      </w:rPr>
      <w:t>10</w:t>
    </w:r>
    <w:r w:rsidR="00DF2D38">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7876E" w14:textId="77777777" w:rsidR="003E78DA" w:rsidRPr="001652D8" w:rsidRDefault="003E78DA" w:rsidP="001652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D85C75" w14:textId="77777777" w:rsidR="003C01C8" w:rsidRDefault="003C01C8">
      <w:r>
        <w:rPr>
          <w:lang w:val="en"/>
        </w:rPr>
        <w:separator/>
      </w:r>
    </w:p>
  </w:footnote>
  <w:footnote w:type="continuationSeparator" w:id="0">
    <w:p w14:paraId="1D034896" w14:textId="77777777" w:rsidR="003C01C8" w:rsidRDefault="003C01C8">
      <w:r>
        <w:rPr>
          <w:lang w:val="en"/>
        </w:rPr>
        <w:continuationSeparator/>
      </w:r>
    </w:p>
  </w:footnote>
  <w:footnote w:id="1">
    <w:p w14:paraId="3D30B8A7" w14:textId="77777777" w:rsidR="00793DC5" w:rsidRPr="00793DC5" w:rsidRDefault="00793DC5">
      <w:pPr>
        <w:pStyle w:val="FootnoteText"/>
      </w:pPr>
      <w:r>
        <w:rPr>
          <w:rStyle w:val="FootnoteReference"/>
        </w:rPr>
        <w:footnoteRef/>
      </w:r>
      <w:r>
        <w:t xml:space="preserve"> </w:t>
      </w:r>
      <w:r>
        <w:tab/>
        <w:t>Articolul 2 din Tratatul privind Uniunea Europeană.</w:t>
      </w:r>
    </w:p>
  </w:footnote>
  <w:footnote w:id="2">
    <w:p w14:paraId="6229E5AC" w14:textId="77777777" w:rsidR="002159E8" w:rsidRPr="002159E8" w:rsidRDefault="002159E8">
      <w:pPr>
        <w:pStyle w:val="FootnoteText"/>
      </w:pPr>
      <w:r>
        <w:rPr>
          <w:rStyle w:val="FootnoteReference"/>
        </w:rPr>
        <w:footnoteRef/>
      </w:r>
      <w:r>
        <w:t xml:space="preserve"> </w:t>
      </w:r>
      <w:r>
        <w:tab/>
      </w:r>
      <w:hyperlink r:id="rId1" w:history="1">
        <w:r>
          <w:rPr>
            <w:rStyle w:val="Hyperlink"/>
          </w:rPr>
          <w:t>https://fra.europa.eu/sites/default/files/fra_uploads/fra-2020-lgbti-equality-1_en.pdf</w:t>
        </w:r>
      </w:hyperlink>
      <w:r>
        <w:t>.</w:t>
      </w:r>
    </w:p>
  </w:footnote>
  <w:footnote w:id="3">
    <w:p w14:paraId="7C5CE999" w14:textId="77777777" w:rsidR="00F07507" w:rsidRPr="00F07507" w:rsidRDefault="00F07507">
      <w:pPr>
        <w:pStyle w:val="FootnoteText"/>
      </w:pPr>
      <w:r>
        <w:rPr>
          <w:rStyle w:val="FootnoteReference"/>
        </w:rPr>
        <w:footnoteRef/>
      </w:r>
      <w:r>
        <w:t xml:space="preserve"> </w:t>
      </w:r>
      <w:r>
        <w:tab/>
        <w:t>În ceea ce privește viața profesională, persoanele LGBTIQ continuă să fie discriminate pe parcursul procesului de recrutare, la locul de muncă și la sfârșitul carierei profesionale, contrar legislației UE clare care există în acest domeniu. Multe persoane LGBTIQ se confruntă cu numeroase obstacole în găsirea unui loc de muncă stabil și remunerat echitabil, ceea ce are ca efect creșterea riscului de sărăcie, excluziune socială și lipsă de adăpost.</w:t>
      </w:r>
    </w:p>
  </w:footnote>
  <w:footnote w:id="4">
    <w:p w14:paraId="137A84ED" w14:textId="77777777" w:rsidR="0096036E" w:rsidRPr="0096036E" w:rsidRDefault="0096036E">
      <w:pPr>
        <w:pStyle w:val="FootnoteText"/>
      </w:pPr>
      <w:r>
        <w:rPr>
          <w:rStyle w:val="FootnoteReference"/>
        </w:rPr>
        <w:footnoteRef/>
      </w:r>
      <w:r>
        <w:t xml:space="preserve"> </w:t>
      </w:r>
      <w:r>
        <w:tab/>
        <w:t xml:space="preserve">Pentru a pune în aplicare această măsură, trebuie alcătuit un corp de experți care să evalueze măsura în care proiectele puse în aplicare de statele membre ajută grupurile vulnerabile, inclusiv comunitatea LGBTIQ, precum și analiza efectuată atât </w:t>
      </w:r>
      <w:r>
        <w:rPr>
          <w:i/>
        </w:rPr>
        <w:t>ex ante</w:t>
      </w:r>
      <w:r>
        <w:t xml:space="preserve">, cât și </w:t>
      </w:r>
      <w:r>
        <w:rPr>
          <w:i/>
        </w:rPr>
        <w:t>ex post</w:t>
      </w:r>
      <w:r>
        <w:t xml:space="preserve"> privind punerea în aplicare a proiectelor finanțate din fonduri UE, pe baza unei grile de evaluare stabilite la nivel european.</w:t>
      </w:r>
    </w:p>
  </w:footnote>
  <w:footnote w:id="5">
    <w:p w14:paraId="5E4A32C4" w14:textId="77777777" w:rsidR="001F050A" w:rsidRPr="001F050A" w:rsidRDefault="001F050A">
      <w:pPr>
        <w:pStyle w:val="FootnoteText"/>
      </w:pPr>
      <w:r>
        <w:rPr>
          <w:rStyle w:val="FootnoteReference"/>
        </w:rPr>
        <w:footnoteRef/>
      </w:r>
      <w:r>
        <w:t xml:space="preserve"> </w:t>
      </w:r>
      <w:r>
        <w:tab/>
        <w:t>Codurile de conduită ar trebui să fie inspirate de valorile UE privind egalitatea, drepturile omului, diversitatea și, de asemenea, libertatea de exprimare, creând un grup de experți pentru monitorizarea punerii în aplicare și a implementării acestui instrument de lucru, dar implicând și organizațiile societății civile al căror domeniu de activitate este apărarea drepturilor omului și a grupurilor vulnerabile.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A5D78" w14:textId="77777777" w:rsidR="003E78DA" w:rsidRPr="001652D8" w:rsidRDefault="003E78DA" w:rsidP="001652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FE772" w14:textId="053C70C4" w:rsidR="003E78DA" w:rsidRPr="001652D8" w:rsidRDefault="003E78DA" w:rsidP="001652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32D82" w14:textId="77777777" w:rsidR="003E78DA" w:rsidRPr="001652D8" w:rsidRDefault="003E78DA" w:rsidP="001652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BDD89E7C"/>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rPr>
        <w:b w:val="0"/>
      </w:rPr>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46AC7EBC"/>
    <w:multiLevelType w:val="hybridMultilevel"/>
    <w:tmpl w:val="9044FB32"/>
    <w:lvl w:ilvl="0" w:tplc="F1586A0A">
      <w:start w:val="1"/>
      <w:numFmt w:val="bullet"/>
      <w:lvlRestart w:val="0"/>
      <w:lvlText w:val=""/>
      <w:lvlJc w:val="left"/>
      <w:pPr>
        <w:tabs>
          <w:tab w:val="num" w:pos="0"/>
        </w:tabs>
        <w:ind w:left="283" w:hanging="283"/>
      </w:pPr>
      <w:rPr>
        <w:rFonts w:ascii="Symbol" w:hAnsi="Symbol"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45233A"/>
    <w:multiLevelType w:val="hybridMultilevel"/>
    <w:tmpl w:val="604A9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lvlOverride w:ilvl="0">
      <w:startOverride w:val="3"/>
    </w:lvlOverride>
    <w:lvlOverride w:ilvl="1">
      <w:startOverride w:val="1"/>
    </w:lvlOverride>
    <w:lvlOverride w:ilvl="2">
      <w:startOverride w:val="12"/>
    </w:lvlOverride>
  </w:num>
  <w:num w:numId="4">
    <w:abstractNumId w:val="0"/>
    <w:lvlOverride w:ilvl="0">
      <w:startOverride w:val="3"/>
    </w:lvlOverride>
    <w:lvlOverride w:ilvl="1">
      <w:startOverride w:val="1"/>
    </w:lvlOverride>
    <w:lvlOverride w:ilvl="2">
      <w:startOverride w:val="5"/>
    </w:lvlOverride>
  </w:num>
  <w:num w:numId="5">
    <w:abstractNumId w:val="0"/>
    <w:lvlOverride w:ilvl="0">
      <w:startOverride w:val="3"/>
    </w:lvlOverride>
    <w:lvlOverride w:ilvl="1">
      <w:startOverride w:val="1"/>
    </w:lvlOverride>
    <w:lvlOverride w:ilvl="2">
      <w:startOverride w:val="7"/>
    </w:lvlOverride>
  </w:num>
  <w:num w:numId="6">
    <w:abstractNumId w:val="0"/>
    <w:lvlOverride w:ilvl="0">
      <w:startOverride w:val="3"/>
    </w:lvlOverride>
    <w:lvlOverride w:ilvl="1">
      <w:startOverride w:val="1"/>
    </w:lvlOverride>
    <w:lvlOverride w:ilvl="2">
      <w:startOverride w:val="11"/>
    </w:lvlOverride>
  </w:num>
  <w:num w:numId="7">
    <w:abstractNumId w:val="0"/>
    <w:lvlOverride w:ilvl="0">
      <w:startOverride w:val="3"/>
    </w:lvlOverride>
    <w:lvlOverride w:ilvl="1">
      <w:startOverride w:val="1"/>
    </w:lvlOverride>
    <w:lvlOverride w:ilvl="2">
      <w:startOverride w:val="17"/>
    </w:lvlOverride>
  </w:num>
  <w:num w:numId="8">
    <w:abstractNumId w:val="1"/>
  </w:num>
  <w:num w:numId="9">
    <w:abstractNumId w:val="2"/>
  </w:num>
  <w:num w:numId="1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hideGrammaticalError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F8F"/>
    <w:rsid w:val="00005AB9"/>
    <w:rsid w:val="00005EB9"/>
    <w:rsid w:val="00006E24"/>
    <w:rsid w:val="00007A40"/>
    <w:rsid w:val="000101F5"/>
    <w:rsid w:val="000115C2"/>
    <w:rsid w:val="00011D33"/>
    <w:rsid w:val="00012296"/>
    <w:rsid w:val="00013792"/>
    <w:rsid w:val="0001380B"/>
    <w:rsid w:val="00014F29"/>
    <w:rsid w:val="000163D1"/>
    <w:rsid w:val="00020E6E"/>
    <w:rsid w:val="000228C3"/>
    <w:rsid w:val="00031A4B"/>
    <w:rsid w:val="00033790"/>
    <w:rsid w:val="00033913"/>
    <w:rsid w:val="00033E5B"/>
    <w:rsid w:val="000357A8"/>
    <w:rsid w:val="000430A6"/>
    <w:rsid w:val="00044923"/>
    <w:rsid w:val="00045AFC"/>
    <w:rsid w:val="0005235E"/>
    <w:rsid w:val="0005249C"/>
    <w:rsid w:val="000534A5"/>
    <w:rsid w:val="0005680D"/>
    <w:rsid w:val="000575A0"/>
    <w:rsid w:val="000633DA"/>
    <w:rsid w:val="00063FB4"/>
    <w:rsid w:val="00065594"/>
    <w:rsid w:val="0006793E"/>
    <w:rsid w:val="00072E0F"/>
    <w:rsid w:val="000735E5"/>
    <w:rsid w:val="0007392F"/>
    <w:rsid w:val="000749A0"/>
    <w:rsid w:val="00081144"/>
    <w:rsid w:val="000823AD"/>
    <w:rsid w:val="00087B39"/>
    <w:rsid w:val="00096502"/>
    <w:rsid w:val="000A3420"/>
    <w:rsid w:val="000A49BB"/>
    <w:rsid w:val="000A4ABF"/>
    <w:rsid w:val="000A7A5C"/>
    <w:rsid w:val="000B016D"/>
    <w:rsid w:val="000B2AC4"/>
    <w:rsid w:val="000B5569"/>
    <w:rsid w:val="000B7949"/>
    <w:rsid w:val="000B7AA0"/>
    <w:rsid w:val="000C3441"/>
    <w:rsid w:val="000C737B"/>
    <w:rsid w:val="000C7F53"/>
    <w:rsid w:val="000D2F8E"/>
    <w:rsid w:val="000E0511"/>
    <w:rsid w:val="000E5026"/>
    <w:rsid w:val="000F0FD8"/>
    <w:rsid w:val="000F196B"/>
    <w:rsid w:val="000F1D2A"/>
    <w:rsid w:val="000F21C9"/>
    <w:rsid w:val="000F6AC8"/>
    <w:rsid w:val="000F768D"/>
    <w:rsid w:val="00101627"/>
    <w:rsid w:val="00105361"/>
    <w:rsid w:val="001058C9"/>
    <w:rsid w:val="001101F8"/>
    <w:rsid w:val="001112EE"/>
    <w:rsid w:val="0011206F"/>
    <w:rsid w:val="00112C61"/>
    <w:rsid w:val="00116312"/>
    <w:rsid w:val="0011656A"/>
    <w:rsid w:val="00116E78"/>
    <w:rsid w:val="001174B0"/>
    <w:rsid w:val="00120A40"/>
    <w:rsid w:val="0012220C"/>
    <w:rsid w:val="00125340"/>
    <w:rsid w:val="00127435"/>
    <w:rsid w:val="001325F5"/>
    <w:rsid w:val="00136EA3"/>
    <w:rsid w:val="00137575"/>
    <w:rsid w:val="00137822"/>
    <w:rsid w:val="00140D4A"/>
    <w:rsid w:val="001415B6"/>
    <w:rsid w:val="00144231"/>
    <w:rsid w:val="00150434"/>
    <w:rsid w:val="00154B68"/>
    <w:rsid w:val="00155721"/>
    <w:rsid w:val="0015678B"/>
    <w:rsid w:val="00162BCF"/>
    <w:rsid w:val="0016503F"/>
    <w:rsid w:val="00165176"/>
    <w:rsid w:val="001652D8"/>
    <w:rsid w:val="0016674F"/>
    <w:rsid w:val="00166A47"/>
    <w:rsid w:val="00167CA0"/>
    <w:rsid w:val="0017120D"/>
    <w:rsid w:val="001714F6"/>
    <w:rsid w:val="001743F6"/>
    <w:rsid w:val="00175779"/>
    <w:rsid w:val="00176168"/>
    <w:rsid w:val="00177158"/>
    <w:rsid w:val="001808A5"/>
    <w:rsid w:val="00181860"/>
    <w:rsid w:val="00181B05"/>
    <w:rsid w:val="00184FD4"/>
    <w:rsid w:val="00185DE5"/>
    <w:rsid w:val="00186B04"/>
    <w:rsid w:val="00186F1E"/>
    <w:rsid w:val="00190836"/>
    <w:rsid w:val="00193930"/>
    <w:rsid w:val="001940F1"/>
    <w:rsid w:val="001963A5"/>
    <w:rsid w:val="00196F1E"/>
    <w:rsid w:val="001976D4"/>
    <w:rsid w:val="00197FCA"/>
    <w:rsid w:val="001A27DB"/>
    <w:rsid w:val="001A6852"/>
    <w:rsid w:val="001B286A"/>
    <w:rsid w:val="001B2D02"/>
    <w:rsid w:val="001B2FC0"/>
    <w:rsid w:val="001B3647"/>
    <w:rsid w:val="001B5260"/>
    <w:rsid w:val="001B7497"/>
    <w:rsid w:val="001B77FA"/>
    <w:rsid w:val="001C0ABE"/>
    <w:rsid w:val="001C0BE5"/>
    <w:rsid w:val="001C5852"/>
    <w:rsid w:val="001C5AD5"/>
    <w:rsid w:val="001D1AEC"/>
    <w:rsid w:val="001D45F0"/>
    <w:rsid w:val="001D48CF"/>
    <w:rsid w:val="001D4CA0"/>
    <w:rsid w:val="001E4A33"/>
    <w:rsid w:val="001E5852"/>
    <w:rsid w:val="001E5C27"/>
    <w:rsid w:val="001F050A"/>
    <w:rsid w:val="001F0B86"/>
    <w:rsid w:val="001F602B"/>
    <w:rsid w:val="001F6932"/>
    <w:rsid w:val="001F6AC8"/>
    <w:rsid w:val="001F70F2"/>
    <w:rsid w:val="002037D5"/>
    <w:rsid w:val="00206F90"/>
    <w:rsid w:val="00211A1C"/>
    <w:rsid w:val="00212B03"/>
    <w:rsid w:val="002131AE"/>
    <w:rsid w:val="002159E8"/>
    <w:rsid w:val="00215C10"/>
    <w:rsid w:val="00215C2D"/>
    <w:rsid w:val="002160A5"/>
    <w:rsid w:val="0021649A"/>
    <w:rsid w:val="00220B81"/>
    <w:rsid w:val="00224DBF"/>
    <w:rsid w:val="002252C4"/>
    <w:rsid w:val="00225BFE"/>
    <w:rsid w:val="0023183E"/>
    <w:rsid w:val="00235138"/>
    <w:rsid w:val="00240933"/>
    <w:rsid w:val="00243E36"/>
    <w:rsid w:val="0024435C"/>
    <w:rsid w:val="0024540B"/>
    <w:rsid w:val="00245C35"/>
    <w:rsid w:val="00245DA8"/>
    <w:rsid w:val="00245EF4"/>
    <w:rsid w:val="00250E11"/>
    <w:rsid w:val="00251383"/>
    <w:rsid w:val="002522C9"/>
    <w:rsid w:val="00252A21"/>
    <w:rsid w:val="00252E1C"/>
    <w:rsid w:val="00253D1F"/>
    <w:rsid w:val="00253E4F"/>
    <w:rsid w:val="002542E4"/>
    <w:rsid w:val="00256003"/>
    <w:rsid w:val="00261053"/>
    <w:rsid w:val="00262FDE"/>
    <w:rsid w:val="00263629"/>
    <w:rsid w:val="002745A8"/>
    <w:rsid w:val="00275DF0"/>
    <w:rsid w:val="002769BD"/>
    <w:rsid w:val="00276A75"/>
    <w:rsid w:val="002809EA"/>
    <w:rsid w:val="00283695"/>
    <w:rsid w:val="00284920"/>
    <w:rsid w:val="00284962"/>
    <w:rsid w:val="0028730A"/>
    <w:rsid w:val="00287B0E"/>
    <w:rsid w:val="00287B16"/>
    <w:rsid w:val="0029399F"/>
    <w:rsid w:val="00293FC7"/>
    <w:rsid w:val="002A0B53"/>
    <w:rsid w:val="002A0EEF"/>
    <w:rsid w:val="002A1AB6"/>
    <w:rsid w:val="002A1D4C"/>
    <w:rsid w:val="002A3C42"/>
    <w:rsid w:val="002A4730"/>
    <w:rsid w:val="002A4DBD"/>
    <w:rsid w:val="002A76F9"/>
    <w:rsid w:val="002B190D"/>
    <w:rsid w:val="002B2DF7"/>
    <w:rsid w:val="002B5A08"/>
    <w:rsid w:val="002B5EEF"/>
    <w:rsid w:val="002C1DB1"/>
    <w:rsid w:val="002C3BF4"/>
    <w:rsid w:val="002C51A4"/>
    <w:rsid w:val="002C749F"/>
    <w:rsid w:val="002D10B6"/>
    <w:rsid w:val="002D3710"/>
    <w:rsid w:val="002D3AF6"/>
    <w:rsid w:val="002E61B4"/>
    <w:rsid w:val="002E7B33"/>
    <w:rsid w:val="002F059B"/>
    <w:rsid w:val="002F5B0B"/>
    <w:rsid w:val="003001F8"/>
    <w:rsid w:val="00300924"/>
    <w:rsid w:val="00300EF4"/>
    <w:rsid w:val="003030DB"/>
    <w:rsid w:val="003033D1"/>
    <w:rsid w:val="00303953"/>
    <w:rsid w:val="0030596E"/>
    <w:rsid w:val="003073C3"/>
    <w:rsid w:val="0030743B"/>
    <w:rsid w:val="003156DA"/>
    <w:rsid w:val="003179F5"/>
    <w:rsid w:val="003217C9"/>
    <w:rsid w:val="003229B7"/>
    <w:rsid w:val="00323637"/>
    <w:rsid w:val="00324E8A"/>
    <w:rsid w:val="00326138"/>
    <w:rsid w:val="00331D87"/>
    <w:rsid w:val="00332850"/>
    <w:rsid w:val="00334478"/>
    <w:rsid w:val="003346B4"/>
    <w:rsid w:val="00334AE6"/>
    <w:rsid w:val="00335BA0"/>
    <w:rsid w:val="003365D0"/>
    <w:rsid w:val="00337DB9"/>
    <w:rsid w:val="00337E72"/>
    <w:rsid w:val="00337F47"/>
    <w:rsid w:val="00340490"/>
    <w:rsid w:val="00342B5C"/>
    <w:rsid w:val="003439AB"/>
    <w:rsid w:val="0035034C"/>
    <w:rsid w:val="003543EE"/>
    <w:rsid w:val="00354695"/>
    <w:rsid w:val="0035549B"/>
    <w:rsid w:val="0035620D"/>
    <w:rsid w:val="00362133"/>
    <w:rsid w:val="00363DD2"/>
    <w:rsid w:val="00364EC1"/>
    <w:rsid w:val="00365F95"/>
    <w:rsid w:val="00370758"/>
    <w:rsid w:val="00371DDB"/>
    <w:rsid w:val="003755C8"/>
    <w:rsid w:val="00375687"/>
    <w:rsid w:val="00380AE0"/>
    <w:rsid w:val="00382543"/>
    <w:rsid w:val="00383324"/>
    <w:rsid w:val="00386706"/>
    <w:rsid w:val="00387A75"/>
    <w:rsid w:val="003904FD"/>
    <w:rsid w:val="00391891"/>
    <w:rsid w:val="00391B25"/>
    <w:rsid w:val="003926BB"/>
    <w:rsid w:val="00392981"/>
    <w:rsid w:val="00394254"/>
    <w:rsid w:val="00396F67"/>
    <w:rsid w:val="003A0994"/>
    <w:rsid w:val="003A4278"/>
    <w:rsid w:val="003B41DE"/>
    <w:rsid w:val="003C01C8"/>
    <w:rsid w:val="003C1C02"/>
    <w:rsid w:val="003C2BFB"/>
    <w:rsid w:val="003C332A"/>
    <w:rsid w:val="003C436B"/>
    <w:rsid w:val="003C5337"/>
    <w:rsid w:val="003C559A"/>
    <w:rsid w:val="003C5F92"/>
    <w:rsid w:val="003D33E4"/>
    <w:rsid w:val="003D7A8C"/>
    <w:rsid w:val="003D7C00"/>
    <w:rsid w:val="003E0A26"/>
    <w:rsid w:val="003E38F9"/>
    <w:rsid w:val="003E56E5"/>
    <w:rsid w:val="003E5EB0"/>
    <w:rsid w:val="003E78DA"/>
    <w:rsid w:val="003E7E60"/>
    <w:rsid w:val="003F00D4"/>
    <w:rsid w:val="003F0A48"/>
    <w:rsid w:val="003F2209"/>
    <w:rsid w:val="003F2A48"/>
    <w:rsid w:val="003F2B40"/>
    <w:rsid w:val="003F3D39"/>
    <w:rsid w:val="003F5FC6"/>
    <w:rsid w:val="003F646A"/>
    <w:rsid w:val="003F6761"/>
    <w:rsid w:val="003F6A0A"/>
    <w:rsid w:val="00400D7F"/>
    <w:rsid w:val="004024F5"/>
    <w:rsid w:val="00402DE1"/>
    <w:rsid w:val="00402F40"/>
    <w:rsid w:val="00403D8B"/>
    <w:rsid w:val="004058F1"/>
    <w:rsid w:val="00407701"/>
    <w:rsid w:val="00407E7D"/>
    <w:rsid w:val="004113EB"/>
    <w:rsid w:val="0041283D"/>
    <w:rsid w:val="00413AB4"/>
    <w:rsid w:val="00421373"/>
    <w:rsid w:val="00421FB7"/>
    <w:rsid w:val="0042763B"/>
    <w:rsid w:val="00427EAC"/>
    <w:rsid w:val="0043024C"/>
    <w:rsid w:val="004348C0"/>
    <w:rsid w:val="00436255"/>
    <w:rsid w:val="00436706"/>
    <w:rsid w:val="00443D38"/>
    <w:rsid w:val="00446E3D"/>
    <w:rsid w:val="00450E7A"/>
    <w:rsid w:val="00456AF8"/>
    <w:rsid w:val="00470B15"/>
    <w:rsid w:val="004716B3"/>
    <w:rsid w:val="00475869"/>
    <w:rsid w:val="00475A77"/>
    <w:rsid w:val="00477434"/>
    <w:rsid w:val="00481BDE"/>
    <w:rsid w:val="0048335B"/>
    <w:rsid w:val="004866A9"/>
    <w:rsid w:val="004878D6"/>
    <w:rsid w:val="0048791A"/>
    <w:rsid w:val="00487EB4"/>
    <w:rsid w:val="00492774"/>
    <w:rsid w:val="00496D7A"/>
    <w:rsid w:val="004A223E"/>
    <w:rsid w:val="004A27CC"/>
    <w:rsid w:val="004A31BC"/>
    <w:rsid w:val="004A3255"/>
    <w:rsid w:val="004A3F1A"/>
    <w:rsid w:val="004A3F45"/>
    <w:rsid w:val="004A480B"/>
    <w:rsid w:val="004A5738"/>
    <w:rsid w:val="004B0215"/>
    <w:rsid w:val="004B1AFA"/>
    <w:rsid w:val="004B4949"/>
    <w:rsid w:val="004B7088"/>
    <w:rsid w:val="004C13A0"/>
    <w:rsid w:val="004C20C4"/>
    <w:rsid w:val="004C26B5"/>
    <w:rsid w:val="004C4251"/>
    <w:rsid w:val="004C4D12"/>
    <w:rsid w:val="004C5B76"/>
    <w:rsid w:val="004C5D33"/>
    <w:rsid w:val="004D02CD"/>
    <w:rsid w:val="004D0B24"/>
    <w:rsid w:val="004D2D32"/>
    <w:rsid w:val="004D4B90"/>
    <w:rsid w:val="004D6B95"/>
    <w:rsid w:val="004D7F41"/>
    <w:rsid w:val="004E03A2"/>
    <w:rsid w:val="004E317E"/>
    <w:rsid w:val="004E3954"/>
    <w:rsid w:val="004E562B"/>
    <w:rsid w:val="004E5856"/>
    <w:rsid w:val="004F2330"/>
    <w:rsid w:val="004F53C6"/>
    <w:rsid w:val="004F55C6"/>
    <w:rsid w:val="004F69DB"/>
    <w:rsid w:val="004F6B87"/>
    <w:rsid w:val="00501C2D"/>
    <w:rsid w:val="00502637"/>
    <w:rsid w:val="00505C4B"/>
    <w:rsid w:val="00511140"/>
    <w:rsid w:val="005139A8"/>
    <w:rsid w:val="00513CFE"/>
    <w:rsid w:val="005146BA"/>
    <w:rsid w:val="005150DC"/>
    <w:rsid w:val="00523B6A"/>
    <w:rsid w:val="00524460"/>
    <w:rsid w:val="00525F6C"/>
    <w:rsid w:val="00526E03"/>
    <w:rsid w:val="00535C37"/>
    <w:rsid w:val="0054342E"/>
    <w:rsid w:val="00544181"/>
    <w:rsid w:val="00546AB4"/>
    <w:rsid w:val="005514E5"/>
    <w:rsid w:val="005574D8"/>
    <w:rsid w:val="00557EA7"/>
    <w:rsid w:val="0056244C"/>
    <w:rsid w:val="00563C84"/>
    <w:rsid w:val="00575810"/>
    <w:rsid w:val="005762F6"/>
    <w:rsid w:val="00576E64"/>
    <w:rsid w:val="005807B3"/>
    <w:rsid w:val="005819A3"/>
    <w:rsid w:val="00584D00"/>
    <w:rsid w:val="00584FBE"/>
    <w:rsid w:val="00585081"/>
    <w:rsid w:val="00585483"/>
    <w:rsid w:val="00587378"/>
    <w:rsid w:val="00587C05"/>
    <w:rsid w:val="00590AAB"/>
    <w:rsid w:val="005927DF"/>
    <w:rsid w:val="0059290A"/>
    <w:rsid w:val="005938C3"/>
    <w:rsid w:val="00593E53"/>
    <w:rsid w:val="0059468C"/>
    <w:rsid w:val="00595125"/>
    <w:rsid w:val="00596F21"/>
    <w:rsid w:val="005977ED"/>
    <w:rsid w:val="005A0E5D"/>
    <w:rsid w:val="005A3437"/>
    <w:rsid w:val="005A5CB6"/>
    <w:rsid w:val="005A68BD"/>
    <w:rsid w:val="005A73FD"/>
    <w:rsid w:val="005A7843"/>
    <w:rsid w:val="005B1CDD"/>
    <w:rsid w:val="005B1E19"/>
    <w:rsid w:val="005B55FC"/>
    <w:rsid w:val="005B68C5"/>
    <w:rsid w:val="005C226E"/>
    <w:rsid w:val="005C2658"/>
    <w:rsid w:val="005C2D5E"/>
    <w:rsid w:val="005C3B81"/>
    <w:rsid w:val="005C650C"/>
    <w:rsid w:val="005D086C"/>
    <w:rsid w:val="005D11D3"/>
    <w:rsid w:val="005D28BA"/>
    <w:rsid w:val="005D2A1C"/>
    <w:rsid w:val="005D4E1F"/>
    <w:rsid w:val="005D4FB3"/>
    <w:rsid w:val="005E2F07"/>
    <w:rsid w:val="005E2FEA"/>
    <w:rsid w:val="005F0B57"/>
    <w:rsid w:val="005F314B"/>
    <w:rsid w:val="005F3F6D"/>
    <w:rsid w:val="006046C2"/>
    <w:rsid w:val="00605B9D"/>
    <w:rsid w:val="00611AF2"/>
    <w:rsid w:val="0061212B"/>
    <w:rsid w:val="006127AF"/>
    <w:rsid w:val="00613A98"/>
    <w:rsid w:val="00614075"/>
    <w:rsid w:val="00615FB2"/>
    <w:rsid w:val="00617BD1"/>
    <w:rsid w:val="00617CE8"/>
    <w:rsid w:val="006275AE"/>
    <w:rsid w:val="006278A0"/>
    <w:rsid w:val="006303C5"/>
    <w:rsid w:val="0063095F"/>
    <w:rsid w:val="00631CBD"/>
    <w:rsid w:val="006328A7"/>
    <w:rsid w:val="006337D3"/>
    <w:rsid w:val="0063704F"/>
    <w:rsid w:val="0064076C"/>
    <w:rsid w:val="00642E7E"/>
    <w:rsid w:val="00646AC2"/>
    <w:rsid w:val="00646BDF"/>
    <w:rsid w:val="00650390"/>
    <w:rsid w:val="00650E9E"/>
    <w:rsid w:val="006519A3"/>
    <w:rsid w:val="00653889"/>
    <w:rsid w:val="00654DAB"/>
    <w:rsid w:val="006561E2"/>
    <w:rsid w:val="006579DF"/>
    <w:rsid w:val="006600C0"/>
    <w:rsid w:val="0066204A"/>
    <w:rsid w:val="00663F28"/>
    <w:rsid w:val="00670E3C"/>
    <w:rsid w:val="0067763F"/>
    <w:rsid w:val="00677F57"/>
    <w:rsid w:val="00681088"/>
    <w:rsid w:val="00684453"/>
    <w:rsid w:val="00685445"/>
    <w:rsid w:val="00685FEF"/>
    <w:rsid w:val="006908AA"/>
    <w:rsid w:val="00691EAA"/>
    <w:rsid w:val="0069577E"/>
    <w:rsid w:val="0069634B"/>
    <w:rsid w:val="00696623"/>
    <w:rsid w:val="00696849"/>
    <w:rsid w:val="006A000D"/>
    <w:rsid w:val="006A04E9"/>
    <w:rsid w:val="006A4A03"/>
    <w:rsid w:val="006A7543"/>
    <w:rsid w:val="006B725C"/>
    <w:rsid w:val="006C188D"/>
    <w:rsid w:val="006C18BA"/>
    <w:rsid w:val="006C273D"/>
    <w:rsid w:val="006C4364"/>
    <w:rsid w:val="006C474C"/>
    <w:rsid w:val="006C4D58"/>
    <w:rsid w:val="006C5592"/>
    <w:rsid w:val="006C57D2"/>
    <w:rsid w:val="006C5C4F"/>
    <w:rsid w:val="006C6282"/>
    <w:rsid w:val="006C762A"/>
    <w:rsid w:val="006D50C1"/>
    <w:rsid w:val="006D5FF9"/>
    <w:rsid w:val="006E0772"/>
    <w:rsid w:val="006E0F86"/>
    <w:rsid w:val="006E4A6D"/>
    <w:rsid w:val="006E56E1"/>
    <w:rsid w:val="006E57C7"/>
    <w:rsid w:val="006F0B15"/>
    <w:rsid w:val="006F0DCC"/>
    <w:rsid w:val="006F1DF3"/>
    <w:rsid w:val="006F6C6C"/>
    <w:rsid w:val="006F7C2D"/>
    <w:rsid w:val="00702FEF"/>
    <w:rsid w:val="00703DF9"/>
    <w:rsid w:val="007048EB"/>
    <w:rsid w:val="00704FBB"/>
    <w:rsid w:val="00706FE4"/>
    <w:rsid w:val="0070703D"/>
    <w:rsid w:val="0070726A"/>
    <w:rsid w:val="007079C8"/>
    <w:rsid w:val="007101A3"/>
    <w:rsid w:val="00711607"/>
    <w:rsid w:val="0071226B"/>
    <w:rsid w:val="00717040"/>
    <w:rsid w:val="007218E3"/>
    <w:rsid w:val="00721BE6"/>
    <w:rsid w:val="007249C9"/>
    <w:rsid w:val="007256F5"/>
    <w:rsid w:val="007316DA"/>
    <w:rsid w:val="00732C82"/>
    <w:rsid w:val="007408E2"/>
    <w:rsid w:val="0074576D"/>
    <w:rsid w:val="00746A56"/>
    <w:rsid w:val="0075293C"/>
    <w:rsid w:val="00754618"/>
    <w:rsid w:val="007622A7"/>
    <w:rsid w:val="00762627"/>
    <w:rsid w:val="0076644C"/>
    <w:rsid w:val="00773DEA"/>
    <w:rsid w:val="00774E61"/>
    <w:rsid w:val="007750A2"/>
    <w:rsid w:val="007817D6"/>
    <w:rsid w:val="00781E1C"/>
    <w:rsid w:val="00782DF4"/>
    <w:rsid w:val="00784159"/>
    <w:rsid w:val="007853A6"/>
    <w:rsid w:val="00787912"/>
    <w:rsid w:val="0079177A"/>
    <w:rsid w:val="00791E55"/>
    <w:rsid w:val="00793DC5"/>
    <w:rsid w:val="00794836"/>
    <w:rsid w:val="007948D5"/>
    <w:rsid w:val="00794D78"/>
    <w:rsid w:val="0079509C"/>
    <w:rsid w:val="007951DC"/>
    <w:rsid w:val="007A15C9"/>
    <w:rsid w:val="007A1965"/>
    <w:rsid w:val="007A6676"/>
    <w:rsid w:val="007B606A"/>
    <w:rsid w:val="007B66AB"/>
    <w:rsid w:val="007B7FF5"/>
    <w:rsid w:val="007C328E"/>
    <w:rsid w:val="007C3FC6"/>
    <w:rsid w:val="007C4C5D"/>
    <w:rsid w:val="007C52CD"/>
    <w:rsid w:val="007D2CE9"/>
    <w:rsid w:val="007D4FED"/>
    <w:rsid w:val="007D69DA"/>
    <w:rsid w:val="007D70B1"/>
    <w:rsid w:val="007D7140"/>
    <w:rsid w:val="007D76A4"/>
    <w:rsid w:val="007D7FB7"/>
    <w:rsid w:val="007E1C5A"/>
    <w:rsid w:val="007E1CDB"/>
    <w:rsid w:val="007E408C"/>
    <w:rsid w:val="007E4B5A"/>
    <w:rsid w:val="007E50BF"/>
    <w:rsid w:val="007E65A5"/>
    <w:rsid w:val="007E7E21"/>
    <w:rsid w:val="007F0460"/>
    <w:rsid w:val="007F0DA2"/>
    <w:rsid w:val="007F2034"/>
    <w:rsid w:val="007F39CE"/>
    <w:rsid w:val="007F5E0D"/>
    <w:rsid w:val="008003B7"/>
    <w:rsid w:val="00801085"/>
    <w:rsid w:val="00801A89"/>
    <w:rsid w:val="00804457"/>
    <w:rsid w:val="00806B63"/>
    <w:rsid w:val="00812138"/>
    <w:rsid w:val="008121B3"/>
    <w:rsid w:val="008151F2"/>
    <w:rsid w:val="0081777A"/>
    <w:rsid w:val="008210E0"/>
    <w:rsid w:val="00822A3F"/>
    <w:rsid w:val="00822AC0"/>
    <w:rsid w:val="00824079"/>
    <w:rsid w:val="00831F0A"/>
    <w:rsid w:val="00833A78"/>
    <w:rsid w:val="00840163"/>
    <w:rsid w:val="00840CC3"/>
    <w:rsid w:val="00842B4B"/>
    <w:rsid w:val="00845507"/>
    <w:rsid w:val="0084585F"/>
    <w:rsid w:val="0084616D"/>
    <w:rsid w:val="00852FD3"/>
    <w:rsid w:val="00853E53"/>
    <w:rsid w:val="0085535C"/>
    <w:rsid w:val="00855DE2"/>
    <w:rsid w:val="008613CA"/>
    <w:rsid w:val="00863C5D"/>
    <w:rsid w:val="00864D76"/>
    <w:rsid w:val="008656C9"/>
    <w:rsid w:val="00866A77"/>
    <w:rsid w:val="0086711C"/>
    <w:rsid w:val="00867535"/>
    <w:rsid w:val="0087198E"/>
    <w:rsid w:val="00871D0A"/>
    <w:rsid w:val="00872FDF"/>
    <w:rsid w:val="00875063"/>
    <w:rsid w:val="00875C5B"/>
    <w:rsid w:val="008768C0"/>
    <w:rsid w:val="008801DB"/>
    <w:rsid w:val="00883C5F"/>
    <w:rsid w:val="00885031"/>
    <w:rsid w:val="008863BC"/>
    <w:rsid w:val="00891C7D"/>
    <w:rsid w:val="00892FA7"/>
    <w:rsid w:val="0089630D"/>
    <w:rsid w:val="008A3301"/>
    <w:rsid w:val="008A3F95"/>
    <w:rsid w:val="008A4DF1"/>
    <w:rsid w:val="008A5636"/>
    <w:rsid w:val="008B1216"/>
    <w:rsid w:val="008B125E"/>
    <w:rsid w:val="008B241C"/>
    <w:rsid w:val="008B408B"/>
    <w:rsid w:val="008B4F11"/>
    <w:rsid w:val="008B6C76"/>
    <w:rsid w:val="008C2362"/>
    <w:rsid w:val="008C3049"/>
    <w:rsid w:val="008C44B3"/>
    <w:rsid w:val="008C74D9"/>
    <w:rsid w:val="008D217C"/>
    <w:rsid w:val="008D4AE9"/>
    <w:rsid w:val="008D5CF3"/>
    <w:rsid w:val="008D7D39"/>
    <w:rsid w:val="008E1560"/>
    <w:rsid w:val="008E4574"/>
    <w:rsid w:val="008E59E0"/>
    <w:rsid w:val="008E73AF"/>
    <w:rsid w:val="008F311C"/>
    <w:rsid w:val="008F4016"/>
    <w:rsid w:val="008F42FE"/>
    <w:rsid w:val="008F4922"/>
    <w:rsid w:val="008F4A00"/>
    <w:rsid w:val="008F4EC9"/>
    <w:rsid w:val="008F5402"/>
    <w:rsid w:val="008F7582"/>
    <w:rsid w:val="0090053A"/>
    <w:rsid w:val="00901C2A"/>
    <w:rsid w:val="00902026"/>
    <w:rsid w:val="009114BF"/>
    <w:rsid w:val="009118C7"/>
    <w:rsid w:val="009132D2"/>
    <w:rsid w:val="009160D6"/>
    <w:rsid w:val="009225B6"/>
    <w:rsid w:val="00925397"/>
    <w:rsid w:val="009273D9"/>
    <w:rsid w:val="00933530"/>
    <w:rsid w:val="009339DA"/>
    <w:rsid w:val="00933A21"/>
    <w:rsid w:val="00934C10"/>
    <w:rsid w:val="00935D97"/>
    <w:rsid w:val="0093662A"/>
    <w:rsid w:val="00937C5C"/>
    <w:rsid w:val="0094060C"/>
    <w:rsid w:val="00942C4B"/>
    <w:rsid w:val="00944196"/>
    <w:rsid w:val="0095194E"/>
    <w:rsid w:val="0096036E"/>
    <w:rsid w:val="009606A5"/>
    <w:rsid w:val="00962F1F"/>
    <w:rsid w:val="00965304"/>
    <w:rsid w:val="00971090"/>
    <w:rsid w:val="00971293"/>
    <w:rsid w:val="00972070"/>
    <w:rsid w:val="00972A4F"/>
    <w:rsid w:val="00973A3B"/>
    <w:rsid w:val="00975084"/>
    <w:rsid w:val="00981741"/>
    <w:rsid w:val="00982A0D"/>
    <w:rsid w:val="00983EAE"/>
    <w:rsid w:val="009854FD"/>
    <w:rsid w:val="0098760B"/>
    <w:rsid w:val="00995217"/>
    <w:rsid w:val="009A11DD"/>
    <w:rsid w:val="009A4A1E"/>
    <w:rsid w:val="009A4C38"/>
    <w:rsid w:val="009A50A4"/>
    <w:rsid w:val="009A62B7"/>
    <w:rsid w:val="009B30AA"/>
    <w:rsid w:val="009B5217"/>
    <w:rsid w:val="009C48DE"/>
    <w:rsid w:val="009C5816"/>
    <w:rsid w:val="009D4D60"/>
    <w:rsid w:val="009D60D9"/>
    <w:rsid w:val="009D679F"/>
    <w:rsid w:val="009D685C"/>
    <w:rsid w:val="009E09BD"/>
    <w:rsid w:val="009E1E1E"/>
    <w:rsid w:val="009E209A"/>
    <w:rsid w:val="009E33E3"/>
    <w:rsid w:val="009E7F16"/>
    <w:rsid w:val="009F038F"/>
    <w:rsid w:val="009F196A"/>
    <w:rsid w:val="009F1E65"/>
    <w:rsid w:val="009F5052"/>
    <w:rsid w:val="00A00D19"/>
    <w:rsid w:val="00A01704"/>
    <w:rsid w:val="00A03083"/>
    <w:rsid w:val="00A04C85"/>
    <w:rsid w:val="00A100F0"/>
    <w:rsid w:val="00A130ED"/>
    <w:rsid w:val="00A14B7B"/>
    <w:rsid w:val="00A14EAF"/>
    <w:rsid w:val="00A156E6"/>
    <w:rsid w:val="00A177C5"/>
    <w:rsid w:val="00A17A3C"/>
    <w:rsid w:val="00A20F55"/>
    <w:rsid w:val="00A215D0"/>
    <w:rsid w:val="00A22142"/>
    <w:rsid w:val="00A23592"/>
    <w:rsid w:val="00A26B9A"/>
    <w:rsid w:val="00A27D86"/>
    <w:rsid w:val="00A30A3D"/>
    <w:rsid w:val="00A33151"/>
    <w:rsid w:val="00A35753"/>
    <w:rsid w:val="00A36970"/>
    <w:rsid w:val="00A41EB4"/>
    <w:rsid w:val="00A41F90"/>
    <w:rsid w:val="00A421BF"/>
    <w:rsid w:val="00A44953"/>
    <w:rsid w:val="00A44BFF"/>
    <w:rsid w:val="00A501E3"/>
    <w:rsid w:val="00A50F0C"/>
    <w:rsid w:val="00A56441"/>
    <w:rsid w:val="00A57983"/>
    <w:rsid w:val="00A63A51"/>
    <w:rsid w:val="00A736DD"/>
    <w:rsid w:val="00A7486C"/>
    <w:rsid w:val="00A75A93"/>
    <w:rsid w:val="00A77D3E"/>
    <w:rsid w:val="00A8106E"/>
    <w:rsid w:val="00A8183E"/>
    <w:rsid w:val="00A82869"/>
    <w:rsid w:val="00A8758C"/>
    <w:rsid w:val="00A920A2"/>
    <w:rsid w:val="00A94C72"/>
    <w:rsid w:val="00A95EB1"/>
    <w:rsid w:val="00AA0E76"/>
    <w:rsid w:val="00AA127E"/>
    <w:rsid w:val="00AA19AE"/>
    <w:rsid w:val="00AA1E89"/>
    <w:rsid w:val="00AA423D"/>
    <w:rsid w:val="00AA6A95"/>
    <w:rsid w:val="00AA7DDE"/>
    <w:rsid w:val="00AB10DE"/>
    <w:rsid w:val="00AB3668"/>
    <w:rsid w:val="00AB427E"/>
    <w:rsid w:val="00AB4AD7"/>
    <w:rsid w:val="00AB5ED7"/>
    <w:rsid w:val="00AB6BCD"/>
    <w:rsid w:val="00AC0B4C"/>
    <w:rsid w:val="00AC1B04"/>
    <w:rsid w:val="00AD0AEE"/>
    <w:rsid w:val="00AD0D32"/>
    <w:rsid w:val="00AD1FA3"/>
    <w:rsid w:val="00AD49E3"/>
    <w:rsid w:val="00AD4B4F"/>
    <w:rsid w:val="00AE33E3"/>
    <w:rsid w:val="00AF0616"/>
    <w:rsid w:val="00AF0662"/>
    <w:rsid w:val="00AF0E28"/>
    <w:rsid w:val="00AF13CD"/>
    <w:rsid w:val="00AF6F9B"/>
    <w:rsid w:val="00AF773F"/>
    <w:rsid w:val="00B01409"/>
    <w:rsid w:val="00B06D85"/>
    <w:rsid w:val="00B1039A"/>
    <w:rsid w:val="00B10DBD"/>
    <w:rsid w:val="00B12940"/>
    <w:rsid w:val="00B15629"/>
    <w:rsid w:val="00B2372C"/>
    <w:rsid w:val="00B32F70"/>
    <w:rsid w:val="00B36023"/>
    <w:rsid w:val="00B373D0"/>
    <w:rsid w:val="00B4344A"/>
    <w:rsid w:val="00B43AAA"/>
    <w:rsid w:val="00B504E5"/>
    <w:rsid w:val="00B51533"/>
    <w:rsid w:val="00B52023"/>
    <w:rsid w:val="00B525CC"/>
    <w:rsid w:val="00B525D3"/>
    <w:rsid w:val="00B52DA9"/>
    <w:rsid w:val="00B53139"/>
    <w:rsid w:val="00B54319"/>
    <w:rsid w:val="00B55020"/>
    <w:rsid w:val="00B558DD"/>
    <w:rsid w:val="00B562CE"/>
    <w:rsid w:val="00B57904"/>
    <w:rsid w:val="00B62DE2"/>
    <w:rsid w:val="00B65012"/>
    <w:rsid w:val="00B67F20"/>
    <w:rsid w:val="00B720CE"/>
    <w:rsid w:val="00B7353A"/>
    <w:rsid w:val="00B74417"/>
    <w:rsid w:val="00B77246"/>
    <w:rsid w:val="00B81F1B"/>
    <w:rsid w:val="00B866CD"/>
    <w:rsid w:val="00B8751C"/>
    <w:rsid w:val="00B87DB3"/>
    <w:rsid w:val="00B90427"/>
    <w:rsid w:val="00B93034"/>
    <w:rsid w:val="00B93A81"/>
    <w:rsid w:val="00B94D3A"/>
    <w:rsid w:val="00B95045"/>
    <w:rsid w:val="00B968D8"/>
    <w:rsid w:val="00B97C5D"/>
    <w:rsid w:val="00BA1290"/>
    <w:rsid w:val="00BA2E98"/>
    <w:rsid w:val="00BA4CE1"/>
    <w:rsid w:val="00BB0DA9"/>
    <w:rsid w:val="00BB2792"/>
    <w:rsid w:val="00BB5212"/>
    <w:rsid w:val="00BB7545"/>
    <w:rsid w:val="00BB76BF"/>
    <w:rsid w:val="00BC1AD1"/>
    <w:rsid w:val="00BC1D82"/>
    <w:rsid w:val="00BC450C"/>
    <w:rsid w:val="00BC4A58"/>
    <w:rsid w:val="00BC613B"/>
    <w:rsid w:val="00BC6174"/>
    <w:rsid w:val="00BC790E"/>
    <w:rsid w:val="00BC7CE9"/>
    <w:rsid w:val="00BD038F"/>
    <w:rsid w:val="00BD2A07"/>
    <w:rsid w:val="00BD51D9"/>
    <w:rsid w:val="00BD64E2"/>
    <w:rsid w:val="00BE3252"/>
    <w:rsid w:val="00BE4995"/>
    <w:rsid w:val="00BE4F39"/>
    <w:rsid w:val="00BF429A"/>
    <w:rsid w:val="00BF62BE"/>
    <w:rsid w:val="00C07126"/>
    <w:rsid w:val="00C15EB6"/>
    <w:rsid w:val="00C167A3"/>
    <w:rsid w:val="00C16853"/>
    <w:rsid w:val="00C2257A"/>
    <w:rsid w:val="00C263F0"/>
    <w:rsid w:val="00C27612"/>
    <w:rsid w:val="00C321DF"/>
    <w:rsid w:val="00C33D41"/>
    <w:rsid w:val="00C33EBE"/>
    <w:rsid w:val="00C40AFD"/>
    <w:rsid w:val="00C40F3E"/>
    <w:rsid w:val="00C4151F"/>
    <w:rsid w:val="00C41E20"/>
    <w:rsid w:val="00C42E3E"/>
    <w:rsid w:val="00C43BDE"/>
    <w:rsid w:val="00C4583F"/>
    <w:rsid w:val="00C51C13"/>
    <w:rsid w:val="00C525A5"/>
    <w:rsid w:val="00C5300F"/>
    <w:rsid w:val="00C536F6"/>
    <w:rsid w:val="00C54594"/>
    <w:rsid w:val="00C55DA5"/>
    <w:rsid w:val="00C6143A"/>
    <w:rsid w:val="00C63298"/>
    <w:rsid w:val="00C64147"/>
    <w:rsid w:val="00C66662"/>
    <w:rsid w:val="00C66CE0"/>
    <w:rsid w:val="00C71BED"/>
    <w:rsid w:val="00C737B2"/>
    <w:rsid w:val="00C739A8"/>
    <w:rsid w:val="00C81B53"/>
    <w:rsid w:val="00C82AD2"/>
    <w:rsid w:val="00C843D4"/>
    <w:rsid w:val="00C849F7"/>
    <w:rsid w:val="00C90DF8"/>
    <w:rsid w:val="00C90FB6"/>
    <w:rsid w:val="00C9220E"/>
    <w:rsid w:val="00C932BD"/>
    <w:rsid w:val="00C93429"/>
    <w:rsid w:val="00C93F11"/>
    <w:rsid w:val="00CA07F8"/>
    <w:rsid w:val="00CA16C5"/>
    <w:rsid w:val="00CA3D31"/>
    <w:rsid w:val="00CA415A"/>
    <w:rsid w:val="00CA7A35"/>
    <w:rsid w:val="00CB05FE"/>
    <w:rsid w:val="00CB068B"/>
    <w:rsid w:val="00CB1536"/>
    <w:rsid w:val="00CB5AED"/>
    <w:rsid w:val="00CB7015"/>
    <w:rsid w:val="00CB7FB8"/>
    <w:rsid w:val="00CC1F71"/>
    <w:rsid w:val="00CC5588"/>
    <w:rsid w:val="00CC5EB3"/>
    <w:rsid w:val="00CD0E7B"/>
    <w:rsid w:val="00CD2ABD"/>
    <w:rsid w:val="00CD4024"/>
    <w:rsid w:val="00CD4617"/>
    <w:rsid w:val="00CD4855"/>
    <w:rsid w:val="00CE2C9D"/>
    <w:rsid w:val="00CE3B9C"/>
    <w:rsid w:val="00CE3DEB"/>
    <w:rsid w:val="00CE4F59"/>
    <w:rsid w:val="00CE6D43"/>
    <w:rsid w:val="00CE7888"/>
    <w:rsid w:val="00CF178A"/>
    <w:rsid w:val="00CF2443"/>
    <w:rsid w:val="00CF4DD8"/>
    <w:rsid w:val="00D05671"/>
    <w:rsid w:val="00D07C8C"/>
    <w:rsid w:val="00D1065A"/>
    <w:rsid w:val="00D10E1C"/>
    <w:rsid w:val="00D11C02"/>
    <w:rsid w:val="00D161A3"/>
    <w:rsid w:val="00D22E49"/>
    <w:rsid w:val="00D234F9"/>
    <w:rsid w:val="00D23716"/>
    <w:rsid w:val="00D24548"/>
    <w:rsid w:val="00D25A31"/>
    <w:rsid w:val="00D25ED8"/>
    <w:rsid w:val="00D27F8F"/>
    <w:rsid w:val="00D30E54"/>
    <w:rsid w:val="00D31242"/>
    <w:rsid w:val="00D316B8"/>
    <w:rsid w:val="00D319C1"/>
    <w:rsid w:val="00D31CFC"/>
    <w:rsid w:val="00D3255D"/>
    <w:rsid w:val="00D340C3"/>
    <w:rsid w:val="00D409CD"/>
    <w:rsid w:val="00D423D4"/>
    <w:rsid w:val="00D42CAF"/>
    <w:rsid w:val="00D5310F"/>
    <w:rsid w:val="00D54C29"/>
    <w:rsid w:val="00D601EF"/>
    <w:rsid w:val="00D61533"/>
    <w:rsid w:val="00D63B2F"/>
    <w:rsid w:val="00D6492D"/>
    <w:rsid w:val="00D70747"/>
    <w:rsid w:val="00D70801"/>
    <w:rsid w:val="00D7261D"/>
    <w:rsid w:val="00D73F57"/>
    <w:rsid w:val="00D755FC"/>
    <w:rsid w:val="00D76B6D"/>
    <w:rsid w:val="00D816A5"/>
    <w:rsid w:val="00D816C1"/>
    <w:rsid w:val="00D83DBA"/>
    <w:rsid w:val="00D84D07"/>
    <w:rsid w:val="00D8526A"/>
    <w:rsid w:val="00D85568"/>
    <w:rsid w:val="00D8796F"/>
    <w:rsid w:val="00D87C87"/>
    <w:rsid w:val="00D90E91"/>
    <w:rsid w:val="00D94921"/>
    <w:rsid w:val="00D94FBC"/>
    <w:rsid w:val="00DA4BEC"/>
    <w:rsid w:val="00DB60E1"/>
    <w:rsid w:val="00DB7132"/>
    <w:rsid w:val="00DC1347"/>
    <w:rsid w:val="00DC144D"/>
    <w:rsid w:val="00DC39F1"/>
    <w:rsid w:val="00DC60E8"/>
    <w:rsid w:val="00DD010E"/>
    <w:rsid w:val="00DD4DA7"/>
    <w:rsid w:val="00DD690C"/>
    <w:rsid w:val="00DE05A4"/>
    <w:rsid w:val="00DE12D3"/>
    <w:rsid w:val="00DE4B35"/>
    <w:rsid w:val="00DE6710"/>
    <w:rsid w:val="00DF0509"/>
    <w:rsid w:val="00DF19C1"/>
    <w:rsid w:val="00DF2D38"/>
    <w:rsid w:val="00DF54CA"/>
    <w:rsid w:val="00DF56C9"/>
    <w:rsid w:val="00DF5B64"/>
    <w:rsid w:val="00DF7A90"/>
    <w:rsid w:val="00DF7E85"/>
    <w:rsid w:val="00E02794"/>
    <w:rsid w:val="00E03A4B"/>
    <w:rsid w:val="00E043E3"/>
    <w:rsid w:val="00E0505B"/>
    <w:rsid w:val="00E05DE6"/>
    <w:rsid w:val="00E06B55"/>
    <w:rsid w:val="00E10C9A"/>
    <w:rsid w:val="00E10E0A"/>
    <w:rsid w:val="00E11280"/>
    <w:rsid w:val="00E12054"/>
    <w:rsid w:val="00E12359"/>
    <w:rsid w:val="00E12454"/>
    <w:rsid w:val="00E152FF"/>
    <w:rsid w:val="00E1703C"/>
    <w:rsid w:val="00E21867"/>
    <w:rsid w:val="00E22504"/>
    <w:rsid w:val="00E2461B"/>
    <w:rsid w:val="00E24886"/>
    <w:rsid w:val="00E276FB"/>
    <w:rsid w:val="00E31784"/>
    <w:rsid w:val="00E32595"/>
    <w:rsid w:val="00E32DBC"/>
    <w:rsid w:val="00E32DC6"/>
    <w:rsid w:val="00E33188"/>
    <w:rsid w:val="00E334D4"/>
    <w:rsid w:val="00E33A74"/>
    <w:rsid w:val="00E376DF"/>
    <w:rsid w:val="00E4030B"/>
    <w:rsid w:val="00E41D56"/>
    <w:rsid w:val="00E457DF"/>
    <w:rsid w:val="00E46642"/>
    <w:rsid w:val="00E47E48"/>
    <w:rsid w:val="00E5054E"/>
    <w:rsid w:val="00E5139A"/>
    <w:rsid w:val="00E53A49"/>
    <w:rsid w:val="00E5413D"/>
    <w:rsid w:val="00E55CAE"/>
    <w:rsid w:val="00E57977"/>
    <w:rsid w:val="00E604D8"/>
    <w:rsid w:val="00E61AC6"/>
    <w:rsid w:val="00E635D7"/>
    <w:rsid w:val="00E64FE7"/>
    <w:rsid w:val="00E70576"/>
    <w:rsid w:val="00E71DED"/>
    <w:rsid w:val="00E733C4"/>
    <w:rsid w:val="00E743CF"/>
    <w:rsid w:val="00E81CB4"/>
    <w:rsid w:val="00E83954"/>
    <w:rsid w:val="00E86506"/>
    <w:rsid w:val="00E8770D"/>
    <w:rsid w:val="00E907C2"/>
    <w:rsid w:val="00E90CB6"/>
    <w:rsid w:val="00E91730"/>
    <w:rsid w:val="00E92DEE"/>
    <w:rsid w:val="00E96F04"/>
    <w:rsid w:val="00E97559"/>
    <w:rsid w:val="00E97AEC"/>
    <w:rsid w:val="00EA20FE"/>
    <w:rsid w:val="00EA251F"/>
    <w:rsid w:val="00EB45C2"/>
    <w:rsid w:val="00EB491E"/>
    <w:rsid w:val="00EB62D2"/>
    <w:rsid w:val="00EB681B"/>
    <w:rsid w:val="00EC1877"/>
    <w:rsid w:val="00EC4FAD"/>
    <w:rsid w:val="00EE0E7D"/>
    <w:rsid w:val="00EE3CFA"/>
    <w:rsid w:val="00EE596D"/>
    <w:rsid w:val="00EE666A"/>
    <w:rsid w:val="00EE69E4"/>
    <w:rsid w:val="00EF121F"/>
    <w:rsid w:val="00EF1764"/>
    <w:rsid w:val="00EF2A7F"/>
    <w:rsid w:val="00EF3136"/>
    <w:rsid w:val="00EF46AA"/>
    <w:rsid w:val="00EF7E90"/>
    <w:rsid w:val="00F002B6"/>
    <w:rsid w:val="00F00C23"/>
    <w:rsid w:val="00F01AB6"/>
    <w:rsid w:val="00F07507"/>
    <w:rsid w:val="00F10AFE"/>
    <w:rsid w:val="00F15C6C"/>
    <w:rsid w:val="00F17173"/>
    <w:rsid w:val="00F17F71"/>
    <w:rsid w:val="00F20987"/>
    <w:rsid w:val="00F21630"/>
    <w:rsid w:val="00F224DC"/>
    <w:rsid w:val="00F265E3"/>
    <w:rsid w:val="00F2687F"/>
    <w:rsid w:val="00F26A5E"/>
    <w:rsid w:val="00F27F29"/>
    <w:rsid w:val="00F30230"/>
    <w:rsid w:val="00F32D54"/>
    <w:rsid w:val="00F35815"/>
    <w:rsid w:val="00F360C3"/>
    <w:rsid w:val="00F36C54"/>
    <w:rsid w:val="00F408BD"/>
    <w:rsid w:val="00F418EA"/>
    <w:rsid w:val="00F41A29"/>
    <w:rsid w:val="00F44C1C"/>
    <w:rsid w:val="00F46E4B"/>
    <w:rsid w:val="00F47D98"/>
    <w:rsid w:val="00F50ACC"/>
    <w:rsid w:val="00F518DF"/>
    <w:rsid w:val="00F544DB"/>
    <w:rsid w:val="00F54791"/>
    <w:rsid w:val="00F60635"/>
    <w:rsid w:val="00F648EA"/>
    <w:rsid w:val="00F6502E"/>
    <w:rsid w:val="00F65663"/>
    <w:rsid w:val="00F65E9A"/>
    <w:rsid w:val="00F66CA0"/>
    <w:rsid w:val="00F75147"/>
    <w:rsid w:val="00F751EF"/>
    <w:rsid w:val="00F756C0"/>
    <w:rsid w:val="00F75A40"/>
    <w:rsid w:val="00F77637"/>
    <w:rsid w:val="00F82B8D"/>
    <w:rsid w:val="00F8435D"/>
    <w:rsid w:val="00F85B1C"/>
    <w:rsid w:val="00F862E5"/>
    <w:rsid w:val="00F87DD0"/>
    <w:rsid w:val="00F93360"/>
    <w:rsid w:val="00F93FE4"/>
    <w:rsid w:val="00F9797E"/>
    <w:rsid w:val="00F97E4E"/>
    <w:rsid w:val="00FA1A40"/>
    <w:rsid w:val="00FA217B"/>
    <w:rsid w:val="00FB0780"/>
    <w:rsid w:val="00FB0BC5"/>
    <w:rsid w:val="00FB0BCC"/>
    <w:rsid w:val="00FB1235"/>
    <w:rsid w:val="00FB2393"/>
    <w:rsid w:val="00FC0FE5"/>
    <w:rsid w:val="00FC180A"/>
    <w:rsid w:val="00FC4D1B"/>
    <w:rsid w:val="00FD1ABC"/>
    <w:rsid w:val="00FD3669"/>
    <w:rsid w:val="00FD5B10"/>
    <w:rsid w:val="00FD7B2C"/>
    <w:rsid w:val="00FD7DDF"/>
    <w:rsid w:val="00FE25A3"/>
    <w:rsid w:val="00FE4C92"/>
    <w:rsid w:val="00FF0DDA"/>
    <w:rsid w:val="00FF0FAA"/>
    <w:rsid w:val="00FF1BCB"/>
    <w:rsid w:val="00FF2184"/>
    <w:rsid w:val="00FF3759"/>
    <w:rsid w:val="00FF3EFD"/>
    <w:rsid w:val="00FF4396"/>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4:docId w14:val="139FC895"/>
  <w15:docId w15:val="{5C0A1D0A-20EE-4427-9F50-05D6733EE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o-RO" w:eastAsia="en-GB" w:bidi="en-GB"/>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qFormat="1"/>
    <w:lsdException w:name="annotation text" w:semiHidden="1" w:uiPriority="0" w:unhideWhenUsed="1"/>
    <w:lsdException w:name="header" w:locked="1" w:semiHidden="1" w:uiPriority="0"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0BF"/>
    <w:pPr>
      <w:spacing w:line="288" w:lineRule="auto"/>
      <w:jc w:val="both"/>
    </w:pPr>
    <w:rPr>
      <w:lang w:eastAsia="en-US"/>
    </w:rPr>
  </w:style>
  <w:style w:type="paragraph" w:styleId="Heading1">
    <w:name w:val="heading 1"/>
    <w:basedOn w:val="Normal"/>
    <w:next w:val="Normal"/>
    <w:link w:val="Heading1Char"/>
    <w:qFormat/>
    <w:rsid w:val="007E50BF"/>
    <w:pPr>
      <w:numPr>
        <w:numId w:val="2"/>
      </w:numPr>
      <w:outlineLvl w:val="0"/>
    </w:pPr>
    <w:rPr>
      <w:kern w:val="28"/>
    </w:rPr>
  </w:style>
  <w:style w:type="paragraph" w:styleId="Heading2">
    <w:name w:val="heading 2"/>
    <w:basedOn w:val="Normal"/>
    <w:next w:val="Normal"/>
    <w:link w:val="Heading2Char"/>
    <w:qFormat/>
    <w:rsid w:val="007E50BF"/>
    <w:pPr>
      <w:numPr>
        <w:ilvl w:val="1"/>
        <w:numId w:val="2"/>
      </w:numPr>
      <w:outlineLvl w:val="1"/>
    </w:pPr>
  </w:style>
  <w:style w:type="paragraph" w:styleId="Heading3">
    <w:name w:val="heading 3"/>
    <w:basedOn w:val="Normal"/>
    <w:next w:val="Normal"/>
    <w:link w:val="Heading3Char"/>
    <w:qFormat/>
    <w:rsid w:val="007E50BF"/>
    <w:pPr>
      <w:numPr>
        <w:ilvl w:val="2"/>
        <w:numId w:val="2"/>
      </w:numPr>
      <w:outlineLvl w:val="2"/>
    </w:pPr>
  </w:style>
  <w:style w:type="paragraph" w:styleId="Heading4">
    <w:name w:val="heading 4"/>
    <w:basedOn w:val="Normal"/>
    <w:next w:val="Normal"/>
    <w:link w:val="Heading4Char"/>
    <w:qFormat/>
    <w:rsid w:val="007E50BF"/>
    <w:pPr>
      <w:numPr>
        <w:ilvl w:val="3"/>
        <w:numId w:val="2"/>
      </w:numPr>
      <w:outlineLvl w:val="3"/>
    </w:pPr>
  </w:style>
  <w:style w:type="paragraph" w:styleId="Heading5">
    <w:name w:val="heading 5"/>
    <w:basedOn w:val="Normal"/>
    <w:next w:val="Normal"/>
    <w:link w:val="Heading5Char"/>
    <w:qFormat/>
    <w:rsid w:val="007E50BF"/>
    <w:pPr>
      <w:numPr>
        <w:ilvl w:val="4"/>
        <w:numId w:val="2"/>
      </w:numPr>
      <w:outlineLvl w:val="4"/>
    </w:pPr>
  </w:style>
  <w:style w:type="paragraph" w:styleId="Heading6">
    <w:name w:val="heading 6"/>
    <w:basedOn w:val="Normal"/>
    <w:next w:val="Normal"/>
    <w:link w:val="Heading6Char"/>
    <w:qFormat/>
    <w:rsid w:val="007E50BF"/>
    <w:pPr>
      <w:numPr>
        <w:ilvl w:val="5"/>
        <w:numId w:val="2"/>
      </w:numPr>
      <w:outlineLvl w:val="5"/>
    </w:pPr>
  </w:style>
  <w:style w:type="paragraph" w:styleId="Heading7">
    <w:name w:val="heading 7"/>
    <w:basedOn w:val="Normal"/>
    <w:next w:val="Normal"/>
    <w:link w:val="Heading7Char"/>
    <w:qFormat/>
    <w:rsid w:val="007E50BF"/>
    <w:pPr>
      <w:numPr>
        <w:ilvl w:val="6"/>
        <w:numId w:val="2"/>
      </w:numPr>
      <w:outlineLvl w:val="6"/>
    </w:pPr>
  </w:style>
  <w:style w:type="paragraph" w:styleId="Heading8">
    <w:name w:val="heading 8"/>
    <w:basedOn w:val="Normal"/>
    <w:next w:val="Normal"/>
    <w:link w:val="Heading8Char"/>
    <w:qFormat/>
    <w:rsid w:val="007E50BF"/>
    <w:pPr>
      <w:numPr>
        <w:ilvl w:val="7"/>
        <w:numId w:val="2"/>
      </w:numPr>
      <w:outlineLvl w:val="7"/>
    </w:pPr>
  </w:style>
  <w:style w:type="paragraph" w:styleId="Heading9">
    <w:name w:val="heading 9"/>
    <w:basedOn w:val="Normal"/>
    <w:next w:val="Normal"/>
    <w:link w:val="Heading9Char"/>
    <w:qFormat/>
    <w:rsid w:val="007E50BF"/>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lang w:eastAsia="en-US" w:bidi="ar-SA"/>
    </w:rPr>
  </w:style>
  <w:style w:type="character" w:customStyle="1" w:styleId="Heading2Char">
    <w:name w:val="Heading 2 Char"/>
    <w:basedOn w:val="DefaultParagraphFont"/>
    <w:link w:val="Heading2"/>
    <w:locked/>
    <w:rsid w:val="00CB1536"/>
    <w:rPr>
      <w:lang w:eastAsia="en-US" w:bidi="ar-SA"/>
    </w:rPr>
  </w:style>
  <w:style w:type="character" w:customStyle="1" w:styleId="Heading3Char">
    <w:name w:val="Heading 3 Char"/>
    <w:basedOn w:val="DefaultParagraphFont"/>
    <w:link w:val="Heading3"/>
    <w:locked/>
    <w:rsid w:val="00CB1536"/>
    <w:rPr>
      <w:lang w:eastAsia="en-US" w:bidi="ar-SA"/>
    </w:rPr>
  </w:style>
  <w:style w:type="character" w:customStyle="1" w:styleId="Heading4Char">
    <w:name w:val="Heading 4 Char"/>
    <w:basedOn w:val="DefaultParagraphFont"/>
    <w:link w:val="Heading4"/>
    <w:locked/>
    <w:rsid w:val="00CB1536"/>
    <w:rPr>
      <w:lang w:eastAsia="en-US" w:bidi="ar-SA"/>
    </w:rPr>
  </w:style>
  <w:style w:type="character" w:customStyle="1" w:styleId="Heading5Char">
    <w:name w:val="Heading 5 Char"/>
    <w:basedOn w:val="DefaultParagraphFont"/>
    <w:link w:val="Heading5"/>
    <w:locked/>
    <w:rsid w:val="00CB1536"/>
    <w:rPr>
      <w:lang w:eastAsia="en-US" w:bidi="ar-SA"/>
    </w:rPr>
  </w:style>
  <w:style w:type="character" w:customStyle="1" w:styleId="Heading6Char">
    <w:name w:val="Heading 6 Char"/>
    <w:basedOn w:val="DefaultParagraphFont"/>
    <w:link w:val="Heading6"/>
    <w:locked/>
    <w:rsid w:val="00CB1536"/>
    <w:rPr>
      <w:lang w:eastAsia="en-US" w:bidi="ar-SA"/>
    </w:rPr>
  </w:style>
  <w:style w:type="character" w:customStyle="1" w:styleId="Heading7Char">
    <w:name w:val="Heading 7 Char"/>
    <w:basedOn w:val="DefaultParagraphFont"/>
    <w:link w:val="Heading7"/>
    <w:locked/>
    <w:rsid w:val="00CB1536"/>
    <w:rPr>
      <w:lang w:eastAsia="en-US" w:bidi="ar-SA"/>
    </w:rPr>
  </w:style>
  <w:style w:type="character" w:customStyle="1" w:styleId="Heading8Char">
    <w:name w:val="Heading 8 Char"/>
    <w:basedOn w:val="DefaultParagraphFont"/>
    <w:link w:val="Heading8"/>
    <w:locked/>
    <w:rsid w:val="00CB1536"/>
    <w:rPr>
      <w:lang w:eastAsia="en-US" w:bidi="ar-SA"/>
    </w:rPr>
  </w:style>
  <w:style w:type="character" w:customStyle="1" w:styleId="Heading9Char">
    <w:name w:val="Heading 9 Char"/>
    <w:basedOn w:val="DefaultParagraphFont"/>
    <w:link w:val="Heading9"/>
    <w:locked/>
    <w:rsid w:val="00CB1536"/>
    <w:rPr>
      <w:lang w:eastAsia="en-US" w:bidi="ar-SA"/>
    </w:rPr>
  </w:style>
  <w:style w:type="paragraph" w:styleId="Footer">
    <w:name w:val="footer"/>
    <w:basedOn w:val="Normal"/>
    <w:link w:val="FooterChar"/>
    <w:qFormat/>
    <w:rsid w:val="007E50BF"/>
  </w:style>
  <w:style w:type="character" w:customStyle="1" w:styleId="FooterChar">
    <w:name w:val="Footer Char"/>
    <w:basedOn w:val="DefaultParagraphFont"/>
    <w:link w:val="Footer"/>
    <w:locked/>
    <w:rsid w:val="00CB1536"/>
    <w:rPr>
      <w:lang w:eastAsia="en-US"/>
    </w:rPr>
  </w:style>
  <w:style w:type="paragraph" w:styleId="FootnoteText">
    <w:name w:val="footnote text"/>
    <w:basedOn w:val="Normal"/>
    <w:link w:val="FootnoteTextChar"/>
    <w:qFormat/>
    <w:rsid w:val="007E50BF"/>
    <w:pPr>
      <w:keepLines/>
      <w:spacing w:after="60" w:line="240" w:lineRule="auto"/>
      <w:ind w:left="567" w:hanging="567"/>
    </w:pPr>
    <w:rPr>
      <w:sz w:val="16"/>
    </w:rPr>
  </w:style>
  <w:style w:type="character" w:customStyle="1" w:styleId="FootnoteTextChar">
    <w:name w:val="Footnote Text Char"/>
    <w:basedOn w:val="DefaultParagraphFont"/>
    <w:link w:val="FootnoteText"/>
    <w:locked/>
    <w:rsid w:val="00CB1536"/>
    <w:rPr>
      <w:sz w:val="16"/>
      <w:lang w:val="ro-RO" w:eastAsia="en-US" w:bidi="ar-SA"/>
    </w:rPr>
  </w:style>
  <w:style w:type="paragraph" w:styleId="Header">
    <w:name w:val="header"/>
    <w:basedOn w:val="Normal"/>
    <w:link w:val="HeaderChar"/>
    <w:qFormat/>
    <w:rsid w:val="007E50BF"/>
  </w:style>
  <w:style w:type="character" w:customStyle="1" w:styleId="HeaderChar">
    <w:name w:val="Header Char"/>
    <w:basedOn w:val="DefaultParagraphFont"/>
    <w:link w:val="Header"/>
    <w:locked/>
    <w:rsid w:val="00CB1536"/>
    <w:rPr>
      <w:lang w:eastAsia="en-US"/>
    </w:rPr>
  </w:style>
  <w:style w:type="character" w:styleId="Hyperlink">
    <w:name w:val="Hyperlink"/>
    <w:basedOn w:val="DefaultParagraphFont"/>
    <w:uiPriority w:val="99"/>
    <w:rsid w:val="00934C10"/>
    <w:rPr>
      <w:color w:val="0000FF"/>
      <w:u w:val="single"/>
    </w:rPr>
  </w:style>
  <w:style w:type="character" w:styleId="FootnoteReference">
    <w:name w:val="footnote reference"/>
    <w:basedOn w:val="DefaultParagraphFont"/>
    <w:unhideWhenUsed/>
    <w:qFormat/>
    <w:rsid w:val="007E50BF"/>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styleId="BalloonText">
    <w:name w:val="Balloon Text"/>
    <w:basedOn w:val="Normal"/>
    <w:link w:val="BalloonTextChar"/>
    <w:uiPriority w:val="99"/>
    <w:semiHidden/>
    <w:unhideWhenUsed/>
    <w:rsid w:val="007E50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0BF"/>
    <w:rPr>
      <w:rFonts w:ascii="Tahoma" w:hAnsi="Tahoma" w:cs="Tahoma"/>
      <w:sz w:val="16"/>
      <w:szCs w:val="16"/>
      <w:lang w:val="ro-RO" w:eastAsia="en-US" w:bidi="ar-SA"/>
    </w:rPr>
  </w:style>
  <w:style w:type="paragraph" w:customStyle="1" w:styleId="quotes">
    <w:name w:val="quotes"/>
    <w:basedOn w:val="Normal"/>
    <w:next w:val="Normal"/>
    <w:rsid w:val="007E50BF"/>
    <w:pPr>
      <w:ind w:left="720"/>
    </w:pPr>
    <w:rPr>
      <w:i/>
    </w:rPr>
  </w:style>
  <w:style w:type="paragraph" w:styleId="NoSpacing">
    <w:name w:val="No Spacing"/>
    <w:uiPriority w:val="1"/>
    <w:qFormat/>
    <w:rsid w:val="000115C2"/>
    <w:rPr>
      <w:rFonts w:asciiTheme="minorHAnsi" w:eastAsiaTheme="minorHAnsi" w:hAnsiTheme="minorHAnsi" w:cstheme="minorBidi"/>
      <w:lang w:eastAsia="en-US"/>
    </w:rPr>
  </w:style>
  <w:style w:type="paragraph" w:styleId="ListParagraph">
    <w:name w:val="List Paragraph"/>
    <w:basedOn w:val="Normal"/>
    <w:uiPriority w:val="34"/>
    <w:qFormat/>
    <w:rsid w:val="00BA4CE1"/>
    <w:pPr>
      <w:ind w:left="720"/>
      <w:contextualSpacing/>
    </w:pPr>
  </w:style>
  <w:style w:type="character" w:styleId="CommentReference">
    <w:name w:val="annotation reference"/>
    <w:basedOn w:val="DefaultParagraphFont"/>
    <w:semiHidden/>
    <w:unhideWhenUsed/>
    <w:rsid w:val="00EF46AA"/>
    <w:rPr>
      <w:sz w:val="16"/>
      <w:szCs w:val="16"/>
    </w:rPr>
  </w:style>
  <w:style w:type="paragraph" w:styleId="CommentText">
    <w:name w:val="annotation text"/>
    <w:basedOn w:val="Normal"/>
    <w:link w:val="CommentTextChar"/>
    <w:semiHidden/>
    <w:unhideWhenUsed/>
    <w:rsid w:val="00EF46AA"/>
    <w:pPr>
      <w:spacing w:line="240" w:lineRule="auto"/>
    </w:pPr>
    <w:rPr>
      <w:sz w:val="20"/>
      <w:szCs w:val="20"/>
    </w:rPr>
  </w:style>
  <w:style w:type="character" w:customStyle="1" w:styleId="CommentTextChar">
    <w:name w:val="Comment Text Char"/>
    <w:basedOn w:val="DefaultParagraphFont"/>
    <w:link w:val="CommentText"/>
    <w:semiHidden/>
    <w:rsid w:val="00EF46AA"/>
    <w:rPr>
      <w:sz w:val="20"/>
      <w:szCs w:val="20"/>
      <w:lang w:eastAsia="en-US" w:bidi="ar-SA"/>
    </w:rPr>
  </w:style>
  <w:style w:type="paragraph" w:styleId="CommentSubject">
    <w:name w:val="annotation subject"/>
    <w:basedOn w:val="CommentText"/>
    <w:next w:val="CommentText"/>
    <w:link w:val="CommentSubjectChar"/>
    <w:uiPriority w:val="99"/>
    <w:semiHidden/>
    <w:unhideWhenUsed/>
    <w:rsid w:val="00EF46AA"/>
    <w:rPr>
      <w:b/>
      <w:bCs/>
    </w:rPr>
  </w:style>
  <w:style w:type="character" w:customStyle="1" w:styleId="CommentSubjectChar">
    <w:name w:val="Comment Subject Char"/>
    <w:basedOn w:val="CommentTextChar"/>
    <w:link w:val="CommentSubject"/>
    <w:uiPriority w:val="99"/>
    <w:semiHidden/>
    <w:rsid w:val="00EF46AA"/>
    <w:rPr>
      <w:b/>
      <w:bCs/>
      <w:sz w:val="20"/>
      <w:szCs w:val="20"/>
      <w:lang w:eastAsia="en-US" w:bidi="ar-SA"/>
    </w:rPr>
  </w:style>
  <w:style w:type="character" w:styleId="PlaceholderText">
    <w:name w:val="Placeholder Text"/>
    <w:basedOn w:val="DefaultParagraphFont"/>
    <w:uiPriority w:val="99"/>
    <w:semiHidden/>
    <w:rsid w:val="00782DF4"/>
    <w:rPr>
      <w:color w:val="808080"/>
    </w:rPr>
  </w:style>
  <w:style w:type="paragraph" w:styleId="NormalWeb">
    <w:name w:val="Normal (Web)"/>
    <w:basedOn w:val="Normal"/>
    <w:uiPriority w:val="99"/>
    <w:semiHidden/>
    <w:unhideWhenUsed/>
    <w:rsid w:val="0005235E"/>
    <w:pPr>
      <w:spacing w:line="240" w:lineRule="auto"/>
      <w:jc w:val="left"/>
    </w:pPr>
    <w:rPr>
      <w:rFonts w:eastAsiaTheme="minorHAnsi"/>
      <w:sz w:val="24"/>
      <w:szCs w:val="24"/>
      <w:lang w:eastAsia="es-ES" w:bidi="ar-SA"/>
    </w:rPr>
  </w:style>
  <w:style w:type="paragraph" w:styleId="HTMLPreformatted">
    <w:name w:val="HTML Preformatted"/>
    <w:basedOn w:val="Normal"/>
    <w:link w:val="HTMLPreformattedChar"/>
    <w:uiPriority w:val="99"/>
    <w:semiHidden/>
    <w:unhideWhenUsed/>
    <w:rsid w:val="00477434"/>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77434"/>
    <w:rPr>
      <w:rFonts w:ascii="Consolas" w:hAnsi="Consolas"/>
      <w:sz w:val="20"/>
      <w:szCs w:val="20"/>
      <w:lang w:eastAsia="en-US"/>
    </w:rPr>
  </w:style>
  <w:style w:type="character" w:styleId="Strong">
    <w:name w:val="Strong"/>
    <w:basedOn w:val="DefaultParagraphFont"/>
    <w:uiPriority w:val="22"/>
    <w:qFormat/>
    <w:locked/>
    <w:rsid w:val="00576E64"/>
    <w:rPr>
      <w:b/>
      <w:bCs/>
    </w:rPr>
  </w:style>
  <w:style w:type="table" w:styleId="TableGrid">
    <w:name w:val="Table Grid"/>
    <w:basedOn w:val="TableNormal"/>
    <w:locked/>
    <w:rsid w:val="00BC61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000571">
      <w:bodyDiv w:val="1"/>
      <w:marLeft w:val="0"/>
      <w:marRight w:val="0"/>
      <w:marTop w:val="0"/>
      <w:marBottom w:val="0"/>
      <w:divBdr>
        <w:top w:val="none" w:sz="0" w:space="0" w:color="auto"/>
        <w:left w:val="none" w:sz="0" w:space="0" w:color="auto"/>
        <w:bottom w:val="none" w:sz="0" w:space="0" w:color="auto"/>
        <w:right w:val="none" w:sz="0" w:space="0" w:color="auto"/>
      </w:divBdr>
    </w:div>
    <w:div w:id="352072546">
      <w:bodyDiv w:val="1"/>
      <w:marLeft w:val="0"/>
      <w:marRight w:val="0"/>
      <w:marTop w:val="0"/>
      <w:marBottom w:val="0"/>
      <w:divBdr>
        <w:top w:val="none" w:sz="0" w:space="0" w:color="auto"/>
        <w:left w:val="none" w:sz="0" w:space="0" w:color="auto"/>
        <w:bottom w:val="none" w:sz="0" w:space="0" w:color="auto"/>
        <w:right w:val="none" w:sz="0" w:space="0" w:color="auto"/>
      </w:divBdr>
      <w:divsChild>
        <w:div w:id="1686781481">
          <w:marLeft w:val="0"/>
          <w:marRight w:val="0"/>
          <w:marTop w:val="0"/>
          <w:marBottom w:val="0"/>
          <w:divBdr>
            <w:top w:val="none" w:sz="0" w:space="0" w:color="auto"/>
            <w:left w:val="none" w:sz="0" w:space="0" w:color="auto"/>
            <w:bottom w:val="none" w:sz="0" w:space="0" w:color="auto"/>
            <w:right w:val="none" w:sz="0" w:space="0" w:color="auto"/>
          </w:divBdr>
        </w:div>
        <w:div w:id="2102027445">
          <w:marLeft w:val="0"/>
          <w:marRight w:val="0"/>
          <w:marTop w:val="0"/>
          <w:marBottom w:val="0"/>
          <w:divBdr>
            <w:top w:val="none" w:sz="0" w:space="0" w:color="auto"/>
            <w:left w:val="none" w:sz="0" w:space="0" w:color="auto"/>
            <w:bottom w:val="none" w:sz="0" w:space="0" w:color="auto"/>
            <w:right w:val="none" w:sz="0" w:space="0" w:color="auto"/>
          </w:divBdr>
          <w:divsChild>
            <w:div w:id="1690057859">
              <w:marLeft w:val="165"/>
              <w:marRight w:val="165"/>
              <w:marTop w:val="0"/>
              <w:marBottom w:val="0"/>
              <w:divBdr>
                <w:top w:val="none" w:sz="0" w:space="0" w:color="auto"/>
                <w:left w:val="none" w:sz="0" w:space="0" w:color="auto"/>
                <w:bottom w:val="none" w:sz="0" w:space="0" w:color="auto"/>
                <w:right w:val="none" w:sz="0" w:space="0" w:color="auto"/>
              </w:divBdr>
              <w:divsChild>
                <w:div w:id="1731033699">
                  <w:marLeft w:val="0"/>
                  <w:marRight w:val="0"/>
                  <w:marTop w:val="0"/>
                  <w:marBottom w:val="0"/>
                  <w:divBdr>
                    <w:top w:val="none" w:sz="0" w:space="0" w:color="auto"/>
                    <w:left w:val="none" w:sz="0" w:space="0" w:color="auto"/>
                    <w:bottom w:val="none" w:sz="0" w:space="0" w:color="auto"/>
                    <w:right w:val="none" w:sz="0" w:space="0" w:color="auto"/>
                  </w:divBdr>
                  <w:divsChild>
                    <w:div w:id="104013393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629087">
      <w:bodyDiv w:val="1"/>
      <w:marLeft w:val="0"/>
      <w:marRight w:val="0"/>
      <w:marTop w:val="0"/>
      <w:marBottom w:val="0"/>
      <w:divBdr>
        <w:top w:val="none" w:sz="0" w:space="0" w:color="auto"/>
        <w:left w:val="none" w:sz="0" w:space="0" w:color="auto"/>
        <w:bottom w:val="none" w:sz="0" w:space="0" w:color="auto"/>
        <w:right w:val="none" w:sz="0" w:space="0" w:color="auto"/>
      </w:divBdr>
    </w:div>
    <w:div w:id="365525594">
      <w:bodyDiv w:val="1"/>
      <w:marLeft w:val="0"/>
      <w:marRight w:val="0"/>
      <w:marTop w:val="0"/>
      <w:marBottom w:val="0"/>
      <w:divBdr>
        <w:top w:val="none" w:sz="0" w:space="0" w:color="auto"/>
        <w:left w:val="none" w:sz="0" w:space="0" w:color="auto"/>
        <w:bottom w:val="none" w:sz="0" w:space="0" w:color="auto"/>
        <w:right w:val="none" w:sz="0" w:space="0" w:color="auto"/>
      </w:divBdr>
      <w:divsChild>
        <w:div w:id="1742756014">
          <w:marLeft w:val="0"/>
          <w:marRight w:val="0"/>
          <w:marTop w:val="0"/>
          <w:marBottom w:val="0"/>
          <w:divBdr>
            <w:top w:val="none" w:sz="0" w:space="0" w:color="auto"/>
            <w:left w:val="none" w:sz="0" w:space="0" w:color="auto"/>
            <w:bottom w:val="none" w:sz="0" w:space="0" w:color="auto"/>
            <w:right w:val="none" w:sz="0" w:space="0" w:color="auto"/>
          </w:divBdr>
        </w:div>
        <w:div w:id="853151465">
          <w:marLeft w:val="0"/>
          <w:marRight w:val="0"/>
          <w:marTop w:val="0"/>
          <w:marBottom w:val="0"/>
          <w:divBdr>
            <w:top w:val="none" w:sz="0" w:space="0" w:color="auto"/>
            <w:left w:val="none" w:sz="0" w:space="0" w:color="auto"/>
            <w:bottom w:val="none" w:sz="0" w:space="0" w:color="auto"/>
            <w:right w:val="none" w:sz="0" w:space="0" w:color="auto"/>
          </w:divBdr>
          <w:divsChild>
            <w:div w:id="1315141572">
              <w:marLeft w:val="165"/>
              <w:marRight w:val="165"/>
              <w:marTop w:val="0"/>
              <w:marBottom w:val="0"/>
              <w:divBdr>
                <w:top w:val="none" w:sz="0" w:space="0" w:color="auto"/>
                <w:left w:val="none" w:sz="0" w:space="0" w:color="auto"/>
                <w:bottom w:val="none" w:sz="0" w:space="0" w:color="auto"/>
                <w:right w:val="none" w:sz="0" w:space="0" w:color="auto"/>
              </w:divBdr>
              <w:divsChild>
                <w:div w:id="1961063981">
                  <w:marLeft w:val="0"/>
                  <w:marRight w:val="0"/>
                  <w:marTop w:val="0"/>
                  <w:marBottom w:val="0"/>
                  <w:divBdr>
                    <w:top w:val="none" w:sz="0" w:space="0" w:color="auto"/>
                    <w:left w:val="none" w:sz="0" w:space="0" w:color="auto"/>
                    <w:bottom w:val="none" w:sz="0" w:space="0" w:color="auto"/>
                    <w:right w:val="none" w:sz="0" w:space="0" w:color="auto"/>
                  </w:divBdr>
                  <w:divsChild>
                    <w:div w:id="63151804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071448">
      <w:bodyDiv w:val="1"/>
      <w:marLeft w:val="0"/>
      <w:marRight w:val="0"/>
      <w:marTop w:val="0"/>
      <w:marBottom w:val="0"/>
      <w:divBdr>
        <w:top w:val="none" w:sz="0" w:space="0" w:color="auto"/>
        <w:left w:val="none" w:sz="0" w:space="0" w:color="auto"/>
        <w:bottom w:val="none" w:sz="0" w:space="0" w:color="auto"/>
        <w:right w:val="none" w:sz="0" w:space="0" w:color="auto"/>
      </w:divBdr>
      <w:divsChild>
        <w:div w:id="651257695">
          <w:marLeft w:val="0"/>
          <w:marRight w:val="0"/>
          <w:marTop w:val="0"/>
          <w:marBottom w:val="0"/>
          <w:divBdr>
            <w:top w:val="none" w:sz="0" w:space="0" w:color="auto"/>
            <w:left w:val="none" w:sz="0" w:space="0" w:color="auto"/>
            <w:bottom w:val="none" w:sz="0" w:space="0" w:color="auto"/>
            <w:right w:val="none" w:sz="0" w:space="0" w:color="auto"/>
          </w:divBdr>
        </w:div>
        <w:div w:id="1947106990">
          <w:marLeft w:val="0"/>
          <w:marRight w:val="0"/>
          <w:marTop w:val="0"/>
          <w:marBottom w:val="0"/>
          <w:divBdr>
            <w:top w:val="none" w:sz="0" w:space="0" w:color="auto"/>
            <w:left w:val="none" w:sz="0" w:space="0" w:color="auto"/>
            <w:bottom w:val="none" w:sz="0" w:space="0" w:color="auto"/>
            <w:right w:val="none" w:sz="0" w:space="0" w:color="auto"/>
          </w:divBdr>
          <w:divsChild>
            <w:div w:id="638609371">
              <w:marLeft w:val="165"/>
              <w:marRight w:val="165"/>
              <w:marTop w:val="0"/>
              <w:marBottom w:val="0"/>
              <w:divBdr>
                <w:top w:val="none" w:sz="0" w:space="0" w:color="auto"/>
                <w:left w:val="none" w:sz="0" w:space="0" w:color="auto"/>
                <w:bottom w:val="none" w:sz="0" w:space="0" w:color="auto"/>
                <w:right w:val="none" w:sz="0" w:space="0" w:color="auto"/>
              </w:divBdr>
              <w:divsChild>
                <w:div w:id="583270985">
                  <w:marLeft w:val="0"/>
                  <w:marRight w:val="0"/>
                  <w:marTop w:val="0"/>
                  <w:marBottom w:val="0"/>
                  <w:divBdr>
                    <w:top w:val="none" w:sz="0" w:space="0" w:color="auto"/>
                    <w:left w:val="none" w:sz="0" w:space="0" w:color="auto"/>
                    <w:bottom w:val="none" w:sz="0" w:space="0" w:color="auto"/>
                    <w:right w:val="none" w:sz="0" w:space="0" w:color="auto"/>
                  </w:divBdr>
                  <w:divsChild>
                    <w:div w:id="116073014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534193">
      <w:bodyDiv w:val="1"/>
      <w:marLeft w:val="0"/>
      <w:marRight w:val="0"/>
      <w:marTop w:val="0"/>
      <w:marBottom w:val="0"/>
      <w:divBdr>
        <w:top w:val="none" w:sz="0" w:space="0" w:color="auto"/>
        <w:left w:val="none" w:sz="0" w:space="0" w:color="auto"/>
        <w:bottom w:val="none" w:sz="0" w:space="0" w:color="auto"/>
        <w:right w:val="none" w:sz="0" w:space="0" w:color="auto"/>
      </w:divBdr>
    </w:div>
    <w:div w:id="672949853">
      <w:bodyDiv w:val="1"/>
      <w:marLeft w:val="0"/>
      <w:marRight w:val="0"/>
      <w:marTop w:val="0"/>
      <w:marBottom w:val="0"/>
      <w:divBdr>
        <w:top w:val="none" w:sz="0" w:space="0" w:color="auto"/>
        <w:left w:val="none" w:sz="0" w:space="0" w:color="auto"/>
        <w:bottom w:val="none" w:sz="0" w:space="0" w:color="auto"/>
        <w:right w:val="none" w:sz="0" w:space="0" w:color="auto"/>
      </w:divBdr>
    </w:div>
    <w:div w:id="847332357">
      <w:bodyDiv w:val="1"/>
      <w:marLeft w:val="0"/>
      <w:marRight w:val="0"/>
      <w:marTop w:val="0"/>
      <w:marBottom w:val="0"/>
      <w:divBdr>
        <w:top w:val="none" w:sz="0" w:space="0" w:color="auto"/>
        <w:left w:val="none" w:sz="0" w:space="0" w:color="auto"/>
        <w:bottom w:val="none" w:sz="0" w:space="0" w:color="auto"/>
        <w:right w:val="none" w:sz="0" w:space="0" w:color="auto"/>
      </w:divBdr>
      <w:divsChild>
        <w:div w:id="2087456732">
          <w:marLeft w:val="0"/>
          <w:marRight w:val="0"/>
          <w:marTop w:val="0"/>
          <w:marBottom w:val="0"/>
          <w:divBdr>
            <w:top w:val="none" w:sz="0" w:space="0" w:color="auto"/>
            <w:left w:val="none" w:sz="0" w:space="0" w:color="auto"/>
            <w:bottom w:val="none" w:sz="0" w:space="0" w:color="auto"/>
            <w:right w:val="none" w:sz="0" w:space="0" w:color="auto"/>
          </w:divBdr>
        </w:div>
        <w:div w:id="1992366884">
          <w:marLeft w:val="0"/>
          <w:marRight w:val="0"/>
          <w:marTop w:val="0"/>
          <w:marBottom w:val="0"/>
          <w:divBdr>
            <w:top w:val="none" w:sz="0" w:space="0" w:color="auto"/>
            <w:left w:val="none" w:sz="0" w:space="0" w:color="auto"/>
            <w:bottom w:val="none" w:sz="0" w:space="0" w:color="auto"/>
            <w:right w:val="none" w:sz="0" w:space="0" w:color="auto"/>
          </w:divBdr>
          <w:divsChild>
            <w:div w:id="980766955">
              <w:marLeft w:val="165"/>
              <w:marRight w:val="165"/>
              <w:marTop w:val="0"/>
              <w:marBottom w:val="0"/>
              <w:divBdr>
                <w:top w:val="none" w:sz="0" w:space="0" w:color="auto"/>
                <w:left w:val="none" w:sz="0" w:space="0" w:color="auto"/>
                <w:bottom w:val="none" w:sz="0" w:space="0" w:color="auto"/>
                <w:right w:val="none" w:sz="0" w:space="0" w:color="auto"/>
              </w:divBdr>
              <w:divsChild>
                <w:div w:id="1291976745">
                  <w:marLeft w:val="0"/>
                  <w:marRight w:val="0"/>
                  <w:marTop w:val="0"/>
                  <w:marBottom w:val="0"/>
                  <w:divBdr>
                    <w:top w:val="none" w:sz="0" w:space="0" w:color="auto"/>
                    <w:left w:val="none" w:sz="0" w:space="0" w:color="auto"/>
                    <w:bottom w:val="none" w:sz="0" w:space="0" w:color="auto"/>
                    <w:right w:val="none" w:sz="0" w:space="0" w:color="auto"/>
                  </w:divBdr>
                  <w:divsChild>
                    <w:div w:id="12959730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872685">
      <w:bodyDiv w:val="1"/>
      <w:marLeft w:val="0"/>
      <w:marRight w:val="0"/>
      <w:marTop w:val="0"/>
      <w:marBottom w:val="0"/>
      <w:divBdr>
        <w:top w:val="none" w:sz="0" w:space="0" w:color="auto"/>
        <w:left w:val="none" w:sz="0" w:space="0" w:color="auto"/>
        <w:bottom w:val="none" w:sz="0" w:space="0" w:color="auto"/>
        <w:right w:val="none" w:sz="0" w:space="0" w:color="auto"/>
      </w:divBdr>
    </w:div>
    <w:div w:id="979581415">
      <w:bodyDiv w:val="1"/>
      <w:marLeft w:val="0"/>
      <w:marRight w:val="0"/>
      <w:marTop w:val="0"/>
      <w:marBottom w:val="0"/>
      <w:divBdr>
        <w:top w:val="none" w:sz="0" w:space="0" w:color="auto"/>
        <w:left w:val="none" w:sz="0" w:space="0" w:color="auto"/>
        <w:bottom w:val="none" w:sz="0" w:space="0" w:color="auto"/>
        <w:right w:val="none" w:sz="0" w:space="0" w:color="auto"/>
      </w:divBdr>
    </w:div>
    <w:div w:id="1028218869">
      <w:bodyDiv w:val="1"/>
      <w:marLeft w:val="0"/>
      <w:marRight w:val="0"/>
      <w:marTop w:val="0"/>
      <w:marBottom w:val="0"/>
      <w:divBdr>
        <w:top w:val="none" w:sz="0" w:space="0" w:color="auto"/>
        <w:left w:val="none" w:sz="0" w:space="0" w:color="auto"/>
        <w:bottom w:val="none" w:sz="0" w:space="0" w:color="auto"/>
        <w:right w:val="none" w:sz="0" w:space="0" w:color="auto"/>
      </w:divBdr>
    </w:div>
    <w:div w:id="1304123274">
      <w:bodyDiv w:val="1"/>
      <w:marLeft w:val="0"/>
      <w:marRight w:val="0"/>
      <w:marTop w:val="0"/>
      <w:marBottom w:val="0"/>
      <w:divBdr>
        <w:top w:val="none" w:sz="0" w:space="0" w:color="auto"/>
        <w:left w:val="none" w:sz="0" w:space="0" w:color="auto"/>
        <w:bottom w:val="none" w:sz="0" w:space="0" w:color="auto"/>
        <w:right w:val="none" w:sz="0" w:space="0" w:color="auto"/>
      </w:divBdr>
    </w:div>
    <w:div w:id="1374883075">
      <w:bodyDiv w:val="1"/>
      <w:marLeft w:val="0"/>
      <w:marRight w:val="0"/>
      <w:marTop w:val="0"/>
      <w:marBottom w:val="0"/>
      <w:divBdr>
        <w:top w:val="none" w:sz="0" w:space="0" w:color="auto"/>
        <w:left w:val="none" w:sz="0" w:space="0" w:color="auto"/>
        <w:bottom w:val="none" w:sz="0" w:space="0" w:color="auto"/>
        <w:right w:val="none" w:sz="0" w:space="0" w:color="auto"/>
      </w:divBdr>
    </w:div>
    <w:div w:id="1552889257">
      <w:bodyDiv w:val="1"/>
      <w:marLeft w:val="0"/>
      <w:marRight w:val="0"/>
      <w:marTop w:val="0"/>
      <w:marBottom w:val="0"/>
      <w:divBdr>
        <w:top w:val="none" w:sz="0" w:space="0" w:color="auto"/>
        <w:left w:val="none" w:sz="0" w:space="0" w:color="auto"/>
        <w:bottom w:val="none" w:sz="0" w:space="0" w:color="auto"/>
        <w:right w:val="none" w:sz="0" w:space="0" w:color="auto"/>
      </w:divBdr>
      <w:divsChild>
        <w:div w:id="414523305">
          <w:marLeft w:val="0"/>
          <w:marRight w:val="0"/>
          <w:marTop w:val="0"/>
          <w:marBottom w:val="0"/>
          <w:divBdr>
            <w:top w:val="none" w:sz="0" w:space="0" w:color="auto"/>
            <w:left w:val="none" w:sz="0" w:space="0" w:color="auto"/>
            <w:bottom w:val="none" w:sz="0" w:space="0" w:color="auto"/>
            <w:right w:val="none" w:sz="0" w:space="0" w:color="auto"/>
          </w:divBdr>
        </w:div>
        <w:div w:id="1249147595">
          <w:marLeft w:val="0"/>
          <w:marRight w:val="0"/>
          <w:marTop w:val="0"/>
          <w:marBottom w:val="0"/>
          <w:divBdr>
            <w:top w:val="none" w:sz="0" w:space="0" w:color="auto"/>
            <w:left w:val="none" w:sz="0" w:space="0" w:color="auto"/>
            <w:bottom w:val="none" w:sz="0" w:space="0" w:color="auto"/>
            <w:right w:val="none" w:sz="0" w:space="0" w:color="auto"/>
          </w:divBdr>
          <w:divsChild>
            <w:div w:id="2121796667">
              <w:marLeft w:val="165"/>
              <w:marRight w:val="165"/>
              <w:marTop w:val="0"/>
              <w:marBottom w:val="0"/>
              <w:divBdr>
                <w:top w:val="none" w:sz="0" w:space="0" w:color="auto"/>
                <w:left w:val="none" w:sz="0" w:space="0" w:color="auto"/>
                <w:bottom w:val="none" w:sz="0" w:space="0" w:color="auto"/>
                <w:right w:val="none" w:sz="0" w:space="0" w:color="auto"/>
              </w:divBdr>
              <w:divsChild>
                <w:div w:id="854029570">
                  <w:marLeft w:val="0"/>
                  <w:marRight w:val="0"/>
                  <w:marTop w:val="0"/>
                  <w:marBottom w:val="0"/>
                  <w:divBdr>
                    <w:top w:val="none" w:sz="0" w:space="0" w:color="auto"/>
                    <w:left w:val="none" w:sz="0" w:space="0" w:color="auto"/>
                    <w:bottom w:val="none" w:sz="0" w:space="0" w:color="auto"/>
                    <w:right w:val="none" w:sz="0" w:space="0" w:color="auto"/>
                  </w:divBdr>
                  <w:divsChild>
                    <w:div w:id="63775831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358612">
      <w:bodyDiv w:val="1"/>
      <w:marLeft w:val="0"/>
      <w:marRight w:val="0"/>
      <w:marTop w:val="0"/>
      <w:marBottom w:val="0"/>
      <w:divBdr>
        <w:top w:val="none" w:sz="0" w:space="0" w:color="auto"/>
        <w:left w:val="none" w:sz="0" w:space="0" w:color="auto"/>
        <w:bottom w:val="none" w:sz="0" w:space="0" w:color="auto"/>
        <w:right w:val="none" w:sz="0" w:space="0" w:color="auto"/>
      </w:divBdr>
    </w:div>
    <w:div w:id="1820026953">
      <w:bodyDiv w:val="1"/>
      <w:marLeft w:val="0"/>
      <w:marRight w:val="0"/>
      <w:marTop w:val="0"/>
      <w:marBottom w:val="0"/>
      <w:divBdr>
        <w:top w:val="none" w:sz="0" w:space="0" w:color="auto"/>
        <w:left w:val="none" w:sz="0" w:space="0" w:color="auto"/>
        <w:bottom w:val="none" w:sz="0" w:space="0" w:color="auto"/>
        <w:right w:val="none" w:sz="0" w:space="0" w:color="auto"/>
      </w:divBdr>
    </w:div>
    <w:div w:id="1916233718">
      <w:bodyDiv w:val="1"/>
      <w:marLeft w:val="0"/>
      <w:marRight w:val="0"/>
      <w:marTop w:val="0"/>
      <w:marBottom w:val="0"/>
      <w:divBdr>
        <w:top w:val="none" w:sz="0" w:space="0" w:color="auto"/>
        <w:left w:val="none" w:sz="0" w:space="0" w:color="auto"/>
        <w:bottom w:val="none" w:sz="0" w:space="0" w:color="auto"/>
        <w:right w:val="none" w:sz="0" w:space="0" w:color="auto"/>
      </w:divBdr>
      <w:divsChild>
        <w:div w:id="1215192926">
          <w:marLeft w:val="0"/>
          <w:marRight w:val="0"/>
          <w:marTop w:val="0"/>
          <w:marBottom w:val="0"/>
          <w:divBdr>
            <w:top w:val="none" w:sz="0" w:space="0" w:color="auto"/>
            <w:left w:val="none" w:sz="0" w:space="0" w:color="auto"/>
            <w:bottom w:val="none" w:sz="0" w:space="0" w:color="auto"/>
            <w:right w:val="none" w:sz="0" w:space="0" w:color="auto"/>
          </w:divBdr>
        </w:div>
        <w:div w:id="1475876011">
          <w:marLeft w:val="0"/>
          <w:marRight w:val="0"/>
          <w:marTop w:val="0"/>
          <w:marBottom w:val="0"/>
          <w:divBdr>
            <w:top w:val="none" w:sz="0" w:space="0" w:color="auto"/>
            <w:left w:val="none" w:sz="0" w:space="0" w:color="auto"/>
            <w:bottom w:val="none" w:sz="0" w:space="0" w:color="auto"/>
            <w:right w:val="none" w:sz="0" w:space="0" w:color="auto"/>
          </w:divBdr>
          <w:divsChild>
            <w:div w:id="303395573">
              <w:marLeft w:val="165"/>
              <w:marRight w:val="165"/>
              <w:marTop w:val="0"/>
              <w:marBottom w:val="0"/>
              <w:divBdr>
                <w:top w:val="none" w:sz="0" w:space="0" w:color="auto"/>
                <w:left w:val="none" w:sz="0" w:space="0" w:color="auto"/>
                <w:bottom w:val="none" w:sz="0" w:space="0" w:color="auto"/>
                <w:right w:val="none" w:sz="0" w:space="0" w:color="auto"/>
              </w:divBdr>
              <w:divsChild>
                <w:div w:id="603417344">
                  <w:marLeft w:val="0"/>
                  <w:marRight w:val="0"/>
                  <w:marTop w:val="0"/>
                  <w:marBottom w:val="0"/>
                  <w:divBdr>
                    <w:top w:val="none" w:sz="0" w:space="0" w:color="auto"/>
                    <w:left w:val="none" w:sz="0" w:space="0" w:color="auto"/>
                    <w:bottom w:val="none" w:sz="0" w:space="0" w:color="auto"/>
                    <w:right w:val="none" w:sz="0" w:space="0" w:color="auto"/>
                  </w:divBdr>
                  <w:divsChild>
                    <w:div w:id="106576408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328260">
      <w:bodyDiv w:val="1"/>
      <w:marLeft w:val="0"/>
      <w:marRight w:val="0"/>
      <w:marTop w:val="0"/>
      <w:marBottom w:val="0"/>
      <w:divBdr>
        <w:top w:val="none" w:sz="0" w:space="0" w:color="auto"/>
        <w:left w:val="none" w:sz="0" w:space="0" w:color="auto"/>
        <w:bottom w:val="none" w:sz="0" w:space="0" w:color="auto"/>
        <w:right w:val="none" w:sz="0" w:space="0" w:color="auto"/>
      </w:divBdr>
    </w:div>
    <w:div w:id="2027437729">
      <w:bodyDiv w:val="1"/>
      <w:marLeft w:val="0"/>
      <w:marRight w:val="0"/>
      <w:marTop w:val="0"/>
      <w:marBottom w:val="0"/>
      <w:divBdr>
        <w:top w:val="none" w:sz="0" w:space="0" w:color="auto"/>
        <w:left w:val="none" w:sz="0" w:space="0" w:color="auto"/>
        <w:bottom w:val="none" w:sz="0" w:space="0" w:color="auto"/>
        <w:right w:val="none" w:sz="0" w:space="0" w:color="auto"/>
      </w:divBdr>
    </w:div>
    <w:div w:id="2037004578">
      <w:bodyDiv w:val="1"/>
      <w:marLeft w:val="0"/>
      <w:marRight w:val="0"/>
      <w:marTop w:val="0"/>
      <w:marBottom w:val="0"/>
      <w:divBdr>
        <w:top w:val="none" w:sz="0" w:space="0" w:color="auto"/>
        <w:left w:val="none" w:sz="0" w:space="0" w:color="auto"/>
        <w:bottom w:val="none" w:sz="0" w:space="0" w:color="auto"/>
        <w:right w:val="none" w:sz="0" w:space="0" w:color="auto"/>
      </w:divBdr>
      <w:divsChild>
        <w:div w:id="859317904">
          <w:marLeft w:val="0"/>
          <w:marRight w:val="0"/>
          <w:marTop w:val="0"/>
          <w:marBottom w:val="0"/>
          <w:divBdr>
            <w:top w:val="none" w:sz="0" w:space="0" w:color="auto"/>
            <w:left w:val="none" w:sz="0" w:space="0" w:color="auto"/>
            <w:bottom w:val="none" w:sz="0" w:space="0" w:color="auto"/>
            <w:right w:val="none" w:sz="0" w:space="0" w:color="auto"/>
          </w:divBdr>
        </w:div>
        <w:div w:id="957877689">
          <w:marLeft w:val="0"/>
          <w:marRight w:val="0"/>
          <w:marTop w:val="0"/>
          <w:marBottom w:val="0"/>
          <w:divBdr>
            <w:top w:val="none" w:sz="0" w:space="0" w:color="auto"/>
            <w:left w:val="none" w:sz="0" w:space="0" w:color="auto"/>
            <w:bottom w:val="none" w:sz="0" w:space="0" w:color="auto"/>
            <w:right w:val="none" w:sz="0" w:space="0" w:color="auto"/>
          </w:divBdr>
          <w:divsChild>
            <w:div w:id="1397127008">
              <w:marLeft w:val="165"/>
              <w:marRight w:val="165"/>
              <w:marTop w:val="0"/>
              <w:marBottom w:val="0"/>
              <w:divBdr>
                <w:top w:val="none" w:sz="0" w:space="0" w:color="auto"/>
                <w:left w:val="none" w:sz="0" w:space="0" w:color="auto"/>
                <w:bottom w:val="none" w:sz="0" w:space="0" w:color="auto"/>
                <w:right w:val="none" w:sz="0" w:space="0" w:color="auto"/>
              </w:divBdr>
              <w:divsChild>
                <w:div w:id="1733697490">
                  <w:marLeft w:val="0"/>
                  <w:marRight w:val="0"/>
                  <w:marTop w:val="0"/>
                  <w:marBottom w:val="0"/>
                  <w:divBdr>
                    <w:top w:val="none" w:sz="0" w:space="0" w:color="auto"/>
                    <w:left w:val="none" w:sz="0" w:space="0" w:color="auto"/>
                    <w:bottom w:val="none" w:sz="0" w:space="0" w:color="auto"/>
                    <w:right w:val="none" w:sz="0" w:space="0" w:color="auto"/>
                  </w:divBdr>
                  <w:divsChild>
                    <w:div w:id="5971284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570555">
      <w:bodyDiv w:val="1"/>
      <w:marLeft w:val="0"/>
      <w:marRight w:val="0"/>
      <w:marTop w:val="0"/>
      <w:marBottom w:val="0"/>
      <w:divBdr>
        <w:top w:val="none" w:sz="0" w:space="0" w:color="auto"/>
        <w:left w:val="none" w:sz="0" w:space="0" w:color="auto"/>
        <w:bottom w:val="none" w:sz="0" w:space="0" w:color="auto"/>
        <w:right w:val="none" w:sz="0" w:space="0" w:color="auto"/>
      </w:divBdr>
    </w:div>
    <w:div w:id="2108228260">
      <w:bodyDiv w:val="1"/>
      <w:marLeft w:val="0"/>
      <w:marRight w:val="0"/>
      <w:marTop w:val="0"/>
      <w:marBottom w:val="0"/>
      <w:divBdr>
        <w:top w:val="none" w:sz="0" w:space="0" w:color="auto"/>
        <w:left w:val="none" w:sz="0" w:space="0" w:color="auto"/>
        <w:bottom w:val="none" w:sz="0" w:space="0" w:color="auto"/>
        <w:right w:val="none" w:sz="0" w:space="0" w:color="auto"/>
      </w:divBdr>
    </w:div>
    <w:div w:id="2116749207">
      <w:bodyDiv w:val="1"/>
      <w:marLeft w:val="0"/>
      <w:marRight w:val="0"/>
      <w:marTop w:val="0"/>
      <w:marBottom w:val="0"/>
      <w:divBdr>
        <w:top w:val="none" w:sz="0" w:space="0" w:color="auto"/>
        <w:left w:val="none" w:sz="0" w:space="0" w:color="auto"/>
        <w:bottom w:val="none" w:sz="0" w:space="0" w:color="auto"/>
        <w:right w:val="none" w:sz="0" w:space="0" w:color="auto"/>
      </w:divBdr>
      <w:divsChild>
        <w:div w:id="167213437">
          <w:marLeft w:val="0"/>
          <w:marRight w:val="0"/>
          <w:marTop w:val="0"/>
          <w:marBottom w:val="0"/>
          <w:divBdr>
            <w:top w:val="none" w:sz="0" w:space="0" w:color="auto"/>
            <w:left w:val="none" w:sz="0" w:space="0" w:color="auto"/>
            <w:bottom w:val="none" w:sz="0" w:space="0" w:color="auto"/>
            <w:right w:val="none" w:sz="0" w:space="0" w:color="auto"/>
          </w:divBdr>
        </w:div>
        <w:div w:id="2040861367">
          <w:marLeft w:val="0"/>
          <w:marRight w:val="0"/>
          <w:marTop w:val="0"/>
          <w:marBottom w:val="0"/>
          <w:divBdr>
            <w:top w:val="none" w:sz="0" w:space="0" w:color="auto"/>
            <w:left w:val="none" w:sz="0" w:space="0" w:color="auto"/>
            <w:bottom w:val="none" w:sz="0" w:space="0" w:color="auto"/>
            <w:right w:val="none" w:sz="0" w:space="0" w:color="auto"/>
          </w:divBdr>
          <w:divsChild>
            <w:div w:id="1603025170">
              <w:marLeft w:val="165"/>
              <w:marRight w:val="165"/>
              <w:marTop w:val="0"/>
              <w:marBottom w:val="0"/>
              <w:divBdr>
                <w:top w:val="none" w:sz="0" w:space="0" w:color="auto"/>
                <w:left w:val="none" w:sz="0" w:space="0" w:color="auto"/>
                <w:bottom w:val="none" w:sz="0" w:space="0" w:color="auto"/>
                <w:right w:val="none" w:sz="0" w:space="0" w:color="auto"/>
              </w:divBdr>
              <w:divsChild>
                <w:div w:id="315257516">
                  <w:marLeft w:val="0"/>
                  <w:marRight w:val="0"/>
                  <w:marTop w:val="0"/>
                  <w:marBottom w:val="0"/>
                  <w:divBdr>
                    <w:top w:val="none" w:sz="0" w:space="0" w:color="auto"/>
                    <w:left w:val="none" w:sz="0" w:space="0" w:color="auto"/>
                    <w:bottom w:val="none" w:sz="0" w:space="0" w:color="auto"/>
                    <w:right w:val="none" w:sz="0" w:space="0" w:color="auto"/>
                  </w:divBdr>
                  <w:divsChild>
                    <w:div w:id="176228843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30" Type="http://schemas.microsoft.com/office/2016/09/relationships/commentsIds" Target="commentsIds.xml"/></Relationships>
</file>

<file path=word/_rels/footnotes.xml.rels><?xml version='1.0' encoding='UTF-8' standalone='yes'?>
<Relationships xmlns="http://schemas.openxmlformats.org/package/2006/relationships"><Relationship Id="rId1" Type="http://schemas.openxmlformats.org/officeDocument/2006/relationships/hyperlink" Target="https://fra.europa.eu/sites/default/files/fra_uploads/fra-2020-lgbti-equality-1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01cfe264-354f-4f3f-acd0-cf26eb309336">V63NAVDT5PV3-1365199066-7123</_dlc_DocId>
    <_dlc_DocIdUrl xmlns="01cfe264-354f-4f3f-acd0-cf26eb309336">
      <Url>http://dm2016/eesc/2021/_layouts/15/DocIdRedir.aspx?ID=V63NAVDT5PV3-1365199066-7123</Url>
      <Description>V63NAVDT5PV3-1365199066-7123</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Procedure xmlns="01cfe264-354f-4f3f-acd0-cf26eb309336"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01cfe264-354f-4f3f-acd0-cf26eb309336">2021-04-30T12:00:00+00:00</ProductionDate>
    <DocumentNumber xmlns="196ffe2b-9ed3-447e-a11d-182b366da4dc">6</DocumentNumber>
    <FicheYear xmlns="01cfe264-354f-4f3f-acd0-cf26eb309336" xsi:nil="true"/>
    <DocumentVersion xmlns="01cfe264-354f-4f3f-acd0-cf26eb309336">0</DocumentVersion>
    <DossierNumber xmlns="01cfe264-354f-4f3f-acd0-cf26eb309336">667</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01cfe264-354f-4f3f-acd0-cf26eb309336" xsi:nil="true"/>
    <TaxCatchAll xmlns="01cfe264-354f-4f3f-acd0-cf26eb309336">
      <Value>86</Value>
      <Value>66</Value>
      <Value>58</Value>
      <Value>51</Value>
      <Value>45</Value>
      <Value>42</Value>
      <Value>41</Value>
      <Value>40</Value>
      <Value>39</Value>
      <Value>38</Value>
      <Value>37</Value>
      <Value>35</Value>
      <Value>28</Value>
      <Value>25</Value>
      <Value>21</Value>
      <Value>19</Value>
      <Value>18</Value>
      <Value>17</Value>
      <Value>16</Value>
      <Value>15</Value>
      <Value>14</Value>
      <Value>13</Value>
      <Value>12</Value>
      <Value>11</Value>
      <Value>9</Value>
      <Value>7</Value>
      <Value>6</Value>
      <Value>5</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feb747a2-64cd-4299-af12-4833ddc30497</TermId>
        </TermInfo>
      </Terms>
    </DocumentLanguage_0>
    <Rapporteur xmlns="01cfe264-354f-4f3f-acd0-cf26eb309336">BARRERA CHAMORRO &amp; SIBIAN</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01cfe264-354f-4f3f-acd0-cf26eb309336">2021</DocumentYear>
    <FicheNumber xmlns="01cfe264-354f-4f3f-acd0-cf26eb309336">43</FicheNumber>
    <OriginalSender xmlns="01cfe264-354f-4f3f-acd0-cf26eb309336">
      <UserInfo>
        <DisplayName>Greff Daniela</DisplayName>
        <AccountId>1846</AccountId>
        <AccountType/>
      </UserInfo>
    </OriginalSender>
    <DocumentPart xmlns="01cfe264-354f-4f3f-acd0-cf26eb309336">0</DocumentPart>
    <AdoptionDate xmlns="01cfe264-354f-4f3f-acd0-cf26eb309336">2021-04-27T12:00:00+00:00</AdoptionDate>
    <RequestingService xmlns="01cfe264-354f-4f3f-acd0-cf26eb309336">Emploi, affaires sociales, citoyenneté</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96ffe2b-9ed3-447e-a11d-182b366da4dc"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SOC</TermName>
          <TermId xmlns="http://schemas.microsoft.com/office/infopath/2007/PartnerControls">13795804-ecbd-4ce5-9693-9b8be1981b20</TermId>
        </TermInfo>
      </Terms>
    </DossierName_0>
  </documentManagement>
</p:properti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2737E0B42D236040B3344A682183C722" ma:contentTypeVersion="6" ma:contentTypeDescription="Defines the documents for Document Manager V2" ma:contentTypeScope="" ma:versionID="8a3d90eff2c2e71e53f2d9683fff7575">
  <xsd:schema xmlns:xsd="http://www.w3.org/2001/XMLSchema" xmlns:xs="http://www.w3.org/2001/XMLSchema" xmlns:p="http://schemas.microsoft.com/office/2006/metadata/properties" xmlns:ns2="01cfe264-354f-4f3f-acd0-cf26eb309336" xmlns:ns3="http://schemas.microsoft.com/sharepoint/v3/fields" xmlns:ns4="196ffe2b-9ed3-447e-a11d-182b366da4dc" targetNamespace="http://schemas.microsoft.com/office/2006/metadata/properties" ma:root="true" ma:fieldsID="d87ca78c44a082becd4fb66de95a8bc9" ns2:_="" ns3:_="" ns4:_="">
    <xsd:import namespace="01cfe264-354f-4f3f-acd0-cf26eb309336"/>
    <xsd:import namespace="http://schemas.microsoft.com/sharepoint/v3/fields"/>
    <xsd:import namespace="196ffe2b-9ed3-447e-a11d-182b366da4dc"/>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element ref="ns2:OriginalSen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fe264-354f-4f3f-acd0-cf26eb3093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hidden="true" ma:list="{665b0d5d-45cf-4270-be2c-76ae3bd91060}" ma:internalName="TaxCatchAll" ma:showField="CatchAllData" ma:web="01cfe264-354f-4f3f-acd0-cf26eb3093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665b0d5d-45cf-4270-be2c-76ae3bd91060}" ma:internalName="TaxCatchAllLabel" ma:readOnly="true" ma:showField="CatchAllDataLabel" ma:web="01cfe264-354f-4f3f-acd0-cf26eb309336">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element name="OriginalSender" ma:index="47"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96ffe2b-9ed3-447e-a11d-182b366da4dc"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1DE624-7460-43D4-B380-CE161308D8CF}"/>
</file>

<file path=customXml/itemProps2.xml><?xml version="1.0" encoding="utf-8"?>
<ds:datastoreItem xmlns:ds="http://schemas.openxmlformats.org/officeDocument/2006/customXml" ds:itemID="{D08EEFDE-FA92-45DD-B8F9-2A740F16AFF2}"/>
</file>

<file path=customXml/itemProps3.xml><?xml version="1.0" encoding="utf-8"?>
<ds:datastoreItem xmlns:ds="http://schemas.openxmlformats.org/officeDocument/2006/customXml" ds:itemID="{371ABF97-5C09-4E9C-A5E9-E61E5BDF7388}"/>
</file>

<file path=customXml/itemProps4.xml><?xml version="1.0" encoding="utf-8"?>
<ds:datastoreItem xmlns:ds="http://schemas.openxmlformats.org/officeDocument/2006/customXml" ds:itemID="{20E50FC7-1B77-4068-AAA3-C656131A55DE}"/>
</file>

<file path=docProps/app.xml><?xml version="1.0" encoding="utf-8"?>
<Properties xmlns="http://schemas.openxmlformats.org/officeDocument/2006/extended-properties" xmlns:vt="http://schemas.openxmlformats.org/officeDocument/2006/docPropsVTypes">
  <Template>Normal.dotm</Template>
  <TotalTime>4</TotalTime>
  <Pages>10</Pages>
  <Words>3662</Words>
  <Characters>21947</Characters>
  <Application>Microsoft Office Word</Application>
  <DocSecurity>0</DocSecurity>
  <Lines>182</Lines>
  <Paragraphs>51</Paragraphs>
  <ScaleCrop>false</ScaleCrop>
  <HeadingPairs>
    <vt:vector size="6" baseType="variant">
      <vt:variant>
        <vt:lpstr>Title</vt:lpstr>
      </vt:variant>
      <vt:variant>
        <vt:i4>1</vt:i4>
      </vt:variant>
      <vt:variant>
        <vt:lpstr>Título</vt:lpstr>
      </vt:variant>
      <vt:variant>
        <vt:i4>1</vt:i4>
      </vt:variant>
      <vt:variant>
        <vt:lpstr>Titlu</vt:lpstr>
      </vt:variant>
      <vt:variant>
        <vt:i4>1</vt:i4>
      </vt:variant>
    </vt:vector>
  </HeadingPairs>
  <TitlesOfParts>
    <vt:vector size="3" baseType="lpstr">
      <vt:lpstr>LGBTIQ Equality Strategy</vt:lpstr>
      <vt:lpstr>LGBTIQ Equality Strategy</vt:lpstr>
      <vt:lpstr>European Agenda on Migration: Second implementation package - A permanent crisis relocation mechanism under the Dublin system</vt:lpstr>
    </vt:vector>
  </TitlesOfParts>
  <Company>CESE-CdR</Company>
  <LinksUpToDate>false</LinksUpToDate>
  <CharactersWithSpaces>25558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Uniune a egalității: Strategia privind egalitatea pentru persoanele LGBTIQ2020-2025</dc:title>
  <dc:subject>AC</dc:subject>
  <dc:creator/>
  <cp:keywords>EESC-2021-00006-00-00-AC-TRA-EN</cp:keywords>
  <dc:description>Rapporteur: BARRERA CHAMORRO &amp; SIBIAN - Original language: EN - Date of document: 30/04/2021 - Date of meeting:  - External documents: COM(2020)698-final - Administrator: Mme BERKEMEIER Maria Judite</dc:description>
  <cp:lastModifiedBy/>
  <cp:revision>4</cp:revision>
  <cp:lastPrinted>2021-01-20T12:59:00Z</cp:lastPrinted>
  <dcterms:created xsi:type="dcterms:W3CDTF">2021-04-30T13:01:00Z</dcterms:created>
  <dcterms:modified xsi:type="dcterms:W3CDTF">2021-06-03T14:08:00Z</dcterms:modified>
  <cp:category>SOC/667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28/04/2021, 19/04/2021, 19/04/2021, 31/03/2021, 17/03/2021, 27/01/2021, 04/11/2015, 27/10/2015, 19/10/2015, 09/10/2015, 05/10/2015, 05/10/2015, 26/08/2015, 26/08/2015, 25/08/2015</vt:lpwstr>
  </property>
  <property fmtid="{D5CDD505-2E9C-101B-9397-08002B2CF9AE}" pid="4" name="Pref_Time">
    <vt:lpwstr>11:23:30, 11:42:11, 11:36:07, 08:52:56, 16:17:03, 12:07:03, 12:10:07, 14:44:02, 16:04:16, 14:09:30, 16:24:55, 16:04:02, 08:56:14, 07:27:56, 17:31:53</vt:lpwstr>
  </property>
  <property fmtid="{D5CDD505-2E9C-101B-9397-08002B2CF9AE}" pid="5" name="Pref_User">
    <vt:lpwstr>enied, enied, htoo, hnic, enied, hnic, ssex, enied, amett, tvoc, mreg, mreg, amett, enied, ssex</vt:lpwstr>
  </property>
  <property fmtid="{D5CDD505-2E9C-101B-9397-08002B2CF9AE}" pid="6" name="Pref_FileName">
    <vt:lpwstr>EESC-2021-00006-00-00-AC-ORI.docx, EESC-2021-00006-00-00-AS-TRA-EN-CRR.docx, EESC-2021-00006-00-00-AS-CRR-EN.docx, EESC-2021-00006-00-00-PA-ORI.docx, EESC-2021-00006-00-00-APA-ORI.docx, EESC-2021-00006-00-00-DT-ORI.docx, EESC-2015-05408-00-00-PA-CRR-EN.do</vt:lpwstr>
  </property>
  <property fmtid="{D5CDD505-2E9C-101B-9397-08002B2CF9AE}" pid="7" name="ContentTypeId">
    <vt:lpwstr>0x010100EA97B91038054C99906057A708A1480A002737E0B42D236040B3344A682183C722</vt:lpwstr>
  </property>
  <property fmtid="{D5CDD505-2E9C-101B-9397-08002B2CF9AE}" pid="8" name="_dlc_DocIdItemGuid">
    <vt:lpwstr>1ddb85e0-b850-48fd-aed1-bc7252603200</vt:lpwstr>
  </property>
  <property fmtid="{D5CDD505-2E9C-101B-9397-08002B2CF9AE}" pid="9" name="AvailableTranslations">
    <vt:lpwstr>39;#SL|98a412ae-eb01-49e9-ae3d-585a81724cfc;#4;#FR|d2afafd3-4c81-4f60-8f52-ee33f2f54ff3;#37;#EL|6d4f4d51-af9b-4650-94b4-4276bee85c91;#40;#SV|c2ed69e7-a339-43d7-8f22-d93680a92aa0;#19;#SK|46d9fce0-ef79-4f71-b89b-cd6aa82426b8;#35;#PL|1e03da61-4678-4e07-b136-b5024ca9197b;#18;#LV|46f7e311-5d9f-4663-b433-18aeccb7ace7;#9;#EN|f2175f21-25d7-44a3-96da-d6a61b075e1b;#66;#GA|762d2456-c427-4ecb-b312-af3dad8e258c;#58;#MT|7df99101-6854-4a26-b53a-b88c0da02c26;#16;#IT|0774613c-01ed-4e5d-a25d-11d2388de825;#17;#NL|55c6556c-b4f4-441d-9acf-c498d4f838bd;#41;#BG|1a1b3951-7821-4e6a-85f5-5673fc08bd2c;#42;#FI|87606a43-d45f-42d6-b8c9-e1a3457db5b7;#13;#PT|50ccc04a-eadd-42ae-a0cb-acaf45f812ba;#21;#HU|6b229040-c589-4408-b4c1-4285663d20a8;#12;#DA|5d49c027-8956-412b-aa16-e85a0f96ad0e;#45;#RO|feb747a2-64cd-4299-af12-4833ddc30497;#38;#HR|2f555653-ed1a-4fe6-8362-9082d95989e5;#11;#DE|f6b31e5a-26fa-4935-b661-318e46daf27e;#15;#LT|a7ff5ce7-6123-4f68-865a-a57c31810414;#28;#ES|e7a6b05b-ae16-40c8-add9-68b64b03aeba;#25;#CS|72f9705b-0217-4fd3-bea2-cbc7ed80e26e;#14;#ET|ff6c3f4c-b02c-4c3c-ab07-2c37995a7a0a</vt:lpwstr>
  </property>
  <property fmtid="{D5CDD505-2E9C-101B-9397-08002B2CF9AE}" pid="10" name="DocumentType_0">
    <vt:lpwstr>AC|a4cc1d15-fb08-4679-ad46-e4e0cba5fe92</vt:lpwstr>
  </property>
  <property fmtid="{D5CDD505-2E9C-101B-9397-08002B2CF9AE}" pid="11" name="DossierName_0">
    <vt:lpwstr>SOC|13795804-ecbd-4ce5-9693-9b8be1981b20</vt:lpwstr>
  </property>
  <property fmtid="{D5CDD505-2E9C-101B-9397-08002B2CF9AE}" pid="12" name="DocumentSource_0">
    <vt:lpwstr>EESC|422833ec-8d7e-4e65-8e4e-8bed07ffb729</vt:lpwstr>
  </property>
  <property fmtid="{D5CDD505-2E9C-101B-9397-08002B2CF9AE}" pid="13" name="DocumentNumber">
    <vt:i4>6</vt:i4>
  </property>
  <property fmtid="{D5CDD505-2E9C-101B-9397-08002B2CF9AE}" pid="14" name="DocumentVersion">
    <vt:i4>0</vt:i4>
  </property>
  <property fmtid="{D5CDD505-2E9C-101B-9397-08002B2CF9AE}" pid="15" name="DossierNumber">
    <vt:i4>667</vt:i4>
  </property>
  <property fmtid="{D5CDD505-2E9C-101B-9397-08002B2CF9AE}" pid="16" name="DocumentStatus">
    <vt:lpwstr>7;#TRA|150d2a88-1431-44e6-a8ca-0bb753ab8672</vt:lpwstr>
  </property>
  <property fmtid="{D5CDD505-2E9C-101B-9397-08002B2CF9AE}" pid="17" name="DocumentPart">
    <vt:i4>0</vt:i4>
  </property>
  <property fmtid="{D5CDD505-2E9C-101B-9397-08002B2CF9AE}" pid="18" name="DossierName">
    <vt:lpwstr>51;#SOC|13795804-ecbd-4ce5-9693-9b8be1981b20</vt:lpwstr>
  </property>
  <property fmtid="{D5CDD505-2E9C-101B-9397-08002B2CF9AE}" pid="19" name="DocumentSource">
    <vt:lpwstr>1;#EESC|422833ec-8d7e-4e65-8e4e-8bed07ffb729</vt:lpwstr>
  </property>
  <property fmtid="{D5CDD505-2E9C-101B-9397-08002B2CF9AE}" pid="20" name="AdoptionDate">
    <vt:filetime>2021-04-27T12:00:00Z</vt:filetime>
  </property>
  <property fmtid="{D5CDD505-2E9C-101B-9397-08002B2CF9AE}" pid="21" name="DocumentType">
    <vt:lpwstr>86;#AC|a4cc1d15-fb08-4679-ad46-e4e0cba5fe92</vt:lpwstr>
  </property>
  <property fmtid="{D5CDD505-2E9C-101B-9397-08002B2CF9AE}" pid="22" name="RequestingService">
    <vt:lpwstr>Emploi, affaires sociales, citoyenneté</vt:lpwstr>
  </property>
  <property fmtid="{D5CDD505-2E9C-101B-9397-08002B2CF9AE}" pid="23" name="Confidentiality">
    <vt:lpwstr>5;#Unrestricted|826e22d7-d029-4ec0-a450-0c28ff673572</vt:lpwstr>
  </property>
  <property fmtid="{D5CDD505-2E9C-101B-9397-08002B2CF9AE}" pid="24" name="MeetingName_0">
    <vt:lpwstr/>
  </property>
  <property fmtid="{D5CDD505-2E9C-101B-9397-08002B2CF9AE}" pid="25" name="Confidentiality_0">
    <vt:lpwstr>Unrestricted|826e22d7-d029-4ec0-a450-0c28ff673572</vt:lpwstr>
  </property>
  <property fmtid="{D5CDD505-2E9C-101B-9397-08002B2CF9AE}" pid="26" name="OriginalLanguage">
    <vt:lpwstr>9;#EN|f2175f21-25d7-44a3-96da-d6a61b075e1b</vt:lpwstr>
  </property>
  <property fmtid="{D5CDD505-2E9C-101B-9397-08002B2CF9AE}" pid="27" name="MeetingName">
    <vt:lpwstr/>
  </property>
  <property fmtid="{D5CDD505-2E9C-101B-9397-08002B2CF9AE}" pid="28" name="AvailableTranslations_0">
    <vt:lpwstr>FR|d2afafd3-4c81-4f60-8f52-ee33f2f54ff3;EL|6d4f4d51-af9b-4650-94b4-4276bee85c91;SV|c2ed69e7-a339-43d7-8f22-d93680a92aa0;SK|46d9fce0-ef79-4f71-b89b-cd6aa82426b8;PL|1e03da61-4678-4e07-b136-b5024ca9197b;LV|46f7e311-5d9f-4663-b433-18aeccb7ace7;EN|f2175f21-25d</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TaxCatchAll">
    <vt:lpwstr>42;#FI|87606a43-d45f-42d6-b8c9-e1a3457db5b7;#35;#PL|1e03da61-4678-4e07-b136-b5024ca9197b;#25;#CS|72f9705b-0217-4fd3-bea2-cbc7ed80e26e;#28;#ES|e7a6b05b-ae16-40c8-add9-68b64b03aeba;#12;#DA|5d49c027-8956-412b-aa16-e85a0f96ad0e;#38;#HR|2f555653-ed1a-4fe6-8362</vt:lpwstr>
  </property>
  <property fmtid="{D5CDD505-2E9C-101B-9397-08002B2CF9AE}" pid="32" name="Rapporteur">
    <vt:lpwstr>BARRERA CHAMORRO &amp; SIBIAN</vt:lpwstr>
  </property>
  <property fmtid="{D5CDD505-2E9C-101B-9397-08002B2CF9AE}" pid="33" name="VersionStatus_0">
    <vt:lpwstr>Final|ea5e6674-7b27-4bac-b091-73adbb394efe</vt:lpwstr>
  </property>
  <property fmtid="{D5CDD505-2E9C-101B-9397-08002B2CF9AE}" pid="34" name="VersionStatus">
    <vt:lpwstr>6;#Final|ea5e6674-7b27-4bac-b091-73adbb394efe</vt:lpwstr>
  </property>
  <property fmtid="{D5CDD505-2E9C-101B-9397-08002B2CF9AE}" pid="35" name="DocumentYear">
    <vt:i4>2021</vt:i4>
  </property>
  <property fmtid="{D5CDD505-2E9C-101B-9397-08002B2CF9AE}" pid="36" name="FicheNumber">
    <vt:i4>43</vt:i4>
  </property>
  <property fmtid="{D5CDD505-2E9C-101B-9397-08002B2CF9AE}" pid="37" name="DocumentLanguage">
    <vt:lpwstr>45;#RO|feb747a2-64cd-4299-af12-4833ddc30497</vt:lpwstr>
  </property>
  <property fmtid="{D5CDD505-2E9C-101B-9397-08002B2CF9AE}" pid="38" name="_docset_NoMedatataSyncRequired">
    <vt:lpwstr>False</vt:lpwstr>
  </property>
  <property name="OP_sanitized" fmtid="{D5CDD505-2E9C-101B-9397-08002B2CF9AE}" pid="39">
    <vt:lpwstr>True</vt:lpwstr>
  </property>
</Properties>
</file>