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E94D23" w:rsidRDefault="00023315" w:rsidP="00E33EF4">
      <w:pPr>
        <w:jc w:val="center"/>
      </w:pPr>
      <w:r w:rsidRPr="00E94D23">
        <w:rPr>
          <w:lang w:bidi="ar-SA"/>
        </w:rPr>
        <mc:AlternateContent>
          <mc:Choice Requires="wps">
            <w:drawing>
              <wp:anchor distT="0" distB="0" distL="114300" distR="114300" simplePos="0" relativeHeight="251659264" behindDoc="1" locked="0" layoutInCell="0" allowOverlap="1" wp14:anchorId="7B1439DB" wp14:editId="51FC72E7">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315" w:rsidRPr="00E94D23" w:rsidRDefault="00023315" w:rsidP="00023315">
                            <w:pPr>
                              <w:jc w:val="center"/>
                              <w:rPr>
                                <w:rFonts w:ascii="Arial" w:hAnsi="Arial" w:cs="Arial"/>
                                <w:b/>
                                <w:sz w:val="48"/>
                              </w:rPr>
                            </w:pPr>
                            <w:r w:rsidRPr="00E94D23">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023315" w:rsidRPr="00E94D23" w:rsidRDefault="00023315" w:rsidP="00023315">
                      <w:pPr>
                        <w:jc w:val="center"/>
                        <w:rPr>
                          <w:rFonts w:ascii="Arial" w:hAnsi="Arial" w:cs="Arial"/>
                          <w:b/>
                          <w:sz w:val="48"/>
                        </w:rPr>
                      </w:pPr>
                      <w:r w:rsidRPr="00E94D23">
                        <w:rPr>
                          <w:rFonts w:ascii="Arial" w:hAnsi="Arial"/>
                          <w:b/>
                          <w:sz w:val="48"/>
                        </w:rPr>
                        <w:t>RO</w:t>
                      </w:r>
                    </w:p>
                  </w:txbxContent>
                </v:textbox>
                <w10:wrap anchorx="page" anchory="page"/>
              </v:shape>
            </w:pict>
          </mc:Fallback>
        </mc:AlternateContent>
      </w:r>
      <w:r w:rsidRPr="00E94D23">
        <w:rPr>
          <w:lang w:bidi="ar-SA"/>
        </w:rPr>
        <w:drawing>
          <wp:inline distT="0" distB="0" distL="0" distR="0" wp14:anchorId="5CD0FAC8" wp14:editId="5831B5F4">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563C84" w:rsidRPr="00E94D23" w:rsidRDefault="006F0DCC" w:rsidP="00E33EF4">
      <w:pPr>
        <w:jc w:val="center"/>
      </w:pPr>
      <w:r w:rsidRPr="00E94D23">
        <w:rPr>
          <w:rFonts w:ascii="Arial" w:hAnsi="Arial"/>
          <w:b/>
          <w:i/>
          <w:sz w:val="20"/>
        </w:rPr>
        <w:t xml:space="preserve">Comitetul Economic </w:t>
      </w:r>
      <w:r w:rsidR="00985178" w:rsidRPr="00E94D23">
        <w:rPr>
          <w:rFonts w:ascii="Arial" w:hAnsi="Arial"/>
          <w:b/>
          <w:i/>
          <w:sz w:val="20"/>
        </w:rPr>
        <w:t>ș</w:t>
      </w:r>
      <w:r w:rsidRPr="00E94D23">
        <w:rPr>
          <w:rFonts w:ascii="Arial" w:hAnsi="Arial"/>
          <w:b/>
          <w:i/>
          <w:sz w:val="20"/>
        </w:rPr>
        <w:t>i Social European</w:t>
      </w:r>
    </w:p>
    <w:p w:rsidR="00646AC2" w:rsidRPr="00E94D23" w:rsidRDefault="00646AC2" w:rsidP="00E33EF4"/>
    <w:p w:rsidR="00646AC2" w:rsidRPr="00E94D23" w:rsidRDefault="006F285A" w:rsidP="00E33EF4">
      <w:pPr>
        <w:jc w:val="right"/>
      </w:pPr>
      <w:r w:rsidRPr="00E94D23">
        <w:rPr>
          <w:b/>
        </w:rPr>
        <w:t>ECO/401</w:t>
      </w:r>
    </w:p>
    <w:p w:rsidR="00563C84" w:rsidRPr="00E94D23" w:rsidRDefault="006F285A" w:rsidP="00E33EF4">
      <w:pPr>
        <w:jc w:val="right"/>
      </w:pPr>
      <w:r w:rsidRPr="00E94D23">
        <w:rPr>
          <w:b/>
        </w:rPr>
        <w:t>Argumente desprinse din experiența trecutului pentru evitarea unor politici de austeritate drastice în UE</w:t>
      </w:r>
    </w:p>
    <w:p w:rsidR="009B30AA" w:rsidRPr="00E94D23" w:rsidRDefault="009B30AA" w:rsidP="00E33EF4"/>
    <w:p w:rsidR="009B30AA" w:rsidRPr="00E94D23" w:rsidRDefault="009B30AA" w:rsidP="00E33EF4"/>
    <w:p w:rsidR="00646AC2" w:rsidRPr="00E94D23" w:rsidRDefault="00F658B3" w:rsidP="00E33EF4">
      <w:pPr>
        <w:jc w:val="center"/>
      </w:pPr>
      <w:r w:rsidRPr="00E94D23">
        <w:rPr>
          <w:b/>
          <w:sz w:val="28"/>
        </w:rPr>
        <w:t>AVIZ</w:t>
      </w:r>
      <w:r w:rsidRPr="00E94D23">
        <w:br/>
      </w:r>
      <w:r w:rsidRPr="00E94D23">
        <w:br/>
        <w:t xml:space="preserve">Secțiunea pentru uniunea economică și monetară și coeziune economică și socială </w:t>
      </w:r>
      <w:r w:rsidRPr="00E94D23">
        <w:br/>
      </w:r>
      <w:r w:rsidRPr="00E94D23">
        <w:br/>
      </w:r>
      <w:r w:rsidRPr="00E94D23">
        <w:rPr>
          <w:b/>
        </w:rPr>
        <w:t>Argumente desprinse din experiența trecutului pentru evitarea unor politici de austeritate drastice în UE</w:t>
      </w:r>
      <w:r w:rsidRPr="00E94D23">
        <w:br/>
        <w:t>[aviz din proprie inițiativă]</w:t>
      </w:r>
    </w:p>
    <w:p w:rsidR="009B30AA" w:rsidRPr="00E94D23" w:rsidRDefault="009B30AA" w:rsidP="00E33EF4">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E94D23" w:rsidTr="00CD4855">
        <w:tc>
          <w:tcPr>
            <w:tcW w:w="3085" w:type="dxa"/>
          </w:tcPr>
          <w:p w:rsidR="00FF3759" w:rsidRPr="00E94D23" w:rsidRDefault="00FF3759" w:rsidP="00E33EF4">
            <w:r w:rsidRPr="00E94D23">
              <w:t>Administrator</w:t>
            </w:r>
          </w:p>
        </w:tc>
        <w:tc>
          <w:tcPr>
            <w:tcW w:w="6204" w:type="dxa"/>
          </w:tcPr>
          <w:p w:rsidR="00FF3759" w:rsidRPr="00E94D23" w:rsidRDefault="001D0901" w:rsidP="00E33EF4">
            <w:r w:rsidRPr="00E94D23">
              <w:t>Krisztina PERLAKY-TÓTH</w:t>
            </w:r>
          </w:p>
        </w:tc>
      </w:tr>
      <w:tr w:rsidR="00FF3759" w:rsidRPr="00E94D23" w:rsidTr="00CD4855">
        <w:tc>
          <w:tcPr>
            <w:tcW w:w="3085" w:type="dxa"/>
          </w:tcPr>
          <w:p w:rsidR="00FF3759" w:rsidRPr="00E94D23" w:rsidRDefault="00FF3759" w:rsidP="00E33EF4">
            <w:r w:rsidRPr="00E94D23">
              <w:t>Data documentului</w:t>
            </w:r>
          </w:p>
        </w:tc>
        <w:tc>
          <w:tcPr>
            <w:tcW w:w="6204" w:type="dxa"/>
          </w:tcPr>
          <w:p w:rsidR="00976DAB" w:rsidRPr="00E94D23" w:rsidRDefault="00023315" w:rsidP="00023315">
            <w:r w:rsidRPr="00E94D23">
              <w:t>08/02/2018</w:t>
            </w:r>
          </w:p>
        </w:tc>
      </w:tr>
    </w:tbl>
    <w:p w:rsidR="00E32DC6" w:rsidRPr="00E94D23" w:rsidRDefault="007F5E0D" w:rsidP="00E33EF4">
      <w:pPr>
        <w:jc w:val="center"/>
        <w:rPr>
          <w:b/>
        </w:rPr>
      </w:pPr>
      <w:r w:rsidRPr="00E94D23">
        <w:t xml:space="preserve">Raportor: </w:t>
      </w:r>
      <w:r w:rsidRPr="00E94D23">
        <w:rPr>
          <w:b/>
        </w:rPr>
        <w:t xml:space="preserve">José LEIRIÃO </w:t>
      </w:r>
    </w:p>
    <w:p w:rsidR="00844B24" w:rsidRPr="00E94D23" w:rsidRDefault="00844B24" w:rsidP="00E33EF4">
      <w:pPr>
        <w:jc w:val="center"/>
      </w:pPr>
    </w:p>
    <w:p w:rsidR="00E32DC6" w:rsidRPr="00E94D23" w:rsidRDefault="00E32DC6" w:rsidP="00E33EF4"/>
    <w:p w:rsidR="00E32DC6" w:rsidRPr="00E94D23" w:rsidRDefault="00E32DC6" w:rsidP="00E33EF4">
      <w:pPr>
        <w:sectPr w:rsidR="00E32DC6" w:rsidRPr="00E94D23" w:rsidSect="00E94D23">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4E4EF6" w:rsidRPr="00E94D23" w:rsidTr="00CD4855">
        <w:trPr>
          <w:trHeight w:val="250"/>
        </w:trPr>
        <w:tc>
          <w:tcPr>
            <w:tcW w:w="3085" w:type="dxa"/>
          </w:tcPr>
          <w:p w:rsidR="004E4EF6" w:rsidRPr="00E94D23" w:rsidRDefault="004E4EF6" w:rsidP="00E33EF4">
            <w:r w:rsidRPr="00E94D23">
              <w:lastRenderedPageBreak/>
              <w:t>Decizia Adunării Plenare</w:t>
            </w:r>
          </w:p>
        </w:tc>
        <w:tc>
          <w:tcPr>
            <w:tcW w:w="6204" w:type="dxa"/>
          </w:tcPr>
          <w:p w:rsidR="004E4EF6" w:rsidRPr="00E94D23" w:rsidRDefault="00634457" w:rsidP="00E33EF4">
            <w:r w:rsidRPr="00E94D23">
              <w:t>21/01/2016</w:t>
            </w:r>
          </w:p>
        </w:tc>
      </w:tr>
      <w:tr w:rsidR="00243E36" w:rsidRPr="00E94D23" w:rsidTr="00CD4855">
        <w:tc>
          <w:tcPr>
            <w:tcW w:w="3085" w:type="dxa"/>
          </w:tcPr>
          <w:p w:rsidR="00243E36" w:rsidRPr="00E94D23" w:rsidRDefault="00243E36" w:rsidP="00E33EF4">
            <w:r w:rsidRPr="00E94D23">
              <w:t>Temei juridic</w:t>
            </w:r>
          </w:p>
        </w:tc>
        <w:tc>
          <w:tcPr>
            <w:tcW w:w="6204" w:type="dxa"/>
          </w:tcPr>
          <w:p w:rsidR="00243E36" w:rsidRPr="00E94D23" w:rsidRDefault="00243E36" w:rsidP="00E33EF4">
            <w:r w:rsidRPr="00E94D23">
              <w:t>Articolul 29 alineatul (2) din Regulamentul de procedură</w:t>
            </w:r>
          </w:p>
        </w:tc>
      </w:tr>
      <w:tr w:rsidR="00243E36" w:rsidRPr="00E94D23" w:rsidTr="00CD4855">
        <w:tc>
          <w:tcPr>
            <w:tcW w:w="3085" w:type="dxa"/>
          </w:tcPr>
          <w:p w:rsidR="00243E36" w:rsidRPr="00E94D23" w:rsidRDefault="00243E36" w:rsidP="00E33EF4"/>
        </w:tc>
        <w:tc>
          <w:tcPr>
            <w:tcW w:w="6204" w:type="dxa"/>
          </w:tcPr>
          <w:p w:rsidR="00243E36" w:rsidRPr="00E94D23" w:rsidRDefault="00243E36" w:rsidP="00E33EF4">
            <w:r w:rsidRPr="00E94D23">
              <w:t>Aviz din proprie inițiativă</w:t>
            </w:r>
          </w:p>
        </w:tc>
      </w:tr>
      <w:tr w:rsidR="00BA1290" w:rsidRPr="00E94D23" w:rsidTr="00E95A38">
        <w:tc>
          <w:tcPr>
            <w:tcW w:w="3085" w:type="dxa"/>
          </w:tcPr>
          <w:p w:rsidR="00BA1290" w:rsidRPr="00E94D23" w:rsidRDefault="00BA1290" w:rsidP="00E33EF4"/>
        </w:tc>
        <w:tc>
          <w:tcPr>
            <w:tcW w:w="6204" w:type="dxa"/>
          </w:tcPr>
          <w:p w:rsidR="00BA1290" w:rsidRPr="00E94D23" w:rsidRDefault="00BA1290" w:rsidP="00E33EF4"/>
        </w:tc>
      </w:tr>
      <w:tr w:rsidR="00DF5B64" w:rsidRPr="00E94D23" w:rsidTr="00CD4855">
        <w:tc>
          <w:tcPr>
            <w:tcW w:w="3085" w:type="dxa"/>
          </w:tcPr>
          <w:p w:rsidR="00DF5B64" w:rsidRPr="00E94D23" w:rsidRDefault="00AD4B4F" w:rsidP="00E33EF4">
            <w:r w:rsidRPr="00E94D23">
              <w:t>Secțiunea competentă</w:t>
            </w:r>
          </w:p>
        </w:tc>
        <w:tc>
          <w:tcPr>
            <w:tcW w:w="6204" w:type="dxa"/>
          </w:tcPr>
          <w:p w:rsidR="00DF5B64" w:rsidRPr="00E94D23" w:rsidRDefault="001668A2" w:rsidP="00E33EF4">
            <w:r w:rsidRPr="00E94D23">
              <w:t>Secțiunea pentru uniunea economică și monetară și coeziune economică și socială</w:t>
            </w:r>
          </w:p>
        </w:tc>
      </w:tr>
      <w:tr w:rsidR="00A156E6" w:rsidRPr="00E94D23" w:rsidTr="00CD4855">
        <w:tc>
          <w:tcPr>
            <w:tcW w:w="3085" w:type="dxa"/>
          </w:tcPr>
          <w:p w:rsidR="00A156E6" w:rsidRPr="00E94D23" w:rsidRDefault="00A156E6" w:rsidP="00E33EF4">
            <w:r w:rsidRPr="00E94D23">
              <w:t>Data adoptării în secțiune</w:t>
            </w:r>
          </w:p>
        </w:tc>
        <w:tc>
          <w:tcPr>
            <w:tcW w:w="6204" w:type="dxa"/>
          </w:tcPr>
          <w:p w:rsidR="00A156E6" w:rsidRPr="00E94D23" w:rsidRDefault="00334309" w:rsidP="00E33EF4">
            <w:r w:rsidRPr="00E94D23">
              <w:t>29/01/2018</w:t>
            </w:r>
          </w:p>
        </w:tc>
      </w:tr>
      <w:tr w:rsidR="00A156E6" w:rsidRPr="00E94D23" w:rsidTr="00CD4855">
        <w:tc>
          <w:tcPr>
            <w:tcW w:w="3085" w:type="dxa"/>
          </w:tcPr>
          <w:p w:rsidR="00A156E6" w:rsidRPr="00E94D23" w:rsidRDefault="00A156E6" w:rsidP="00E33EF4">
            <w:r w:rsidRPr="00E94D23">
              <w:t>Data adoptării în sesiunea plenară</w:t>
            </w:r>
          </w:p>
        </w:tc>
        <w:tc>
          <w:tcPr>
            <w:tcW w:w="6204" w:type="dxa"/>
          </w:tcPr>
          <w:p w:rsidR="00A156E6" w:rsidRPr="00E94D23" w:rsidRDefault="003439AB" w:rsidP="00E33EF4">
            <w:r w:rsidRPr="00E94D23">
              <w:t>DD/MM/YYYY</w:t>
            </w:r>
          </w:p>
        </w:tc>
      </w:tr>
      <w:tr w:rsidR="00BA1290" w:rsidRPr="00E94D23" w:rsidTr="00E95A38">
        <w:tc>
          <w:tcPr>
            <w:tcW w:w="3085" w:type="dxa"/>
          </w:tcPr>
          <w:p w:rsidR="00BA1290" w:rsidRPr="00E94D23" w:rsidRDefault="00BA1290" w:rsidP="00E33EF4">
            <w:r w:rsidRPr="00E94D23">
              <w:t>Sesiunea plenară nr.</w:t>
            </w:r>
          </w:p>
        </w:tc>
        <w:tc>
          <w:tcPr>
            <w:tcW w:w="6204" w:type="dxa"/>
          </w:tcPr>
          <w:p w:rsidR="00BA1290" w:rsidRPr="00E94D23" w:rsidRDefault="00BA1290" w:rsidP="00E33EF4">
            <w:r w:rsidRPr="00E94D23">
              <w:t>…</w:t>
            </w:r>
          </w:p>
        </w:tc>
      </w:tr>
      <w:tr w:rsidR="00A156E6" w:rsidRPr="00E94D23" w:rsidTr="00F20987">
        <w:tc>
          <w:tcPr>
            <w:tcW w:w="3085" w:type="dxa"/>
          </w:tcPr>
          <w:p w:rsidR="00D423D4" w:rsidRPr="00E94D23" w:rsidRDefault="0043024C" w:rsidP="00023315">
            <w:pPr>
              <w:jc w:val="left"/>
            </w:pPr>
            <w:r w:rsidRPr="00E94D23">
              <w:t xml:space="preserve">Rezultatul votului </w:t>
            </w:r>
            <w:r w:rsidRPr="00E94D23">
              <w:br/>
              <w:t>(voturi pentru/voturi împotrivă/abțineri)</w:t>
            </w:r>
          </w:p>
        </w:tc>
        <w:tc>
          <w:tcPr>
            <w:tcW w:w="6204" w:type="dxa"/>
            <w:vAlign w:val="bottom"/>
          </w:tcPr>
          <w:p w:rsidR="00A156E6" w:rsidRPr="00E94D23" w:rsidRDefault="00A156E6" w:rsidP="00E33EF4">
            <w:r w:rsidRPr="00E94D23">
              <w:t>.../.../...</w:t>
            </w:r>
          </w:p>
        </w:tc>
      </w:tr>
    </w:tbl>
    <w:p w:rsidR="00A94FED" w:rsidRPr="00E94D23" w:rsidRDefault="00A94FED" w:rsidP="00E33EF4"/>
    <w:p w:rsidR="00A94FED" w:rsidRPr="00E94D23" w:rsidRDefault="00A94FED" w:rsidP="00E33EF4">
      <w:pPr>
        <w:spacing w:line="240" w:lineRule="auto"/>
      </w:pPr>
      <w:r w:rsidRPr="00E94D23">
        <w:br w:type="page"/>
      </w:r>
    </w:p>
    <w:p w:rsidR="0023143D" w:rsidRPr="00E94D23" w:rsidRDefault="0023143D" w:rsidP="00E33EF4">
      <w:pPr>
        <w:keepNext/>
      </w:pPr>
      <w:r w:rsidRPr="00E94D23">
        <w:rPr>
          <w:b/>
        </w:rPr>
        <w:lastRenderedPageBreak/>
        <w:t>Introducere</w:t>
      </w:r>
    </w:p>
    <w:p w:rsidR="0023143D" w:rsidRPr="00E94D23" w:rsidRDefault="0023143D" w:rsidP="00E33EF4">
      <w:pPr>
        <w:keepNext/>
      </w:pPr>
    </w:p>
    <w:p w:rsidR="0023143D" w:rsidRPr="00E94D23" w:rsidRDefault="0023143D" w:rsidP="00E33EF4">
      <w:r w:rsidRPr="00E94D23">
        <w:t>Avizul a beneficiat de contribuția reprezentanților instituțiilor societății civile și a partenerilor sociali care activează în consiliile economice și sociale din cele trei stat</w:t>
      </w:r>
      <w:r w:rsidR="00E94D23">
        <w:t>e membre ale UE vizate (Grecia, </w:t>
      </w:r>
      <w:r w:rsidRPr="00E94D23">
        <w:t>Irlanda și Portugalia), în urma misiunilor CESE efectuate în aceste state membre, în vederea cunoașterii și culegerii opiniilor și mărturiilor persoanelor care resimt în mod direct la nivel social, în sectorul întreprinderilor și în cadrul dialogului social și civic, efectele negative ale politicilor de austeritate impuse de troică.</w:t>
      </w:r>
    </w:p>
    <w:p w:rsidR="00B8649D" w:rsidRPr="00E94D23" w:rsidRDefault="00B8649D" w:rsidP="00E33EF4"/>
    <w:p w:rsidR="00BF7831" w:rsidRPr="00E94D23" w:rsidRDefault="00011D33" w:rsidP="00E33EF4">
      <w:pPr>
        <w:pStyle w:val="Heading1"/>
        <w:keepNext/>
      </w:pPr>
      <w:r w:rsidRPr="00E94D23">
        <w:rPr>
          <w:b/>
        </w:rPr>
        <w:t>Concluzii și recomandări</w:t>
      </w:r>
    </w:p>
    <w:p w:rsidR="005E396C" w:rsidRPr="00E94D23" w:rsidRDefault="005E396C" w:rsidP="00E33EF4">
      <w:pPr>
        <w:keepNext/>
      </w:pPr>
    </w:p>
    <w:p w:rsidR="00FB74AE" w:rsidRPr="00E94D23" w:rsidRDefault="00BB140E" w:rsidP="00E33EF4">
      <w:pPr>
        <w:pStyle w:val="Heading2"/>
      </w:pPr>
      <w:r w:rsidRPr="00E94D23">
        <w:t>Elaborarea programelor de ajustare a prezentat o serie de inconsecvențe la mai multe niveluri, precum: coordonarea și articularea între partenerii troicii – Fondul Monetar Internațional (FMI), Comisia Europeană (CE) și Banca Centrală Europeană (BCE) – în ceea ce privește planificarea, magnitudinea și anticiparea potențialelor riscuri apărute ca urmare a crizei, neluarea în considerare în permanență a lecțiilor învățate din crizele anterioare și faptul că a existat un dezechilibru între mecanismele FMI și instrumentele de politică macroeconomică ale zonei euro. CESE recomandă ca, în viitoarele situații de criză care afectează un stat membru al UE, instituțiile europene să fie singurele responsabile pentru elaborarea și punerea în aplicare a programelor de ajustare. Dacă se dovedește necesar să se stabilească parteneriate cu instituții externe în vederea soluționării crizei, Uniunea Europeană și zona euro trebuie să își asume rolul de lider și să acționeze în conformitate cu „valorile europene”, consolidând dialogul social și civil și drepturile sociale în vigoare în UE. Gestionarea crizelor viitoare trebuie să asigure un echilibru mai bun între obiectivele fiscale, cele sociale și consolidarea din punct de vedere calitativ a sectorului întreprinderilor.</w:t>
      </w:r>
    </w:p>
    <w:p w:rsidR="005E396C" w:rsidRPr="00E94D23" w:rsidRDefault="005E396C" w:rsidP="00E33EF4"/>
    <w:p w:rsidR="00FB74AE" w:rsidRPr="00E94D23" w:rsidRDefault="00FB74AE" w:rsidP="00E33EF4">
      <w:pPr>
        <w:pStyle w:val="Heading2"/>
      </w:pPr>
      <w:r w:rsidRPr="00E94D23">
        <w:t xml:space="preserve">Criza și programele de ajustare aplicate în cele trei state membre au adus țările într-o situație economică, financiară și socială care, în unele cazuri, le-a dus înapoi cu 20 de ani, provocând daune permanente sau care vor putea fi reparate numai după o perioadă foarte îndelungată în ce privește factorii lor de producție și funcționarea pieței forței de muncă. CESE îndeamnă Comisia să elaboreze „programe complementare de redresare economică și socială”, care să fie implementate în paralel cu „programul de ajustare” sau după încheierea acestuia din urmă, pentru a garanta revenirea rapidă la nivelul cel mai competitiv care să deschidă calea către convergență. </w:t>
      </w:r>
    </w:p>
    <w:p w:rsidR="005E396C" w:rsidRPr="00E94D23" w:rsidRDefault="005E396C" w:rsidP="00E33EF4"/>
    <w:p w:rsidR="00733D50" w:rsidRPr="00E94D23" w:rsidRDefault="00BB140E" w:rsidP="00E33EF4">
      <w:pPr>
        <w:pStyle w:val="Heading2"/>
      </w:pPr>
      <w:r w:rsidRPr="00E94D23">
        <w:t>Comisia ar trebui să se reorienteze către valorile europene ale solidarității și să adopte fără întârziere măsuri extraordinare de sprijinire a persoanelor celor mai defavorizate, aflate în situații de sărăcie extremă și care duc lipsă de alimente, de locuințe, de asistență medicală și de posibilitatea de a achiziționa medicamente. CESE recomandă crearea unui program specific de redresare a dimensiunii sociale, care să se aplice în țările care fac sau care au făcut obiectul aplicării „programelor de ajustare”. Acest program de sprijin ar trebui să urmeze principiile pilonului european al drepturilor sociale, recent adoptat de Uniunea Europeană, și introdus în cele trei state membre în cauză.</w:t>
      </w:r>
    </w:p>
    <w:p w:rsidR="00733D50" w:rsidRPr="00E94D23" w:rsidRDefault="00733D50" w:rsidP="00E33EF4"/>
    <w:p w:rsidR="00E94D23" w:rsidRDefault="00E94D23">
      <w:pPr>
        <w:spacing w:line="240" w:lineRule="auto"/>
        <w:jc w:val="left"/>
      </w:pPr>
      <w:r>
        <w:br w:type="page"/>
      </w:r>
    </w:p>
    <w:p w:rsidR="00D64431" w:rsidRPr="00E94D23" w:rsidRDefault="00E56E7C" w:rsidP="00E33EF4">
      <w:pPr>
        <w:pStyle w:val="Heading2"/>
      </w:pPr>
      <w:r w:rsidRPr="00E94D23">
        <w:lastRenderedPageBreak/>
        <w:t>Ca urmare a implementării politicilor de austeritate, a crescut exponențial numărul persoanelor sărace (fie ele lucrători, șomeri, inactivi sau „fără adăpost”). CESE îndeamnă Comisia să elaboreze de urgență o „strategie europeană de eradicare a sărăciei în UE și de integrare a persoanelor fără adăpost”, sprijinită în mod corespunzător prin fonduri destinate nu numai construirii de spații de cazare adecvate, ci și unor programe de formare specifică în vederea ocupării unor locuri de muncă adaptate competențelor dobândite prin respectivele cursuri de formare, atât în sectorul public (la nivel local), cât și în sectorul privat. De asemenea, este esențial să se elaboreze împreună cu statele membre un plan de ajutorare a întreprinderilor și a cetățenilor supraîndatorați, având în vedere incapacitatea lor de a rambursa împrumuturile, pentru a evita declararea stării lor de insolvabilitate și confiscarea locuințelor.</w:t>
      </w:r>
    </w:p>
    <w:p w:rsidR="00D64431" w:rsidRPr="00E94D23" w:rsidRDefault="00D64431" w:rsidP="00E33EF4"/>
    <w:p w:rsidR="00D64431" w:rsidRPr="00E94D23" w:rsidRDefault="00BB140E" w:rsidP="00E33EF4">
      <w:pPr>
        <w:pStyle w:val="Heading2"/>
        <w:numPr>
          <w:ilvl w:val="1"/>
          <w:numId w:val="61"/>
        </w:numPr>
      </w:pPr>
      <w:r w:rsidRPr="00E94D23">
        <w:t>În zona euro, normele Pactului de stabilitate și de creștere, ale procedurii aplicabile deficitelor excesive și ale pactului bugetar, precum și politicile de austeritate aferente au efecte deosebit de drastice pentru țările care sunt încă afectate de criză, împiedicând expansiunea investițiilor publice și a sprijinului pentru crearea de locuri de muncă în sectorul privat, dat fiind că aceste țări sunt supuse unor sancțiuni și penalizări severe în cazul nerespectării normelor. Această situație a accentuat inegalitățile în Europa, țările sărace devenind din ce în ce mai sărace și căzând într-un „cerc vicios” din cauza acestor constrângeri. CESE recomandă reformarea Tratatului de la Lisabona, în vederea afirmării supremației politicilor de cooperare, de expansiune economică și de solidaritate, ca alternative valabile la politicile de austeritate restrictive. CESE propune, de asemenea, adoptarea așa-numitei „</w:t>
      </w:r>
      <w:r w:rsidRPr="00E94D23">
        <w:rPr>
          <w:b/>
        </w:rPr>
        <w:t>reguli de aur a investițiilor publice</w:t>
      </w:r>
      <w:r w:rsidRPr="00E94D23">
        <w:t>”, pentru a impulsiona investițiile publice în zona euro și a asigura nu numai creșterea, crearea de locuri de muncă, spiritul antreprenorial, noile competențe necesare pentru viitorul muncii, ci și „echitatea între generații”, garantând sustenabilitatea finanțelor publice pe termen lung și o distribuție echitabilă a sarcinilor fiscale, nu numai între diferite generații, ci și între diferitele categorii sociale și economice, evitând supraîncărcarea uneia în beneficiul alteia.</w:t>
      </w:r>
    </w:p>
    <w:p w:rsidR="00D64431" w:rsidRPr="00E94D23" w:rsidRDefault="00D64431" w:rsidP="00E33EF4"/>
    <w:p w:rsidR="00BF7831" w:rsidRPr="00E94D23" w:rsidRDefault="00EF4AC9" w:rsidP="00E33EF4">
      <w:pPr>
        <w:pStyle w:val="Heading2"/>
      </w:pPr>
      <w:r w:rsidRPr="00E94D23">
        <w:t xml:space="preserve">În ultimii doi ani s-a înregistrat o redresare a ratei șomajului în UE, în general, și în special în statele membre supuse „programelor de ajustare”. Este important să se sublinieze faptul că, în cazul de față, acest lucru se datorează nu numai creșterii economice, ci și sutelor de mii de lucrători care au emigrat, precum și ritmului accelerat în care a fost impusă munca cu fracțiune de normă. Cu toate acestea, </w:t>
      </w:r>
      <w:r w:rsidRPr="00E94D23">
        <w:rPr>
          <w:b/>
        </w:rPr>
        <w:t>ratele sărăciei și ale privațiunilor materiale de diferite tipuri au continuat să crească</w:t>
      </w:r>
      <w:r w:rsidRPr="00E94D23">
        <w:t xml:space="preserve">, ca urmare a salariilor mai scăzute și a precarității noilor locuri de muncă: crearea de locuri de muncă a avut loc în activitățile legate de turism și în alte domenii unde se cerea mână de lucru slab calificată; prin urmare, deși au fost create locuri de muncă, ele nu au dus la creșterea competitivității, și nici a valorii adăugate. CESE recomandă să se pună la dispoziție fonduri specifice pentru sprijinirea financiară a creării de locuri de muncă în sectorul sănătății și în sectoarele cele mai afectate de emigrare (știință, programare informatică, noile tehnologii, inginerie și medicină), pentru a promova reîntoarcerea emigranților în țările lor de origine. </w:t>
      </w:r>
    </w:p>
    <w:p w:rsidR="005E396C" w:rsidRPr="00E94D23" w:rsidRDefault="005E396C" w:rsidP="00E33EF4"/>
    <w:p w:rsidR="00BF7831" w:rsidRPr="00E94D23" w:rsidRDefault="00BB140E" w:rsidP="00E33EF4">
      <w:pPr>
        <w:pStyle w:val="Heading2"/>
      </w:pPr>
      <w:r w:rsidRPr="00E94D23">
        <w:t xml:space="preserve">Digitizarea, robotizarea și inteligența artificială aduc schimbări profunde la nivelul economiei, al pieței forței de muncă, inclusiv în ce privește noile forme de muncă, al calificărilor și al societății, punând la încercare structurile existente, inclusiv stabilizatorii automați, și adăugând pe această cale un număr imprevizibil de persoane la cele deja excluse de pe piața muncii. CESE recomandă Comisiei să creeze o „asigurare de șomaj europeană de bază și universală”, </w:t>
      </w:r>
      <w:r w:rsidRPr="00E94D23">
        <w:lastRenderedPageBreak/>
        <w:t>pentru a răspunde în mod eficace acestei provocări și pentru a asigura o protecție socială decentă pentru toți, care să fie disponibilă pe durata întregii vieți active (15-65 de ani). În ceea ce privește problema eradicării sărăciei, Comisia trebuie să creeze și un „venit minim de subzistență”, adoptând ca abordare și misiune europeană angajamentul de „a nu lăsa pe nimeni în urmă”.</w:t>
      </w:r>
    </w:p>
    <w:p w:rsidR="00BF7831" w:rsidRPr="00E94D23" w:rsidRDefault="00BF7831" w:rsidP="00E33EF4"/>
    <w:p w:rsidR="00BF7831" w:rsidRPr="00E94D23" w:rsidRDefault="000E3C73" w:rsidP="00E33EF4">
      <w:pPr>
        <w:pStyle w:val="Heading2"/>
      </w:pPr>
      <w:r w:rsidRPr="00E94D23">
        <w:t>Viitoarele „programe de ajustare” trebuie să reflecte toate aspectele și interesele ce rezultă din dialogurile sociale și civile, cu participarea organizațiilor societății civile. CESE îndeamnă Comisia să creeze „modele econometrice cu față umană”, care să includă parametri de protecție a dimensiunii sociale și de valorizare a întreprinderilor, cu dublul obiectiv de a garanta bunăstarea societății și de a reforma în mod durabil calitatea sectorului întreprinderilor. Partenerii sociali și reprezentanții societății civile trebuie să fie incluși în grupul de monitorizare și de evaluare a programului, la același nivel ca reprezentanții UE, ai BCE și ai altor instituții, astfel încât să fie pus în valoare rolul constructiv al societății civile și să se garanteze că modelul economic și social nu va fi subminat, așa cum s-a întâmplat în cazurile în speță. Toate instituțiile care elaborează, monitorizează și evaluează programele de ajustare trebuie să fie supuse controlului democratic (de exemplu, parlamentului național). Evaluarea și monitorizarea ar trebui să fie efectuate o dată la șase luni sau la alte intervale de timp considerate adecvate, pentru ca daunele ireparabile să poată fi evitate și corectate în timp util. Setul de indicatori de monitorizare macroeconomică ar trebui să fie completat cu tabloul de bord social „Dincolo de PIB”, care să fie actualizat în conformitate cu Pilonul european al drepturilor sociale.</w:t>
      </w:r>
    </w:p>
    <w:p w:rsidR="005E396C" w:rsidRPr="00E94D23" w:rsidRDefault="005E396C" w:rsidP="00E33EF4"/>
    <w:p w:rsidR="00D64431" w:rsidRPr="00E94D23" w:rsidRDefault="00BB140E" w:rsidP="00E33EF4">
      <w:pPr>
        <w:pStyle w:val="Heading2"/>
      </w:pPr>
      <w:r w:rsidRPr="00E94D23">
        <w:t>Datoria publică a celor trei state membre atinge valori astronomice, iar valoarea dobânzilor ce trebuie plătite reprezintă o constrângere care blochează investițiile publice în dezvoltarea economică și reduce investițiile în protecția socială, în sănătate, în educație, în pensii, în indemnizațiile de șomaj și în sprijinul acordat persoanelor celor mai defavorizate și excluse. Aceste state membre sunt puternic îndatorate, situația fiind înrăutățită de expunerea la acțiunile speculative de pe piețele financiare. CESE recomandă Comisiei să includă această temă printre prioritățile de vârf ale agendei europene și să acționeze în sensul concluziilor Grupului la nivel înalt privind fondul mutual pentru datorii și titlurile de creanță în euro, desemnat de Comisie în iulie 2013. De asemenea, CESE felicită BCE pentru programul său de relaxare cantitativă (</w:t>
      </w:r>
      <w:proofErr w:type="spellStart"/>
      <w:r w:rsidRPr="00E94D23">
        <w:rPr>
          <w:i/>
        </w:rPr>
        <w:t>quantitative</w:t>
      </w:r>
      <w:proofErr w:type="spellEnd"/>
      <w:r w:rsidRPr="00E94D23">
        <w:rPr>
          <w:i/>
        </w:rPr>
        <w:t xml:space="preserve"> </w:t>
      </w:r>
      <w:proofErr w:type="spellStart"/>
      <w:r w:rsidRPr="00E94D23">
        <w:rPr>
          <w:i/>
        </w:rPr>
        <w:t>easing</w:t>
      </w:r>
      <w:proofErr w:type="spellEnd"/>
      <w:r w:rsidRPr="00E94D23">
        <w:t>), vizând achiziționarea de titluri de datorie publică, întrucât acesta a constituit un ajutor considerabil și decisiv pentru statele membre care fac obiectul „programelor de ajustare” în eforturile lor de redresare economică și de gestionare a datoriei publice.</w:t>
      </w:r>
    </w:p>
    <w:p w:rsidR="00D64431" w:rsidRPr="00E94D23" w:rsidRDefault="00D64431" w:rsidP="00E33EF4"/>
    <w:p w:rsidR="00D64431" w:rsidRPr="00E94D23" w:rsidRDefault="00964391" w:rsidP="00455580">
      <w:pPr>
        <w:pStyle w:val="Heading2"/>
      </w:pPr>
      <w:r w:rsidRPr="00E94D23">
        <w:t xml:space="preserve">În apropierea celei de-a 60-a aniversări, proiectul european se confruntă cu provocări grave, ceea ce dă naștere unor îndoieli privind viitorul său, inclusiv ca urmare a Brexitului. Unul dintre motivele divergențelor dintre societatea civilă și structurile de guvernare ale Comisiei se referă la faptul că Uniunea Europeană nu s-a ridicat la înălțimea așteptărilor cetățenilor în ceea ce privește convergența economică și creșterea favorabilă incluziunii. Deși în ultima vreme pare să se confirme o oarecare creștere, întreaga zonă euro, în ansamblu, a pierdut un deceniu, PIB-ul atingând valoarea dinaintea crizei, din 2008, abia în 2015. CESE consideră necesară o inițiativă pragmatică și ambițioasă în vederea unei reforme a uniunii economice și monetare, pentru a-i spori rezistența și a o apropia de interesele cetățenilor. O astfel de reformă necesită o mai bună coordonare a politicii economice și o reformă care să combine într-o manieră inteligentă trăsături atât din nordul și centrul Europei, care se bazează mai mult pe normele concurențiale </w:t>
      </w:r>
      <w:r w:rsidRPr="00E94D23">
        <w:lastRenderedPageBreak/>
        <w:t>ale pieței, cât și din sudul Europei, care se bazează pe solidaritate, partajarea riscurilor și integrare. În plus, Uniunea Europeană nu se poate lipsi de solidaritate, mai ales în situații extreme, precum sărăcirea populației și inegalitatea veniturilor și gestionarea migrației, și nici nu poate continua să creadă în ideea că fiecare stat membru face ce crede de cuviință pentru sine. CESE salută ambiția Comisiei de a reforma moneda euro în ce privește anumite aspecte esențiale și de a abandona politicile de austeritate, aprofundând uniunea economică și monetară, de exemplu prin:</w:t>
      </w:r>
    </w:p>
    <w:p w:rsidR="006C4C77" w:rsidRPr="00E94D23" w:rsidRDefault="006C4C77" w:rsidP="00455580"/>
    <w:p w:rsidR="007C3406" w:rsidRPr="00E94D23" w:rsidRDefault="00E33EF4" w:rsidP="00E33EF4">
      <w:pPr>
        <w:pStyle w:val="ListParagraph"/>
        <w:numPr>
          <w:ilvl w:val="0"/>
          <w:numId w:val="97"/>
        </w:numPr>
        <w:ind w:left="851" w:hanging="284"/>
        <w:outlineLvl w:val="1"/>
      </w:pPr>
      <w:r w:rsidRPr="00E94D23">
        <w:t>transformarea Mecanismului european de stabilitate într-un fond monetar european;</w:t>
      </w:r>
    </w:p>
    <w:p w:rsidR="007C3406" w:rsidRPr="00E94D23" w:rsidRDefault="00E33EF4" w:rsidP="00E33EF4">
      <w:pPr>
        <w:pStyle w:val="ListParagraph"/>
        <w:numPr>
          <w:ilvl w:val="0"/>
          <w:numId w:val="98"/>
        </w:numPr>
        <w:ind w:left="851" w:hanging="284"/>
        <w:outlineLvl w:val="1"/>
      </w:pPr>
      <w:r w:rsidRPr="00E94D23">
        <w:t>reformularea și simplificarea normelor bugetare;</w:t>
      </w:r>
    </w:p>
    <w:p w:rsidR="007C3406" w:rsidRPr="00E94D23" w:rsidRDefault="00E33EF4" w:rsidP="00E33EF4">
      <w:pPr>
        <w:pStyle w:val="ListParagraph"/>
        <w:numPr>
          <w:ilvl w:val="0"/>
          <w:numId w:val="99"/>
        </w:numPr>
        <w:ind w:left="851" w:hanging="284"/>
        <w:outlineLvl w:val="1"/>
      </w:pPr>
      <w:r w:rsidRPr="00E94D23">
        <w:t>crearea unui sistem care să înzestreze zona euro cu o capacitate bugetară comună, în scopul stabilizării economiilor în caz de șocuri asimetrice;</w:t>
      </w:r>
    </w:p>
    <w:p w:rsidR="007C3406" w:rsidRPr="00E94D23" w:rsidRDefault="00E33EF4" w:rsidP="00E33EF4">
      <w:pPr>
        <w:pStyle w:val="ListParagraph"/>
        <w:numPr>
          <w:ilvl w:val="0"/>
          <w:numId w:val="100"/>
        </w:numPr>
        <w:ind w:left="851" w:hanging="284"/>
      </w:pPr>
      <w:r w:rsidRPr="00E94D23">
        <w:t>garantarea unei rezoluții comune a băncilor, prin crearea unui „fond comun”, finanțat în principal prin contribuții din partea băncilor;</w:t>
      </w:r>
    </w:p>
    <w:p w:rsidR="007C3406" w:rsidRPr="00E94D23" w:rsidRDefault="00E33EF4" w:rsidP="00E33EF4">
      <w:pPr>
        <w:pStyle w:val="ListParagraph"/>
        <w:numPr>
          <w:ilvl w:val="0"/>
          <w:numId w:val="101"/>
        </w:numPr>
        <w:ind w:left="851" w:hanging="284"/>
      </w:pPr>
      <w:r w:rsidRPr="00E94D23">
        <w:t xml:space="preserve">garantarea „unei asigurări comune a depozitelor”, care poate fi activată în cazul unui faliment bancar în orice stat membru; </w:t>
      </w:r>
    </w:p>
    <w:p w:rsidR="007C3406" w:rsidRPr="00E94D23" w:rsidRDefault="00E33EF4" w:rsidP="00E33EF4">
      <w:pPr>
        <w:pStyle w:val="ListParagraph"/>
        <w:numPr>
          <w:ilvl w:val="0"/>
          <w:numId w:val="102"/>
        </w:numPr>
        <w:ind w:left="851" w:hanging="284"/>
        <w:outlineLvl w:val="1"/>
      </w:pPr>
      <w:r w:rsidRPr="00E94D23">
        <w:t>crearea unui ministru de finanțe și al economiei zonei euro, care ar urma să fie responsabil de bugetul zonei euro.</w:t>
      </w:r>
    </w:p>
    <w:p w:rsidR="007C3406" w:rsidRPr="00E94D23" w:rsidRDefault="007C3406" w:rsidP="00E33EF4"/>
    <w:p w:rsidR="00733D50" w:rsidRPr="00E94D23" w:rsidRDefault="007C3406" w:rsidP="00E33EF4">
      <w:pPr>
        <w:ind w:left="567"/>
      </w:pPr>
      <w:r w:rsidRPr="00E94D23">
        <w:t xml:space="preserve">CESE consideră că acestea sunt bazele unei largi coaliții europene, în cadrul căreia să continue reconstrucția unui „destin comun european” și recâștigarea încrederii tuturor europenilor. </w:t>
      </w:r>
    </w:p>
    <w:p w:rsidR="00EC470F" w:rsidRPr="00E94D23" w:rsidRDefault="00EC470F" w:rsidP="00E33EF4"/>
    <w:p w:rsidR="007C3406" w:rsidRPr="00E94D23" w:rsidRDefault="007C3406" w:rsidP="00E33EF4">
      <w:pPr>
        <w:pStyle w:val="Heading2"/>
      </w:pPr>
      <w:r w:rsidRPr="00E94D23">
        <w:t>Agențiile de rating de credit au avut un rol decisiv în declanșarea crizei violente a datoriei suverane. Credibilitatea lor poate fi pusă sub semnul întrebării dat fiind că, la începutul crizei financiare din SUA, banca „</w:t>
      </w:r>
      <w:proofErr w:type="spellStart"/>
      <w:r w:rsidRPr="00E94D23">
        <w:t>Lehman</w:t>
      </w:r>
      <w:proofErr w:type="spellEnd"/>
      <w:r w:rsidRPr="00E94D23">
        <w:t xml:space="preserve"> </w:t>
      </w:r>
      <w:proofErr w:type="spellStart"/>
      <w:r w:rsidRPr="00E94D23">
        <w:t>Brothers</w:t>
      </w:r>
      <w:proofErr w:type="spellEnd"/>
      <w:r w:rsidRPr="00E94D23">
        <w:t>” s-a declarat în faliment în 2008, păstrându-și, până în momentul colapsului, calificativul maxim acord</w:t>
      </w:r>
      <w:r w:rsidR="00E94D23">
        <w:t>at de agențiile de rating. CESE </w:t>
      </w:r>
      <w:r w:rsidRPr="00E94D23">
        <w:t>sugerează Comisiei să depună eforturi pentru a propune crearea unui organism internațional independent, cu sarcina de a evalua credibilitatea și imparțialitatea evaluărilor realizate. Comisia ar trebuie, de asemenea, să promoveze crearea unei agenții europene de rating financiar.</w:t>
      </w:r>
    </w:p>
    <w:p w:rsidR="00D64431" w:rsidRPr="00E94D23" w:rsidRDefault="00D64431" w:rsidP="00E33EF4"/>
    <w:p w:rsidR="00B469AC" w:rsidRPr="00E94D23" w:rsidRDefault="007C3406" w:rsidP="00E33EF4">
      <w:pPr>
        <w:pStyle w:val="Heading2"/>
      </w:pPr>
      <w:r w:rsidRPr="00E94D23">
        <w:t>CESE recomandă ca gestionarea viitoarelor crize din Uniunea Europeană să asigure un echilibru mai bun între obiectivele fiscale și sociale și să înceapă să privească dincolo de o abordare pur macroeconomică a dezechilibrelor, examinând simultan și alte chestiuni, precum: inegalitățile în materie de venit și bogăție, reducerea sărăciei, existența unui sector de afaceri puternic și competitiv, o creștere economică și o ocupare a forței de muncă care să fie favorabile incluziunii, schimbările climatice, participarea femeilor pe piața forței de muncă și corupția. Trebuie gândit și acționat sub deviza „cetățenii și viața sunt mai importanți decât deficitele”.</w:t>
      </w:r>
    </w:p>
    <w:p w:rsidR="00D64431" w:rsidRPr="00E94D23" w:rsidRDefault="00D64431" w:rsidP="00E33EF4"/>
    <w:p w:rsidR="00BF7831" w:rsidRPr="00E94D23" w:rsidRDefault="00162088" w:rsidP="00E33EF4">
      <w:pPr>
        <w:pStyle w:val="Heading1"/>
        <w:keepNext/>
        <w:rPr>
          <w:u w:val="single"/>
        </w:rPr>
      </w:pPr>
      <w:r w:rsidRPr="00E94D23">
        <w:rPr>
          <w:b/>
        </w:rPr>
        <w:t>Introducere generală</w:t>
      </w:r>
    </w:p>
    <w:p w:rsidR="00BF7831" w:rsidRPr="00E94D23" w:rsidRDefault="00BF7831" w:rsidP="00E33EF4">
      <w:pPr>
        <w:keepNext/>
      </w:pPr>
    </w:p>
    <w:p w:rsidR="00BF7831" w:rsidRPr="00E94D23" w:rsidRDefault="00E868C7" w:rsidP="00E33EF4">
      <w:pPr>
        <w:pStyle w:val="Heading2"/>
      </w:pPr>
      <w:r w:rsidRPr="00E94D23">
        <w:t xml:space="preserve">Declanșarea crizei financiare în Grecia, Irlanda și Portugalia a reprezentat continuarea crizei apărute în SUA și a fost exacerbată de accesul acestor țări la zona euro, ducând la o creștere economică de tip „boom”, necontrolată, din cauza relaxării controalelor asupra cheltuielilor publice și a controalelor asupra băncilor, precum și din cauză că întreprinderile publice au </w:t>
      </w:r>
      <w:r w:rsidRPr="00E94D23">
        <w:lastRenderedPageBreak/>
        <w:t xml:space="preserve">contractat în continuare împrumuturi garantate de stat, ceea ce a dus la creșterea masivă a cheltuielilor publice. Consecințele au fost multiple – de la o creștere rapidă și necontrolată a deficitelor bugetare și până la efectele negative asupra balanțelor comerciale și de plăți. </w:t>
      </w:r>
    </w:p>
    <w:p w:rsidR="00BF7831" w:rsidRPr="00E94D23" w:rsidRDefault="00BF7831" w:rsidP="00E33EF4"/>
    <w:p w:rsidR="00563A75" w:rsidRPr="00E94D23" w:rsidRDefault="00816290" w:rsidP="00E33EF4">
      <w:pPr>
        <w:pStyle w:val="Heading2"/>
      </w:pPr>
      <w:r w:rsidRPr="00E94D23">
        <w:t xml:space="preserve">Liberalizarea financiară și creșterea necontrolată a creditelor bancare, impulsionată de practicile comerciale agresive ale băncilor, au dus la supraîndatorarea familiilor și a IMM-urilor, iar ulterior la incapacitatea lor de a-și plăti datoriile, precum și la supraîndatorarea sistemului bancar, agravând deprecierile împrumuturilor ca urmare a practicilor speculative, ceea ce a pus în pericol funcționarea normală a băncilor. Guvernele au continuat o politică fiscală prociclică, care a dus la deteriorarea periculoasă a deficitului bugetar și a datoriilor suverane, cele trei state membre rămânând în continuare foarte vulnerabile la speculațiile asociate împrumuturilor acordate de investitorii internaționali. Aceste rele practici au avut drept consecință faptul că impozitele plătite de către cetățeni au fost utilizate pentru a evita ca băncile mari să se declare în faliment, crescând și mai mult, pe această cale, datoriile suverane. </w:t>
      </w:r>
    </w:p>
    <w:p w:rsidR="00BF7831" w:rsidRPr="00E94D23" w:rsidRDefault="00BF7831" w:rsidP="00E33EF4"/>
    <w:p w:rsidR="00563A75" w:rsidRPr="00E94D23" w:rsidRDefault="009E7794" w:rsidP="00E33EF4">
      <w:pPr>
        <w:pStyle w:val="Heading2"/>
      </w:pPr>
      <w:r w:rsidRPr="00E94D23">
        <w:t>Criza globală declanșată în 2007-2008 a expus vulnerabilitatea unei monede încă tinere și a afectat puternic zona euro (între al treilea trimestru al anului 2011 și primul trimestru al anului 2013). Chiar dacă primele state membre afectate nu făceau parte din zona euro, adevărul este că, atunci când au fost percepute vulnerabilități în unele țări din zona euro, perturbările au fost semnificative. Statele membre afectate au fost nevoite să ia decizii dificile și să folosească banii contribuabililor pentru a sprijini financiar băncile și a evita prăbușirea acestora, întrucât băncile intraseră în dificultate după explozia bulelor imobiliare și financiare, care se acumulaseră și crescuseră ca dimensiune în anii anteriori. În contextul unor venituri reduse și al unor cheltuieli ridicate ca urmare a „marii recesiuni”, nivelul datoriei publice în UE a crescut semnificativ, trecând de la o valoare medie de 70% la 92% din PIB, în medie, în 2014</w:t>
      </w:r>
      <w:r w:rsidRPr="00E94D23">
        <w:rPr>
          <w:rStyle w:val="FootnoteReference"/>
        </w:rPr>
        <w:footnoteReference w:id="1"/>
      </w:r>
      <w:r w:rsidRPr="00E94D23">
        <w:t xml:space="preserve">. </w:t>
      </w:r>
    </w:p>
    <w:p w:rsidR="00BF7831" w:rsidRPr="00E94D23" w:rsidRDefault="00BF7831" w:rsidP="00E33EF4"/>
    <w:p w:rsidR="00D64431" w:rsidRPr="00E94D23" w:rsidRDefault="00D94E29" w:rsidP="00C376B1">
      <w:pPr>
        <w:pStyle w:val="Heading2"/>
      </w:pPr>
      <w:r w:rsidRPr="00E94D23">
        <w:t>Între timp, „agențiile de rating” au acordat Greciei, Irlandei și Portugaliei calificativul „negativ”, ceea ce i-a determinat pe investitorii internaționali să mărească ratele dobânzii la valori inacceptabile, statele membre în cauză fiind, astfel, în imposibilitatea de a-și finanța deficitele bugetare pe piețele financiare. Pentru a evita o situație de „faliment”, aceste state membre au apelat la Comisia Europeană, solicitând împrumuturi cu rate mai accesibile ale dobânzii pentru a-și finanța activitatea, astfel încât să acopere măcar salariile funcționarilor publici și prestațiile sociale. Comisia a solicitat sprijinul FMI, având în vedere vasta sa experiență în acest domeniu, pentru a se înființa un consorțiu (troica), implicând Comisia, BCE și FMI, care a împrumutat statelor membre valorile necesare pentru evitarea neîndeplinirii obligațiilor, ceea ce, în schimb, a implicat acceptarea unor „programe de ajustare economică, financiară și bugetare”, având următoarele obiective generale:</w:t>
      </w:r>
    </w:p>
    <w:p w:rsidR="006C4C77" w:rsidRPr="00E94D23" w:rsidRDefault="006C4C77" w:rsidP="00C376B1"/>
    <w:p w:rsidR="00BF7831" w:rsidRPr="00E94D23" w:rsidRDefault="00AE077E" w:rsidP="00E33EF4">
      <w:pPr>
        <w:pStyle w:val="Heading2"/>
        <w:numPr>
          <w:ilvl w:val="1"/>
          <w:numId w:val="46"/>
        </w:numPr>
        <w:ind w:left="851" w:hanging="284"/>
      </w:pPr>
      <w:r w:rsidRPr="00E94D23">
        <w:t>reforme structurale care să stimuleze potențialul de creștere, crearea de locuri de muncă, îmbunătățirea competitivității și a deficitului structural (</w:t>
      </w:r>
      <w:r w:rsidRPr="00E94D23">
        <w:rPr>
          <w:i/>
        </w:rPr>
        <w:t xml:space="preserve">trebuie remarcat faptul că în această perioadă și ca urmare a ei, șomajul a crescut în mod exponențial, proporțional cu prăbușirea și insolvența a mii de întreprinderi, dialogul social a fost suspendat, iar legislația </w:t>
      </w:r>
      <w:r w:rsidRPr="00E94D23">
        <w:rPr>
          <w:i/>
        </w:rPr>
        <w:lastRenderedPageBreak/>
        <w:t>muncii a fost revizuită în detrimentul forței de muncă</w:t>
      </w:r>
      <w:r w:rsidRPr="00E94D23">
        <w:t>), consolidarea bugetară prin intermediul unor măsuri structurale și a unui control bugetar mai bun și mai eficace;</w:t>
      </w:r>
    </w:p>
    <w:p w:rsidR="00BF7831" w:rsidRPr="00E94D23" w:rsidRDefault="00AE077E" w:rsidP="00E33EF4">
      <w:pPr>
        <w:pStyle w:val="Heading2"/>
        <w:numPr>
          <w:ilvl w:val="1"/>
          <w:numId w:val="46"/>
        </w:numPr>
        <w:ind w:left="851" w:hanging="284"/>
      </w:pPr>
      <w:r w:rsidRPr="00E94D23">
        <w:t xml:space="preserve">reducerea gradului de îndatorare a sectorului financiar și recapitalizarea băncilor; </w:t>
      </w:r>
    </w:p>
    <w:p w:rsidR="00BF7831" w:rsidRPr="00E94D23" w:rsidRDefault="00EB4AF5" w:rsidP="00E33EF4">
      <w:pPr>
        <w:pStyle w:val="Heading2"/>
        <w:numPr>
          <w:ilvl w:val="1"/>
          <w:numId w:val="46"/>
        </w:numPr>
        <w:ind w:left="851" w:hanging="284"/>
      </w:pPr>
      <w:r w:rsidRPr="00E94D23">
        <w:t>recapitalizarea băncilor s-a realizat cu garanția și responsabilitatea statelor membre în cauză, contribuind, astfel, la creșterea exponențială a datoriilor suverane.</w:t>
      </w:r>
    </w:p>
    <w:p w:rsidR="00BF7831" w:rsidRPr="00E94D23" w:rsidRDefault="00BF7831" w:rsidP="00E33EF4"/>
    <w:p w:rsidR="00563A75" w:rsidRPr="00E94D23" w:rsidRDefault="00D020B4" w:rsidP="00E33EF4">
      <w:pPr>
        <w:pStyle w:val="Heading2"/>
      </w:pPr>
      <w:r w:rsidRPr="00E94D23">
        <w:t>Aceste măsuri, cunoscute sub numele de „măsuri de austeritate”, au avut un impact devastator asupra persoanelor care se confruntau deja cu creșterea șomajului și cu nivelurile ridicate de îndatorare, precum și asupra întreprinderilor, în special asupra IMM-urilor, afectate negativ de penuria creditelor bancare și de reducerea foarte importantă a activității economice. Troica a arătat o totală indiferență față de consecințele dramatice ale politicilor ei asupra dimensiunii sociale și a structurii antreprenoriale, care au afectat intens mai ales întreprinderile mici și mijlocii.</w:t>
      </w:r>
    </w:p>
    <w:p w:rsidR="004541D2" w:rsidRPr="00E94D23" w:rsidRDefault="004541D2" w:rsidP="00E33EF4"/>
    <w:p w:rsidR="00563A75" w:rsidRPr="00E94D23" w:rsidRDefault="00D01668" w:rsidP="00E33EF4">
      <w:pPr>
        <w:pStyle w:val="Heading2"/>
      </w:pPr>
      <w:r w:rsidRPr="00E94D23">
        <w:t>CESE recunoaște că dimensiunea crizei a pus, într-adevăr, la grea încercare rezistența economică, socială și chiar politică a UE, în general, și a Uniunii economice și monetare (UEM), în special. Pentru prevenirea crizei, s-a dovedit că nu este suficient să se ia în considerare doar dimensiunea cantitativă a creșterii economice a unui stat membru, ci ar fi trebuit neapărat evaluată și calitatea acestei creșteri, prin identificarea factorilor macroeconomici pe care se întemeiază, în mai mică sau în mai mare măsură, sustenabilitatea acestei dinamici</w:t>
      </w:r>
      <w:r w:rsidRPr="00E94D23">
        <w:rPr>
          <w:rStyle w:val="FootnoteReference"/>
        </w:rPr>
        <w:footnoteReference w:id="2"/>
      </w:r>
      <w:r w:rsidRPr="00E94D23">
        <w:t xml:space="preserve">. Dacă acest tip de control ar fi fost efectuat în mod eficace, cu siguranță criza nu ar fi atins proporțiile catastrofice înregistrate în acele state membre. </w:t>
      </w:r>
    </w:p>
    <w:p w:rsidR="00BF7831" w:rsidRPr="00E94D23" w:rsidRDefault="00BF7831" w:rsidP="00E33EF4"/>
    <w:p w:rsidR="00AE6B53" w:rsidRPr="00E94D23" w:rsidRDefault="00E33EF4" w:rsidP="00E33EF4">
      <w:pPr>
        <w:pStyle w:val="Heading1"/>
        <w:keepNext/>
      </w:pPr>
      <w:r w:rsidRPr="00E94D23">
        <w:rPr>
          <w:b/>
        </w:rPr>
        <w:t>O scurtă descriere a evenimentelor care au dus la intervenția troicii în Portugalia</w:t>
      </w:r>
    </w:p>
    <w:p w:rsidR="00AE6B53" w:rsidRPr="00E94D23" w:rsidRDefault="00AE6B53" w:rsidP="00E33EF4">
      <w:pPr>
        <w:keepNext/>
      </w:pPr>
    </w:p>
    <w:p w:rsidR="007A4E46" w:rsidRPr="00E94D23" w:rsidRDefault="007A4E46" w:rsidP="00E33EF4">
      <w:pPr>
        <w:pStyle w:val="Heading2"/>
      </w:pPr>
      <w:r w:rsidRPr="00E94D23">
        <w:t xml:space="preserve">Chiar și în condițiile unor tarife și taxe vamale ridicate și cu utilizarea monedei naționale, ceea ce permitea devalorizările, deficitul balanței comerciale portugheze între 1974 și 1995 a fost, în medie, de 9,1% din PIB, iar în perioada 1996-2010, deja după adoptarea monedei euro, deficitul mediu al balanței comerciale a fost de 8,5% din PIB. Cu toate acestea, pierderea competitivității nu poate fi atribuită monedei euro. </w:t>
      </w:r>
    </w:p>
    <w:p w:rsidR="00B64510" w:rsidRPr="00E94D23" w:rsidRDefault="00B64510" w:rsidP="00E33EF4"/>
    <w:p w:rsidR="005B7B8A" w:rsidRPr="00E94D23" w:rsidRDefault="00FE4C38" w:rsidP="00E33EF4">
      <w:pPr>
        <w:pStyle w:val="Heading2"/>
      </w:pPr>
      <w:r w:rsidRPr="00E94D23">
        <w:t>Astfel, motivul principal pentru care Portugalia se confruntă cu o criză a datoriei publice nu rezidă în faptul că sectorul exporturilor și-a pierdut din competitivitate, ci în aceea că adoptarea monedei euro a determinat eliminarea stabilizatorilor automați, care ajutau la menținerea sub control a unor niveluri acceptabile de datorii externe lichide și a echilibrului deficitului bugetar. Explicarea cauzelor crizei portugheze a generat o soluție de abordare a acestei crize cu mult diferită față de cea adoptată de către troică</w:t>
      </w:r>
      <w:r w:rsidRPr="00E94D23">
        <w:rPr>
          <w:rStyle w:val="FootnoteReference"/>
        </w:rPr>
        <w:footnoteReference w:id="3"/>
      </w:r>
      <w:r w:rsidRPr="00E94D23">
        <w:t>.</w:t>
      </w:r>
    </w:p>
    <w:p w:rsidR="00086A8A" w:rsidRPr="00E94D23" w:rsidRDefault="00086A8A" w:rsidP="00E33EF4"/>
    <w:p w:rsidR="00E94D23" w:rsidRDefault="00E94D23">
      <w:pPr>
        <w:spacing w:line="240" w:lineRule="auto"/>
        <w:jc w:val="left"/>
      </w:pPr>
      <w:r>
        <w:br w:type="page"/>
      </w:r>
    </w:p>
    <w:p w:rsidR="005B7B8A" w:rsidRPr="00E94D23" w:rsidRDefault="006C7BF5" w:rsidP="00E33EF4">
      <w:pPr>
        <w:pStyle w:val="Heading2"/>
      </w:pPr>
      <w:r w:rsidRPr="00E94D23">
        <w:lastRenderedPageBreak/>
        <w:t>Pachetul financiar de 78 de miliarde de euro (aproximativ 45% din PIB) acoperea perioada 2011-2014 și cuprindea promisiunea de salvgardare a stabilității fi</w:t>
      </w:r>
      <w:r w:rsidR="00E94D23">
        <w:t>nanciare a Portugaliei, a zonei </w:t>
      </w:r>
      <w:r w:rsidRPr="00E94D23">
        <w:t>euro și a Uniunii Europene. Programul conținea 222 de măsuri ce vizau diferite sectoare, iar pe perioada cât a fost în vigoare au fost efectuate mai multe revizuiri, ce conțineau măsuri de austeritate chiar și mai severe. Aceste măsuri erau considerate drept un plan cuprinzător vizând reformarea completă a țării</w:t>
      </w:r>
      <w:r w:rsidRPr="00E94D23">
        <w:rPr>
          <w:rStyle w:val="FootnoteReference"/>
        </w:rPr>
        <w:footnoteReference w:id="4"/>
      </w:r>
      <w:r w:rsidRPr="00E94D23">
        <w:t>.</w:t>
      </w:r>
    </w:p>
    <w:p w:rsidR="00FE4C38" w:rsidRPr="00E94D23" w:rsidRDefault="00FE4C38" w:rsidP="00E33EF4"/>
    <w:p w:rsidR="00AE6B53" w:rsidRPr="00E94D23" w:rsidRDefault="00086A8A" w:rsidP="00E33EF4">
      <w:pPr>
        <w:pStyle w:val="Heading1"/>
        <w:keepNext/>
        <w:numPr>
          <w:ilvl w:val="0"/>
          <w:numId w:val="17"/>
        </w:numPr>
      </w:pPr>
      <w:r w:rsidRPr="00E94D23">
        <w:rPr>
          <w:b/>
        </w:rPr>
        <w:t>O scurtă descriere a evenimentelor care au dus la intervenția troicii în Irlanda</w:t>
      </w:r>
    </w:p>
    <w:p w:rsidR="00AE6B53" w:rsidRPr="00E94D23" w:rsidRDefault="00AE6B53" w:rsidP="00E33EF4">
      <w:pPr>
        <w:keepNext/>
      </w:pPr>
    </w:p>
    <w:p w:rsidR="00BA7FE1" w:rsidRPr="00E94D23" w:rsidRDefault="001D42C3" w:rsidP="00E33EF4">
      <w:pPr>
        <w:pStyle w:val="Heading2"/>
      </w:pPr>
      <w:r w:rsidRPr="00E94D23">
        <w:t>În momentul aderării Irlandei la UE, venitul mediu era de 63% din media UE, iar după câțiva ani a reușit să ajungă la 125%, deci peste media europeană, o poziție pe care și-o menține și în ziua de astăzi, în pofida gravității crizei. Perioada de aur a creșterii economice s-a înregistrat între 1994 și 2000, când PIB-ul a crescut, în medie, cu 9,1% pe an. Între timp, în perioada 2008˗2010, PIB-ul s-a prăbușit cu aproape 13% pe an. Cererea internă a intrat în cădere liberă de la începutul anului 2008. Politica de austeritate ca urmare a programului de ajustare financiară a dus la irosirea unui deceniu</w:t>
      </w:r>
      <w:r w:rsidRPr="00E94D23">
        <w:rPr>
          <w:rStyle w:val="FootnoteReference"/>
        </w:rPr>
        <w:footnoteReference w:id="5"/>
      </w:r>
      <w:r w:rsidRPr="00E94D23">
        <w:t>.</w:t>
      </w:r>
    </w:p>
    <w:p w:rsidR="009E407F" w:rsidRPr="00E94D23" w:rsidRDefault="009E407F" w:rsidP="00E33EF4"/>
    <w:p w:rsidR="00E876BF" w:rsidRPr="00E94D23" w:rsidRDefault="00712DD4" w:rsidP="00E33EF4">
      <w:pPr>
        <w:pStyle w:val="Heading2"/>
      </w:pPr>
      <w:r w:rsidRPr="00E94D23">
        <w:t>În primii ani de utilizare a monedei euro și până în 2007-2008, Irlanda a trecut printr-o expansiune imobiliară, iar prețurile imobilelor au crescut substanțial. Expansiunea creditelor a fost extrem de concentrată în sectorul speculativ imobiliar. Atunci când a explodat criza financiară, iar prețurile din sectorul imobiliar au scăzut, veniturile fiscale s-au prăbușit dramatic, întrucât depindeau în mare măsură de expansiunea sectorului imobiliar. Rezultatul a fost o creștere accentuată a deficitului, care a afectat totodată foarte puternic sistemul financiar, iar cotațiile principalelor bănci irlandeze s-au prăbușit</w:t>
      </w:r>
      <w:r w:rsidRPr="00E94D23">
        <w:rPr>
          <w:rStyle w:val="FootnoteReference"/>
        </w:rPr>
        <w:footnoteReference w:id="6"/>
      </w:r>
      <w:r w:rsidRPr="00E94D23">
        <w:t>.</w:t>
      </w:r>
    </w:p>
    <w:p w:rsidR="00E876BF" w:rsidRPr="00E94D23" w:rsidRDefault="00E876BF" w:rsidP="00E33EF4">
      <w:pPr>
        <w:ind w:left="720" w:hanging="720"/>
      </w:pPr>
    </w:p>
    <w:p w:rsidR="0065706C" w:rsidRPr="00E94D23" w:rsidRDefault="00247AD5" w:rsidP="00E33EF4">
      <w:pPr>
        <w:pStyle w:val="Heading2"/>
      </w:pPr>
      <w:r w:rsidRPr="00E94D23">
        <w:t>La 21 noiembrie 2010, Irlanda a devenit cea de a doua țară din zona euro care a solicitat asistență financiară. Programul a constat într-un împrumut de 85 de miliarde de euro, dintre care 35 de miliarde de euro erau prevăzuți pentru sistemul financiar</w:t>
      </w:r>
      <w:r w:rsidRPr="00E94D23">
        <w:rPr>
          <w:rStyle w:val="FootnoteReference"/>
        </w:rPr>
        <w:footnoteReference w:id="7"/>
      </w:r>
      <w:r w:rsidRPr="00E94D23">
        <w:t>. La 14</w:t>
      </w:r>
      <w:r w:rsidR="00E94D23">
        <w:t> </w:t>
      </w:r>
      <w:r w:rsidRPr="00E94D23">
        <w:t>noiembrie</w:t>
      </w:r>
      <w:r w:rsidR="00E94D23">
        <w:t> </w:t>
      </w:r>
      <w:r w:rsidRPr="00E94D23">
        <w:t xml:space="preserve">2013, </w:t>
      </w:r>
      <w:proofErr w:type="spellStart"/>
      <w:r w:rsidRPr="00E94D23">
        <w:t>Eurogrupul</w:t>
      </w:r>
      <w:proofErr w:type="spellEnd"/>
      <w:r w:rsidRPr="00E94D23">
        <w:t xml:space="preserve"> a concluzionat că programul de ajustare economică fusese un succes și că, din acest motiv, Irlanda avea să fie capabilă să părăsească programul la sfârșitul anului.</w:t>
      </w:r>
    </w:p>
    <w:p w:rsidR="003C3047" w:rsidRPr="00E94D23" w:rsidRDefault="003C3047" w:rsidP="00E33EF4">
      <w:pPr>
        <w:ind w:left="567" w:hanging="567"/>
      </w:pPr>
    </w:p>
    <w:p w:rsidR="00E876BF" w:rsidRPr="00E94D23" w:rsidRDefault="00B43D1A" w:rsidP="00E33EF4">
      <w:pPr>
        <w:pStyle w:val="Heading1"/>
        <w:keepNext/>
      </w:pPr>
      <w:r w:rsidRPr="00E94D23">
        <w:rPr>
          <w:b/>
        </w:rPr>
        <w:t>O scurtă descriere a evenimentelor care au dus la intervenția troicii în Grecia</w:t>
      </w:r>
    </w:p>
    <w:p w:rsidR="00E876BF" w:rsidRPr="00E94D23" w:rsidRDefault="00E876BF" w:rsidP="00E33EF4">
      <w:pPr>
        <w:keepNext/>
      </w:pPr>
    </w:p>
    <w:p w:rsidR="00BC1369" w:rsidRPr="00E94D23" w:rsidRDefault="00882AE9" w:rsidP="00E33EF4">
      <w:pPr>
        <w:pStyle w:val="Heading2"/>
      </w:pPr>
      <w:r w:rsidRPr="00E94D23">
        <w:t xml:space="preserve">Între 2001 și 2007, economia Greciei era economia cu cea mai mare creștere din zona euro după economia Irlandei, cu o creștere medie a PIB-ului de 3,6% în perioada 1994-2008. Cu toate acestea, pe parcursul acestei perioade de creștere neîntreruptă, dezechilibrele macroeconomice endemice și deficiențele structurale au fost exacerbate de caracterul precar al sistemului politic de la nivel național și european. </w:t>
      </w:r>
    </w:p>
    <w:p w:rsidR="00D5280D" w:rsidRPr="00E94D23" w:rsidRDefault="00D5280D" w:rsidP="00E33EF4">
      <w:pPr>
        <w:ind w:left="567" w:hanging="567"/>
        <w:rPr>
          <w:color w:val="000000" w:themeColor="text1"/>
        </w:rPr>
      </w:pPr>
    </w:p>
    <w:p w:rsidR="00905C10" w:rsidRPr="00E94D23" w:rsidRDefault="00D5280D" w:rsidP="00E33EF4">
      <w:pPr>
        <w:pStyle w:val="Heading2"/>
      </w:pPr>
      <w:r w:rsidRPr="00E94D23">
        <w:lastRenderedPageBreak/>
        <w:t>Rata de economisire la nivel național a scăzut în perioada 1974-2009 cu aproape 32 de puncte procentuale, accentuând deficitul de cont curent și o datorie externă cronică. Cheltuielile publice necontrolate, împreună cu incapacitatea de a asigura un nivel adecvat al veniturilor fiscale, au condus la acumularea datoriei publice</w:t>
      </w:r>
      <w:r w:rsidRPr="00E94D23">
        <w:rPr>
          <w:rStyle w:val="FootnoteReference"/>
        </w:rPr>
        <w:footnoteReference w:id="8"/>
      </w:r>
      <w:r w:rsidRPr="00E94D23">
        <w:t>.</w:t>
      </w:r>
    </w:p>
    <w:p w:rsidR="00905C10" w:rsidRPr="00E94D23" w:rsidRDefault="00905C10" w:rsidP="00E33EF4"/>
    <w:p w:rsidR="00DC1E17" w:rsidRPr="00E94D23" w:rsidRDefault="00DC1E17" w:rsidP="00E33EF4">
      <w:pPr>
        <w:pStyle w:val="Heading2"/>
      </w:pPr>
      <w:r w:rsidRPr="00E94D23">
        <w:t>În august 2015 s-a convenit asupra unui al treilea program de stabilitate pentru Grecia, printr-un act adițional la memorandumul de înțelegere, care specifica în detaliu condițiile în materie de politici, incluzând o evaluare a impactului social, ca modalitate de menținere a negocierilor la nivelul Comisiei, dar și ca un manual de însoțire și de monitorizare a punerii sale în aplicare. Această măsură a fost adoptată ca urmare a insistențelor și a orientărilor președintelui Jean˗Claude Juncker din 2014, potrivit cărora „pe viitor, orice program de sprijin și de reformă trebuie să continue nu numai prin evaluarea sustenabilității fiscale, ci și prin evaluarea impactului social”, vizând să asigure și faptul că „efectele sociale ale reformelor structurale vor fi discutate în public”. Comisia este pe deplin conștientă de condițiile sociale din Grecia și consideră că îmbunătățirea acestora este esențială pentru a realiza o creștere durabilă și favorabilă incluziunii</w:t>
      </w:r>
      <w:r w:rsidRPr="00E94D23">
        <w:rPr>
          <w:rStyle w:val="FootnoteReference"/>
        </w:rPr>
        <w:footnoteReference w:id="9"/>
      </w:r>
      <w:r w:rsidRPr="00E94D23">
        <w:t>.</w:t>
      </w:r>
    </w:p>
    <w:p w:rsidR="00E876BF" w:rsidRPr="00E94D23" w:rsidRDefault="00E876BF" w:rsidP="00E33EF4"/>
    <w:p w:rsidR="00FF3F97" w:rsidRPr="00E94D23" w:rsidRDefault="002A710F" w:rsidP="00E33EF4">
      <w:pPr>
        <w:pStyle w:val="Heading2"/>
      </w:pPr>
      <w:r w:rsidRPr="00E94D23">
        <w:t xml:space="preserve">În urma deliberărilor Consiliului European, la 15 iunie 2017, Greciei i-a fost acordat un împrumut suplimentar, care să o ajute în redresarea sa economică, financiară și socială. </w:t>
      </w:r>
    </w:p>
    <w:p w:rsidR="00FF3F97" w:rsidRPr="00E94D23" w:rsidRDefault="00FF3F97" w:rsidP="00E33EF4"/>
    <w:p w:rsidR="004D117A" w:rsidRPr="00E94D23" w:rsidRDefault="004D117A" w:rsidP="00E33EF4">
      <w:pPr>
        <w:pStyle w:val="Heading1"/>
        <w:keepNext/>
      </w:pPr>
      <w:r w:rsidRPr="00E94D23">
        <w:rPr>
          <w:b/>
        </w:rPr>
        <w:t xml:space="preserve">Rezultatele macroeconomice, sociale și financiare obținute ca urmare a programului de ajustare </w:t>
      </w:r>
    </w:p>
    <w:p w:rsidR="004D117A" w:rsidRPr="00E94D23" w:rsidRDefault="004D117A" w:rsidP="00E33EF4">
      <w:pPr>
        <w:keepNext/>
        <w:rPr>
          <w:b/>
        </w:rPr>
      </w:pPr>
    </w:p>
    <w:p w:rsidR="003D5BF5" w:rsidRPr="00E94D23" w:rsidRDefault="00F60FDE" w:rsidP="00E33EF4">
      <w:pPr>
        <w:pStyle w:val="Heading2"/>
      </w:pPr>
      <w:r w:rsidRPr="00E94D23">
        <w:t xml:space="preserve">În general, se poate afirma că singurul factor de succes ce poate fi atribuit programelor de ajustare economică și financiară a fost posibilitatea ca statele membre (Irlanda și Portugalia) să nu mai fie supuse procedurii aplicabile deficitelor excesive și să dobândească din nou acces la piețele financiare în condiții de finanțare acceptabile. Reducerea deficitului bugetar și îmbunătățirea exporturilor au contribuit la îmbunătățirea soldului contului curent </w:t>
      </w:r>
      <w:r w:rsidR="00E94D23">
        <w:t>extern (bunuri, </w:t>
      </w:r>
      <w:r w:rsidRPr="00E94D23">
        <w:t xml:space="preserve">servicii și capital); creșterea economică și ocuparea forței de muncă au înregistrat și ele îmbunătățiri începând cu anul 2014. Toți ceilalți indicatori continuă să aibă efecte dramatice asupra bunăstării societății și asupra devalorizării factorilor macroeconomici, fenomen ce va persista o perioadă foarte îndelungată. Unele prejudicii deja provocate vor căpăta un caracter permanent, precum emigrarea persoanelor înalt calificate, cu efecte negative asupra creșterii potențiale a inovării și a dezvoltării în țările de origine, creșterea bruscă a sărăciei și a inegalității în materie de venituri, de acces la îngrijiri medicale de bază și de bunăstare generală a populației. </w:t>
      </w:r>
    </w:p>
    <w:p w:rsidR="00F737D0" w:rsidRPr="00E94D23" w:rsidRDefault="00F737D0" w:rsidP="00E33EF4"/>
    <w:p w:rsidR="00F737D0" w:rsidRPr="00E94D23" w:rsidRDefault="00F737D0" w:rsidP="00C376B1">
      <w:pPr>
        <w:ind w:left="567"/>
        <w:rPr>
          <w:i/>
        </w:rPr>
      </w:pPr>
      <w:r w:rsidRPr="00E94D23">
        <w:rPr>
          <w:i/>
        </w:rPr>
        <w:t>A se vedea anexa I, care cuprinde principalii indicatori statistici</w:t>
      </w:r>
    </w:p>
    <w:p w:rsidR="00702B91" w:rsidRPr="00E94D23" w:rsidRDefault="00702B91" w:rsidP="00C376B1"/>
    <w:p w:rsidR="00702B91" w:rsidRPr="00E94D23" w:rsidRDefault="00A21ABA" w:rsidP="00E33EF4">
      <w:pPr>
        <w:pStyle w:val="Heading1"/>
        <w:keepNext/>
      </w:pPr>
      <w:r w:rsidRPr="00E94D23">
        <w:rPr>
          <w:b/>
        </w:rPr>
        <w:lastRenderedPageBreak/>
        <w:t>Lecțiile învățate care ar trebui să genereze transformare și inovare în politicile europene</w:t>
      </w:r>
    </w:p>
    <w:p w:rsidR="00D64431" w:rsidRPr="00E94D23" w:rsidRDefault="00D64431" w:rsidP="000641AF">
      <w:pPr>
        <w:keepNext/>
      </w:pPr>
    </w:p>
    <w:p w:rsidR="00D64431" w:rsidRPr="00E94D23" w:rsidRDefault="00436E47" w:rsidP="00E33EF4">
      <w:pPr>
        <w:pStyle w:val="Heading2"/>
      </w:pPr>
      <w:r w:rsidRPr="00E94D23">
        <w:t>Uniunea Europeană – și odată cu ea și zona euro – a demonstrat că era complet nepregătită să se confrunte cu o criză financiară în statele sale membre, ceea ce a făcut-o să adopte în totalitate propunerile FMI, în loc să le adapteze la valorile și modelele de solidaritate comune de la nivel european. În cazul Greciei, Uniunea Europeană a irosit un timp prețios înainte de a reacționa la această problemă, iar sugestiile sale inițiale nu au fost nici clare, nici definitive – de exemplu, valoarea necesară totală a împrumutului a fost modificată de mai multe ori din cauza ezitărilor Comisiei, permițând astfel piețelor să speculeze și agravând și mai mult o situație deja dificilă.</w:t>
      </w:r>
    </w:p>
    <w:p w:rsidR="00BF7831" w:rsidRPr="00E94D23" w:rsidRDefault="00BF7831" w:rsidP="00E33EF4"/>
    <w:p w:rsidR="00D64431" w:rsidRPr="00E94D23" w:rsidRDefault="00C57784" w:rsidP="00E33EF4">
      <w:pPr>
        <w:pStyle w:val="Heading2"/>
        <w:numPr>
          <w:ilvl w:val="1"/>
          <w:numId w:val="58"/>
        </w:numPr>
      </w:pPr>
      <w:r w:rsidRPr="00E94D23">
        <w:t>Programele de ajustare economică, financiară și fiscală aplicate în Grecia, Irlanda și Portugalia au fost elaborate de FMI și au reflectat parțial aceeași logică aplicată de FMI în perioada crizelor din anii 1980 din Africa și din anii 1990 din unele țări asiatice, în cazul cărora rolul devalorizării monedei, prin mecanismul cursului de schimb, era eficace pentru a menține creșterea și a îmbunătăți balanța de plăți, pentru a realiza stabilizarea macroeconomică, în special consolidarea bugetară și stabilizarea inflației și pentru a st</w:t>
      </w:r>
      <w:r w:rsidR="00E94D23">
        <w:t>imula exporturile (1). Noutatea </w:t>
      </w:r>
      <w:r w:rsidRPr="00E94D23">
        <w:t>în cazul Greciei, Irlandei și Portugaliei era aceea că programele erau puse în aplicare, pentru prima dată, într-o zonă cu monedă unică (fără a se mai recurge la deprecierea monetară) și în state care făceau parte din Uniunea Europeană și din zona euro. În cazul statelor membre ale UE, întrucât ceea ce se urmărea era corectarea dezechilibrelor fiscale și externe și restabilirea încrederii, FMI a înțeles că era „nevoie de o reorientare semnificativă a economiei, dat fiind că se preconizează o creștere redusă a PIB-ului” (2). Astfel, programele de ajustare vizau realizarea consolidării bugetare prin intermediul unor politici de austeritate, cu reduceri drastice ale cheltuielilor publice și măsuri structurale pe termen lung, precum reformarea impozitelor, a legislației muncii și a legislației privind remunerarea, pentru a reduce deficitele și a mări veniturile statului. Această politică de austeritate a fost implementată printr-o „</w:t>
      </w:r>
      <w:r w:rsidRPr="00E94D23">
        <w:rPr>
          <w:b/>
        </w:rPr>
        <w:t>devalorizare internă a componentelor modelului economic și social</w:t>
      </w:r>
      <w:r w:rsidRPr="00E94D23">
        <w:t>”.</w:t>
      </w:r>
    </w:p>
    <w:p w:rsidR="002A18C6" w:rsidRPr="00E94D23" w:rsidRDefault="002A18C6" w:rsidP="00E33EF4"/>
    <w:p w:rsidR="00BF7831" w:rsidRPr="00E94D23" w:rsidRDefault="00C57784" w:rsidP="00E33EF4">
      <w:pPr>
        <w:pStyle w:val="Heading2"/>
      </w:pPr>
      <w:r w:rsidRPr="00E94D23">
        <w:t xml:space="preserve">Evaluarea generală a programelor FMI, realizată de organismul acestuia, Independent </w:t>
      </w:r>
      <w:proofErr w:type="spellStart"/>
      <w:r w:rsidRPr="00E94D23">
        <w:t>Evaluation</w:t>
      </w:r>
      <w:proofErr w:type="spellEnd"/>
      <w:r w:rsidRPr="00E94D23">
        <w:t xml:space="preserve"> Office (iulie 2016), arată că, deși supravegherea înainte de criză identificase în mod corect problemele din cele trei țări, aceasta </w:t>
      </w:r>
      <w:r w:rsidRPr="00E94D23">
        <w:rPr>
          <w:b/>
        </w:rPr>
        <w:t>a eșuat în ceea ce privește anticiparea și calibrarea dimensiunii riscurilor</w:t>
      </w:r>
      <w:r w:rsidRPr="00E94D23">
        <w:t xml:space="preserve"> care, mai târziu, </w:t>
      </w:r>
      <w:r w:rsidRPr="00E94D23">
        <w:rPr>
          <w:b/>
        </w:rPr>
        <w:t>aveau să se dovedească a fi esențiale din punctul de vedere al efectelor negative</w:t>
      </w:r>
      <w:r w:rsidRPr="00E94D23">
        <w:t xml:space="preserve">, contribuind la o utilizare dezechilibrată a programelor de ajustare. Studiul menționează și inconsecvențele la nivelul coordonării dintre partenerii troicii din punctul de vedere al acțiunilor și al conformității cu instrumentele zonei euro (Uniunea economică și monetară, Pactul de stabilitate și de creștere, procedura aplicabilă deficitelor excesive și semestrul european), subliniind totodată că nu au fost definite în mod clar mecanismele de constituire a echipelor de negociere și responsabilitățile membrilor acestora și că nu au fost aplicate întotdeauna învățămintele crizelor din trecut. </w:t>
      </w:r>
    </w:p>
    <w:p w:rsidR="00AB2617" w:rsidRPr="00E94D23" w:rsidRDefault="00AB2617" w:rsidP="00E33EF4"/>
    <w:p w:rsidR="00BF7831" w:rsidRPr="00E94D23" w:rsidRDefault="00C86B82" w:rsidP="00E33EF4">
      <w:pPr>
        <w:pStyle w:val="Heading3"/>
      </w:pPr>
      <w:r w:rsidRPr="00E94D23">
        <w:t>Măsurile de austeritate au dus la un „</w:t>
      </w:r>
      <w:r w:rsidRPr="00E94D23">
        <w:rPr>
          <w:b/>
        </w:rPr>
        <w:t>cerc vicios</w:t>
      </w:r>
      <w:r w:rsidRPr="00E94D23">
        <w:t>”, în care austeritatea a generat recesiune, urmată de o și mai mare austeritate, ceea ce a dus la o situație catastrofală, cu declinul PIB-ului, care a scăzut până la niveluri de acum 10 sau 20 de ani, reducerea cheltuielilor aferente investițiilor publice și private, colapsul sistemului bancar, care a dus la falimentul sistemului de producție (IMM-uri, întreprinderi familiale și lucrători independenți) și o severitate catastrofală la toate nivelurile protecției sociale.</w:t>
      </w:r>
    </w:p>
    <w:p w:rsidR="00696127" w:rsidRPr="00E94D23" w:rsidRDefault="00696127" w:rsidP="00E33EF4"/>
    <w:p w:rsidR="00BF7831" w:rsidRPr="00E94D23" w:rsidRDefault="00696127" w:rsidP="00E33EF4">
      <w:pPr>
        <w:pStyle w:val="Heading2"/>
        <w:keepNext/>
      </w:pPr>
      <w:r w:rsidRPr="00E94D23">
        <w:t>Deficiențele și inconsecvențele în elaborarea programelor de asistență au fost, în general, următoarele:</w:t>
      </w:r>
    </w:p>
    <w:p w:rsidR="00D92D3E" w:rsidRPr="00E94D23" w:rsidRDefault="00D92D3E" w:rsidP="00E33EF4">
      <w:pPr>
        <w:keepNext/>
      </w:pPr>
    </w:p>
    <w:p w:rsidR="00BF7831" w:rsidRPr="00E94D23" w:rsidRDefault="00E33EF4" w:rsidP="00E33EF4">
      <w:pPr>
        <w:pStyle w:val="ListParagraph"/>
        <w:numPr>
          <w:ilvl w:val="0"/>
          <w:numId w:val="90"/>
        </w:numPr>
        <w:tabs>
          <w:tab w:val="clear" w:pos="0"/>
        </w:tabs>
        <w:ind w:left="850"/>
        <w:outlineLvl w:val="1"/>
      </w:pPr>
      <w:r w:rsidRPr="00E94D23">
        <w:t>dimensiunea structurală a crizei a fost neglijată;</w:t>
      </w:r>
    </w:p>
    <w:p w:rsidR="00BF7831" w:rsidRPr="00E94D23" w:rsidRDefault="00E33EF4" w:rsidP="00E33EF4">
      <w:pPr>
        <w:pStyle w:val="ListParagraph"/>
        <w:numPr>
          <w:ilvl w:val="0"/>
          <w:numId w:val="91"/>
        </w:numPr>
        <w:tabs>
          <w:tab w:val="clear" w:pos="0"/>
        </w:tabs>
        <w:ind w:left="850"/>
        <w:outlineLvl w:val="1"/>
      </w:pPr>
      <w:r w:rsidRPr="00E94D23">
        <w:t>gradul de îndatorare a întreprinderilor și a gospodăriilor a fost subestimat;</w:t>
      </w:r>
    </w:p>
    <w:p w:rsidR="00BF7831" w:rsidRPr="00E94D23" w:rsidRDefault="00E33EF4" w:rsidP="00E33EF4">
      <w:pPr>
        <w:pStyle w:val="ListParagraph"/>
        <w:numPr>
          <w:ilvl w:val="0"/>
          <w:numId w:val="92"/>
        </w:numPr>
        <w:tabs>
          <w:tab w:val="clear" w:pos="0"/>
        </w:tabs>
        <w:ind w:left="850"/>
        <w:outlineLvl w:val="1"/>
      </w:pPr>
      <w:r w:rsidRPr="00E94D23">
        <w:t>a fost subestimată ponderea cererii interne în creșterea economică și în crearea de locuri de muncă,</w:t>
      </w:r>
    </w:p>
    <w:p w:rsidR="00BF7831" w:rsidRPr="00E94D23" w:rsidRDefault="00E33EF4" w:rsidP="00E33EF4">
      <w:pPr>
        <w:pStyle w:val="ListParagraph"/>
        <w:numPr>
          <w:ilvl w:val="0"/>
          <w:numId w:val="93"/>
        </w:numPr>
        <w:tabs>
          <w:tab w:val="clear" w:pos="0"/>
        </w:tabs>
        <w:ind w:left="850"/>
        <w:outlineLvl w:val="1"/>
      </w:pPr>
      <w:r w:rsidRPr="00E94D23">
        <w:t>reforma statului nu a vizat aspecte structurale fundamentale;</w:t>
      </w:r>
    </w:p>
    <w:p w:rsidR="00BF7831" w:rsidRPr="00E94D23" w:rsidRDefault="00E33EF4" w:rsidP="00E33EF4">
      <w:pPr>
        <w:pStyle w:val="ListParagraph"/>
        <w:numPr>
          <w:ilvl w:val="0"/>
          <w:numId w:val="94"/>
        </w:numPr>
        <w:tabs>
          <w:tab w:val="clear" w:pos="0"/>
        </w:tabs>
        <w:ind w:left="850"/>
        <w:outlineLvl w:val="1"/>
      </w:pPr>
      <w:r w:rsidRPr="00E94D23">
        <w:t>reforma structurală a economiei a fost redusă la „devalorizarea factorilor de competitivitate internă” (salariu, creșterea duratei programului de muncă, reforme severe ale legislației muncii, creșterea brutală a impozitelor etc.);</w:t>
      </w:r>
    </w:p>
    <w:p w:rsidR="00BF7831" w:rsidRPr="00E94D23" w:rsidRDefault="00E33EF4" w:rsidP="00E33EF4">
      <w:pPr>
        <w:pStyle w:val="ListParagraph"/>
        <w:numPr>
          <w:ilvl w:val="0"/>
          <w:numId w:val="95"/>
        </w:numPr>
        <w:tabs>
          <w:tab w:val="clear" w:pos="0"/>
        </w:tabs>
        <w:ind w:left="850"/>
        <w:outlineLvl w:val="1"/>
      </w:pPr>
      <w:r w:rsidRPr="00E94D23">
        <w:t xml:space="preserve">timpul disponibil pentru implementarea programelor a fost scurt; </w:t>
      </w:r>
    </w:p>
    <w:p w:rsidR="00BF7831" w:rsidRPr="00E94D23" w:rsidRDefault="00E33EF4" w:rsidP="00E33EF4">
      <w:pPr>
        <w:pStyle w:val="ListParagraph"/>
        <w:numPr>
          <w:ilvl w:val="0"/>
          <w:numId w:val="96"/>
        </w:numPr>
        <w:tabs>
          <w:tab w:val="clear" w:pos="0"/>
        </w:tabs>
        <w:ind w:left="850"/>
        <w:outlineLvl w:val="1"/>
      </w:pPr>
      <w:r w:rsidRPr="00E94D23">
        <w:t>este extrem de greu să fie realizate simultan echilibrul intern și cel extern, când ambele prezintă deficite foarte ridicate;</w:t>
      </w:r>
    </w:p>
    <w:p w:rsidR="00D64431" w:rsidRPr="00E94D23" w:rsidRDefault="00E33EF4" w:rsidP="00E33EF4">
      <w:pPr>
        <w:pStyle w:val="ListParagraph"/>
        <w:numPr>
          <w:ilvl w:val="0"/>
          <w:numId w:val="89"/>
        </w:numPr>
        <w:tabs>
          <w:tab w:val="clear" w:pos="0"/>
        </w:tabs>
        <w:ind w:left="851" w:hanging="284"/>
        <w:outlineLvl w:val="1"/>
      </w:pPr>
      <w:r w:rsidRPr="00E94D23">
        <w:t xml:space="preserve">în nicio țară din lume, în niciun moment al istoriei, măsurile de consolidare bugetară, aplicate în special la nivelul cheltuielilor într-o situație de recesiune severă, în contextul în care țara nu dispune de un mecanism de devalorizare a cursului de schimb, iar partenerii ei urmează să facă exact acest lucru, nu au avut succes. În prezent, există un consens în ce privește faptul că aceste măsuri duc la recesiune pe termen scurt, iar cicatricile pe care le provoacă la nivelul economiei sunt, de multe ori, permanente; </w:t>
      </w:r>
    </w:p>
    <w:p w:rsidR="00D64431" w:rsidRPr="00E94D23" w:rsidRDefault="00E33EF4" w:rsidP="00E33EF4">
      <w:pPr>
        <w:pStyle w:val="ListParagraph"/>
        <w:numPr>
          <w:ilvl w:val="0"/>
          <w:numId w:val="88"/>
        </w:numPr>
        <w:ind w:left="851" w:hanging="284"/>
      </w:pPr>
      <w:r w:rsidRPr="00E94D23">
        <w:t>multiplicatorii fiscali necorespunzători au dus la erori monumentale.</w:t>
      </w:r>
    </w:p>
    <w:p w:rsidR="00803E10" w:rsidRPr="00E94D23" w:rsidRDefault="00803E10" w:rsidP="00E33EF4"/>
    <w:p w:rsidR="00803E10" w:rsidRPr="00E94D23" w:rsidRDefault="00803E10" w:rsidP="00E33EF4">
      <w:pPr>
        <w:pStyle w:val="Heading2"/>
      </w:pPr>
      <w:r w:rsidRPr="00E94D23">
        <w:t xml:space="preserve">Un „program de ajustare” trebuie să reflecte toate aspectele și dialogurile politice importante pentru succesul programului, dar trebuie să includă întotdeauna „indicatorii impactului distributiv” al măsurilor de ajustare, în special în ceea ce privește identificarea efectelor de ordin social și asupra întreprinderilor, la cele mai diverse niveluri. De asemenea, el trebuie să prevadă măsuri de compensare pentru ca aceste efecte negative (de exemplu, falimentul întreprinderilor, creșterea ratei șomajului, reducerea salariilor, accentuarea sărăciei, creșterea emigrației) să fie combătute cu succes, prin programe de redresare, și să se evite situațiile sociale dramatice, inclusiv emigrarea. Toate sectoarele trebuie să aibă de câștigat: nu ar trebui să existe învingători și învinși, ca în cazul programelor puse în aplicare în Grecia, Irlanda și Portugalia. </w:t>
      </w:r>
    </w:p>
    <w:p w:rsidR="00927882" w:rsidRPr="00E94D23" w:rsidRDefault="00927882" w:rsidP="000641AF"/>
    <w:p w:rsidR="00927882" w:rsidRPr="00E94D23" w:rsidRDefault="00927882" w:rsidP="00E94D23">
      <w:r w:rsidRPr="00E94D23">
        <w:t>Bruxelles, 29 ianuarie 2018</w:t>
      </w:r>
    </w:p>
    <w:p w:rsidR="00927882" w:rsidRPr="00E94D23" w:rsidRDefault="00927882" w:rsidP="00E94D23"/>
    <w:p w:rsidR="00927882" w:rsidRPr="00E94D23" w:rsidRDefault="00927882" w:rsidP="00E94D23"/>
    <w:p w:rsidR="00553924" w:rsidRPr="00E94D23" w:rsidRDefault="00553924" w:rsidP="00E94D23"/>
    <w:p w:rsidR="00927882" w:rsidRPr="00E94D23" w:rsidRDefault="00927882" w:rsidP="00E94D23"/>
    <w:p w:rsidR="00927882" w:rsidRPr="00E94D23" w:rsidRDefault="00927882" w:rsidP="00E94D23">
      <w:proofErr w:type="spellStart"/>
      <w:r w:rsidRPr="00E94D23">
        <w:t>Joost</w:t>
      </w:r>
      <w:proofErr w:type="spellEnd"/>
      <w:r w:rsidRPr="00E94D23">
        <w:t xml:space="preserve"> VAN IERSEL</w:t>
      </w:r>
    </w:p>
    <w:p w:rsidR="00927882" w:rsidRPr="00E94D23" w:rsidRDefault="00927882" w:rsidP="00E94D23">
      <w:r w:rsidRPr="00E94D23">
        <w:t>Președintele Secțiunii pentru uniunea economică și monetară și coeziune economică și socială</w:t>
      </w:r>
    </w:p>
    <w:p w:rsidR="009E2B8D" w:rsidRPr="00E94D23" w:rsidRDefault="009E2B8D" w:rsidP="00E94D23"/>
    <w:p w:rsidR="00A71A48" w:rsidRPr="00E94D23" w:rsidRDefault="00646AC2" w:rsidP="00E33EF4">
      <w:pPr>
        <w:keepNext/>
        <w:jc w:val="center"/>
      </w:pPr>
      <w:r w:rsidRPr="00E94D23">
        <w:t>_____________</w:t>
      </w:r>
    </w:p>
    <w:p w:rsidR="00040D7D" w:rsidRPr="00E94D23" w:rsidRDefault="00040D7D" w:rsidP="00E94D23"/>
    <w:p w:rsidR="0061568C" w:rsidRPr="00E94D23" w:rsidRDefault="00040D7D" w:rsidP="00C376B1">
      <w:r w:rsidRPr="00E94D23">
        <w:rPr>
          <w:b/>
        </w:rPr>
        <w:t>NB:</w:t>
      </w:r>
      <w:r w:rsidRPr="00E94D23">
        <w:tab/>
        <w:t xml:space="preserve">Urmează anexele. </w:t>
      </w:r>
      <w:r w:rsidRPr="00E94D23">
        <w:br w:type="page"/>
      </w:r>
    </w:p>
    <w:p w:rsidR="0061568C" w:rsidRPr="00E94D23" w:rsidRDefault="0061568C" w:rsidP="00E33EF4">
      <w:pPr>
        <w:jc w:val="center"/>
        <w:rPr>
          <w:b/>
        </w:rPr>
      </w:pPr>
      <w:r w:rsidRPr="00E94D23">
        <w:rPr>
          <w:b/>
        </w:rPr>
        <w:lastRenderedPageBreak/>
        <w:t>ANEXA I</w:t>
      </w:r>
    </w:p>
    <w:p w:rsidR="0061568C" w:rsidRPr="00E94D23" w:rsidRDefault="0061568C" w:rsidP="00C376B1"/>
    <w:p w:rsidR="0061568C" w:rsidRPr="00E94D23" w:rsidRDefault="0061568C" w:rsidP="00C376B1">
      <w:r w:rsidRPr="00E94D23">
        <w:t xml:space="preserve">For </w:t>
      </w:r>
      <w:proofErr w:type="spellStart"/>
      <w:r w:rsidRPr="00E94D23">
        <w:t>reference</w:t>
      </w:r>
      <w:proofErr w:type="spellEnd"/>
      <w:r w:rsidRPr="00E94D23">
        <w:t xml:space="preserve"> </w:t>
      </w:r>
      <w:proofErr w:type="spellStart"/>
      <w:r w:rsidRPr="00E94D23">
        <w:t>please</w:t>
      </w:r>
      <w:proofErr w:type="spellEnd"/>
      <w:r w:rsidRPr="00E94D23">
        <w:t xml:space="preserve"> note </w:t>
      </w:r>
      <w:proofErr w:type="spellStart"/>
      <w:r w:rsidRPr="00E94D23">
        <w:t>the</w:t>
      </w:r>
      <w:proofErr w:type="spellEnd"/>
      <w:r w:rsidRPr="00E94D23">
        <w:t xml:space="preserve"> </w:t>
      </w:r>
      <w:proofErr w:type="spellStart"/>
      <w:r w:rsidRPr="00E94D23">
        <w:t>following</w:t>
      </w:r>
      <w:proofErr w:type="spellEnd"/>
      <w:r w:rsidRPr="00E94D23">
        <w:t xml:space="preserve"> basic </w:t>
      </w:r>
      <w:proofErr w:type="spellStart"/>
      <w:r w:rsidRPr="00E94D23">
        <w:t>indicators</w:t>
      </w:r>
      <w:proofErr w:type="spellEnd"/>
      <w:r w:rsidRPr="00E94D23">
        <w:t>:</w:t>
      </w:r>
    </w:p>
    <w:p w:rsidR="0061568C" w:rsidRPr="00E94D23" w:rsidRDefault="0061568C" w:rsidP="00C376B1"/>
    <w:tbl>
      <w:tblPr>
        <w:tblW w:w="5000" w:type="pct"/>
        <w:tblLayout w:type="fixed"/>
        <w:tblLook w:val="04A0" w:firstRow="1" w:lastRow="0" w:firstColumn="1" w:lastColumn="0" w:noHBand="0" w:noVBand="1"/>
      </w:tblPr>
      <w:tblGrid>
        <w:gridCol w:w="1868"/>
        <w:gridCol w:w="769"/>
        <w:gridCol w:w="879"/>
        <w:gridCol w:w="881"/>
        <w:gridCol w:w="769"/>
        <w:gridCol w:w="881"/>
        <w:gridCol w:w="771"/>
        <w:gridCol w:w="771"/>
        <w:gridCol w:w="769"/>
        <w:gridCol w:w="931"/>
      </w:tblGrid>
      <w:tr w:rsidR="00C376B1" w:rsidRPr="00E94D23" w:rsidTr="00C376B1">
        <w:tc>
          <w:tcPr>
            <w:tcW w:w="1005" w:type="pct"/>
          </w:tcPr>
          <w:p w:rsidR="0061568C" w:rsidRPr="00E94D23" w:rsidRDefault="0061568C" w:rsidP="00023315">
            <w:pPr>
              <w:outlineLvl w:val="1"/>
            </w:pPr>
            <w:r w:rsidRPr="00E94D23">
              <w:t xml:space="preserve">Basic </w:t>
            </w:r>
            <w:proofErr w:type="spellStart"/>
            <w:r w:rsidRPr="00E94D23">
              <w:t>indicators</w:t>
            </w:r>
            <w:proofErr w:type="spellEnd"/>
          </w:p>
        </w:tc>
        <w:tc>
          <w:tcPr>
            <w:tcW w:w="1361" w:type="pct"/>
            <w:gridSpan w:val="3"/>
          </w:tcPr>
          <w:p w:rsidR="0061568C" w:rsidRPr="00E94D23" w:rsidRDefault="0061568C" w:rsidP="00E33EF4">
            <w:pPr>
              <w:jc w:val="center"/>
              <w:outlineLvl w:val="1"/>
              <w:rPr>
                <w:b/>
                <w:sz w:val="18"/>
                <w:szCs w:val="18"/>
              </w:rPr>
            </w:pPr>
            <w:r w:rsidRPr="00E94D23">
              <w:rPr>
                <w:b/>
              </w:rPr>
              <w:t>GREECE</w:t>
            </w:r>
          </w:p>
        </w:tc>
        <w:tc>
          <w:tcPr>
            <w:tcW w:w="1303" w:type="pct"/>
            <w:gridSpan w:val="3"/>
          </w:tcPr>
          <w:p w:rsidR="0061568C" w:rsidRPr="00E94D23" w:rsidRDefault="0061568C" w:rsidP="00E33EF4">
            <w:pPr>
              <w:jc w:val="center"/>
              <w:outlineLvl w:val="1"/>
              <w:rPr>
                <w:b/>
              </w:rPr>
            </w:pPr>
            <w:r w:rsidRPr="00E94D23">
              <w:rPr>
                <w:b/>
              </w:rPr>
              <w:t>IRELAND</w:t>
            </w:r>
          </w:p>
        </w:tc>
        <w:tc>
          <w:tcPr>
            <w:tcW w:w="1330" w:type="pct"/>
            <w:gridSpan w:val="3"/>
          </w:tcPr>
          <w:p w:rsidR="0061568C" w:rsidRPr="00E94D23" w:rsidRDefault="0061568C" w:rsidP="00E33EF4">
            <w:pPr>
              <w:jc w:val="center"/>
              <w:outlineLvl w:val="1"/>
              <w:rPr>
                <w:b/>
              </w:rPr>
            </w:pPr>
            <w:r w:rsidRPr="00E94D23">
              <w:rPr>
                <w:b/>
              </w:rPr>
              <w:t>PORTUGAL</w:t>
            </w:r>
          </w:p>
        </w:tc>
      </w:tr>
      <w:tr w:rsidR="00C376B1" w:rsidRPr="00E94D23" w:rsidTr="00C376B1">
        <w:tc>
          <w:tcPr>
            <w:tcW w:w="1005" w:type="pct"/>
          </w:tcPr>
          <w:p w:rsidR="0061568C" w:rsidRPr="00E94D23" w:rsidRDefault="0061568C" w:rsidP="00023315">
            <w:pPr>
              <w:outlineLvl w:val="1"/>
            </w:pPr>
          </w:p>
        </w:tc>
        <w:tc>
          <w:tcPr>
            <w:tcW w:w="414" w:type="pct"/>
          </w:tcPr>
          <w:p w:rsidR="0061568C" w:rsidRPr="00E94D23" w:rsidRDefault="0061568C" w:rsidP="00C376B1">
            <w:pPr>
              <w:jc w:val="center"/>
              <w:outlineLvl w:val="1"/>
              <w:rPr>
                <w:b/>
                <w:sz w:val="18"/>
                <w:szCs w:val="18"/>
              </w:rPr>
            </w:pPr>
            <w:r w:rsidRPr="00E94D23">
              <w:rPr>
                <w:b/>
                <w:sz w:val="18"/>
              </w:rPr>
              <w:t>2008</w:t>
            </w:r>
          </w:p>
        </w:tc>
        <w:tc>
          <w:tcPr>
            <w:tcW w:w="473" w:type="pct"/>
          </w:tcPr>
          <w:p w:rsidR="0061568C" w:rsidRPr="00E94D23" w:rsidRDefault="0061568C" w:rsidP="00C376B1">
            <w:pPr>
              <w:jc w:val="center"/>
              <w:outlineLvl w:val="1"/>
              <w:rPr>
                <w:b/>
                <w:sz w:val="18"/>
                <w:szCs w:val="18"/>
              </w:rPr>
            </w:pPr>
            <w:r w:rsidRPr="00E94D23">
              <w:rPr>
                <w:b/>
                <w:sz w:val="18"/>
              </w:rPr>
              <w:t>2013</w:t>
            </w:r>
          </w:p>
        </w:tc>
        <w:tc>
          <w:tcPr>
            <w:tcW w:w="474" w:type="pct"/>
          </w:tcPr>
          <w:p w:rsidR="0061568C" w:rsidRPr="00E94D23" w:rsidRDefault="0061568C" w:rsidP="00C376B1">
            <w:pPr>
              <w:jc w:val="center"/>
              <w:outlineLvl w:val="1"/>
              <w:rPr>
                <w:b/>
                <w:sz w:val="18"/>
                <w:szCs w:val="18"/>
              </w:rPr>
            </w:pPr>
            <w:r w:rsidRPr="00E94D23">
              <w:rPr>
                <w:b/>
                <w:sz w:val="18"/>
              </w:rPr>
              <w:t>2016</w:t>
            </w:r>
          </w:p>
        </w:tc>
        <w:tc>
          <w:tcPr>
            <w:tcW w:w="414" w:type="pct"/>
          </w:tcPr>
          <w:p w:rsidR="0061568C" w:rsidRPr="00E94D23" w:rsidRDefault="0061568C" w:rsidP="00C376B1">
            <w:pPr>
              <w:jc w:val="center"/>
              <w:outlineLvl w:val="1"/>
              <w:rPr>
                <w:b/>
                <w:sz w:val="18"/>
              </w:rPr>
            </w:pPr>
            <w:r w:rsidRPr="00E94D23">
              <w:rPr>
                <w:b/>
                <w:sz w:val="18"/>
              </w:rPr>
              <w:t>2008</w:t>
            </w:r>
          </w:p>
        </w:tc>
        <w:tc>
          <w:tcPr>
            <w:tcW w:w="474" w:type="pct"/>
          </w:tcPr>
          <w:p w:rsidR="0061568C" w:rsidRPr="00E94D23" w:rsidRDefault="0061568C" w:rsidP="00C376B1">
            <w:pPr>
              <w:jc w:val="center"/>
              <w:outlineLvl w:val="1"/>
              <w:rPr>
                <w:b/>
                <w:sz w:val="18"/>
              </w:rPr>
            </w:pPr>
            <w:r w:rsidRPr="00E94D23">
              <w:rPr>
                <w:b/>
                <w:sz w:val="18"/>
              </w:rPr>
              <w:t>2013</w:t>
            </w:r>
          </w:p>
        </w:tc>
        <w:tc>
          <w:tcPr>
            <w:tcW w:w="415" w:type="pct"/>
          </w:tcPr>
          <w:p w:rsidR="0061568C" w:rsidRPr="00E94D23" w:rsidRDefault="0061568C" w:rsidP="00C376B1">
            <w:pPr>
              <w:jc w:val="center"/>
              <w:outlineLvl w:val="1"/>
              <w:rPr>
                <w:b/>
                <w:sz w:val="18"/>
              </w:rPr>
            </w:pPr>
            <w:r w:rsidRPr="00E94D23">
              <w:rPr>
                <w:b/>
                <w:sz w:val="18"/>
              </w:rPr>
              <w:t>2016</w:t>
            </w:r>
          </w:p>
        </w:tc>
        <w:tc>
          <w:tcPr>
            <w:tcW w:w="415" w:type="pct"/>
          </w:tcPr>
          <w:p w:rsidR="0061568C" w:rsidRPr="00E94D23" w:rsidRDefault="0061568C" w:rsidP="00C376B1">
            <w:pPr>
              <w:jc w:val="center"/>
              <w:outlineLvl w:val="1"/>
              <w:rPr>
                <w:b/>
                <w:sz w:val="18"/>
              </w:rPr>
            </w:pPr>
            <w:r w:rsidRPr="00E94D23">
              <w:rPr>
                <w:b/>
                <w:sz w:val="18"/>
              </w:rPr>
              <w:t>2008</w:t>
            </w:r>
          </w:p>
        </w:tc>
        <w:tc>
          <w:tcPr>
            <w:tcW w:w="414" w:type="pct"/>
          </w:tcPr>
          <w:p w:rsidR="0061568C" w:rsidRPr="00E94D23" w:rsidRDefault="0061568C" w:rsidP="00C376B1">
            <w:pPr>
              <w:jc w:val="center"/>
              <w:outlineLvl w:val="1"/>
              <w:rPr>
                <w:b/>
                <w:sz w:val="18"/>
              </w:rPr>
            </w:pPr>
            <w:r w:rsidRPr="00E94D23">
              <w:rPr>
                <w:b/>
                <w:sz w:val="18"/>
              </w:rPr>
              <w:t>2013</w:t>
            </w:r>
          </w:p>
        </w:tc>
        <w:tc>
          <w:tcPr>
            <w:tcW w:w="501" w:type="pct"/>
          </w:tcPr>
          <w:p w:rsidR="0061568C" w:rsidRPr="00E94D23" w:rsidRDefault="0061568C" w:rsidP="00C376B1">
            <w:pPr>
              <w:jc w:val="center"/>
              <w:outlineLvl w:val="1"/>
              <w:rPr>
                <w:b/>
                <w:sz w:val="18"/>
              </w:rPr>
            </w:pPr>
            <w:r w:rsidRPr="00E94D23">
              <w:rPr>
                <w:b/>
                <w:sz w:val="18"/>
              </w:rPr>
              <w:t>2016</w:t>
            </w:r>
          </w:p>
        </w:tc>
      </w:tr>
      <w:tr w:rsidR="00C376B1" w:rsidRPr="00E94D23" w:rsidTr="00C376B1">
        <w:tc>
          <w:tcPr>
            <w:tcW w:w="1005" w:type="pct"/>
          </w:tcPr>
          <w:p w:rsidR="0061568C" w:rsidRPr="00E94D23" w:rsidRDefault="0061568C" w:rsidP="00023315">
            <w:pPr>
              <w:outlineLvl w:val="1"/>
              <w:rPr>
                <w:sz w:val="20"/>
              </w:rPr>
            </w:pPr>
            <w:r w:rsidRPr="00E94D23">
              <w:rPr>
                <w:sz w:val="20"/>
              </w:rPr>
              <w:t xml:space="preserve">Total </w:t>
            </w:r>
            <w:proofErr w:type="spellStart"/>
            <w:r w:rsidRPr="00E94D23">
              <w:rPr>
                <w:sz w:val="20"/>
              </w:rPr>
              <w:t>unemployment</w:t>
            </w:r>
            <w:proofErr w:type="spellEnd"/>
            <w:r w:rsidRPr="00E94D23">
              <w:rPr>
                <w:sz w:val="20"/>
              </w:rPr>
              <w:t xml:space="preserve"> rate</w:t>
            </w:r>
          </w:p>
        </w:tc>
        <w:tc>
          <w:tcPr>
            <w:tcW w:w="414" w:type="pct"/>
          </w:tcPr>
          <w:p w:rsidR="0061568C" w:rsidRPr="00E94D23" w:rsidRDefault="0061568C" w:rsidP="00E33EF4">
            <w:pPr>
              <w:jc w:val="center"/>
              <w:outlineLvl w:val="1"/>
              <w:rPr>
                <w:b/>
                <w:sz w:val="20"/>
              </w:rPr>
            </w:pPr>
            <w:r w:rsidRPr="00E94D23">
              <w:rPr>
                <w:b/>
                <w:sz w:val="20"/>
              </w:rPr>
              <w:t>8%</w:t>
            </w:r>
          </w:p>
        </w:tc>
        <w:tc>
          <w:tcPr>
            <w:tcW w:w="473" w:type="pct"/>
          </w:tcPr>
          <w:p w:rsidR="0061568C" w:rsidRPr="00E94D23" w:rsidRDefault="0061568C" w:rsidP="00E33EF4">
            <w:pPr>
              <w:jc w:val="center"/>
              <w:outlineLvl w:val="1"/>
              <w:rPr>
                <w:b/>
                <w:sz w:val="20"/>
              </w:rPr>
            </w:pPr>
            <w:r w:rsidRPr="00E94D23">
              <w:rPr>
                <w:b/>
                <w:sz w:val="20"/>
              </w:rPr>
              <w:t>27.5%</w:t>
            </w:r>
          </w:p>
        </w:tc>
        <w:tc>
          <w:tcPr>
            <w:tcW w:w="474" w:type="pct"/>
          </w:tcPr>
          <w:p w:rsidR="0061568C" w:rsidRPr="00E94D23" w:rsidRDefault="0061568C" w:rsidP="00E33EF4">
            <w:pPr>
              <w:jc w:val="center"/>
              <w:outlineLvl w:val="1"/>
              <w:rPr>
                <w:b/>
                <w:sz w:val="20"/>
              </w:rPr>
            </w:pPr>
            <w:r w:rsidRPr="00E94D23">
              <w:rPr>
                <w:b/>
                <w:sz w:val="20"/>
              </w:rPr>
              <w:t>23.4%</w:t>
            </w:r>
          </w:p>
        </w:tc>
        <w:tc>
          <w:tcPr>
            <w:tcW w:w="414" w:type="pct"/>
          </w:tcPr>
          <w:p w:rsidR="0061568C" w:rsidRPr="00E94D23" w:rsidRDefault="0061568C" w:rsidP="00E33EF4">
            <w:pPr>
              <w:jc w:val="center"/>
              <w:outlineLvl w:val="1"/>
              <w:rPr>
                <w:b/>
                <w:sz w:val="20"/>
              </w:rPr>
            </w:pPr>
            <w:r w:rsidRPr="00E94D23">
              <w:rPr>
                <w:b/>
                <w:sz w:val="20"/>
              </w:rPr>
              <w:t>6.4%</w:t>
            </w:r>
          </w:p>
        </w:tc>
        <w:tc>
          <w:tcPr>
            <w:tcW w:w="474" w:type="pct"/>
          </w:tcPr>
          <w:p w:rsidR="0061568C" w:rsidRPr="00E94D23" w:rsidRDefault="0061568C" w:rsidP="00E33EF4">
            <w:pPr>
              <w:jc w:val="center"/>
              <w:outlineLvl w:val="1"/>
              <w:rPr>
                <w:b/>
                <w:sz w:val="20"/>
              </w:rPr>
            </w:pPr>
            <w:r w:rsidRPr="00E94D23">
              <w:rPr>
                <w:b/>
                <w:sz w:val="20"/>
              </w:rPr>
              <w:t>13.1%</w:t>
            </w:r>
          </w:p>
        </w:tc>
        <w:tc>
          <w:tcPr>
            <w:tcW w:w="415" w:type="pct"/>
          </w:tcPr>
          <w:p w:rsidR="0061568C" w:rsidRPr="00E94D23" w:rsidRDefault="0061568C" w:rsidP="00E33EF4">
            <w:pPr>
              <w:jc w:val="center"/>
              <w:outlineLvl w:val="1"/>
              <w:rPr>
                <w:b/>
                <w:sz w:val="20"/>
              </w:rPr>
            </w:pPr>
            <w:r w:rsidRPr="00E94D23">
              <w:rPr>
                <w:b/>
                <w:sz w:val="20"/>
              </w:rPr>
              <w:t>6.9%</w:t>
            </w:r>
          </w:p>
        </w:tc>
        <w:tc>
          <w:tcPr>
            <w:tcW w:w="415" w:type="pct"/>
          </w:tcPr>
          <w:p w:rsidR="0061568C" w:rsidRPr="00E94D23" w:rsidRDefault="0061568C" w:rsidP="00E33EF4">
            <w:pPr>
              <w:jc w:val="center"/>
              <w:outlineLvl w:val="1"/>
              <w:rPr>
                <w:b/>
                <w:sz w:val="20"/>
              </w:rPr>
            </w:pPr>
            <w:r w:rsidRPr="00E94D23">
              <w:rPr>
                <w:b/>
                <w:sz w:val="20"/>
              </w:rPr>
              <w:t>7.8%</w:t>
            </w:r>
          </w:p>
        </w:tc>
        <w:tc>
          <w:tcPr>
            <w:tcW w:w="414" w:type="pct"/>
          </w:tcPr>
          <w:p w:rsidR="0061568C" w:rsidRPr="00E94D23" w:rsidRDefault="0061568C" w:rsidP="00E33EF4">
            <w:pPr>
              <w:jc w:val="center"/>
              <w:outlineLvl w:val="1"/>
              <w:rPr>
                <w:b/>
                <w:sz w:val="20"/>
              </w:rPr>
            </w:pPr>
            <w:r w:rsidRPr="00E94D23">
              <w:rPr>
                <w:b/>
                <w:sz w:val="20"/>
              </w:rPr>
              <w:t>16.2%</w:t>
            </w:r>
          </w:p>
        </w:tc>
        <w:tc>
          <w:tcPr>
            <w:tcW w:w="501" w:type="pct"/>
          </w:tcPr>
          <w:p w:rsidR="0061568C" w:rsidRPr="00E94D23" w:rsidRDefault="0061568C" w:rsidP="00E33EF4">
            <w:pPr>
              <w:jc w:val="center"/>
              <w:outlineLvl w:val="1"/>
              <w:rPr>
                <w:b/>
                <w:sz w:val="20"/>
              </w:rPr>
            </w:pPr>
            <w:r w:rsidRPr="00E94D23">
              <w:rPr>
                <w:b/>
                <w:sz w:val="20"/>
              </w:rPr>
              <w:t>10.5%</w:t>
            </w:r>
          </w:p>
        </w:tc>
      </w:tr>
      <w:tr w:rsidR="00C376B1" w:rsidRPr="00E94D23" w:rsidTr="00C376B1">
        <w:tc>
          <w:tcPr>
            <w:tcW w:w="1005" w:type="pct"/>
          </w:tcPr>
          <w:p w:rsidR="0061568C" w:rsidRPr="00E94D23" w:rsidRDefault="0061568C" w:rsidP="00023315">
            <w:pPr>
              <w:outlineLvl w:val="1"/>
              <w:rPr>
                <w:sz w:val="20"/>
              </w:rPr>
            </w:pPr>
            <w:r w:rsidRPr="00E94D23">
              <w:rPr>
                <w:sz w:val="20"/>
              </w:rPr>
              <w:t xml:space="preserve">Youth </w:t>
            </w:r>
            <w:proofErr w:type="spellStart"/>
            <w:r w:rsidRPr="00E94D23">
              <w:rPr>
                <w:sz w:val="20"/>
              </w:rPr>
              <w:t>unemployment</w:t>
            </w:r>
            <w:proofErr w:type="spellEnd"/>
            <w:r w:rsidRPr="00E94D23">
              <w:rPr>
                <w:sz w:val="20"/>
              </w:rPr>
              <w:t xml:space="preserve"> rate (15-24)</w:t>
            </w:r>
          </w:p>
        </w:tc>
        <w:tc>
          <w:tcPr>
            <w:tcW w:w="414" w:type="pct"/>
          </w:tcPr>
          <w:p w:rsidR="0061568C" w:rsidRPr="00E94D23" w:rsidRDefault="0061568C" w:rsidP="00E33EF4">
            <w:pPr>
              <w:jc w:val="center"/>
              <w:outlineLvl w:val="1"/>
              <w:rPr>
                <w:b/>
                <w:sz w:val="20"/>
              </w:rPr>
            </w:pPr>
            <w:r w:rsidRPr="00E94D23">
              <w:rPr>
                <w:b/>
                <w:sz w:val="20"/>
              </w:rPr>
              <w:t>22%</w:t>
            </w:r>
          </w:p>
        </w:tc>
        <w:tc>
          <w:tcPr>
            <w:tcW w:w="473" w:type="pct"/>
          </w:tcPr>
          <w:p w:rsidR="0061568C" w:rsidRPr="00E94D23" w:rsidRDefault="0061568C" w:rsidP="00E33EF4">
            <w:pPr>
              <w:jc w:val="center"/>
              <w:outlineLvl w:val="1"/>
              <w:rPr>
                <w:b/>
                <w:sz w:val="20"/>
              </w:rPr>
            </w:pPr>
            <w:r w:rsidRPr="00E94D23">
              <w:rPr>
                <w:b/>
                <w:sz w:val="20"/>
              </w:rPr>
              <w:t>58.3%</w:t>
            </w:r>
          </w:p>
        </w:tc>
        <w:tc>
          <w:tcPr>
            <w:tcW w:w="474" w:type="pct"/>
          </w:tcPr>
          <w:p w:rsidR="0061568C" w:rsidRPr="00E94D23" w:rsidRDefault="0061568C" w:rsidP="00E33EF4">
            <w:pPr>
              <w:jc w:val="center"/>
              <w:outlineLvl w:val="1"/>
              <w:rPr>
                <w:b/>
                <w:sz w:val="20"/>
              </w:rPr>
            </w:pPr>
            <w:r w:rsidRPr="00E94D23">
              <w:rPr>
                <w:b/>
                <w:sz w:val="20"/>
              </w:rPr>
              <w:t>48%</w:t>
            </w:r>
          </w:p>
        </w:tc>
        <w:tc>
          <w:tcPr>
            <w:tcW w:w="414" w:type="pct"/>
          </w:tcPr>
          <w:p w:rsidR="0061568C" w:rsidRPr="00E94D23" w:rsidRDefault="0061568C" w:rsidP="00E33EF4">
            <w:pPr>
              <w:jc w:val="center"/>
              <w:outlineLvl w:val="1"/>
              <w:rPr>
                <w:b/>
                <w:sz w:val="20"/>
              </w:rPr>
            </w:pPr>
            <w:r w:rsidRPr="00E94D23">
              <w:rPr>
                <w:b/>
                <w:sz w:val="20"/>
              </w:rPr>
              <w:t>12.8%</w:t>
            </w:r>
          </w:p>
        </w:tc>
        <w:tc>
          <w:tcPr>
            <w:tcW w:w="474" w:type="pct"/>
          </w:tcPr>
          <w:p w:rsidR="0061568C" w:rsidRPr="00E94D23" w:rsidRDefault="0061568C" w:rsidP="00E33EF4">
            <w:pPr>
              <w:jc w:val="center"/>
              <w:outlineLvl w:val="1"/>
              <w:rPr>
                <w:b/>
                <w:sz w:val="20"/>
              </w:rPr>
            </w:pPr>
            <w:r w:rsidRPr="00E94D23">
              <w:rPr>
                <w:b/>
                <w:sz w:val="20"/>
              </w:rPr>
              <w:t>27.5%</w:t>
            </w:r>
          </w:p>
        </w:tc>
        <w:tc>
          <w:tcPr>
            <w:tcW w:w="415" w:type="pct"/>
          </w:tcPr>
          <w:p w:rsidR="0061568C" w:rsidRPr="00E94D23" w:rsidRDefault="0061568C" w:rsidP="00E33EF4">
            <w:pPr>
              <w:jc w:val="center"/>
              <w:outlineLvl w:val="1"/>
              <w:rPr>
                <w:b/>
                <w:sz w:val="20"/>
              </w:rPr>
            </w:pPr>
            <w:r w:rsidRPr="00E94D23">
              <w:rPr>
                <w:b/>
                <w:sz w:val="20"/>
              </w:rPr>
              <w:t>16%</w:t>
            </w:r>
          </w:p>
        </w:tc>
        <w:tc>
          <w:tcPr>
            <w:tcW w:w="415" w:type="pct"/>
          </w:tcPr>
          <w:p w:rsidR="0061568C" w:rsidRPr="00E94D23" w:rsidRDefault="0061568C" w:rsidP="00E33EF4">
            <w:pPr>
              <w:jc w:val="center"/>
              <w:outlineLvl w:val="1"/>
              <w:rPr>
                <w:b/>
                <w:sz w:val="20"/>
              </w:rPr>
            </w:pPr>
            <w:r w:rsidRPr="00E94D23">
              <w:rPr>
                <w:b/>
                <w:sz w:val="20"/>
              </w:rPr>
              <w:t>16.5%</w:t>
            </w:r>
          </w:p>
        </w:tc>
        <w:tc>
          <w:tcPr>
            <w:tcW w:w="414" w:type="pct"/>
          </w:tcPr>
          <w:p w:rsidR="0061568C" w:rsidRPr="00E94D23" w:rsidRDefault="0061568C" w:rsidP="00E33EF4">
            <w:pPr>
              <w:jc w:val="center"/>
              <w:outlineLvl w:val="1"/>
              <w:rPr>
                <w:b/>
                <w:sz w:val="20"/>
              </w:rPr>
            </w:pPr>
            <w:r w:rsidRPr="00E94D23">
              <w:rPr>
                <w:b/>
                <w:sz w:val="20"/>
              </w:rPr>
              <w:t>38.1%</w:t>
            </w:r>
          </w:p>
        </w:tc>
        <w:tc>
          <w:tcPr>
            <w:tcW w:w="501" w:type="pct"/>
          </w:tcPr>
          <w:p w:rsidR="0061568C" w:rsidRPr="00E94D23" w:rsidRDefault="0061568C" w:rsidP="00E33EF4">
            <w:pPr>
              <w:jc w:val="center"/>
              <w:outlineLvl w:val="1"/>
              <w:rPr>
                <w:b/>
                <w:sz w:val="20"/>
              </w:rPr>
            </w:pPr>
            <w:r w:rsidRPr="00E94D23">
              <w:rPr>
                <w:b/>
                <w:sz w:val="20"/>
              </w:rPr>
              <w:t>28%</w:t>
            </w:r>
          </w:p>
        </w:tc>
      </w:tr>
      <w:tr w:rsidR="00C376B1" w:rsidRPr="00E94D23" w:rsidTr="00C376B1">
        <w:tc>
          <w:tcPr>
            <w:tcW w:w="1005" w:type="pct"/>
          </w:tcPr>
          <w:p w:rsidR="0061568C" w:rsidRPr="00E94D23" w:rsidRDefault="0061568C" w:rsidP="00023315">
            <w:pPr>
              <w:outlineLvl w:val="1"/>
              <w:rPr>
                <w:sz w:val="20"/>
              </w:rPr>
            </w:pPr>
            <w:proofErr w:type="spellStart"/>
            <w:r w:rsidRPr="00E94D23">
              <w:rPr>
                <w:sz w:val="20"/>
              </w:rPr>
              <w:t>Poverty</w:t>
            </w:r>
            <w:proofErr w:type="spellEnd"/>
            <w:r w:rsidRPr="00E94D23">
              <w:rPr>
                <w:sz w:val="20"/>
              </w:rPr>
              <w:t xml:space="preserve"> rate</w:t>
            </w:r>
          </w:p>
        </w:tc>
        <w:tc>
          <w:tcPr>
            <w:tcW w:w="414" w:type="pct"/>
          </w:tcPr>
          <w:p w:rsidR="0061568C" w:rsidRPr="00E94D23" w:rsidRDefault="0061568C" w:rsidP="00E33EF4">
            <w:pPr>
              <w:jc w:val="center"/>
              <w:outlineLvl w:val="1"/>
              <w:rPr>
                <w:b/>
                <w:sz w:val="20"/>
              </w:rPr>
            </w:pPr>
            <w:r w:rsidRPr="00E94D23">
              <w:rPr>
                <w:b/>
                <w:sz w:val="20"/>
              </w:rPr>
              <w:t>28.7%</w:t>
            </w:r>
          </w:p>
        </w:tc>
        <w:tc>
          <w:tcPr>
            <w:tcW w:w="473" w:type="pct"/>
          </w:tcPr>
          <w:p w:rsidR="0061568C" w:rsidRPr="00E94D23" w:rsidRDefault="0061568C" w:rsidP="00E33EF4">
            <w:pPr>
              <w:jc w:val="center"/>
              <w:outlineLvl w:val="1"/>
              <w:rPr>
                <w:b/>
                <w:sz w:val="20"/>
              </w:rPr>
            </w:pPr>
            <w:r w:rsidRPr="00E94D23">
              <w:rPr>
                <w:b/>
                <w:sz w:val="20"/>
              </w:rPr>
              <w:t>35.7%</w:t>
            </w:r>
          </w:p>
        </w:tc>
        <w:tc>
          <w:tcPr>
            <w:tcW w:w="474" w:type="pct"/>
          </w:tcPr>
          <w:p w:rsidR="0061568C" w:rsidRPr="00E94D23" w:rsidRDefault="0061568C" w:rsidP="00E33EF4">
            <w:pPr>
              <w:jc w:val="center"/>
              <w:outlineLvl w:val="1"/>
              <w:rPr>
                <w:b/>
                <w:sz w:val="20"/>
              </w:rPr>
            </w:pPr>
            <w:r w:rsidRPr="00E94D23">
              <w:rPr>
                <w:b/>
                <w:sz w:val="20"/>
              </w:rPr>
              <w:t>36.4%</w:t>
            </w:r>
          </w:p>
        </w:tc>
        <w:tc>
          <w:tcPr>
            <w:tcW w:w="414" w:type="pct"/>
          </w:tcPr>
          <w:p w:rsidR="0061568C" w:rsidRPr="00E94D23" w:rsidRDefault="0061568C" w:rsidP="00E33EF4">
            <w:pPr>
              <w:jc w:val="center"/>
              <w:outlineLvl w:val="1"/>
              <w:rPr>
                <w:b/>
                <w:sz w:val="20"/>
              </w:rPr>
            </w:pPr>
            <w:r w:rsidRPr="00E94D23">
              <w:rPr>
                <w:b/>
                <w:sz w:val="20"/>
              </w:rPr>
              <w:t>22.3%</w:t>
            </w:r>
          </w:p>
        </w:tc>
        <w:tc>
          <w:tcPr>
            <w:tcW w:w="474" w:type="pct"/>
          </w:tcPr>
          <w:p w:rsidR="0061568C" w:rsidRPr="00E94D23" w:rsidRDefault="0061568C" w:rsidP="00E33EF4">
            <w:pPr>
              <w:jc w:val="center"/>
              <w:outlineLvl w:val="1"/>
              <w:rPr>
                <w:b/>
                <w:sz w:val="20"/>
              </w:rPr>
            </w:pPr>
            <w:r w:rsidRPr="00E94D23">
              <w:rPr>
                <w:b/>
                <w:sz w:val="20"/>
              </w:rPr>
              <w:t>30.5%</w:t>
            </w:r>
          </w:p>
        </w:tc>
        <w:tc>
          <w:tcPr>
            <w:tcW w:w="415" w:type="pct"/>
          </w:tcPr>
          <w:p w:rsidR="0061568C" w:rsidRPr="00E94D23" w:rsidRDefault="0061568C" w:rsidP="00E33EF4">
            <w:pPr>
              <w:jc w:val="center"/>
              <w:outlineLvl w:val="1"/>
              <w:rPr>
                <w:b/>
                <w:sz w:val="20"/>
              </w:rPr>
            </w:pPr>
            <w:r w:rsidRPr="00E94D23">
              <w:rPr>
                <w:b/>
                <w:sz w:val="20"/>
              </w:rPr>
              <w:t>26%</w:t>
            </w:r>
          </w:p>
        </w:tc>
        <w:tc>
          <w:tcPr>
            <w:tcW w:w="415" w:type="pct"/>
          </w:tcPr>
          <w:p w:rsidR="0061568C" w:rsidRPr="00E94D23" w:rsidRDefault="0061568C" w:rsidP="00E33EF4">
            <w:pPr>
              <w:jc w:val="center"/>
              <w:outlineLvl w:val="1"/>
              <w:rPr>
                <w:b/>
                <w:sz w:val="20"/>
              </w:rPr>
            </w:pPr>
            <w:r w:rsidRPr="00E94D23">
              <w:rPr>
                <w:b/>
                <w:sz w:val="20"/>
              </w:rPr>
              <w:t>19.7%</w:t>
            </w:r>
          </w:p>
        </w:tc>
        <w:tc>
          <w:tcPr>
            <w:tcW w:w="414" w:type="pct"/>
          </w:tcPr>
          <w:p w:rsidR="0061568C" w:rsidRPr="00E94D23" w:rsidRDefault="0061568C" w:rsidP="00E33EF4">
            <w:pPr>
              <w:jc w:val="center"/>
              <w:outlineLvl w:val="1"/>
              <w:rPr>
                <w:b/>
                <w:sz w:val="20"/>
              </w:rPr>
            </w:pPr>
            <w:r w:rsidRPr="00E94D23">
              <w:rPr>
                <w:b/>
                <w:sz w:val="20"/>
              </w:rPr>
              <w:t>24%</w:t>
            </w:r>
          </w:p>
        </w:tc>
        <w:tc>
          <w:tcPr>
            <w:tcW w:w="501" w:type="pct"/>
          </w:tcPr>
          <w:p w:rsidR="0061568C" w:rsidRPr="00E94D23" w:rsidRDefault="0061568C" w:rsidP="00E33EF4">
            <w:pPr>
              <w:jc w:val="center"/>
              <w:outlineLvl w:val="1"/>
              <w:rPr>
                <w:b/>
                <w:sz w:val="20"/>
              </w:rPr>
            </w:pPr>
            <w:r w:rsidRPr="00E94D23">
              <w:rPr>
                <w:b/>
                <w:sz w:val="20"/>
              </w:rPr>
              <w:t>23.1%</w:t>
            </w:r>
          </w:p>
        </w:tc>
      </w:tr>
      <w:tr w:rsidR="00C376B1" w:rsidRPr="00E94D23" w:rsidTr="00C376B1">
        <w:tc>
          <w:tcPr>
            <w:tcW w:w="1005" w:type="pct"/>
          </w:tcPr>
          <w:p w:rsidR="0061568C" w:rsidRPr="00E94D23" w:rsidRDefault="0061568C" w:rsidP="00023315">
            <w:pPr>
              <w:outlineLvl w:val="1"/>
              <w:rPr>
                <w:sz w:val="20"/>
              </w:rPr>
            </w:pPr>
            <w:r w:rsidRPr="00E94D23">
              <w:rPr>
                <w:sz w:val="20"/>
              </w:rPr>
              <w:t xml:space="preserve">GDP </w:t>
            </w:r>
            <w:proofErr w:type="spellStart"/>
            <w:r w:rsidRPr="00E94D23">
              <w:rPr>
                <w:sz w:val="20"/>
              </w:rPr>
              <w:t>growth</w:t>
            </w:r>
            <w:proofErr w:type="spellEnd"/>
          </w:p>
        </w:tc>
        <w:tc>
          <w:tcPr>
            <w:tcW w:w="414" w:type="pct"/>
          </w:tcPr>
          <w:p w:rsidR="0061568C" w:rsidRPr="00E94D23" w:rsidRDefault="0061568C" w:rsidP="00E33EF4">
            <w:pPr>
              <w:jc w:val="center"/>
              <w:outlineLvl w:val="1"/>
              <w:rPr>
                <w:b/>
                <w:sz w:val="20"/>
              </w:rPr>
            </w:pPr>
            <w:r w:rsidRPr="00E94D23">
              <w:rPr>
                <w:b/>
                <w:sz w:val="20"/>
              </w:rPr>
              <w:t>-0.3%</w:t>
            </w:r>
          </w:p>
        </w:tc>
        <w:tc>
          <w:tcPr>
            <w:tcW w:w="473" w:type="pct"/>
          </w:tcPr>
          <w:p w:rsidR="0061568C" w:rsidRPr="00E94D23" w:rsidRDefault="0061568C" w:rsidP="00E33EF4">
            <w:pPr>
              <w:jc w:val="center"/>
              <w:outlineLvl w:val="1"/>
              <w:rPr>
                <w:b/>
                <w:sz w:val="20"/>
              </w:rPr>
            </w:pPr>
            <w:r w:rsidRPr="00E94D23">
              <w:rPr>
                <w:b/>
                <w:sz w:val="20"/>
              </w:rPr>
              <w:t>-3.2%</w:t>
            </w:r>
          </w:p>
        </w:tc>
        <w:tc>
          <w:tcPr>
            <w:tcW w:w="474" w:type="pct"/>
          </w:tcPr>
          <w:p w:rsidR="0061568C" w:rsidRPr="00E94D23" w:rsidRDefault="0061568C" w:rsidP="00E33EF4">
            <w:pPr>
              <w:jc w:val="center"/>
              <w:outlineLvl w:val="1"/>
              <w:rPr>
                <w:b/>
                <w:sz w:val="20"/>
              </w:rPr>
            </w:pPr>
            <w:r w:rsidRPr="00E94D23">
              <w:rPr>
                <w:b/>
                <w:sz w:val="20"/>
              </w:rPr>
              <w:t>2.1%</w:t>
            </w:r>
          </w:p>
        </w:tc>
        <w:tc>
          <w:tcPr>
            <w:tcW w:w="414" w:type="pct"/>
          </w:tcPr>
          <w:p w:rsidR="0061568C" w:rsidRPr="00E94D23" w:rsidRDefault="0061568C" w:rsidP="00E33EF4">
            <w:pPr>
              <w:jc w:val="center"/>
              <w:outlineLvl w:val="1"/>
              <w:rPr>
                <w:b/>
                <w:sz w:val="20"/>
              </w:rPr>
            </w:pPr>
            <w:r w:rsidRPr="00E94D23">
              <w:rPr>
                <w:b/>
                <w:sz w:val="20"/>
              </w:rPr>
              <w:t>-4.4%</w:t>
            </w:r>
          </w:p>
        </w:tc>
        <w:tc>
          <w:tcPr>
            <w:tcW w:w="474" w:type="pct"/>
          </w:tcPr>
          <w:p w:rsidR="0061568C" w:rsidRPr="00E94D23" w:rsidRDefault="0061568C" w:rsidP="00E33EF4">
            <w:pPr>
              <w:jc w:val="center"/>
              <w:outlineLvl w:val="1"/>
              <w:rPr>
                <w:b/>
                <w:sz w:val="20"/>
              </w:rPr>
            </w:pPr>
            <w:r w:rsidRPr="00E94D23">
              <w:rPr>
                <w:b/>
                <w:sz w:val="20"/>
              </w:rPr>
              <w:t>1.1%</w:t>
            </w:r>
          </w:p>
        </w:tc>
        <w:tc>
          <w:tcPr>
            <w:tcW w:w="415" w:type="pct"/>
          </w:tcPr>
          <w:p w:rsidR="0061568C" w:rsidRPr="00E94D23" w:rsidRDefault="0061568C" w:rsidP="00E33EF4">
            <w:pPr>
              <w:jc w:val="center"/>
              <w:outlineLvl w:val="1"/>
              <w:rPr>
                <w:b/>
                <w:sz w:val="20"/>
              </w:rPr>
            </w:pPr>
            <w:r w:rsidRPr="00E94D23">
              <w:rPr>
                <w:b/>
                <w:sz w:val="20"/>
              </w:rPr>
              <w:t>5.2%</w:t>
            </w:r>
          </w:p>
        </w:tc>
        <w:tc>
          <w:tcPr>
            <w:tcW w:w="415" w:type="pct"/>
          </w:tcPr>
          <w:p w:rsidR="0061568C" w:rsidRPr="00E94D23" w:rsidRDefault="0061568C" w:rsidP="00E33EF4">
            <w:pPr>
              <w:jc w:val="center"/>
              <w:outlineLvl w:val="1"/>
              <w:rPr>
                <w:b/>
                <w:sz w:val="20"/>
              </w:rPr>
            </w:pPr>
            <w:r w:rsidRPr="00E94D23">
              <w:rPr>
                <w:b/>
                <w:sz w:val="20"/>
              </w:rPr>
              <w:t>0.2%</w:t>
            </w:r>
          </w:p>
        </w:tc>
        <w:tc>
          <w:tcPr>
            <w:tcW w:w="414" w:type="pct"/>
          </w:tcPr>
          <w:p w:rsidR="0061568C" w:rsidRPr="00E94D23" w:rsidRDefault="0061568C" w:rsidP="00E33EF4">
            <w:pPr>
              <w:jc w:val="center"/>
              <w:outlineLvl w:val="1"/>
              <w:rPr>
                <w:b/>
                <w:sz w:val="20"/>
              </w:rPr>
            </w:pPr>
            <w:r w:rsidRPr="00E94D23">
              <w:rPr>
                <w:b/>
                <w:sz w:val="20"/>
              </w:rPr>
              <w:t>-1.1%</w:t>
            </w:r>
          </w:p>
        </w:tc>
        <w:tc>
          <w:tcPr>
            <w:tcW w:w="501" w:type="pct"/>
          </w:tcPr>
          <w:p w:rsidR="0061568C" w:rsidRPr="00E94D23" w:rsidRDefault="0061568C" w:rsidP="00E33EF4">
            <w:pPr>
              <w:jc w:val="center"/>
              <w:outlineLvl w:val="1"/>
              <w:rPr>
                <w:b/>
                <w:sz w:val="20"/>
              </w:rPr>
            </w:pPr>
            <w:r w:rsidRPr="00E94D23">
              <w:rPr>
                <w:b/>
                <w:sz w:val="20"/>
              </w:rPr>
              <w:t>1.4%</w:t>
            </w:r>
          </w:p>
        </w:tc>
      </w:tr>
      <w:tr w:rsidR="00C376B1" w:rsidRPr="00E94D23" w:rsidTr="00C376B1">
        <w:tc>
          <w:tcPr>
            <w:tcW w:w="1005" w:type="pct"/>
          </w:tcPr>
          <w:p w:rsidR="0061568C" w:rsidRPr="00E94D23" w:rsidRDefault="0061568C" w:rsidP="00023315">
            <w:pPr>
              <w:outlineLvl w:val="1"/>
              <w:rPr>
                <w:sz w:val="20"/>
              </w:rPr>
            </w:pPr>
            <w:r w:rsidRPr="00E94D23">
              <w:rPr>
                <w:sz w:val="20"/>
              </w:rPr>
              <w:t>Budget deficit as a % of GDP</w:t>
            </w:r>
          </w:p>
        </w:tc>
        <w:tc>
          <w:tcPr>
            <w:tcW w:w="414" w:type="pct"/>
          </w:tcPr>
          <w:p w:rsidR="0061568C" w:rsidRPr="00E94D23" w:rsidRDefault="0061568C" w:rsidP="00E33EF4">
            <w:pPr>
              <w:jc w:val="center"/>
              <w:outlineLvl w:val="1"/>
              <w:rPr>
                <w:b/>
                <w:sz w:val="20"/>
              </w:rPr>
            </w:pPr>
            <w:r w:rsidRPr="00E94D23">
              <w:rPr>
                <w:b/>
                <w:sz w:val="20"/>
              </w:rPr>
              <w:t>-7.7%</w:t>
            </w:r>
          </w:p>
        </w:tc>
        <w:tc>
          <w:tcPr>
            <w:tcW w:w="473" w:type="pct"/>
          </w:tcPr>
          <w:p w:rsidR="0061568C" w:rsidRPr="00E94D23" w:rsidRDefault="0061568C" w:rsidP="00E33EF4">
            <w:pPr>
              <w:jc w:val="center"/>
              <w:outlineLvl w:val="1"/>
              <w:rPr>
                <w:b/>
                <w:sz w:val="20"/>
              </w:rPr>
            </w:pPr>
            <w:r w:rsidRPr="00E94D23">
              <w:rPr>
                <w:b/>
                <w:sz w:val="20"/>
              </w:rPr>
              <w:t>-6.1%</w:t>
            </w:r>
          </w:p>
        </w:tc>
        <w:tc>
          <w:tcPr>
            <w:tcW w:w="474" w:type="pct"/>
          </w:tcPr>
          <w:p w:rsidR="0061568C" w:rsidRPr="00E94D23" w:rsidRDefault="0061568C" w:rsidP="00E33EF4">
            <w:pPr>
              <w:jc w:val="center"/>
              <w:outlineLvl w:val="1"/>
              <w:rPr>
                <w:b/>
                <w:sz w:val="20"/>
              </w:rPr>
            </w:pPr>
            <w:r w:rsidRPr="00E94D23">
              <w:rPr>
                <w:b/>
                <w:sz w:val="20"/>
              </w:rPr>
              <w:t>-1.2%</w:t>
            </w:r>
          </w:p>
        </w:tc>
        <w:tc>
          <w:tcPr>
            <w:tcW w:w="414" w:type="pct"/>
          </w:tcPr>
          <w:p w:rsidR="0061568C" w:rsidRPr="00E94D23" w:rsidRDefault="0061568C" w:rsidP="00E33EF4">
            <w:pPr>
              <w:jc w:val="center"/>
              <w:outlineLvl w:val="1"/>
              <w:rPr>
                <w:b/>
                <w:sz w:val="20"/>
              </w:rPr>
            </w:pPr>
            <w:r w:rsidRPr="00E94D23">
              <w:rPr>
                <w:b/>
                <w:sz w:val="20"/>
              </w:rPr>
              <w:t>-7%</w:t>
            </w:r>
          </w:p>
        </w:tc>
        <w:tc>
          <w:tcPr>
            <w:tcW w:w="474" w:type="pct"/>
          </w:tcPr>
          <w:p w:rsidR="0061568C" w:rsidRPr="00E94D23" w:rsidRDefault="0061568C" w:rsidP="00E33EF4">
            <w:pPr>
              <w:jc w:val="center"/>
              <w:outlineLvl w:val="1"/>
              <w:rPr>
                <w:b/>
                <w:sz w:val="20"/>
              </w:rPr>
            </w:pPr>
            <w:r w:rsidRPr="00E94D23">
              <w:rPr>
                <w:b/>
                <w:sz w:val="20"/>
              </w:rPr>
              <w:t>-7.2%</w:t>
            </w:r>
          </w:p>
        </w:tc>
        <w:tc>
          <w:tcPr>
            <w:tcW w:w="415" w:type="pct"/>
          </w:tcPr>
          <w:p w:rsidR="0061568C" w:rsidRPr="00E94D23" w:rsidRDefault="0061568C" w:rsidP="00E33EF4">
            <w:pPr>
              <w:jc w:val="center"/>
              <w:outlineLvl w:val="1"/>
              <w:rPr>
                <w:b/>
                <w:sz w:val="20"/>
              </w:rPr>
            </w:pPr>
            <w:r w:rsidRPr="00E94D23">
              <w:rPr>
                <w:b/>
                <w:sz w:val="20"/>
              </w:rPr>
              <w:t>0.5%</w:t>
            </w:r>
          </w:p>
        </w:tc>
        <w:tc>
          <w:tcPr>
            <w:tcW w:w="415" w:type="pct"/>
          </w:tcPr>
          <w:p w:rsidR="0061568C" w:rsidRPr="00E94D23" w:rsidRDefault="0061568C" w:rsidP="00E33EF4">
            <w:pPr>
              <w:jc w:val="center"/>
              <w:outlineLvl w:val="1"/>
              <w:rPr>
                <w:b/>
                <w:sz w:val="20"/>
              </w:rPr>
            </w:pPr>
            <w:r w:rsidRPr="00E94D23">
              <w:rPr>
                <w:b/>
                <w:sz w:val="20"/>
              </w:rPr>
              <w:t>-2.6%</w:t>
            </w:r>
          </w:p>
        </w:tc>
        <w:tc>
          <w:tcPr>
            <w:tcW w:w="414" w:type="pct"/>
          </w:tcPr>
          <w:p w:rsidR="0061568C" w:rsidRPr="00E94D23" w:rsidRDefault="0061568C" w:rsidP="00E33EF4">
            <w:pPr>
              <w:jc w:val="center"/>
              <w:outlineLvl w:val="1"/>
              <w:rPr>
                <w:b/>
                <w:sz w:val="20"/>
              </w:rPr>
            </w:pPr>
            <w:r w:rsidRPr="00E94D23">
              <w:rPr>
                <w:b/>
                <w:sz w:val="20"/>
              </w:rPr>
              <w:t>-2.9%</w:t>
            </w:r>
          </w:p>
        </w:tc>
        <w:tc>
          <w:tcPr>
            <w:tcW w:w="501" w:type="pct"/>
          </w:tcPr>
          <w:p w:rsidR="0061568C" w:rsidRPr="00E94D23" w:rsidRDefault="0061568C" w:rsidP="00E33EF4">
            <w:pPr>
              <w:jc w:val="center"/>
              <w:outlineLvl w:val="1"/>
              <w:rPr>
                <w:b/>
                <w:sz w:val="20"/>
              </w:rPr>
            </w:pPr>
            <w:r w:rsidRPr="00E94D23">
              <w:rPr>
                <w:b/>
                <w:sz w:val="20"/>
              </w:rPr>
              <w:t>-2.1%</w:t>
            </w:r>
          </w:p>
        </w:tc>
      </w:tr>
      <w:tr w:rsidR="00C376B1" w:rsidRPr="00E94D23" w:rsidTr="00C376B1">
        <w:tc>
          <w:tcPr>
            <w:tcW w:w="1005" w:type="pct"/>
          </w:tcPr>
          <w:p w:rsidR="0061568C" w:rsidRPr="00E94D23" w:rsidRDefault="0061568C" w:rsidP="00023315">
            <w:pPr>
              <w:outlineLvl w:val="1"/>
              <w:rPr>
                <w:sz w:val="20"/>
              </w:rPr>
            </w:pPr>
            <w:r w:rsidRPr="00E94D23">
              <w:rPr>
                <w:sz w:val="20"/>
              </w:rPr>
              <w:t xml:space="preserve">Public </w:t>
            </w:r>
            <w:proofErr w:type="spellStart"/>
            <w:r w:rsidRPr="00E94D23">
              <w:rPr>
                <w:sz w:val="20"/>
              </w:rPr>
              <w:t>debt</w:t>
            </w:r>
            <w:proofErr w:type="spellEnd"/>
            <w:r w:rsidRPr="00E94D23">
              <w:rPr>
                <w:sz w:val="20"/>
              </w:rPr>
              <w:t xml:space="preserve"> as a % of GDP </w:t>
            </w:r>
          </w:p>
        </w:tc>
        <w:tc>
          <w:tcPr>
            <w:tcW w:w="414" w:type="pct"/>
          </w:tcPr>
          <w:p w:rsidR="0061568C" w:rsidRPr="00E94D23" w:rsidRDefault="0061568C" w:rsidP="00E33EF4">
            <w:pPr>
              <w:jc w:val="center"/>
              <w:outlineLvl w:val="1"/>
              <w:rPr>
                <w:b/>
                <w:sz w:val="20"/>
              </w:rPr>
            </w:pPr>
            <w:r w:rsidRPr="00E94D23">
              <w:rPr>
                <w:b/>
                <w:sz w:val="20"/>
              </w:rPr>
              <w:t>100%</w:t>
            </w:r>
          </w:p>
        </w:tc>
        <w:tc>
          <w:tcPr>
            <w:tcW w:w="473" w:type="pct"/>
          </w:tcPr>
          <w:p w:rsidR="0061568C" w:rsidRPr="00E94D23" w:rsidRDefault="0061568C" w:rsidP="00E33EF4">
            <w:pPr>
              <w:jc w:val="center"/>
              <w:outlineLvl w:val="1"/>
              <w:rPr>
                <w:b/>
                <w:sz w:val="20"/>
              </w:rPr>
            </w:pPr>
            <w:r w:rsidRPr="00E94D23">
              <w:rPr>
                <w:b/>
                <w:sz w:val="20"/>
              </w:rPr>
              <w:t>177.9%</w:t>
            </w:r>
          </w:p>
        </w:tc>
        <w:tc>
          <w:tcPr>
            <w:tcW w:w="474" w:type="pct"/>
          </w:tcPr>
          <w:p w:rsidR="0061568C" w:rsidRPr="00E94D23" w:rsidRDefault="0061568C" w:rsidP="00E33EF4">
            <w:pPr>
              <w:jc w:val="center"/>
              <w:outlineLvl w:val="1"/>
              <w:rPr>
                <w:b/>
                <w:sz w:val="20"/>
              </w:rPr>
            </w:pPr>
            <w:r w:rsidRPr="00E94D23">
              <w:rPr>
                <w:b/>
                <w:sz w:val="20"/>
              </w:rPr>
              <w:t>178.8%</w:t>
            </w:r>
          </w:p>
        </w:tc>
        <w:tc>
          <w:tcPr>
            <w:tcW w:w="414" w:type="pct"/>
          </w:tcPr>
          <w:p w:rsidR="0061568C" w:rsidRPr="00E94D23" w:rsidRDefault="0061568C" w:rsidP="00E33EF4">
            <w:pPr>
              <w:jc w:val="center"/>
              <w:outlineLvl w:val="1"/>
              <w:rPr>
                <w:b/>
                <w:sz w:val="20"/>
              </w:rPr>
            </w:pPr>
            <w:r w:rsidRPr="00E94D23">
              <w:rPr>
                <w:b/>
                <w:sz w:val="20"/>
              </w:rPr>
              <w:t>42.4%</w:t>
            </w:r>
          </w:p>
        </w:tc>
        <w:tc>
          <w:tcPr>
            <w:tcW w:w="474" w:type="pct"/>
          </w:tcPr>
          <w:p w:rsidR="0061568C" w:rsidRPr="00E94D23" w:rsidRDefault="0061568C" w:rsidP="00E33EF4">
            <w:pPr>
              <w:jc w:val="center"/>
              <w:outlineLvl w:val="1"/>
              <w:rPr>
                <w:b/>
                <w:sz w:val="20"/>
              </w:rPr>
            </w:pPr>
            <w:r w:rsidRPr="00E94D23">
              <w:rPr>
                <w:b/>
                <w:sz w:val="20"/>
              </w:rPr>
              <w:t>119.5%</w:t>
            </w:r>
          </w:p>
        </w:tc>
        <w:tc>
          <w:tcPr>
            <w:tcW w:w="415" w:type="pct"/>
          </w:tcPr>
          <w:p w:rsidR="0061568C" w:rsidRPr="00E94D23" w:rsidRDefault="0061568C" w:rsidP="00E33EF4">
            <w:pPr>
              <w:jc w:val="center"/>
              <w:outlineLvl w:val="1"/>
              <w:rPr>
                <w:b/>
                <w:sz w:val="20"/>
              </w:rPr>
            </w:pPr>
            <w:r w:rsidRPr="00E94D23">
              <w:rPr>
                <w:b/>
                <w:sz w:val="20"/>
              </w:rPr>
              <w:t>75.4%</w:t>
            </w:r>
          </w:p>
        </w:tc>
        <w:tc>
          <w:tcPr>
            <w:tcW w:w="415" w:type="pct"/>
          </w:tcPr>
          <w:p w:rsidR="0061568C" w:rsidRPr="00E94D23" w:rsidRDefault="0061568C" w:rsidP="00E33EF4">
            <w:pPr>
              <w:jc w:val="center"/>
              <w:outlineLvl w:val="1"/>
              <w:rPr>
                <w:b/>
                <w:sz w:val="20"/>
              </w:rPr>
            </w:pPr>
            <w:r w:rsidRPr="00E94D23">
              <w:rPr>
                <w:b/>
                <w:sz w:val="20"/>
              </w:rPr>
              <w:t>71.7%</w:t>
            </w:r>
          </w:p>
        </w:tc>
        <w:tc>
          <w:tcPr>
            <w:tcW w:w="414" w:type="pct"/>
          </w:tcPr>
          <w:p w:rsidR="0061568C" w:rsidRPr="00E94D23" w:rsidRDefault="0061568C" w:rsidP="00E33EF4">
            <w:pPr>
              <w:jc w:val="center"/>
              <w:outlineLvl w:val="1"/>
              <w:rPr>
                <w:b/>
                <w:sz w:val="20"/>
              </w:rPr>
            </w:pPr>
            <w:r w:rsidRPr="00E94D23">
              <w:rPr>
                <w:b/>
                <w:sz w:val="20"/>
              </w:rPr>
              <w:t>129%</w:t>
            </w:r>
          </w:p>
        </w:tc>
        <w:tc>
          <w:tcPr>
            <w:tcW w:w="501" w:type="pct"/>
          </w:tcPr>
          <w:p w:rsidR="0061568C" w:rsidRPr="00E94D23" w:rsidRDefault="0061568C" w:rsidP="00E33EF4">
            <w:pPr>
              <w:jc w:val="center"/>
              <w:outlineLvl w:val="1"/>
              <w:rPr>
                <w:b/>
                <w:sz w:val="20"/>
              </w:rPr>
            </w:pPr>
            <w:r w:rsidRPr="00E94D23">
              <w:rPr>
                <w:b/>
                <w:sz w:val="20"/>
              </w:rPr>
              <w:t>130.4%</w:t>
            </w:r>
          </w:p>
        </w:tc>
      </w:tr>
    </w:tbl>
    <w:p w:rsidR="0061568C" w:rsidRPr="00E94D23" w:rsidRDefault="0061568C" w:rsidP="00C376B1">
      <w:pPr>
        <w:outlineLvl w:val="1"/>
      </w:pPr>
      <w:proofErr w:type="spellStart"/>
      <w:r w:rsidRPr="00E94D23">
        <w:t>Source</w:t>
      </w:r>
      <w:proofErr w:type="spellEnd"/>
      <w:r w:rsidRPr="00E94D23">
        <w:t>: Eurostat</w:t>
      </w:r>
    </w:p>
    <w:p w:rsidR="0061568C" w:rsidRPr="00E94D23" w:rsidRDefault="0061568C" w:rsidP="00E33EF4">
      <w:pPr>
        <w:outlineLvl w:val="1"/>
      </w:pPr>
    </w:p>
    <w:p w:rsidR="0061568C" w:rsidRPr="00E94D23" w:rsidRDefault="0061568C" w:rsidP="00C376B1">
      <w:pPr>
        <w:keepNext/>
        <w:outlineLvl w:val="1"/>
        <w:rPr>
          <w:b/>
        </w:rPr>
      </w:pPr>
      <w:r w:rsidRPr="00E94D23">
        <w:rPr>
          <w:b/>
        </w:rPr>
        <w:t xml:space="preserve">The social </w:t>
      </w:r>
      <w:proofErr w:type="spellStart"/>
      <w:r w:rsidRPr="00E94D23">
        <w:rPr>
          <w:b/>
        </w:rPr>
        <w:t>effects</w:t>
      </w:r>
      <w:proofErr w:type="spellEnd"/>
      <w:r w:rsidRPr="00E94D23">
        <w:rPr>
          <w:b/>
        </w:rPr>
        <w:t xml:space="preserve"> </w:t>
      </w:r>
      <w:proofErr w:type="spellStart"/>
      <w:r w:rsidRPr="00E94D23">
        <w:rPr>
          <w:b/>
        </w:rPr>
        <w:t>and</w:t>
      </w:r>
      <w:proofErr w:type="spellEnd"/>
      <w:r w:rsidRPr="00E94D23">
        <w:rPr>
          <w:b/>
        </w:rPr>
        <w:t xml:space="preserve"> </w:t>
      </w:r>
      <w:proofErr w:type="spellStart"/>
      <w:r w:rsidRPr="00E94D23">
        <w:rPr>
          <w:b/>
        </w:rPr>
        <w:t>effects</w:t>
      </w:r>
      <w:proofErr w:type="spellEnd"/>
      <w:r w:rsidRPr="00E94D23">
        <w:rPr>
          <w:b/>
        </w:rPr>
        <w:t xml:space="preserve"> on </w:t>
      </w:r>
      <w:proofErr w:type="spellStart"/>
      <w:r w:rsidRPr="00E94D23">
        <w:rPr>
          <w:b/>
        </w:rPr>
        <w:t>the</w:t>
      </w:r>
      <w:proofErr w:type="spellEnd"/>
      <w:r w:rsidRPr="00E94D23">
        <w:rPr>
          <w:b/>
        </w:rPr>
        <w:t xml:space="preserve"> </w:t>
      </w:r>
      <w:proofErr w:type="spellStart"/>
      <w:r w:rsidRPr="00E94D23">
        <w:rPr>
          <w:b/>
        </w:rPr>
        <w:t>corporate</w:t>
      </w:r>
      <w:proofErr w:type="spellEnd"/>
      <w:r w:rsidRPr="00E94D23">
        <w:rPr>
          <w:b/>
        </w:rPr>
        <w:t xml:space="preserve"> </w:t>
      </w:r>
      <w:proofErr w:type="spellStart"/>
      <w:r w:rsidRPr="00E94D23">
        <w:rPr>
          <w:b/>
        </w:rPr>
        <w:t>structure</w:t>
      </w:r>
      <w:proofErr w:type="spellEnd"/>
      <w:r w:rsidRPr="00E94D23">
        <w:rPr>
          <w:b/>
        </w:rPr>
        <w:t xml:space="preserve"> of </w:t>
      </w:r>
      <w:proofErr w:type="spellStart"/>
      <w:r w:rsidRPr="00E94D23">
        <w:rPr>
          <w:b/>
        </w:rPr>
        <w:t>the</w:t>
      </w:r>
      <w:proofErr w:type="spellEnd"/>
      <w:r w:rsidRPr="00E94D23">
        <w:rPr>
          <w:b/>
        </w:rPr>
        <w:t xml:space="preserve"> </w:t>
      </w:r>
      <w:proofErr w:type="spellStart"/>
      <w:r w:rsidRPr="00E94D23">
        <w:rPr>
          <w:b/>
        </w:rPr>
        <w:t>austerity</w:t>
      </w:r>
      <w:proofErr w:type="spellEnd"/>
      <w:r w:rsidRPr="00E94D23">
        <w:rPr>
          <w:b/>
        </w:rPr>
        <w:t xml:space="preserve"> </w:t>
      </w:r>
      <w:proofErr w:type="spellStart"/>
      <w:r w:rsidRPr="00E94D23">
        <w:rPr>
          <w:b/>
        </w:rPr>
        <w:t>programme</w:t>
      </w:r>
      <w:proofErr w:type="spellEnd"/>
      <w:r w:rsidRPr="00E94D23">
        <w:rPr>
          <w:b/>
        </w:rPr>
        <w:t xml:space="preserve"> in </w:t>
      </w:r>
      <w:proofErr w:type="spellStart"/>
      <w:r w:rsidRPr="00E94D23">
        <w:rPr>
          <w:b/>
        </w:rPr>
        <w:t>Portugal</w:t>
      </w:r>
      <w:proofErr w:type="spellEnd"/>
    </w:p>
    <w:p w:rsidR="0061568C" w:rsidRPr="00E94D23" w:rsidRDefault="0061568C" w:rsidP="00C376B1">
      <w:pPr>
        <w:keepNext/>
      </w:pPr>
    </w:p>
    <w:p w:rsidR="0061568C" w:rsidRPr="00E94D23" w:rsidRDefault="00E33EF4" w:rsidP="00C376B1">
      <w:pPr>
        <w:pStyle w:val="ListParagraph"/>
        <w:numPr>
          <w:ilvl w:val="0"/>
          <w:numId w:val="86"/>
        </w:numPr>
        <w:ind w:left="567" w:hanging="567"/>
        <w:outlineLvl w:val="1"/>
      </w:pPr>
      <w:proofErr w:type="spellStart"/>
      <w:r w:rsidRPr="00E94D23">
        <w:t>Income</w:t>
      </w:r>
      <w:proofErr w:type="spellEnd"/>
      <w:r w:rsidRPr="00E94D23">
        <w:t xml:space="preserve"> </w:t>
      </w:r>
      <w:proofErr w:type="spellStart"/>
      <w:r w:rsidRPr="00E94D23">
        <w:t>from</w:t>
      </w:r>
      <w:proofErr w:type="spellEnd"/>
      <w:r w:rsidRPr="00E94D23">
        <w:t xml:space="preserve"> </w:t>
      </w:r>
      <w:proofErr w:type="spellStart"/>
      <w:r w:rsidRPr="00E94D23">
        <w:t>work</w:t>
      </w:r>
      <w:proofErr w:type="spellEnd"/>
      <w:r w:rsidRPr="00E94D23">
        <w:t xml:space="preserve"> </w:t>
      </w:r>
      <w:proofErr w:type="spellStart"/>
      <w:r w:rsidRPr="00E94D23">
        <w:t>fell</w:t>
      </w:r>
      <w:proofErr w:type="spellEnd"/>
      <w:r w:rsidRPr="00E94D23">
        <w:t xml:space="preserve"> </w:t>
      </w:r>
      <w:proofErr w:type="spellStart"/>
      <w:r w:rsidRPr="00E94D23">
        <w:t>by</w:t>
      </w:r>
      <w:proofErr w:type="spellEnd"/>
      <w:r w:rsidRPr="00E94D23">
        <w:t xml:space="preserve"> 12% </w:t>
      </w:r>
      <w:proofErr w:type="spellStart"/>
      <w:r w:rsidRPr="00E94D23">
        <w:t>from</w:t>
      </w:r>
      <w:proofErr w:type="spellEnd"/>
      <w:r w:rsidRPr="00E94D23">
        <w:t xml:space="preserve"> 2009 </w:t>
      </w:r>
      <w:proofErr w:type="spellStart"/>
      <w:r w:rsidRPr="00E94D23">
        <w:t>to</w:t>
      </w:r>
      <w:proofErr w:type="spellEnd"/>
      <w:r w:rsidRPr="00E94D23">
        <w:t xml:space="preserve"> 2014.</w:t>
      </w:r>
    </w:p>
    <w:p w:rsidR="0061568C" w:rsidRPr="00E94D23" w:rsidRDefault="00E33EF4" w:rsidP="00C376B1">
      <w:pPr>
        <w:pStyle w:val="ListParagraph"/>
        <w:numPr>
          <w:ilvl w:val="0"/>
          <w:numId w:val="87"/>
        </w:numPr>
        <w:ind w:left="567" w:hanging="567"/>
        <w:outlineLvl w:val="1"/>
      </w:pPr>
      <w:r w:rsidRPr="00E94D23">
        <w:t xml:space="preserve">The </w:t>
      </w:r>
      <w:proofErr w:type="spellStart"/>
      <w:r w:rsidRPr="00E94D23">
        <w:t>drop</w:t>
      </w:r>
      <w:proofErr w:type="spellEnd"/>
      <w:r w:rsidRPr="00E94D23">
        <w:t xml:space="preserve"> in </w:t>
      </w:r>
      <w:proofErr w:type="spellStart"/>
      <w:r w:rsidRPr="00E94D23">
        <w:t>income</w:t>
      </w:r>
      <w:proofErr w:type="spellEnd"/>
      <w:r w:rsidRPr="00E94D23">
        <w:t xml:space="preserve"> </w:t>
      </w:r>
      <w:proofErr w:type="spellStart"/>
      <w:r w:rsidRPr="00E94D23">
        <w:t>was</w:t>
      </w:r>
      <w:proofErr w:type="spellEnd"/>
      <w:r w:rsidRPr="00E94D23">
        <w:t xml:space="preserve"> </w:t>
      </w:r>
      <w:proofErr w:type="spellStart"/>
      <w:r w:rsidRPr="00E94D23">
        <w:t>extremely</w:t>
      </w:r>
      <w:proofErr w:type="spellEnd"/>
      <w:r w:rsidRPr="00E94D23">
        <w:t xml:space="preserve"> </w:t>
      </w:r>
      <w:proofErr w:type="spellStart"/>
      <w:r w:rsidRPr="00E94D23">
        <w:t>unequal</w:t>
      </w:r>
      <w:proofErr w:type="spellEnd"/>
      <w:r w:rsidRPr="00E94D23">
        <w:t xml:space="preserve"> </w:t>
      </w:r>
      <w:proofErr w:type="spellStart"/>
      <w:r w:rsidRPr="00E94D23">
        <w:rPr>
          <w:b/>
        </w:rPr>
        <w:t>and</w:t>
      </w:r>
      <w:proofErr w:type="spellEnd"/>
      <w:r w:rsidRPr="00E94D23">
        <w:t xml:space="preserve"> </w:t>
      </w:r>
      <w:proofErr w:type="spellStart"/>
      <w:r w:rsidRPr="00E94D23">
        <w:t>to</w:t>
      </w:r>
      <w:proofErr w:type="spellEnd"/>
      <w:r w:rsidRPr="00E94D23">
        <w:t xml:space="preserve"> a great </w:t>
      </w:r>
      <w:proofErr w:type="spellStart"/>
      <w:r w:rsidRPr="00E94D23">
        <w:t>extent</w:t>
      </w:r>
      <w:proofErr w:type="spellEnd"/>
      <w:r w:rsidRPr="00E94D23">
        <w:t xml:space="preserve"> </w:t>
      </w:r>
      <w:proofErr w:type="spellStart"/>
      <w:r w:rsidRPr="00E94D23">
        <w:t>regressive</w:t>
      </w:r>
      <w:proofErr w:type="spellEnd"/>
      <w:r w:rsidRPr="00E94D23">
        <w:t xml:space="preserve">, </w:t>
      </w:r>
      <w:proofErr w:type="spellStart"/>
      <w:r w:rsidRPr="00E94D23">
        <w:t>mainly</w:t>
      </w:r>
      <w:proofErr w:type="spellEnd"/>
      <w:r w:rsidRPr="00E94D23">
        <w:t xml:space="preserve"> </w:t>
      </w:r>
      <w:proofErr w:type="spellStart"/>
      <w:r w:rsidRPr="00E94D23">
        <w:t>affecting</w:t>
      </w:r>
      <w:proofErr w:type="spellEnd"/>
      <w:r w:rsidRPr="00E94D23">
        <w:t xml:space="preserve"> </w:t>
      </w:r>
      <w:proofErr w:type="spellStart"/>
      <w:r w:rsidRPr="00E94D23">
        <w:t>the</w:t>
      </w:r>
      <w:proofErr w:type="spellEnd"/>
      <w:r w:rsidRPr="00E94D23">
        <w:t xml:space="preserve"> "</w:t>
      </w:r>
      <w:proofErr w:type="spellStart"/>
      <w:r w:rsidRPr="00E94D23">
        <w:t>middle</w:t>
      </w:r>
      <w:proofErr w:type="spellEnd"/>
      <w:r w:rsidRPr="00E94D23">
        <w:t xml:space="preserve"> </w:t>
      </w:r>
      <w:proofErr w:type="spellStart"/>
      <w:r w:rsidRPr="00E94D23">
        <w:t>class</w:t>
      </w:r>
      <w:proofErr w:type="spellEnd"/>
      <w:r w:rsidRPr="00E94D23">
        <w:t xml:space="preserve">", </w:t>
      </w:r>
      <w:proofErr w:type="spellStart"/>
      <w:r w:rsidRPr="00E94D23">
        <w:t>the</w:t>
      </w:r>
      <w:proofErr w:type="spellEnd"/>
      <w:r w:rsidRPr="00E94D23">
        <w:t xml:space="preserve"> </w:t>
      </w:r>
      <w:proofErr w:type="spellStart"/>
      <w:r w:rsidRPr="00E94D23">
        <w:t>poorest</w:t>
      </w:r>
      <w:proofErr w:type="spellEnd"/>
      <w:r w:rsidRPr="00E94D23">
        <w:t xml:space="preserve"> in </w:t>
      </w:r>
      <w:proofErr w:type="spellStart"/>
      <w:r w:rsidRPr="00E94D23">
        <w:t>society</w:t>
      </w:r>
      <w:proofErr w:type="spellEnd"/>
      <w:r w:rsidRPr="00E94D23">
        <w:t xml:space="preserve"> </w:t>
      </w:r>
      <w:proofErr w:type="spellStart"/>
      <w:r w:rsidRPr="00E94D23">
        <w:t>and</w:t>
      </w:r>
      <w:proofErr w:type="spellEnd"/>
      <w:r w:rsidRPr="00E94D23">
        <w:t xml:space="preserve"> </w:t>
      </w:r>
      <w:proofErr w:type="spellStart"/>
      <w:r w:rsidRPr="00E94D23">
        <w:t>small</w:t>
      </w:r>
      <w:proofErr w:type="spellEnd"/>
      <w:r w:rsidRPr="00E94D23">
        <w:t xml:space="preserve"> </w:t>
      </w:r>
      <w:proofErr w:type="spellStart"/>
      <w:r w:rsidRPr="00E94D23">
        <w:t>family</w:t>
      </w:r>
      <w:proofErr w:type="spellEnd"/>
      <w:r w:rsidRPr="00E94D23">
        <w:t xml:space="preserve"> </w:t>
      </w:r>
      <w:proofErr w:type="spellStart"/>
      <w:r w:rsidRPr="00E94D23">
        <w:t>businesses</w:t>
      </w:r>
      <w:proofErr w:type="spellEnd"/>
      <w:r w:rsidRPr="00E94D23">
        <w:t>.</w:t>
      </w:r>
    </w:p>
    <w:p w:rsidR="0061568C" w:rsidRPr="00E94D23" w:rsidRDefault="00E33EF4" w:rsidP="00C376B1">
      <w:pPr>
        <w:pStyle w:val="ListParagraph"/>
        <w:numPr>
          <w:ilvl w:val="0"/>
          <w:numId w:val="81"/>
        </w:numPr>
        <w:ind w:left="567" w:hanging="567"/>
      </w:pPr>
      <w:r w:rsidRPr="00E94D23">
        <w:t xml:space="preserve">The </w:t>
      </w:r>
      <w:proofErr w:type="spellStart"/>
      <w:r w:rsidRPr="00E94D23">
        <w:t>fact</w:t>
      </w:r>
      <w:proofErr w:type="spellEnd"/>
      <w:r w:rsidRPr="00E94D23">
        <w:t xml:space="preserve"> of </w:t>
      </w:r>
      <w:proofErr w:type="spellStart"/>
      <w:r w:rsidRPr="00E94D23">
        <w:t>incomes</w:t>
      </w:r>
      <w:proofErr w:type="spellEnd"/>
      <w:r w:rsidRPr="00E94D23">
        <w:t xml:space="preserve"> in </w:t>
      </w:r>
      <w:proofErr w:type="spellStart"/>
      <w:r w:rsidRPr="00E94D23">
        <w:t>Portugal</w:t>
      </w:r>
      <w:proofErr w:type="spellEnd"/>
      <w:r w:rsidRPr="00E94D23">
        <w:t xml:space="preserve"> </w:t>
      </w:r>
      <w:proofErr w:type="spellStart"/>
      <w:r w:rsidRPr="00E94D23">
        <w:t>shrinking</w:t>
      </w:r>
      <w:proofErr w:type="spellEnd"/>
      <w:r w:rsidRPr="00E94D23">
        <w:t xml:space="preserve"> </w:t>
      </w:r>
      <w:proofErr w:type="spellStart"/>
      <w:r w:rsidRPr="00E94D23">
        <w:t>by</w:t>
      </w:r>
      <w:proofErr w:type="spellEnd"/>
      <w:r w:rsidRPr="00E94D23">
        <w:t xml:space="preserve"> 5% </w:t>
      </w:r>
      <w:proofErr w:type="spellStart"/>
      <w:r w:rsidRPr="00E94D23">
        <w:t>acted</w:t>
      </w:r>
      <w:proofErr w:type="spellEnd"/>
      <w:r w:rsidRPr="00E94D23">
        <w:t xml:space="preserve"> in a </w:t>
      </w:r>
      <w:proofErr w:type="spellStart"/>
      <w:r w:rsidRPr="00E94D23">
        <w:t>counter-cyclical</w:t>
      </w:r>
      <w:proofErr w:type="spellEnd"/>
      <w:r w:rsidRPr="00E94D23">
        <w:t xml:space="preserve"> </w:t>
      </w:r>
      <w:proofErr w:type="spellStart"/>
      <w:r w:rsidRPr="00E94D23">
        <w:t>way</w:t>
      </w:r>
      <w:proofErr w:type="spellEnd"/>
      <w:r w:rsidRPr="00E94D23">
        <w:t xml:space="preserve"> </w:t>
      </w:r>
      <w:proofErr w:type="spellStart"/>
      <w:r w:rsidRPr="00E94D23">
        <w:t>to</w:t>
      </w:r>
      <w:proofErr w:type="spellEnd"/>
      <w:r w:rsidRPr="00E94D23">
        <w:t xml:space="preserve"> </w:t>
      </w:r>
      <w:proofErr w:type="spellStart"/>
      <w:r w:rsidRPr="00E94D23">
        <w:t>trends</w:t>
      </w:r>
      <w:proofErr w:type="spellEnd"/>
      <w:r w:rsidRPr="00E94D23">
        <w:t xml:space="preserve"> in Europe, </w:t>
      </w:r>
      <w:proofErr w:type="spellStart"/>
      <w:r w:rsidRPr="00E94D23">
        <w:t>where</w:t>
      </w:r>
      <w:proofErr w:type="spellEnd"/>
      <w:r w:rsidRPr="00E94D23">
        <w:t xml:space="preserve"> </w:t>
      </w:r>
      <w:proofErr w:type="spellStart"/>
      <w:r w:rsidRPr="00E94D23">
        <w:t>family</w:t>
      </w:r>
      <w:proofErr w:type="spellEnd"/>
      <w:r w:rsidRPr="00E94D23">
        <w:t xml:space="preserve"> </w:t>
      </w:r>
      <w:proofErr w:type="spellStart"/>
      <w:r w:rsidRPr="00E94D23">
        <w:t>incomes</w:t>
      </w:r>
      <w:proofErr w:type="spellEnd"/>
      <w:r w:rsidRPr="00E94D23">
        <w:t xml:space="preserve"> </w:t>
      </w:r>
      <w:proofErr w:type="spellStart"/>
      <w:r w:rsidRPr="00E94D23">
        <w:t>grew</w:t>
      </w:r>
      <w:proofErr w:type="spellEnd"/>
      <w:r w:rsidRPr="00E94D23">
        <w:t xml:space="preserve"> </w:t>
      </w:r>
      <w:proofErr w:type="spellStart"/>
      <w:r w:rsidRPr="00E94D23">
        <w:t>by</w:t>
      </w:r>
      <w:proofErr w:type="spellEnd"/>
      <w:r w:rsidRPr="00E94D23">
        <w:t xml:space="preserve"> 6.5% (</w:t>
      </w:r>
      <w:proofErr w:type="spellStart"/>
      <w:r w:rsidRPr="00E94D23">
        <w:t>between</w:t>
      </w:r>
      <w:proofErr w:type="spellEnd"/>
      <w:r w:rsidRPr="00E94D23">
        <w:t xml:space="preserve"> 2009 </w:t>
      </w:r>
      <w:proofErr w:type="spellStart"/>
      <w:r w:rsidRPr="00E94D23">
        <w:t>and</w:t>
      </w:r>
      <w:proofErr w:type="spellEnd"/>
      <w:r w:rsidRPr="00E94D23">
        <w:t xml:space="preserve"> 2013).</w:t>
      </w:r>
    </w:p>
    <w:p w:rsidR="0061568C" w:rsidRPr="00E94D23" w:rsidRDefault="00E33EF4" w:rsidP="00C376B1">
      <w:pPr>
        <w:pStyle w:val="ListParagraph"/>
        <w:numPr>
          <w:ilvl w:val="0"/>
          <w:numId w:val="82"/>
        </w:numPr>
        <w:ind w:left="567" w:hanging="567"/>
      </w:pPr>
      <w:proofErr w:type="spellStart"/>
      <w:r w:rsidRPr="00E94D23">
        <w:t>There</w:t>
      </w:r>
      <w:proofErr w:type="spellEnd"/>
      <w:r w:rsidRPr="00E94D23">
        <w:t xml:space="preserve"> </w:t>
      </w:r>
      <w:proofErr w:type="spellStart"/>
      <w:r w:rsidRPr="00E94D23">
        <w:t>was</w:t>
      </w:r>
      <w:proofErr w:type="spellEnd"/>
      <w:r w:rsidRPr="00E94D23">
        <w:t xml:space="preserve"> a </w:t>
      </w:r>
      <w:proofErr w:type="spellStart"/>
      <w:r w:rsidRPr="00E94D23">
        <w:t>considerable</w:t>
      </w:r>
      <w:proofErr w:type="spellEnd"/>
      <w:r w:rsidRPr="00E94D23">
        <w:t xml:space="preserve"> </w:t>
      </w:r>
      <w:proofErr w:type="spellStart"/>
      <w:r w:rsidRPr="00E94D23">
        <w:t>rise</w:t>
      </w:r>
      <w:proofErr w:type="spellEnd"/>
      <w:r w:rsidRPr="00E94D23">
        <w:t xml:space="preserve"> in </w:t>
      </w:r>
      <w:proofErr w:type="spellStart"/>
      <w:r w:rsidRPr="00E94D23">
        <w:t>inequality</w:t>
      </w:r>
      <w:proofErr w:type="spellEnd"/>
      <w:r w:rsidRPr="00E94D23">
        <w:t xml:space="preserve"> </w:t>
      </w:r>
      <w:proofErr w:type="spellStart"/>
      <w:r w:rsidRPr="00E94D23">
        <w:t>due</w:t>
      </w:r>
      <w:proofErr w:type="spellEnd"/>
      <w:r w:rsidRPr="00E94D23">
        <w:t xml:space="preserve"> </w:t>
      </w:r>
      <w:proofErr w:type="spellStart"/>
      <w:r w:rsidRPr="00E94D23">
        <w:t>to</w:t>
      </w:r>
      <w:proofErr w:type="spellEnd"/>
      <w:r w:rsidRPr="00E94D23">
        <w:t xml:space="preserve"> </w:t>
      </w:r>
      <w:proofErr w:type="spellStart"/>
      <w:r w:rsidRPr="00E94D23">
        <w:t>the</w:t>
      </w:r>
      <w:proofErr w:type="spellEnd"/>
      <w:r w:rsidRPr="00E94D23">
        <w:t xml:space="preserve"> </w:t>
      </w:r>
      <w:proofErr w:type="spellStart"/>
      <w:r w:rsidRPr="00E94D23">
        <w:t>decrease</w:t>
      </w:r>
      <w:proofErr w:type="spellEnd"/>
      <w:r w:rsidRPr="00E94D23">
        <w:t xml:space="preserve"> in </w:t>
      </w:r>
      <w:proofErr w:type="spellStart"/>
      <w:r w:rsidRPr="00E94D23">
        <w:t>the</w:t>
      </w:r>
      <w:proofErr w:type="spellEnd"/>
      <w:r w:rsidRPr="00E94D23">
        <w:t xml:space="preserve"> </w:t>
      </w:r>
      <w:proofErr w:type="spellStart"/>
      <w:r w:rsidRPr="00E94D23">
        <w:t>lowest</w:t>
      </w:r>
      <w:proofErr w:type="spellEnd"/>
      <w:r w:rsidRPr="00E94D23">
        <w:t xml:space="preserve"> </w:t>
      </w:r>
      <w:proofErr w:type="spellStart"/>
      <w:r w:rsidRPr="00E94D23">
        <w:t>wages</w:t>
      </w:r>
      <w:proofErr w:type="spellEnd"/>
      <w:r w:rsidRPr="00E94D23">
        <w:t xml:space="preserve"> </w:t>
      </w:r>
      <w:proofErr w:type="spellStart"/>
      <w:r w:rsidRPr="00E94D23">
        <w:t>and</w:t>
      </w:r>
      <w:proofErr w:type="spellEnd"/>
      <w:r w:rsidRPr="00E94D23">
        <w:t xml:space="preserve"> a </w:t>
      </w:r>
      <w:proofErr w:type="spellStart"/>
      <w:r w:rsidRPr="00E94D23">
        <w:t>significant</w:t>
      </w:r>
      <w:proofErr w:type="spellEnd"/>
      <w:r w:rsidRPr="00E94D23">
        <w:t xml:space="preserve"> </w:t>
      </w:r>
      <w:proofErr w:type="spellStart"/>
      <w:r w:rsidRPr="00E94D23">
        <w:t>increase</w:t>
      </w:r>
      <w:proofErr w:type="spellEnd"/>
      <w:r w:rsidRPr="00E94D23">
        <w:t xml:space="preserve"> in "</w:t>
      </w:r>
      <w:proofErr w:type="spellStart"/>
      <w:r w:rsidRPr="00E94D23">
        <w:t>precarious</w:t>
      </w:r>
      <w:proofErr w:type="spellEnd"/>
      <w:r w:rsidRPr="00E94D23">
        <w:t xml:space="preserve"> </w:t>
      </w:r>
      <w:proofErr w:type="spellStart"/>
      <w:r w:rsidRPr="00E94D23">
        <w:t>employment</w:t>
      </w:r>
      <w:proofErr w:type="spellEnd"/>
      <w:r w:rsidRPr="00E94D23">
        <w:t xml:space="preserve">", </w:t>
      </w:r>
      <w:proofErr w:type="spellStart"/>
      <w:r w:rsidRPr="00E94D23">
        <w:t>which</w:t>
      </w:r>
      <w:proofErr w:type="spellEnd"/>
      <w:r w:rsidRPr="00E94D23">
        <w:t xml:space="preserve"> </w:t>
      </w:r>
      <w:proofErr w:type="spellStart"/>
      <w:r w:rsidRPr="00E94D23">
        <w:t>meant</w:t>
      </w:r>
      <w:proofErr w:type="spellEnd"/>
      <w:r w:rsidRPr="00E94D23">
        <w:t xml:space="preserve"> an </w:t>
      </w:r>
      <w:proofErr w:type="spellStart"/>
      <w:r w:rsidRPr="00E94D23">
        <w:t>increase</w:t>
      </w:r>
      <w:proofErr w:type="spellEnd"/>
      <w:r w:rsidRPr="00E94D23">
        <w:t xml:space="preserve"> in </w:t>
      </w:r>
      <w:proofErr w:type="spellStart"/>
      <w:r w:rsidRPr="00E94D23">
        <w:t>the</w:t>
      </w:r>
      <w:proofErr w:type="spellEnd"/>
      <w:r w:rsidRPr="00E94D23">
        <w:t xml:space="preserve"> </w:t>
      </w:r>
      <w:proofErr w:type="spellStart"/>
      <w:r w:rsidRPr="00E94D23">
        <w:t>number</w:t>
      </w:r>
      <w:proofErr w:type="spellEnd"/>
      <w:r w:rsidRPr="00E94D23">
        <w:t xml:space="preserve"> of </w:t>
      </w:r>
      <w:proofErr w:type="spellStart"/>
      <w:r w:rsidRPr="00E94D23">
        <w:t>employed</w:t>
      </w:r>
      <w:proofErr w:type="spellEnd"/>
      <w:r w:rsidRPr="00E94D23">
        <w:t xml:space="preserve">, but </w:t>
      </w:r>
      <w:proofErr w:type="spellStart"/>
      <w:r w:rsidRPr="00E94D23">
        <w:t>poor</w:t>
      </w:r>
      <w:proofErr w:type="spellEnd"/>
      <w:r w:rsidRPr="00E94D23">
        <w:t xml:space="preserve">, </w:t>
      </w:r>
      <w:proofErr w:type="spellStart"/>
      <w:r w:rsidRPr="00E94D23">
        <w:t>workers</w:t>
      </w:r>
      <w:proofErr w:type="spellEnd"/>
      <w:r w:rsidRPr="00E94D23">
        <w:t xml:space="preserve">. </w:t>
      </w:r>
    </w:p>
    <w:p w:rsidR="0061568C" w:rsidRPr="00E94D23" w:rsidRDefault="00E33EF4" w:rsidP="00C376B1">
      <w:pPr>
        <w:pStyle w:val="ListParagraph"/>
        <w:numPr>
          <w:ilvl w:val="0"/>
          <w:numId w:val="83"/>
        </w:numPr>
        <w:ind w:left="567" w:hanging="567"/>
      </w:pPr>
      <w:proofErr w:type="spellStart"/>
      <w:r w:rsidRPr="00E94D23">
        <w:t>With</w:t>
      </w:r>
      <w:proofErr w:type="spellEnd"/>
      <w:r w:rsidRPr="00E94D23">
        <w:t xml:space="preserve"> a </w:t>
      </w:r>
      <w:proofErr w:type="spellStart"/>
      <w:r w:rsidRPr="00E94D23">
        <w:t>deterioration</w:t>
      </w:r>
      <w:proofErr w:type="spellEnd"/>
      <w:r w:rsidRPr="00E94D23">
        <w:t xml:space="preserve"> in </w:t>
      </w:r>
      <w:proofErr w:type="spellStart"/>
      <w:r w:rsidRPr="00E94D23">
        <w:t>income</w:t>
      </w:r>
      <w:proofErr w:type="spellEnd"/>
      <w:r w:rsidRPr="00E94D23">
        <w:t xml:space="preserve"> </w:t>
      </w:r>
      <w:proofErr w:type="spellStart"/>
      <w:r w:rsidRPr="00E94D23">
        <w:t>poverty</w:t>
      </w:r>
      <w:proofErr w:type="spellEnd"/>
      <w:r w:rsidRPr="00E94D23">
        <w:t xml:space="preserve">, </w:t>
      </w:r>
      <w:proofErr w:type="spellStart"/>
      <w:r w:rsidRPr="00E94D23">
        <w:t>the</w:t>
      </w:r>
      <w:proofErr w:type="spellEnd"/>
      <w:r w:rsidRPr="00E94D23">
        <w:t xml:space="preserve"> </w:t>
      </w:r>
      <w:proofErr w:type="spellStart"/>
      <w:r w:rsidRPr="00E94D23">
        <w:t>poverty</w:t>
      </w:r>
      <w:proofErr w:type="spellEnd"/>
      <w:r w:rsidRPr="00E94D23">
        <w:t xml:space="preserve"> rate </w:t>
      </w:r>
      <w:proofErr w:type="spellStart"/>
      <w:r w:rsidRPr="00E94D23">
        <w:t>rose</w:t>
      </w:r>
      <w:proofErr w:type="spellEnd"/>
      <w:r w:rsidRPr="00E94D23">
        <w:t xml:space="preserve"> </w:t>
      </w:r>
      <w:proofErr w:type="spellStart"/>
      <w:r w:rsidRPr="00E94D23">
        <w:t>by</w:t>
      </w:r>
      <w:proofErr w:type="spellEnd"/>
      <w:r w:rsidRPr="00E94D23">
        <w:t xml:space="preserve"> 1.8%, </w:t>
      </w:r>
      <w:proofErr w:type="spellStart"/>
      <w:r w:rsidRPr="00E94D23">
        <w:t>from</w:t>
      </w:r>
      <w:proofErr w:type="spellEnd"/>
      <w:r w:rsidRPr="00E94D23">
        <w:t xml:space="preserve"> 17.7% </w:t>
      </w:r>
      <w:proofErr w:type="spellStart"/>
      <w:r w:rsidRPr="00E94D23">
        <w:t>to</w:t>
      </w:r>
      <w:proofErr w:type="spellEnd"/>
      <w:r w:rsidRPr="00E94D23">
        <w:t xml:space="preserve"> 19.5%, </w:t>
      </w:r>
      <w:proofErr w:type="spellStart"/>
      <w:r w:rsidRPr="00E94D23">
        <w:t>and</w:t>
      </w:r>
      <w:proofErr w:type="spellEnd"/>
      <w:r w:rsidRPr="00E94D23">
        <w:t xml:space="preserve"> </w:t>
      </w:r>
      <w:proofErr w:type="spellStart"/>
      <w:r w:rsidRPr="00E94D23">
        <w:t>the</w:t>
      </w:r>
      <w:proofErr w:type="spellEnd"/>
      <w:r w:rsidRPr="00E94D23">
        <w:t xml:space="preserve"> </w:t>
      </w:r>
      <w:proofErr w:type="spellStart"/>
      <w:r w:rsidRPr="00E94D23">
        <w:t>number</w:t>
      </w:r>
      <w:proofErr w:type="spellEnd"/>
      <w:r w:rsidRPr="00E94D23">
        <w:t xml:space="preserve"> of </w:t>
      </w:r>
      <w:proofErr w:type="spellStart"/>
      <w:r w:rsidRPr="00E94D23">
        <w:t>poor</w:t>
      </w:r>
      <w:proofErr w:type="spellEnd"/>
      <w:r w:rsidRPr="00E94D23">
        <w:t xml:space="preserve"> </w:t>
      </w:r>
      <w:proofErr w:type="spellStart"/>
      <w:r w:rsidRPr="00E94D23">
        <w:t>reached</w:t>
      </w:r>
      <w:proofErr w:type="spellEnd"/>
      <w:r w:rsidRPr="00E94D23">
        <w:t xml:space="preserve"> 2.02 </w:t>
      </w:r>
      <w:proofErr w:type="spellStart"/>
      <w:r w:rsidRPr="00E94D23">
        <w:t>million</w:t>
      </w:r>
      <w:proofErr w:type="spellEnd"/>
      <w:r w:rsidRPr="00E94D23">
        <w:t xml:space="preserve"> in 2014.</w:t>
      </w:r>
    </w:p>
    <w:p w:rsidR="0061568C" w:rsidRPr="00E94D23" w:rsidRDefault="00E33EF4" w:rsidP="00C376B1">
      <w:pPr>
        <w:pStyle w:val="ListParagraph"/>
        <w:numPr>
          <w:ilvl w:val="0"/>
          <w:numId w:val="84"/>
        </w:numPr>
        <w:ind w:left="567" w:hanging="567"/>
      </w:pPr>
      <w:proofErr w:type="spellStart"/>
      <w:r w:rsidRPr="00E94D23">
        <w:t>the</w:t>
      </w:r>
      <w:proofErr w:type="spellEnd"/>
      <w:r w:rsidRPr="00E94D23">
        <w:t xml:space="preserve"> </w:t>
      </w:r>
      <w:proofErr w:type="spellStart"/>
      <w:r w:rsidRPr="00E94D23">
        <w:t>shrinking</w:t>
      </w:r>
      <w:proofErr w:type="spellEnd"/>
      <w:r w:rsidRPr="00E94D23">
        <w:t xml:space="preserve"> </w:t>
      </w:r>
      <w:proofErr w:type="spellStart"/>
      <w:r w:rsidRPr="00E94D23">
        <w:t>resources</w:t>
      </w:r>
      <w:proofErr w:type="spellEnd"/>
      <w:r w:rsidRPr="00E94D23">
        <w:t xml:space="preserve"> of </w:t>
      </w:r>
      <w:proofErr w:type="spellStart"/>
      <w:r w:rsidRPr="00E94D23">
        <w:t>the</w:t>
      </w:r>
      <w:proofErr w:type="spellEnd"/>
      <w:r w:rsidRPr="00E94D23">
        <w:t xml:space="preserve"> </w:t>
      </w:r>
      <w:proofErr w:type="spellStart"/>
      <w:r w:rsidRPr="00E94D23">
        <w:t>poorest</w:t>
      </w:r>
      <w:proofErr w:type="spellEnd"/>
      <w:r w:rsidRPr="00E94D23">
        <w:t xml:space="preserve"> in </w:t>
      </w:r>
      <w:proofErr w:type="spellStart"/>
      <w:r w:rsidRPr="00E94D23">
        <w:t>the</w:t>
      </w:r>
      <w:proofErr w:type="spellEnd"/>
      <w:r w:rsidRPr="00E94D23">
        <w:t xml:space="preserve"> </w:t>
      </w:r>
      <w:proofErr w:type="spellStart"/>
      <w:r w:rsidRPr="00E94D23">
        <w:t>population</w:t>
      </w:r>
      <w:proofErr w:type="spellEnd"/>
      <w:r w:rsidRPr="00E94D23">
        <w:t xml:space="preserve"> </w:t>
      </w:r>
      <w:proofErr w:type="spellStart"/>
      <w:r w:rsidRPr="00E94D23">
        <w:t>affected</w:t>
      </w:r>
      <w:proofErr w:type="spellEnd"/>
      <w:r w:rsidRPr="00E94D23">
        <w:t xml:space="preserve"> </w:t>
      </w:r>
      <w:proofErr w:type="spellStart"/>
      <w:r w:rsidRPr="00E94D23">
        <w:t>the</w:t>
      </w:r>
      <w:proofErr w:type="spellEnd"/>
      <w:r w:rsidRPr="00E94D23">
        <w:t xml:space="preserve"> </w:t>
      </w:r>
      <w:proofErr w:type="spellStart"/>
      <w:r w:rsidRPr="00E94D23">
        <w:t>most</w:t>
      </w:r>
      <w:proofErr w:type="spellEnd"/>
      <w:r w:rsidRPr="00E94D23">
        <w:t xml:space="preserve"> </w:t>
      </w:r>
      <w:proofErr w:type="spellStart"/>
      <w:r w:rsidRPr="00E94D23">
        <w:t>vulnerable</w:t>
      </w:r>
      <w:proofErr w:type="spellEnd"/>
      <w:r w:rsidRPr="00E94D23">
        <w:t xml:space="preserve"> (</w:t>
      </w:r>
      <w:proofErr w:type="spellStart"/>
      <w:r w:rsidRPr="00E94D23">
        <w:t>older</w:t>
      </w:r>
      <w:proofErr w:type="spellEnd"/>
      <w:r w:rsidRPr="00E94D23">
        <w:t xml:space="preserve"> </w:t>
      </w:r>
      <w:proofErr w:type="spellStart"/>
      <w:r w:rsidRPr="00E94D23">
        <w:t>people</w:t>
      </w:r>
      <w:proofErr w:type="spellEnd"/>
      <w:r w:rsidRPr="00E94D23">
        <w:t xml:space="preserve"> </w:t>
      </w:r>
      <w:proofErr w:type="spellStart"/>
      <w:r w:rsidRPr="00E94D23">
        <w:t>and</w:t>
      </w:r>
      <w:proofErr w:type="spellEnd"/>
      <w:r w:rsidRPr="00E94D23">
        <w:t xml:space="preserve"> </w:t>
      </w:r>
      <w:proofErr w:type="spellStart"/>
      <w:r w:rsidRPr="00E94D23">
        <w:t>children</w:t>
      </w:r>
      <w:proofErr w:type="spellEnd"/>
      <w:r w:rsidRPr="00E94D23">
        <w:t xml:space="preserve">). </w:t>
      </w:r>
    </w:p>
    <w:p w:rsidR="0061568C" w:rsidRPr="00E94D23" w:rsidRDefault="00E33EF4" w:rsidP="00C376B1">
      <w:pPr>
        <w:pStyle w:val="ListParagraph"/>
        <w:numPr>
          <w:ilvl w:val="0"/>
          <w:numId w:val="85"/>
        </w:numPr>
        <w:ind w:left="567" w:hanging="567"/>
      </w:pPr>
      <w:r w:rsidRPr="00E94D23">
        <w:t xml:space="preserve">In </w:t>
      </w:r>
      <w:proofErr w:type="spellStart"/>
      <w:r w:rsidRPr="00E94D23">
        <w:t>the</w:t>
      </w:r>
      <w:proofErr w:type="spellEnd"/>
      <w:r w:rsidRPr="00E94D23">
        <w:t xml:space="preserve"> </w:t>
      </w:r>
      <w:proofErr w:type="spellStart"/>
      <w:r w:rsidRPr="00E94D23">
        <w:t>course</w:t>
      </w:r>
      <w:proofErr w:type="spellEnd"/>
      <w:r w:rsidRPr="00E94D23">
        <w:t xml:space="preserve"> of </w:t>
      </w:r>
      <w:proofErr w:type="spellStart"/>
      <w:r w:rsidRPr="00E94D23">
        <w:t>the</w:t>
      </w:r>
      <w:proofErr w:type="spellEnd"/>
      <w:r w:rsidRPr="00E94D23">
        <w:t xml:space="preserve"> </w:t>
      </w:r>
      <w:proofErr w:type="spellStart"/>
      <w:r w:rsidRPr="00E94D23">
        <w:t>adjustment</w:t>
      </w:r>
      <w:proofErr w:type="spellEnd"/>
      <w:r w:rsidRPr="00E94D23">
        <w:t xml:space="preserve"> </w:t>
      </w:r>
      <w:proofErr w:type="spellStart"/>
      <w:r w:rsidRPr="00E94D23">
        <w:t>programme</w:t>
      </w:r>
      <w:proofErr w:type="spellEnd"/>
      <w:r w:rsidRPr="00E94D23">
        <w:t xml:space="preserve">, more </w:t>
      </w:r>
      <w:proofErr w:type="spellStart"/>
      <w:r w:rsidRPr="00E94D23">
        <w:t>than</w:t>
      </w:r>
      <w:proofErr w:type="spellEnd"/>
      <w:r w:rsidRPr="00E94D23">
        <w:t xml:space="preserve"> 400 000 </w:t>
      </w:r>
      <w:proofErr w:type="spellStart"/>
      <w:r w:rsidRPr="00E94D23">
        <w:t>Portuguese</w:t>
      </w:r>
      <w:proofErr w:type="spellEnd"/>
      <w:r w:rsidRPr="00E94D23">
        <w:t xml:space="preserve"> </w:t>
      </w:r>
      <w:proofErr w:type="spellStart"/>
      <w:r w:rsidRPr="00E94D23">
        <w:t>emigrated</w:t>
      </w:r>
      <w:proofErr w:type="spellEnd"/>
      <w:r w:rsidRPr="00E94D23">
        <w:t xml:space="preserve">, </w:t>
      </w:r>
      <w:proofErr w:type="spellStart"/>
      <w:r w:rsidRPr="00E94D23">
        <w:t>mainly</w:t>
      </w:r>
      <w:proofErr w:type="spellEnd"/>
      <w:r w:rsidRPr="00E94D23">
        <w:t xml:space="preserve"> </w:t>
      </w:r>
      <w:proofErr w:type="spellStart"/>
      <w:r w:rsidRPr="00E94D23">
        <w:t>people</w:t>
      </w:r>
      <w:proofErr w:type="spellEnd"/>
      <w:r w:rsidRPr="00E94D23">
        <w:t xml:space="preserve"> </w:t>
      </w:r>
      <w:proofErr w:type="spellStart"/>
      <w:r w:rsidRPr="00E94D23">
        <w:t>with</w:t>
      </w:r>
      <w:proofErr w:type="spellEnd"/>
      <w:r w:rsidRPr="00E94D23">
        <w:t xml:space="preserve"> </w:t>
      </w:r>
      <w:proofErr w:type="spellStart"/>
      <w:r w:rsidRPr="00E94D23">
        <w:t>high-level</w:t>
      </w:r>
      <w:proofErr w:type="spellEnd"/>
      <w:r w:rsidRPr="00E94D23">
        <w:t xml:space="preserve"> </w:t>
      </w:r>
      <w:proofErr w:type="spellStart"/>
      <w:r w:rsidRPr="00E94D23">
        <w:t>scientific</w:t>
      </w:r>
      <w:proofErr w:type="spellEnd"/>
      <w:r w:rsidRPr="00E94D23">
        <w:t xml:space="preserve"> </w:t>
      </w:r>
      <w:proofErr w:type="spellStart"/>
      <w:r w:rsidRPr="00E94D23">
        <w:t>and</w:t>
      </w:r>
      <w:proofErr w:type="spellEnd"/>
      <w:r w:rsidRPr="00E94D23">
        <w:t xml:space="preserve"> </w:t>
      </w:r>
      <w:proofErr w:type="spellStart"/>
      <w:r w:rsidRPr="00E94D23">
        <w:t>technical</w:t>
      </w:r>
      <w:proofErr w:type="spellEnd"/>
      <w:r w:rsidRPr="00E94D23">
        <w:t xml:space="preserve"> </w:t>
      </w:r>
      <w:proofErr w:type="spellStart"/>
      <w:r w:rsidRPr="00E94D23">
        <w:t>qualifications</w:t>
      </w:r>
      <w:proofErr w:type="spellEnd"/>
      <w:r w:rsidRPr="00E94D23">
        <w:rPr>
          <w:rStyle w:val="FootnoteReference"/>
        </w:rPr>
        <w:footnoteReference w:id="10"/>
      </w:r>
      <w:r w:rsidRPr="00E94D23">
        <w:t xml:space="preserve">, </w:t>
      </w:r>
      <w:proofErr w:type="spellStart"/>
      <w:r w:rsidRPr="00E94D23">
        <w:t>and</w:t>
      </w:r>
      <w:proofErr w:type="spellEnd"/>
      <w:r w:rsidRPr="00E94D23">
        <w:t xml:space="preserve"> </w:t>
      </w:r>
      <w:proofErr w:type="spellStart"/>
      <w:r w:rsidRPr="00E94D23">
        <w:t>thousands</w:t>
      </w:r>
      <w:proofErr w:type="spellEnd"/>
      <w:r w:rsidRPr="00E94D23">
        <w:t xml:space="preserve"> of </w:t>
      </w:r>
      <w:proofErr w:type="spellStart"/>
      <w:r w:rsidRPr="00E94D23">
        <w:t>businesses</w:t>
      </w:r>
      <w:proofErr w:type="spellEnd"/>
      <w:r w:rsidRPr="00E94D23">
        <w:t xml:space="preserve"> (</w:t>
      </w:r>
      <w:proofErr w:type="spellStart"/>
      <w:r w:rsidRPr="00E94D23">
        <w:t>mostly</w:t>
      </w:r>
      <w:proofErr w:type="spellEnd"/>
      <w:r w:rsidRPr="00E94D23">
        <w:t xml:space="preserve"> </w:t>
      </w:r>
      <w:proofErr w:type="spellStart"/>
      <w:r w:rsidRPr="00E94D23">
        <w:t>SMEs</w:t>
      </w:r>
      <w:proofErr w:type="spellEnd"/>
      <w:r w:rsidRPr="00E94D23">
        <w:t xml:space="preserve"> </w:t>
      </w:r>
      <w:proofErr w:type="spellStart"/>
      <w:r w:rsidRPr="00E94D23">
        <w:t>and</w:t>
      </w:r>
      <w:proofErr w:type="spellEnd"/>
      <w:r w:rsidRPr="00E94D23">
        <w:t xml:space="preserve"> </w:t>
      </w:r>
      <w:proofErr w:type="spellStart"/>
      <w:r w:rsidRPr="00E94D23">
        <w:t>family</w:t>
      </w:r>
      <w:proofErr w:type="spellEnd"/>
      <w:r w:rsidRPr="00E94D23">
        <w:t xml:space="preserve"> </w:t>
      </w:r>
      <w:proofErr w:type="spellStart"/>
      <w:r w:rsidRPr="00E94D23">
        <w:t>businesses</w:t>
      </w:r>
      <w:proofErr w:type="spellEnd"/>
      <w:r w:rsidRPr="00E94D23">
        <w:t xml:space="preserve">) </w:t>
      </w:r>
      <w:proofErr w:type="spellStart"/>
      <w:r w:rsidRPr="00E94D23">
        <w:t>declared</w:t>
      </w:r>
      <w:proofErr w:type="spellEnd"/>
      <w:r w:rsidRPr="00E94D23">
        <w:t xml:space="preserve"> </w:t>
      </w:r>
      <w:proofErr w:type="spellStart"/>
      <w:r w:rsidRPr="00E94D23">
        <w:t>bankruptcy</w:t>
      </w:r>
      <w:proofErr w:type="spellEnd"/>
      <w:r w:rsidRPr="00E94D23">
        <w:t>.</w:t>
      </w:r>
    </w:p>
    <w:p w:rsidR="0061568C" w:rsidRPr="00E94D23" w:rsidRDefault="0061568C" w:rsidP="00E33EF4"/>
    <w:p w:rsidR="0061568C" w:rsidRPr="00E94D23" w:rsidRDefault="0061568C" w:rsidP="00E33EF4">
      <w:pPr>
        <w:keepNext/>
        <w:outlineLvl w:val="1"/>
        <w:rPr>
          <w:b/>
        </w:rPr>
      </w:pPr>
      <w:r w:rsidRPr="00E94D23">
        <w:rPr>
          <w:b/>
        </w:rPr>
        <w:t xml:space="preserve">The social </w:t>
      </w:r>
      <w:proofErr w:type="spellStart"/>
      <w:r w:rsidRPr="00E94D23">
        <w:rPr>
          <w:b/>
        </w:rPr>
        <w:t>effects</w:t>
      </w:r>
      <w:proofErr w:type="spellEnd"/>
      <w:r w:rsidRPr="00E94D23">
        <w:rPr>
          <w:b/>
        </w:rPr>
        <w:t xml:space="preserve"> </w:t>
      </w:r>
      <w:proofErr w:type="spellStart"/>
      <w:r w:rsidRPr="00E94D23">
        <w:rPr>
          <w:b/>
        </w:rPr>
        <w:t>and</w:t>
      </w:r>
      <w:proofErr w:type="spellEnd"/>
      <w:r w:rsidRPr="00E94D23">
        <w:rPr>
          <w:b/>
        </w:rPr>
        <w:t xml:space="preserve"> </w:t>
      </w:r>
      <w:proofErr w:type="spellStart"/>
      <w:r w:rsidRPr="00E94D23">
        <w:rPr>
          <w:b/>
        </w:rPr>
        <w:t>effects</w:t>
      </w:r>
      <w:proofErr w:type="spellEnd"/>
      <w:r w:rsidRPr="00E94D23">
        <w:rPr>
          <w:b/>
        </w:rPr>
        <w:t xml:space="preserve"> on </w:t>
      </w:r>
      <w:proofErr w:type="spellStart"/>
      <w:r w:rsidRPr="00E94D23">
        <w:rPr>
          <w:b/>
        </w:rPr>
        <w:t>the</w:t>
      </w:r>
      <w:proofErr w:type="spellEnd"/>
      <w:r w:rsidRPr="00E94D23">
        <w:rPr>
          <w:b/>
        </w:rPr>
        <w:t xml:space="preserve"> </w:t>
      </w:r>
      <w:proofErr w:type="spellStart"/>
      <w:r w:rsidRPr="00E94D23">
        <w:rPr>
          <w:b/>
        </w:rPr>
        <w:t>corporate</w:t>
      </w:r>
      <w:proofErr w:type="spellEnd"/>
      <w:r w:rsidRPr="00E94D23">
        <w:rPr>
          <w:b/>
        </w:rPr>
        <w:t xml:space="preserve"> </w:t>
      </w:r>
      <w:proofErr w:type="spellStart"/>
      <w:r w:rsidRPr="00E94D23">
        <w:rPr>
          <w:b/>
        </w:rPr>
        <w:t>structure</w:t>
      </w:r>
      <w:proofErr w:type="spellEnd"/>
      <w:r w:rsidRPr="00E94D23">
        <w:rPr>
          <w:b/>
        </w:rPr>
        <w:t xml:space="preserve"> of </w:t>
      </w:r>
      <w:proofErr w:type="spellStart"/>
      <w:r w:rsidRPr="00E94D23">
        <w:rPr>
          <w:b/>
        </w:rPr>
        <w:t>the</w:t>
      </w:r>
      <w:proofErr w:type="spellEnd"/>
      <w:r w:rsidRPr="00E94D23">
        <w:rPr>
          <w:b/>
        </w:rPr>
        <w:t xml:space="preserve"> </w:t>
      </w:r>
      <w:proofErr w:type="spellStart"/>
      <w:r w:rsidRPr="00E94D23">
        <w:rPr>
          <w:b/>
        </w:rPr>
        <w:t>austerity</w:t>
      </w:r>
      <w:proofErr w:type="spellEnd"/>
      <w:r w:rsidRPr="00E94D23">
        <w:rPr>
          <w:b/>
        </w:rPr>
        <w:t xml:space="preserve"> </w:t>
      </w:r>
      <w:proofErr w:type="spellStart"/>
      <w:r w:rsidRPr="00E94D23">
        <w:rPr>
          <w:b/>
        </w:rPr>
        <w:t>programme</w:t>
      </w:r>
      <w:proofErr w:type="spellEnd"/>
      <w:r w:rsidRPr="00E94D23">
        <w:rPr>
          <w:b/>
        </w:rPr>
        <w:t xml:space="preserve"> in </w:t>
      </w:r>
      <w:proofErr w:type="spellStart"/>
      <w:r w:rsidRPr="00E94D23">
        <w:rPr>
          <w:b/>
        </w:rPr>
        <w:t>Ireland</w:t>
      </w:r>
      <w:proofErr w:type="spellEnd"/>
    </w:p>
    <w:p w:rsidR="0061568C" w:rsidRPr="00E94D23" w:rsidRDefault="0061568C" w:rsidP="00E33EF4">
      <w:pPr>
        <w:keepNext/>
      </w:pPr>
    </w:p>
    <w:p w:rsidR="0061568C" w:rsidRPr="00E94D23" w:rsidRDefault="00E33EF4" w:rsidP="00C376B1">
      <w:pPr>
        <w:pStyle w:val="ListParagraph"/>
        <w:numPr>
          <w:ilvl w:val="0"/>
          <w:numId w:val="72"/>
        </w:numPr>
        <w:ind w:left="567" w:hanging="567"/>
      </w:pPr>
      <w:r w:rsidRPr="00E94D23">
        <w:t xml:space="preserve">In 2009, </w:t>
      </w:r>
      <w:proofErr w:type="spellStart"/>
      <w:r w:rsidRPr="00E94D23">
        <w:t>the</w:t>
      </w:r>
      <w:proofErr w:type="spellEnd"/>
      <w:r w:rsidRPr="00E94D23">
        <w:t xml:space="preserve"> </w:t>
      </w:r>
      <w:proofErr w:type="spellStart"/>
      <w:r w:rsidRPr="00E94D23">
        <w:t>guaranteed</w:t>
      </w:r>
      <w:proofErr w:type="spellEnd"/>
      <w:r w:rsidRPr="00E94D23">
        <w:t xml:space="preserve"> minimum </w:t>
      </w:r>
      <w:proofErr w:type="spellStart"/>
      <w:r w:rsidRPr="00E94D23">
        <w:t>income</w:t>
      </w:r>
      <w:proofErr w:type="spellEnd"/>
      <w:r w:rsidRPr="00E94D23">
        <w:t xml:space="preserve"> </w:t>
      </w:r>
      <w:proofErr w:type="spellStart"/>
      <w:r w:rsidRPr="00E94D23">
        <w:t>was</w:t>
      </w:r>
      <w:proofErr w:type="spellEnd"/>
      <w:r w:rsidRPr="00E94D23">
        <w:t xml:space="preserve"> </w:t>
      </w:r>
      <w:proofErr w:type="spellStart"/>
      <w:r w:rsidRPr="00E94D23">
        <w:t>reduced</w:t>
      </w:r>
      <w:proofErr w:type="spellEnd"/>
      <w:r w:rsidRPr="00E94D23">
        <w:t xml:space="preserve"> </w:t>
      </w:r>
      <w:proofErr w:type="spellStart"/>
      <w:r w:rsidRPr="00E94D23">
        <w:t>by</w:t>
      </w:r>
      <w:proofErr w:type="spellEnd"/>
      <w:r w:rsidRPr="00E94D23">
        <w:t xml:space="preserve"> 15%, but </w:t>
      </w:r>
      <w:proofErr w:type="spellStart"/>
      <w:r w:rsidRPr="00E94D23">
        <w:t>this</w:t>
      </w:r>
      <w:proofErr w:type="spellEnd"/>
      <w:r w:rsidRPr="00E94D23">
        <w:t xml:space="preserve"> </w:t>
      </w:r>
      <w:proofErr w:type="spellStart"/>
      <w:r w:rsidRPr="00E94D23">
        <w:t>was</w:t>
      </w:r>
      <w:proofErr w:type="spellEnd"/>
      <w:r w:rsidRPr="00E94D23">
        <w:t xml:space="preserve"> put back </w:t>
      </w:r>
      <w:proofErr w:type="spellStart"/>
      <w:r w:rsidRPr="00E94D23">
        <w:t>to</w:t>
      </w:r>
      <w:proofErr w:type="spellEnd"/>
      <w:r w:rsidRPr="00E94D23">
        <w:t xml:space="preserve"> </w:t>
      </w:r>
      <w:proofErr w:type="spellStart"/>
      <w:r w:rsidRPr="00E94D23">
        <w:t>its</w:t>
      </w:r>
      <w:proofErr w:type="spellEnd"/>
      <w:r w:rsidRPr="00E94D23">
        <w:t xml:space="preserve"> original </w:t>
      </w:r>
      <w:proofErr w:type="spellStart"/>
      <w:r w:rsidRPr="00E94D23">
        <w:t>level</w:t>
      </w:r>
      <w:proofErr w:type="spellEnd"/>
      <w:r w:rsidRPr="00E94D23">
        <w:t xml:space="preserve"> in 2011.</w:t>
      </w:r>
    </w:p>
    <w:p w:rsidR="0061568C" w:rsidRPr="00E94D23" w:rsidRDefault="00E33EF4" w:rsidP="00C376B1">
      <w:pPr>
        <w:pStyle w:val="ListParagraph"/>
        <w:numPr>
          <w:ilvl w:val="0"/>
          <w:numId w:val="73"/>
        </w:numPr>
        <w:ind w:left="567" w:hanging="567"/>
        <w:rPr>
          <w:b/>
          <w:i/>
        </w:rPr>
      </w:pPr>
      <w:r w:rsidRPr="00E94D23">
        <w:t xml:space="preserve">The </w:t>
      </w:r>
      <w:proofErr w:type="spellStart"/>
      <w:r w:rsidRPr="00E94D23">
        <w:t>adjustment</w:t>
      </w:r>
      <w:proofErr w:type="spellEnd"/>
      <w:r w:rsidRPr="00E94D23">
        <w:t xml:space="preserve"> of </w:t>
      </w:r>
      <w:proofErr w:type="spellStart"/>
      <w:r w:rsidRPr="00E94D23">
        <w:t>the</w:t>
      </w:r>
      <w:proofErr w:type="spellEnd"/>
      <w:r w:rsidRPr="00E94D23">
        <w:t xml:space="preserve"> domestic, retail </w:t>
      </w:r>
      <w:proofErr w:type="spellStart"/>
      <w:r w:rsidRPr="00E94D23">
        <w:t>and</w:t>
      </w:r>
      <w:proofErr w:type="spellEnd"/>
      <w:r w:rsidRPr="00E94D23">
        <w:t xml:space="preserve"> </w:t>
      </w:r>
      <w:proofErr w:type="spellStart"/>
      <w:r w:rsidRPr="00E94D23">
        <w:t>construction</w:t>
      </w:r>
      <w:proofErr w:type="spellEnd"/>
      <w:r w:rsidRPr="00E94D23">
        <w:t xml:space="preserve"> </w:t>
      </w:r>
      <w:proofErr w:type="spellStart"/>
      <w:r w:rsidRPr="00E94D23">
        <w:t>markets</w:t>
      </w:r>
      <w:proofErr w:type="spellEnd"/>
      <w:r w:rsidRPr="00E94D23">
        <w:t xml:space="preserve"> </w:t>
      </w:r>
      <w:proofErr w:type="spellStart"/>
      <w:r w:rsidRPr="00E94D23">
        <w:t>entailed</w:t>
      </w:r>
      <w:proofErr w:type="spellEnd"/>
      <w:r w:rsidRPr="00E94D23">
        <w:t xml:space="preserve"> major job </w:t>
      </w:r>
      <w:proofErr w:type="spellStart"/>
      <w:r w:rsidRPr="00E94D23">
        <w:t>losses</w:t>
      </w:r>
      <w:proofErr w:type="spellEnd"/>
      <w:r w:rsidRPr="00E94D23">
        <w:t xml:space="preserve"> in </w:t>
      </w:r>
      <w:proofErr w:type="spellStart"/>
      <w:r w:rsidRPr="00E94D23">
        <w:t>these</w:t>
      </w:r>
      <w:proofErr w:type="spellEnd"/>
      <w:r w:rsidRPr="00E94D23">
        <w:t xml:space="preserve"> </w:t>
      </w:r>
      <w:proofErr w:type="spellStart"/>
      <w:r w:rsidRPr="00E94D23">
        <w:t>sectors</w:t>
      </w:r>
      <w:proofErr w:type="spellEnd"/>
      <w:r w:rsidRPr="00E94D23">
        <w:rPr>
          <w:rStyle w:val="FootnoteReference"/>
        </w:rPr>
        <w:footnoteReference w:id="11"/>
      </w:r>
      <w:r w:rsidRPr="00E94D23">
        <w:t xml:space="preserve"> as a </w:t>
      </w:r>
      <w:proofErr w:type="spellStart"/>
      <w:r w:rsidRPr="00E94D23">
        <w:t>result</w:t>
      </w:r>
      <w:proofErr w:type="spellEnd"/>
      <w:r w:rsidRPr="00E94D23">
        <w:t xml:space="preserve"> of </w:t>
      </w:r>
      <w:proofErr w:type="spellStart"/>
      <w:r w:rsidRPr="00E94D23">
        <w:t>the</w:t>
      </w:r>
      <w:proofErr w:type="spellEnd"/>
      <w:r w:rsidRPr="00E94D23">
        <w:t xml:space="preserve"> </w:t>
      </w:r>
      <w:proofErr w:type="spellStart"/>
      <w:r w:rsidRPr="00E94D23">
        <w:t>bankruptcy</w:t>
      </w:r>
      <w:proofErr w:type="spellEnd"/>
      <w:r w:rsidRPr="00E94D23">
        <w:t xml:space="preserve"> of </w:t>
      </w:r>
      <w:proofErr w:type="spellStart"/>
      <w:r w:rsidRPr="00E94D23">
        <w:t>thousands</w:t>
      </w:r>
      <w:proofErr w:type="spellEnd"/>
      <w:r w:rsidRPr="00E94D23">
        <w:t xml:space="preserve"> of </w:t>
      </w:r>
      <w:proofErr w:type="spellStart"/>
      <w:r w:rsidRPr="00E94D23">
        <w:t>companies</w:t>
      </w:r>
      <w:proofErr w:type="spellEnd"/>
      <w:r w:rsidRPr="00E94D23">
        <w:t xml:space="preserve">. </w:t>
      </w:r>
    </w:p>
    <w:p w:rsidR="0061568C" w:rsidRPr="00E94D23" w:rsidRDefault="00E33EF4" w:rsidP="00C376B1">
      <w:pPr>
        <w:pStyle w:val="ListParagraph"/>
        <w:numPr>
          <w:ilvl w:val="0"/>
          <w:numId w:val="74"/>
        </w:numPr>
        <w:ind w:left="567" w:hanging="567"/>
      </w:pPr>
      <w:r w:rsidRPr="00E94D23">
        <w:lastRenderedPageBreak/>
        <w:t xml:space="preserve">The </w:t>
      </w:r>
      <w:proofErr w:type="spellStart"/>
      <w:r w:rsidRPr="00E94D23">
        <w:t>unemployment</w:t>
      </w:r>
      <w:proofErr w:type="spellEnd"/>
      <w:r w:rsidRPr="00E94D23">
        <w:t xml:space="preserve"> rate </w:t>
      </w:r>
      <w:proofErr w:type="spellStart"/>
      <w:r w:rsidRPr="00E94D23">
        <w:t>rose</w:t>
      </w:r>
      <w:proofErr w:type="spellEnd"/>
      <w:r w:rsidRPr="00E94D23">
        <w:t xml:space="preserve"> </w:t>
      </w:r>
      <w:proofErr w:type="spellStart"/>
      <w:r w:rsidRPr="00E94D23">
        <w:t>by</w:t>
      </w:r>
      <w:proofErr w:type="spellEnd"/>
      <w:r w:rsidRPr="00E94D23">
        <w:t xml:space="preserve"> 6.4% in 2008 </w:t>
      </w:r>
      <w:proofErr w:type="spellStart"/>
      <w:r w:rsidRPr="00E94D23">
        <w:t>to</w:t>
      </w:r>
      <w:proofErr w:type="spellEnd"/>
      <w:r w:rsidRPr="00E94D23">
        <w:t xml:space="preserve"> 15% in 2012; </w:t>
      </w:r>
      <w:proofErr w:type="spellStart"/>
      <w:r w:rsidRPr="00E94D23">
        <w:t>this</w:t>
      </w:r>
      <w:proofErr w:type="spellEnd"/>
      <w:r w:rsidRPr="00E94D23">
        <w:t xml:space="preserve"> </w:t>
      </w:r>
      <w:proofErr w:type="spellStart"/>
      <w:r w:rsidRPr="00E94D23">
        <w:t>mainly</w:t>
      </w:r>
      <w:proofErr w:type="spellEnd"/>
      <w:r w:rsidRPr="00E94D23">
        <w:t xml:space="preserve"> </w:t>
      </w:r>
      <w:proofErr w:type="spellStart"/>
      <w:r w:rsidRPr="00E94D23">
        <w:t>concerned</w:t>
      </w:r>
      <w:proofErr w:type="spellEnd"/>
      <w:r w:rsidRPr="00E94D23">
        <w:t xml:space="preserve"> </w:t>
      </w:r>
      <w:proofErr w:type="spellStart"/>
      <w:r w:rsidRPr="00E94D23">
        <w:t>long-term</w:t>
      </w:r>
      <w:proofErr w:type="spellEnd"/>
      <w:r w:rsidRPr="00E94D23">
        <w:t xml:space="preserve"> </w:t>
      </w:r>
      <w:proofErr w:type="spellStart"/>
      <w:r w:rsidRPr="00E94D23">
        <w:t>unemployment</w:t>
      </w:r>
      <w:proofErr w:type="spellEnd"/>
      <w:r w:rsidRPr="00E94D23">
        <w:t xml:space="preserve"> </w:t>
      </w:r>
      <w:proofErr w:type="spellStart"/>
      <w:r w:rsidRPr="00E94D23">
        <w:t>and</w:t>
      </w:r>
      <w:proofErr w:type="spellEnd"/>
      <w:r w:rsidRPr="00E94D23">
        <w:t xml:space="preserve"> </w:t>
      </w:r>
      <w:proofErr w:type="spellStart"/>
      <w:r w:rsidRPr="00E94D23">
        <w:t>youth</w:t>
      </w:r>
      <w:proofErr w:type="spellEnd"/>
      <w:r w:rsidRPr="00E94D23">
        <w:t xml:space="preserve"> </w:t>
      </w:r>
      <w:proofErr w:type="spellStart"/>
      <w:r w:rsidRPr="00E94D23">
        <w:t>unemployment</w:t>
      </w:r>
      <w:proofErr w:type="spellEnd"/>
      <w:r w:rsidRPr="00E94D23">
        <w:t xml:space="preserve">, </w:t>
      </w:r>
      <w:proofErr w:type="spellStart"/>
      <w:r w:rsidRPr="00E94D23">
        <w:t>which</w:t>
      </w:r>
      <w:proofErr w:type="spellEnd"/>
      <w:r w:rsidRPr="00E94D23">
        <w:t xml:space="preserve"> </w:t>
      </w:r>
      <w:proofErr w:type="spellStart"/>
      <w:r w:rsidRPr="00E94D23">
        <w:t>was</w:t>
      </w:r>
      <w:proofErr w:type="spellEnd"/>
      <w:r w:rsidRPr="00E94D23">
        <w:t xml:space="preserve"> in line </w:t>
      </w:r>
      <w:proofErr w:type="spellStart"/>
      <w:r w:rsidRPr="00E94D23">
        <w:t>with</w:t>
      </w:r>
      <w:proofErr w:type="spellEnd"/>
      <w:r w:rsidRPr="00E94D23">
        <w:t xml:space="preserve"> </w:t>
      </w:r>
      <w:proofErr w:type="spellStart"/>
      <w:r w:rsidRPr="00E94D23">
        <w:t>rates</w:t>
      </w:r>
      <w:proofErr w:type="spellEnd"/>
      <w:r w:rsidRPr="00E94D23">
        <w:t xml:space="preserve"> in </w:t>
      </w:r>
      <w:proofErr w:type="spellStart"/>
      <w:r w:rsidRPr="00E94D23">
        <w:t>southern</w:t>
      </w:r>
      <w:proofErr w:type="spellEnd"/>
      <w:r w:rsidRPr="00E94D23">
        <w:t xml:space="preserve"> European </w:t>
      </w:r>
      <w:proofErr w:type="spellStart"/>
      <w:r w:rsidRPr="00E94D23">
        <w:t>countries</w:t>
      </w:r>
      <w:proofErr w:type="spellEnd"/>
      <w:r w:rsidRPr="00E94D23">
        <w:t xml:space="preserve"> (</w:t>
      </w:r>
      <w:proofErr w:type="spellStart"/>
      <w:r w:rsidRPr="00E94D23">
        <w:t>around</w:t>
      </w:r>
      <w:proofErr w:type="spellEnd"/>
      <w:r w:rsidRPr="00E94D23">
        <w:t xml:space="preserve"> 30%).</w:t>
      </w:r>
    </w:p>
    <w:p w:rsidR="0061568C" w:rsidRPr="00E94D23" w:rsidRDefault="00E33EF4" w:rsidP="00C376B1">
      <w:pPr>
        <w:pStyle w:val="ListParagraph"/>
        <w:numPr>
          <w:ilvl w:val="0"/>
          <w:numId w:val="75"/>
        </w:numPr>
        <w:ind w:left="567" w:hanging="567"/>
      </w:pPr>
      <w:proofErr w:type="spellStart"/>
      <w:r w:rsidRPr="00E94D23">
        <w:t>From</w:t>
      </w:r>
      <w:proofErr w:type="spellEnd"/>
      <w:r w:rsidRPr="00E94D23">
        <w:t xml:space="preserve"> 2008 </w:t>
      </w:r>
      <w:proofErr w:type="spellStart"/>
      <w:r w:rsidRPr="00E94D23">
        <w:t>onwards</w:t>
      </w:r>
      <w:proofErr w:type="spellEnd"/>
      <w:r w:rsidRPr="00E94D23">
        <w:t xml:space="preserve">, </w:t>
      </w:r>
      <w:proofErr w:type="spellStart"/>
      <w:r w:rsidRPr="00E94D23">
        <w:t>emigration</w:t>
      </w:r>
      <w:proofErr w:type="spellEnd"/>
      <w:r w:rsidRPr="00E94D23">
        <w:t xml:space="preserve"> </w:t>
      </w:r>
      <w:proofErr w:type="spellStart"/>
      <w:r w:rsidRPr="00E94D23">
        <w:t>rose</w:t>
      </w:r>
      <w:proofErr w:type="spellEnd"/>
      <w:r w:rsidRPr="00E94D23">
        <w:t xml:space="preserve"> </w:t>
      </w:r>
      <w:proofErr w:type="spellStart"/>
      <w:r w:rsidRPr="00E94D23">
        <w:t>rapidly</w:t>
      </w:r>
      <w:proofErr w:type="spellEnd"/>
      <w:r w:rsidRPr="00E94D23">
        <w:t xml:space="preserve"> (82 000 </w:t>
      </w:r>
      <w:proofErr w:type="spellStart"/>
      <w:r w:rsidRPr="00E94D23">
        <w:t>emigrants</w:t>
      </w:r>
      <w:proofErr w:type="spellEnd"/>
      <w:r w:rsidRPr="00E94D23">
        <w:t xml:space="preserve"> in 2012 </w:t>
      </w:r>
      <w:proofErr w:type="spellStart"/>
      <w:r w:rsidRPr="00E94D23">
        <w:t>alone</w:t>
      </w:r>
      <w:proofErr w:type="spellEnd"/>
      <w:r w:rsidRPr="00E94D23">
        <w:t xml:space="preserve">). </w:t>
      </w:r>
    </w:p>
    <w:p w:rsidR="0061568C" w:rsidRPr="00E94D23" w:rsidRDefault="00E33EF4" w:rsidP="00C376B1">
      <w:pPr>
        <w:pStyle w:val="ListParagraph"/>
        <w:numPr>
          <w:ilvl w:val="0"/>
          <w:numId w:val="76"/>
        </w:numPr>
        <w:ind w:left="567" w:hanging="567"/>
      </w:pPr>
      <w:proofErr w:type="spellStart"/>
      <w:r w:rsidRPr="00E94D23">
        <w:t>Welfare</w:t>
      </w:r>
      <w:proofErr w:type="spellEnd"/>
      <w:r w:rsidRPr="00E94D23">
        <w:t xml:space="preserve"> </w:t>
      </w:r>
      <w:proofErr w:type="spellStart"/>
      <w:r w:rsidRPr="00E94D23">
        <w:t>benefits</w:t>
      </w:r>
      <w:proofErr w:type="spellEnd"/>
      <w:r w:rsidRPr="00E94D23">
        <w:t xml:space="preserve"> </w:t>
      </w:r>
      <w:proofErr w:type="spellStart"/>
      <w:r w:rsidRPr="00E94D23">
        <w:t>were</w:t>
      </w:r>
      <w:proofErr w:type="spellEnd"/>
      <w:r w:rsidRPr="00E94D23">
        <w:t xml:space="preserve"> </w:t>
      </w:r>
      <w:proofErr w:type="spellStart"/>
      <w:r w:rsidRPr="00E94D23">
        <w:t>reduced</w:t>
      </w:r>
      <w:proofErr w:type="spellEnd"/>
      <w:r w:rsidRPr="00E94D23">
        <w:t xml:space="preserve"> </w:t>
      </w:r>
      <w:proofErr w:type="spellStart"/>
      <w:r w:rsidRPr="00E94D23">
        <w:t>by</w:t>
      </w:r>
      <w:proofErr w:type="spellEnd"/>
      <w:r w:rsidRPr="00E94D23">
        <w:t xml:space="preserve"> </w:t>
      </w:r>
      <w:proofErr w:type="spellStart"/>
      <w:r w:rsidRPr="00E94D23">
        <w:t>about</w:t>
      </w:r>
      <w:proofErr w:type="spellEnd"/>
      <w:r w:rsidRPr="00E94D23">
        <w:t xml:space="preserve"> 15%.</w:t>
      </w:r>
    </w:p>
    <w:p w:rsidR="0061568C" w:rsidRPr="00E94D23" w:rsidRDefault="00E33EF4" w:rsidP="00C376B1">
      <w:pPr>
        <w:pStyle w:val="ListParagraph"/>
        <w:numPr>
          <w:ilvl w:val="0"/>
          <w:numId w:val="77"/>
        </w:numPr>
        <w:ind w:left="567" w:hanging="567"/>
      </w:pPr>
      <w:r w:rsidRPr="00E94D23">
        <w:t xml:space="preserve">In </w:t>
      </w:r>
      <w:proofErr w:type="spellStart"/>
      <w:r w:rsidRPr="00E94D23">
        <w:t>addition</w:t>
      </w:r>
      <w:proofErr w:type="spellEnd"/>
      <w:r w:rsidRPr="00E94D23">
        <w:t xml:space="preserve"> </w:t>
      </w:r>
      <w:proofErr w:type="spellStart"/>
      <w:r w:rsidRPr="00E94D23">
        <w:t>to</w:t>
      </w:r>
      <w:proofErr w:type="spellEnd"/>
      <w:r w:rsidRPr="00E94D23">
        <w:t xml:space="preserve"> public sector </w:t>
      </w:r>
      <w:proofErr w:type="spellStart"/>
      <w:r w:rsidRPr="00E94D23">
        <w:t>and</w:t>
      </w:r>
      <w:proofErr w:type="spellEnd"/>
      <w:r w:rsidRPr="00E94D23">
        <w:t xml:space="preserve"> </w:t>
      </w:r>
      <w:proofErr w:type="spellStart"/>
      <w:r w:rsidRPr="00E94D23">
        <w:t>welfare</w:t>
      </w:r>
      <w:proofErr w:type="spellEnd"/>
      <w:r w:rsidRPr="00E94D23">
        <w:t xml:space="preserve"> </w:t>
      </w:r>
      <w:proofErr w:type="spellStart"/>
      <w:r w:rsidRPr="00E94D23">
        <w:t>benefit</w:t>
      </w:r>
      <w:proofErr w:type="spellEnd"/>
      <w:r w:rsidRPr="00E94D23">
        <w:t xml:space="preserve"> </w:t>
      </w:r>
      <w:proofErr w:type="spellStart"/>
      <w:r w:rsidRPr="00E94D23">
        <w:t>cuts</w:t>
      </w:r>
      <w:proofErr w:type="spellEnd"/>
      <w:r w:rsidRPr="00E94D23">
        <w:t xml:space="preserve">, </w:t>
      </w:r>
      <w:proofErr w:type="spellStart"/>
      <w:r w:rsidRPr="00E94D23">
        <w:t>the</w:t>
      </w:r>
      <w:proofErr w:type="spellEnd"/>
      <w:r w:rsidRPr="00E94D23">
        <w:t xml:space="preserve"> </w:t>
      </w:r>
      <w:proofErr w:type="spellStart"/>
      <w:r w:rsidRPr="00E94D23">
        <w:t>strategy</w:t>
      </w:r>
      <w:proofErr w:type="spellEnd"/>
      <w:r w:rsidRPr="00E94D23">
        <w:t xml:space="preserve"> </w:t>
      </w:r>
      <w:proofErr w:type="spellStart"/>
      <w:r w:rsidRPr="00E94D23">
        <w:t>was</w:t>
      </w:r>
      <w:proofErr w:type="spellEnd"/>
      <w:r w:rsidRPr="00E94D23">
        <w:t xml:space="preserve"> </w:t>
      </w:r>
      <w:proofErr w:type="spellStart"/>
      <w:r w:rsidRPr="00E94D23">
        <w:t>to</w:t>
      </w:r>
      <w:proofErr w:type="spellEnd"/>
      <w:r w:rsidRPr="00E94D23">
        <w:t xml:space="preserve"> </w:t>
      </w:r>
      <w:proofErr w:type="spellStart"/>
      <w:r w:rsidRPr="00E94D23">
        <w:t>cut</w:t>
      </w:r>
      <w:proofErr w:type="spellEnd"/>
      <w:r w:rsidRPr="00E94D23">
        <w:t xml:space="preserve"> back staff in </w:t>
      </w:r>
      <w:proofErr w:type="spellStart"/>
      <w:r w:rsidRPr="00E94D23">
        <w:t>the</w:t>
      </w:r>
      <w:proofErr w:type="spellEnd"/>
      <w:r w:rsidRPr="00E94D23">
        <w:t xml:space="preserve"> public sector (</w:t>
      </w:r>
      <w:proofErr w:type="spellStart"/>
      <w:r w:rsidRPr="00E94D23">
        <w:t>health</w:t>
      </w:r>
      <w:proofErr w:type="spellEnd"/>
      <w:r w:rsidRPr="00E94D23">
        <w:t xml:space="preserve">, </w:t>
      </w:r>
      <w:proofErr w:type="spellStart"/>
      <w:r w:rsidRPr="00E94D23">
        <w:t>education</w:t>
      </w:r>
      <w:proofErr w:type="spellEnd"/>
      <w:r w:rsidRPr="00E94D23">
        <w:t xml:space="preserve">, </w:t>
      </w:r>
      <w:proofErr w:type="spellStart"/>
      <w:r w:rsidRPr="00E94D23">
        <w:t>security</w:t>
      </w:r>
      <w:proofErr w:type="spellEnd"/>
      <w:r w:rsidRPr="00E94D23">
        <w:t xml:space="preserve"> </w:t>
      </w:r>
      <w:proofErr w:type="spellStart"/>
      <w:r w:rsidRPr="00E94D23">
        <w:t>and</w:t>
      </w:r>
      <w:proofErr w:type="spellEnd"/>
      <w:r w:rsidRPr="00E94D23">
        <w:t xml:space="preserve"> </w:t>
      </w:r>
      <w:proofErr w:type="spellStart"/>
      <w:r w:rsidRPr="00E94D23">
        <w:t>the</w:t>
      </w:r>
      <w:proofErr w:type="spellEnd"/>
      <w:r w:rsidRPr="00E94D23">
        <w:t xml:space="preserve"> civil service) </w:t>
      </w:r>
      <w:proofErr w:type="spellStart"/>
      <w:r w:rsidRPr="00E94D23">
        <w:t>through</w:t>
      </w:r>
      <w:proofErr w:type="spellEnd"/>
      <w:r w:rsidRPr="00E94D23">
        <w:t xml:space="preserve"> </w:t>
      </w:r>
      <w:proofErr w:type="spellStart"/>
      <w:r w:rsidRPr="00E94D23">
        <w:t>voluntary</w:t>
      </w:r>
      <w:proofErr w:type="spellEnd"/>
      <w:r w:rsidRPr="00E94D23">
        <w:t xml:space="preserve"> </w:t>
      </w:r>
      <w:proofErr w:type="spellStart"/>
      <w:r w:rsidRPr="00E94D23">
        <w:t>redundancies</w:t>
      </w:r>
      <w:proofErr w:type="spellEnd"/>
      <w:r w:rsidRPr="00E94D23">
        <w:t xml:space="preserve">. </w:t>
      </w:r>
    </w:p>
    <w:p w:rsidR="0061568C" w:rsidRPr="00E94D23" w:rsidRDefault="00E33EF4" w:rsidP="00C376B1">
      <w:pPr>
        <w:pStyle w:val="ListParagraph"/>
        <w:numPr>
          <w:ilvl w:val="0"/>
          <w:numId w:val="78"/>
        </w:numPr>
        <w:ind w:left="567" w:hanging="567"/>
      </w:pPr>
      <w:r w:rsidRPr="00E94D23">
        <w:t xml:space="preserve">Net </w:t>
      </w:r>
      <w:proofErr w:type="spellStart"/>
      <w:r w:rsidRPr="00E94D23">
        <w:t>income</w:t>
      </w:r>
      <w:proofErr w:type="spellEnd"/>
      <w:r w:rsidRPr="00E94D23">
        <w:t xml:space="preserve"> in </w:t>
      </w:r>
      <w:proofErr w:type="spellStart"/>
      <w:r w:rsidRPr="00E94D23">
        <w:t>the</w:t>
      </w:r>
      <w:proofErr w:type="spellEnd"/>
      <w:r w:rsidRPr="00E94D23">
        <w:t xml:space="preserve"> </w:t>
      </w:r>
      <w:proofErr w:type="spellStart"/>
      <w:r w:rsidRPr="00E94D23">
        <w:t>lower</w:t>
      </w:r>
      <w:proofErr w:type="spellEnd"/>
      <w:r w:rsidRPr="00E94D23">
        <w:t xml:space="preserve"> decile </w:t>
      </w:r>
      <w:proofErr w:type="spellStart"/>
      <w:r w:rsidRPr="00E94D23">
        <w:t>fell</w:t>
      </w:r>
      <w:proofErr w:type="spellEnd"/>
      <w:r w:rsidRPr="00E94D23">
        <w:t xml:space="preserve"> </w:t>
      </w:r>
      <w:proofErr w:type="spellStart"/>
      <w:r w:rsidRPr="00E94D23">
        <w:t>by</w:t>
      </w:r>
      <w:proofErr w:type="spellEnd"/>
      <w:r w:rsidRPr="00E94D23">
        <w:t xml:space="preserve"> 25%.</w:t>
      </w:r>
    </w:p>
    <w:p w:rsidR="0061568C" w:rsidRPr="00E94D23" w:rsidRDefault="00E33EF4" w:rsidP="00C376B1">
      <w:pPr>
        <w:pStyle w:val="ListParagraph"/>
        <w:numPr>
          <w:ilvl w:val="0"/>
          <w:numId w:val="79"/>
        </w:numPr>
        <w:ind w:left="567" w:hanging="567"/>
        <w:rPr>
          <w:b/>
          <w:i/>
        </w:rPr>
      </w:pPr>
      <w:r w:rsidRPr="00E94D23">
        <w:t xml:space="preserve">The </w:t>
      </w:r>
      <w:proofErr w:type="spellStart"/>
      <w:r w:rsidRPr="00E94D23">
        <w:t>percentage</w:t>
      </w:r>
      <w:proofErr w:type="spellEnd"/>
      <w:r w:rsidRPr="00E94D23">
        <w:t xml:space="preserve"> of </w:t>
      </w:r>
      <w:proofErr w:type="spellStart"/>
      <w:r w:rsidRPr="00E94D23">
        <w:t>the</w:t>
      </w:r>
      <w:proofErr w:type="spellEnd"/>
      <w:r w:rsidRPr="00E94D23">
        <w:t xml:space="preserve"> </w:t>
      </w:r>
      <w:proofErr w:type="spellStart"/>
      <w:r w:rsidRPr="00E94D23">
        <w:t>population</w:t>
      </w:r>
      <w:proofErr w:type="spellEnd"/>
      <w:r w:rsidRPr="00E94D23">
        <w:t xml:space="preserve"> at </w:t>
      </w:r>
      <w:proofErr w:type="spellStart"/>
      <w:r w:rsidRPr="00E94D23">
        <w:t>risk</w:t>
      </w:r>
      <w:proofErr w:type="spellEnd"/>
      <w:r w:rsidRPr="00E94D23">
        <w:t xml:space="preserve"> of </w:t>
      </w:r>
      <w:proofErr w:type="spellStart"/>
      <w:r w:rsidRPr="00E94D23">
        <w:t>poverty</w:t>
      </w:r>
      <w:proofErr w:type="spellEnd"/>
      <w:r w:rsidRPr="00E94D23">
        <w:t xml:space="preserve"> </w:t>
      </w:r>
      <w:proofErr w:type="spellStart"/>
      <w:r w:rsidRPr="00E94D23">
        <w:t>rose</w:t>
      </w:r>
      <w:proofErr w:type="spellEnd"/>
      <w:r w:rsidRPr="00E94D23">
        <w:t xml:space="preserve"> </w:t>
      </w:r>
      <w:proofErr w:type="spellStart"/>
      <w:r w:rsidRPr="00E94D23">
        <w:t>to</w:t>
      </w:r>
      <w:proofErr w:type="spellEnd"/>
      <w:r w:rsidRPr="00E94D23">
        <w:t xml:space="preserve"> 15.8% (</w:t>
      </w:r>
      <w:proofErr w:type="spellStart"/>
      <w:r w:rsidRPr="00E94D23">
        <w:t>around</w:t>
      </w:r>
      <w:proofErr w:type="spellEnd"/>
      <w:r w:rsidRPr="00E94D23">
        <w:t xml:space="preserve"> 700 000 </w:t>
      </w:r>
      <w:proofErr w:type="spellStart"/>
      <w:r w:rsidRPr="00E94D23">
        <w:t>people</w:t>
      </w:r>
      <w:proofErr w:type="spellEnd"/>
      <w:r w:rsidRPr="00E94D23">
        <w:t xml:space="preserve">, 220 000 of </w:t>
      </w:r>
      <w:proofErr w:type="spellStart"/>
      <w:r w:rsidRPr="00E94D23">
        <w:t>whom</w:t>
      </w:r>
      <w:proofErr w:type="spellEnd"/>
      <w:r w:rsidRPr="00E94D23">
        <w:t xml:space="preserve"> </w:t>
      </w:r>
      <w:proofErr w:type="spellStart"/>
      <w:r w:rsidRPr="00E94D23">
        <w:t>were</w:t>
      </w:r>
      <w:proofErr w:type="spellEnd"/>
      <w:r w:rsidRPr="00E94D23">
        <w:t xml:space="preserve"> </w:t>
      </w:r>
      <w:proofErr w:type="spellStart"/>
      <w:r w:rsidRPr="00E94D23">
        <w:t>children</w:t>
      </w:r>
      <w:proofErr w:type="spellEnd"/>
      <w:r w:rsidRPr="00E94D23">
        <w:t>)</w:t>
      </w:r>
      <w:r w:rsidRPr="00E94D23">
        <w:rPr>
          <w:rStyle w:val="FootnoteReference"/>
        </w:rPr>
        <w:footnoteReference w:id="12"/>
      </w:r>
      <w:r w:rsidRPr="00E94D23">
        <w:t>.</w:t>
      </w:r>
    </w:p>
    <w:p w:rsidR="0061568C" w:rsidRPr="00E94D23" w:rsidRDefault="00E33EF4" w:rsidP="00C376B1">
      <w:pPr>
        <w:pStyle w:val="ListParagraph"/>
        <w:numPr>
          <w:ilvl w:val="0"/>
          <w:numId w:val="80"/>
        </w:numPr>
        <w:ind w:left="567" w:hanging="567"/>
        <w:rPr>
          <w:b/>
          <w:i/>
        </w:rPr>
      </w:pPr>
      <w:r w:rsidRPr="00E94D23">
        <w:t xml:space="preserve">The complete </w:t>
      </w:r>
      <w:proofErr w:type="spellStart"/>
      <w:r w:rsidRPr="00E94D23">
        <w:t>standstill</w:t>
      </w:r>
      <w:proofErr w:type="spellEnd"/>
      <w:r w:rsidRPr="00E94D23">
        <w:t xml:space="preserve"> in </w:t>
      </w:r>
      <w:proofErr w:type="spellStart"/>
      <w:r w:rsidRPr="00E94D23">
        <w:t>construction</w:t>
      </w:r>
      <w:proofErr w:type="spellEnd"/>
      <w:r w:rsidRPr="00E94D23">
        <w:t xml:space="preserve"> </w:t>
      </w:r>
      <w:proofErr w:type="spellStart"/>
      <w:r w:rsidRPr="00E94D23">
        <w:t>programmes</w:t>
      </w:r>
      <w:proofErr w:type="spellEnd"/>
      <w:r w:rsidRPr="00E94D23">
        <w:t xml:space="preserve"> </w:t>
      </w:r>
      <w:proofErr w:type="spellStart"/>
      <w:r w:rsidRPr="00E94D23">
        <w:t>created</w:t>
      </w:r>
      <w:proofErr w:type="spellEnd"/>
      <w:r w:rsidRPr="00E94D23">
        <w:t xml:space="preserve"> a </w:t>
      </w:r>
      <w:proofErr w:type="spellStart"/>
      <w:r w:rsidRPr="00E94D23">
        <w:t>shortage</w:t>
      </w:r>
      <w:proofErr w:type="spellEnd"/>
      <w:r w:rsidRPr="00E94D23">
        <w:t xml:space="preserve"> in </w:t>
      </w:r>
      <w:proofErr w:type="spellStart"/>
      <w:r w:rsidRPr="00E94D23">
        <w:t>the</w:t>
      </w:r>
      <w:proofErr w:type="spellEnd"/>
      <w:r w:rsidRPr="00E94D23">
        <w:t xml:space="preserve"> </w:t>
      </w:r>
      <w:proofErr w:type="spellStart"/>
      <w:r w:rsidRPr="00E94D23">
        <w:t>availability</w:t>
      </w:r>
      <w:proofErr w:type="spellEnd"/>
      <w:r w:rsidRPr="00E94D23">
        <w:t xml:space="preserve"> of </w:t>
      </w:r>
      <w:proofErr w:type="spellStart"/>
      <w:r w:rsidRPr="00E94D23">
        <w:t>housing</w:t>
      </w:r>
      <w:proofErr w:type="spellEnd"/>
      <w:r w:rsidRPr="00E94D23">
        <w:t xml:space="preserve"> </w:t>
      </w:r>
      <w:proofErr w:type="spellStart"/>
      <w:r w:rsidRPr="00E94D23">
        <w:t>that</w:t>
      </w:r>
      <w:proofErr w:type="spellEnd"/>
      <w:r w:rsidRPr="00E94D23">
        <w:t xml:space="preserve"> </w:t>
      </w:r>
      <w:proofErr w:type="spellStart"/>
      <w:r w:rsidRPr="00E94D23">
        <w:t>lasted</w:t>
      </w:r>
      <w:proofErr w:type="spellEnd"/>
      <w:r w:rsidRPr="00E94D23">
        <w:t xml:space="preserve"> for a decade </w:t>
      </w:r>
      <w:proofErr w:type="spellStart"/>
      <w:r w:rsidRPr="00E94D23">
        <w:t>after</w:t>
      </w:r>
      <w:proofErr w:type="spellEnd"/>
      <w:r w:rsidRPr="00E94D23">
        <w:t xml:space="preserve"> </w:t>
      </w:r>
      <w:proofErr w:type="spellStart"/>
      <w:r w:rsidRPr="00E94D23">
        <w:t>the</w:t>
      </w:r>
      <w:proofErr w:type="spellEnd"/>
      <w:r w:rsidRPr="00E94D23">
        <w:t xml:space="preserve"> </w:t>
      </w:r>
      <w:proofErr w:type="spellStart"/>
      <w:r w:rsidRPr="00E94D23">
        <w:t>collapse</w:t>
      </w:r>
      <w:proofErr w:type="spellEnd"/>
      <w:r w:rsidRPr="00E94D23">
        <w:t xml:space="preserve">. </w:t>
      </w:r>
      <w:proofErr w:type="spellStart"/>
      <w:r w:rsidRPr="00E94D23">
        <w:t>Businesses</w:t>
      </w:r>
      <w:proofErr w:type="spellEnd"/>
      <w:r w:rsidRPr="00E94D23">
        <w:t xml:space="preserve"> </w:t>
      </w:r>
      <w:proofErr w:type="spellStart"/>
      <w:r w:rsidRPr="00E94D23">
        <w:t>linked</w:t>
      </w:r>
      <w:proofErr w:type="spellEnd"/>
      <w:r w:rsidRPr="00E94D23">
        <w:t xml:space="preserve"> </w:t>
      </w:r>
      <w:proofErr w:type="spellStart"/>
      <w:r w:rsidRPr="00E94D23">
        <w:t>to</w:t>
      </w:r>
      <w:proofErr w:type="spellEnd"/>
      <w:r w:rsidRPr="00E94D23">
        <w:t xml:space="preserve"> </w:t>
      </w:r>
      <w:proofErr w:type="spellStart"/>
      <w:r w:rsidRPr="00E94D23">
        <w:t>the</w:t>
      </w:r>
      <w:proofErr w:type="spellEnd"/>
      <w:r w:rsidRPr="00E94D23">
        <w:t xml:space="preserve"> sector, </w:t>
      </w:r>
      <w:proofErr w:type="spellStart"/>
      <w:r w:rsidRPr="00E94D23">
        <w:t>mainly</w:t>
      </w:r>
      <w:proofErr w:type="spellEnd"/>
      <w:r w:rsidRPr="00E94D23">
        <w:t xml:space="preserve"> </w:t>
      </w:r>
      <w:proofErr w:type="spellStart"/>
      <w:r w:rsidRPr="00E94D23">
        <w:t>SMEs</w:t>
      </w:r>
      <w:proofErr w:type="spellEnd"/>
      <w:r w:rsidRPr="00E94D23">
        <w:t xml:space="preserve">, </w:t>
      </w:r>
      <w:proofErr w:type="spellStart"/>
      <w:r w:rsidRPr="00E94D23">
        <w:t>were</w:t>
      </w:r>
      <w:proofErr w:type="spellEnd"/>
      <w:r w:rsidRPr="00E94D23">
        <w:t xml:space="preserve"> hard hit, </w:t>
      </w:r>
      <w:proofErr w:type="spellStart"/>
      <w:r w:rsidRPr="00E94D23">
        <w:t>leading</w:t>
      </w:r>
      <w:proofErr w:type="spellEnd"/>
      <w:r w:rsidRPr="00E94D23">
        <w:t xml:space="preserve"> </w:t>
      </w:r>
      <w:proofErr w:type="spellStart"/>
      <w:r w:rsidRPr="00E94D23">
        <w:t>to</w:t>
      </w:r>
      <w:proofErr w:type="spellEnd"/>
      <w:r w:rsidRPr="00E94D23">
        <w:t xml:space="preserve"> </w:t>
      </w:r>
      <w:proofErr w:type="spellStart"/>
      <w:r w:rsidRPr="00E94D23">
        <w:t>very</w:t>
      </w:r>
      <w:proofErr w:type="spellEnd"/>
      <w:r w:rsidRPr="00E94D23">
        <w:t xml:space="preserve"> negative </w:t>
      </w:r>
      <w:proofErr w:type="spellStart"/>
      <w:r w:rsidRPr="00E94D23">
        <w:t>consequences</w:t>
      </w:r>
      <w:proofErr w:type="spellEnd"/>
      <w:r w:rsidRPr="00E94D23">
        <w:t xml:space="preserve"> for </w:t>
      </w:r>
      <w:proofErr w:type="spellStart"/>
      <w:r w:rsidRPr="00E94D23">
        <w:t>employers</w:t>
      </w:r>
      <w:proofErr w:type="spellEnd"/>
      <w:r w:rsidRPr="00E94D23">
        <w:t xml:space="preserve"> </w:t>
      </w:r>
      <w:proofErr w:type="spellStart"/>
      <w:r w:rsidRPr="00E94D23">
        <w:t>and</w:t>
      </w:r>
      <w:proofErr w:type="spellEnd"/>
      <w:r w:rsidRPr="00E94D23">
        <w:t xml:space="preserve"> </w:t>
      </w:r>
      <w:proofErr w:type="spellStart"/>
      <w:r w:rsidRPr="00E94D23">
        <w:t>workers</w:t>
      </w:r>
      <w:proofErr w:type="spellEnd"/>
      <w:r w:rsidRPr="00E94D23">
        <w:t xml:space="preserve">. </w:t>
      </w:r>
    </w:p>
    <w:p w:rsidR="0061568C" w:rsidRPr="00E94D23" w:rsidRDefault="0061568C" w:rsidP="00E33EF4"/>
    <w:p w:rsidR="0061568C" w:rsidRPr="00E94D23" w:rsidRDefault="0061568C" w:rsidP="00E33EF4">
      <w:pPr>
        <w:keepNext/>
        <w:outlineLvl w:val="1"/>
        <w:rPr>
          <w:b/>
        </w:rPr>
      </w:pPr>
      <w:r w:rsidRPr="00E94D23">
        <w:rPr>
          <w:b/>
        </w:rPr>
        <w:t xml:space="preserve">The social </w:t>
      </w:r>
      <w:proofErr w:type="spellStart"/>
      <w:r w:rsidRPr="00E94D23">
        <w:rPr>
          <w:b/>
        </w:rPr>
        <w:t>effects</w:t>
      </w:r>
      <w:proofErr w:type="spellEnd"/>
      <w:r w:rsidRPr="00E94D23">
        <w:rPr>
          <w:b/>
        </w:rPr>
        <w:t xml:space="preserve"> </w:t>
      </w:r>
      <w:proofErr w:type="spellStart"/>
      <w:r w:rsidRPr="00E94D23">
        <w:rPr>
          <w:b/>
        </w:rPr>
        <w:t>and</w:t>
      </w:r>
      <w:proofErr w:type="spellEnd"/>
      <w:r w:rsidRPr="00E94D23">
        <w:rPr>
          <w:b/>
        </w:rPr>
        <w:t xml:space="preserve"> </w:t>
      </w:r>
      <w:proofErr w:type="spellStart"/>
      <w:r w:rsidRPr="00E94D23">
        <w:rPr>
          <w:b/>
        </w:rPr>
        <w:t>effects</w:t>
      </w:r>
      <w:proofErr w:type="spellEnd"/>
      <w:r w:rsidRPr="00E94D23">
        <w:rPr>
          <w:b/>
        </w:rPr>
        <w:t xml:space="preserve"> on </w:t>
      </w:r>
      <w:proofErr w:type="spellStart"/>
      <w:r w:rsidRPr="00E94D23">
        <w:rPr>
          <w:b/>
        </w:rPr>
        <w:t>the</w:t>
      </w:r>
      <w:proofErr w:type="spellEnd"/>
      <w:r w:rsidRPr="00E94D23">
        <w:rPr>
          <w:b/>
        </w:rPr>
        <w:t xml:space="preserve"> </w:t>
      </w:r>
      <w:proofErr w:type="spellStart"/>
      <w:r w:rsidRPr="00E94D23">
        <w:rPr>
          <w:b/>
        </w:rPr>
        <w:t>corporate</w:t>
      </w:r>
      <w:proofErr w:type="spellEnd"/>
      <w:r w:rsidRPr="00E94D23">
        <w:rPr>
          <w:b/>
        </w:rPr>
        <w:t xml:space="preserve"> </w:t>
      </w:r>
      <w:proofErr w:type="spellStart"/>
      <w:r w:rsidRPr="00E94D23">
        <w:rPr>
          <w:b/>
        </w:rPr>
        <w:t>structure</w:t>
      </w:r>
      <w:proofErr w:type="spellEnd"/>
      <w:r w:rsidRPr="00E94D23">
        <w:rPr>
          <w:b/>
        </w:rPr>
        <w:t xml:space="preserve"> of </w:t>
      </w:r>
      <w:proofErr w:type="spellStart"/>
      <w:r w:rsidRPr="00E94D23">
        <w:rPr>
          <w:b/>
        </w:rPr>
        <w:t>the</w:t>
      </w:r>
      <w:proofErr w:type="spellEnd"/>
      <w:r w:rsidRPr="00E94D23">
        <w:rPr>
          <w:b/>
        </w:rPr>
        <w:t xml:space="preserve"> </w:t>
      </w:r>
      <w:proofErr w:type="spellStart"/>
      <w:r w:rsidRPr="00E94D23">
        <w:rPr>
          <w:b/>
        </w:rPr>
        <w:t>austerity</w:t>
      </w:r>
      <w:proofErr w:type="spellEnd"/>
      <w:r w:rsidRPr="00E94D23">
        <w:rPr>
          <w:b/>
        </w:rPr>
        <w:t xml:space="preserve"> in </w:t>
      </w:r>
      <w:proofErr w:type="spellStart"/>
      <w:r w:rsidRPr="00E94D23">
        <w:rPr>
          <w:b/>
        </w:rPr>
        <w:t>Greece</w:t>
      </w:r>
      <w:proofErr w:type="spellEnd"/>
    </w:p>
    <w:p w:rsidR="0061568C" w:rsidRPr="00E94D23" w:rsidRDefault="0061568C" w:rsidP="00E33EF4">
      <w:pPr>
        <w:keepNext/>
      </w:pPr>
    </w:p>
    <w:p w:rsidR="0061568C" w:rsidRPr="00E94D23" w:rsidRDefault="0061568C" w:rsidP="00C376B1">
      <w:r w:rsidRPr="00E94D23">
        <w:t xml:space="preserve">The </w:t>
      </w:r>
      <w:proofErr w:type="spellStart"/>
      <w:r w:rsidRPr="00E94D23">
        <w:t>crisis</w:t>
      </w:r>
      <w:proofErr w:type="spellEnd"/>
      <w:r w:rsidRPr="00E94D23">
        <w:t xml:space="preserve"> </w:t>
      </w:r>
      <w:proofErr w:type="spellStart"/>
      <w:r w:rsidRPr="00E94D23">
        <w:t>and</w:t>
      </w:r>
      <w:proofErr w:type="spellEnd"/>
      <w:r w:rsidRPr="00E94D23">
        <w:t xml:space="preserve"> </w:t>
      </w:r>
      <w:proofErr w:type="spellStart"/>
      <w:r w:rsidRPr="00E94D23">
        <w:t>anti-crisis</w:t>
      </w:r>
      <w:proofErr w:type="spellEnd"/>
      <w:r w:rsidRPr="00E94D23">
        <w:t xml:space="preserve"> </w:t>
      </w:r>
      <w:proofErr w:type="spellStart"/>
      <w:r w:rsidRPr="00E94D23">
        <w:t>policies</w:t>
      </w:r>
      <w:proofErr w:type="spellEnd"/>
      <w:r w:rsidRPr="00E94D23">
        <w:t xml:space="preserve"> </w:t>
      </w:r>
      <w:proofErr w:type="spellStart"/>
      <w:r w:rsidRPr="00E94D23">
        <w:t>carried</w:t>
      </w:r>
      <w:proofErr w:type="spellEnd"/>
      <w:r w:rsidRPr="00E94D23">
        <w:t xml:space="preserve"> out in </w:t>
      </w:r>
      <w:proofErr w:type="spellStart"/>
      <w:r w:rsidRPr="00E94D23">
        <w:t>Greece</w:t>
      </w:r>
      <w:proofErr w:type="spellEnd"/>
      <w:r w:rsidRPr="00E94D23">
        <w:t xml:space="preserve"> </w:t>
      </w:r>
      <w:proofErr w:type="spellStart"/>
      <w:r w:rsidRPr="00E94D23">
        <w:t>had</w:t>
      </w:r>
      <w:proofErr w:type="spellEnd"/>
      <w:r w:rsidRPr="00E94D23">
        <w:t xml:space="preserve"> </w:t>
      </w:r>
      <w:proofErr w:type="spellStart"/>
      <w:r w:rsidRPr="00E94D23">
        <w:t>both</w:t>
      </w:r>
      <w:proofErr w:type="spellEnd"/>
      <w:r w:rsidRPr="00E94D23">
        <w:t xml:space="preserve"> direct </w:t>
      </w:r>
      <w:proofErr w:type="spellStart"/>
      <w:r w:rsidRPr="00E94D23">
        <w:t>and</w:t>
      </w:r>
      <w:proofErr w:type="spellEnd"/>
      <w:r w:rsidRPr="00E94D23">
        <w:t xml:space="preserve"> indirect </w:t>
      </w:r>
      <w:proofErr w:type="spellStart"/>
      <w:r w:rsidRPr="00E94D23">
        <w:t>detrimental</w:t>
      </w:r>
      <w:proofErr w:type="spellEnd"/>
      <w:r w:rsidRPr="00E94D23">
        <w:t xml:space="preserve"> </w:t>
      </w:r>
      <w:proofErr w:type="spellStart"/>
      <w:r w:rsidRPr="00E94D23">
        <w:t>effects</w:t>
      </w:r>
      <w:proofErr w:type="spellEnd"/>
      <w:r w:rsidRPr="00E94D23">
        <w:t xml:space="preserve"> on </w:t>
      </w:r>
      <w:proofErr w:type="spellStart"/>
      <w:r w:rsidRPr="00E94D23">
        <w:t>businesses</w:t>
      </w:r>
      <w:proofErr w:type="spellEnd"/>
      <w:r w:rsidRPr="00E94D23">
        <w:t xml:space="preserve"> (</w:t>
      </w:r>
      <w:proofErr w:type="spellStart"/>
      <w:r w:rsidRPr="00E94D23">
        <w:t>bankruptcy</w:t>
      </w:r>
      <w:proofErr w:type="spellEnd"/>
      <w:r w:rsidRPr="00E94D23">
        <w:t xml:space="preserve">), </w:t>
      </w:r>
      <w:proofErr w:type="spellStart"/>
      <w:r w:rsidRPr="00E94D23">
        <w:t>employment</w:t>
      </w:r>
      <w:proofErr w:type="spellEnd"/>
      <w:r w:rsidRPr="00E94D23">
        <w:t xml:space="preserve"> </w:t>
      </w:r>
      <w:proofErr w:type="spellStart"/>
      <w:r w:rsidRPr="00E94D23">
        <w:t>and</w:t>
      </w:r>
      <w:proofErr w:type="spellEnd"/>
      <w:r w:rsidRPr="00E94D23">
        <w:t xml:space="preserve"> </w:t>
      </w:r>
      <w:proofErr w:type="spellStart"/>
      <w:r w:rsidRPr="00E94D23">
        <w:t>the</w:t>
      </w:r>
      <w:proofErr w:type="spellEnd"/>
      <w:r w:rsidRPr="00E94D23">
        <w:t xml:space="preserve"> social </w:t>
      </w:r>
      <w:proofErr w:type="spellStart"/>
      <w:r w:rsidRPr="00E94D23">
        <w:t>dimension</w:t>
      </w:r>
      <w:proofErr w:type="spellEnd"/>
      <w:r w:rsidRPr="00E94D23">
        <w:t xml:space="preserve">. The impact </w:t>
      </w:r>
      <w:proofErr w:type="spellStart"/>
      <w:r w:rsidRPr="00E94D23">
        <w:t>was</w:t>
      </w:r>
      <w:proofErr w:type="spellEnd"/>
      <w:r w:rsidRPr="00E94D23">
        <w:t xml:space="preserve"> </w:t>
      </w:r>
      <w:proofErr w:type="spellStart"/>
      <w:r w:rsidRPr="00E94D23">
        <w:t>not</w:t>
      </w:r>
      <w:proofErr w:type="spellEnd"/>
      <w:r w:rsidRPr="00E94D23">
        <w:t xml:space="preserve"> </w:t>
      </w:r>
      <w:proofErr w:type="spellStart"/>
      <w:r w:rsidRPr="00E94D23">
        <w:t>felt</w:t>
      </w:r>
      <w:proofErr w:type="spellEnd"/>
      <w:r w:rsidRPr="00E94D23">
        <w:t xml:space="preserve"> </w:t>
      </w:r>
      <w:proofErr w:type="spellStart"/>
      <w:r w:rsidRPr="00E94D23">
        <w:t>equally</w:t>
      </w:r>
      <w:proofErr w:type="spellEnd"/>
      <w:r w:rsidRPr="00E94D23">
        <w:t xml:space="preserve"> </w:t>
      </w:r>
      <w:proofErr w:type="spellStart"/>
      <w:r w:rsidRPr="00E94D23">
        <w:t>by</w:t>
      </w:r>
      <w:proofErr w:type="spellEnd"/>
      <w:r w:rsidRPr="00E94D23">
        <w:t xml:space="preserve"> </w:t>
      </w:r>
      <w:proofErr w:type="spellStart"/>
      <w:r w:rsidRPr="00E94D23">
        <w:t>workers</w:t>
      </w:r>
      <w:proofErr w:type="spellEnd"/>
      <w:r w:rsidRPr="00E94D23">
        <w:t xml:space="preserve">, </w:t>
      </w:r>
      <w:proofErr w:type="spellStart"/>
      <w:r w:rsidRPr="00E94D23">
        <w:t>pensioners</w:t>
      </w:r>
      <w:proofErr w:type="spellEnd"/>
      <w:r w:rsidRPr="00E94D23">
        <w:t xml:space="preserve">, </w:t>
      </w:r>
      <w:proofErr w:type="spellStart"/>
      <w:r w:rsidRPr="00E94D23">
        <w:t>tax-payers</w:t>
      </w:r>
      <w:proofErr w:type="spellEnd"/>
      <w:r w:rsidRPr="00E94D23">
        <w:t xml:space="preserve"> </w:t>
      </w:r>
      <w:proofErr w:type="spellStart"/>
      <w:r w:rsidRPr="00E94D23">
        <w:t>and</w:t>
      </w:r>
      <w:proofErr w:type="spellEnd"/>
      <w:r w:rsidRPr="00E94D23">
        <w:t xml:space="preserve"> </w:t>
      </w:r>
      <w:proofErr w:type="spellStart"/>
      <w:r w:rsidRPr="00E94D23">
        <w:t>their</w:t>
      </w:r>
      <w:proofErr w:type="spellEnd"/>
      <w:r w:rsidRPr="00E94D23">
        <w:t xml:space="preserve"> </w:t>
      </w:r>
      <w:proofErr w:type="spellStart"/>
      <w:r w:rsidRPr="00E94D23">
        <w:t>families</w:t>
      </w:r>
      <w:proofErr w:type="spellEnd"/>
      <w:r w:rsidRPr="00E94D23">
        <w:t xml:space="preserve">: </w:t>
      </w:r>
    </w:p>
    <w:p w:rsidR="0061568C" w:rsidRPr="00E94D23" w:rsidRDefault="00E33EF4" w:rsidP="00C376B1">
      <w:pPr>
        <w:pStyle w:val="ListParagraph"/>
        <w:numPr>
          <w:ilvl w:val="0"/>
          <w:numId w:val="66"/>
        </w:numPr>
        <w:ind w:left="567" w:hanging="567"/>
      </w:pPr>
      <w:proofErr w:type="spellStart"/>
      <w:r w:rsidRPr="00E94D23">
        <w:t>the</w:t>
      </w:r>
      <w:proofErr w:type="spellEnd"/>
      <w:r w:rsidRPr="00E94D23">
        <w:t xml:space="preserve"> </w:t>
      </w:r>
      <w:proofErr w:type="spellStart"/>
      <w:r w:rsidRPr="00E94D23">
        <w:t>unemployment</w:t>
      </w:r>
      <w:proofErr w:type="spellEnd"/>
      <w:r w:rsidRPr="00E94D23">
        <w:t xml:space="preserve"> rate </w:t>
      </w:r>
      <w:proofErr w:type="spellStart"/>
      <w:r w:rsidRPr="00E94D23">
        <w:t>was</w:t>
      </w:r>
      <w:proofErr w:type="spellEnd"/>
      <w:r w:rsidRPr="00E94D23">
        <w:t xml:space="preserve"> 13.5% in </w:t>
      </w:r>
      <w:proofErr w:type="spellStart"/>
      <w:r w:rsidRPr="00E94D23">
        <w:t>October</w:t>
      </w:r>
      <w:proofErr w:type="spellEnd"/>
      <w:r w:rsidRPr="00E94D23">
        <w:t xml:space="preserve"> 2010; it </w:t>
      </w:r>
      <w:proofErr w:type="spellStart"/>
      <w:r w:rsidRPr="00E94D23">
        <w:t>rose</w:t>
      </w:r>
      <w:proofErr w:type="spellEnd"/>
      <w:r w:rsidRPr="00E94D23">
        <w:t xml:space="preserve"> </w:t>
      </w:r>
      <w:proofErr w:type="spellStart"/>
      <w:r w:rsidRPr="00E94D23">
        <w:t>to</w:t>
      </w:r>
      <w:proofErr w:type="spellEnd"/>
      <w:r w:rsidRPr="00E94D23">
        <w:t xml:space="preserve"> 27.5% in 2013;</w:t>
      </w:r>
    </w:p>
    <w:p w:rsidR="0061568C" w:rsidRPr="00E94D23" w:rsidRDefault="00E33EF4" w:rsidP="00C376B1">
      <w:pPr>
        <w:pStyle w:val="ListParagraph"/>
        <w:numPr>
          <w:ilvl w:val="0"/>
          <w:numId w:val="67"/>
        </w:numPr>
        <w:ind w:left="567" w:hanging="567"/>
      </w:pPr>
      <w:proofErr w:type="spellStart"/>
      <w:r w:rsidRPr="00E94D23">
        <w:t>youth</w:t>
      </w:r>
      <w:proofErr w:type="spellEnd"/>
      <w:r w:rsidRPr="00E94D23">
        <w:t xml:space="preserve"> </w:t>
      </w:r>
      <w:proofErr w:type="spellStart"/>
      <w:r w:rsidRPr="00E94D23">
        <w:t>unemployment</w:t>
      </w:r>
      <w:proofErr w:type="spellEnd"/>
      <w:r w:rsidRPr="00E94D23">
        <w:t xml:space="preserve"> </w:t>
      </w:r>
      <w:proofErr w:type="spellStart"/>
      <w:r w:rsidRPr="00E94D23">
        <w:t>remains</w:t>
      </w:r>
      <w:proofErr w:type="spellEnd"/>
      <w:r w:rsidRPr="00E94D23">
        <w:t xml:space="preserve"> at </w:t>
      </w:r>
      <w:proofErr w:type="spellStart"/>
      <w:r w:rsidRPr="00E94D23">
        <w:t>around</w:t>
      </w:r>
      <w:proofErr w:type="spellEnd"/>
      <w:r w:rsidRPr="00E94D23">
        <w:t xml:space="preserve"> 45.5%;</w:t>
      </w:r>
    </w:p>
    <w:p w:rsidR="0061568C" w:rsidRPr="00E94D23" w:rsidRDefault="00E33EF4" w:rsidP="00C376B1">
      <w:pPr>
        <w:pStyle w:val="ListParagraph"/>
        <w:numPr>
          <w:ilvl w:val="0"/>
          <w:numId w:val="68"/>
        </w:numPr>
        <w:ind w:left="567" w:hanging="567"/>
      </w:pPr>
      <w:r w:rsidRPr="00E94D23">
        <w:t xml:space="preserve">severe </w:t>
      </w:r>
      <w:proofErr w:type="spellStart"/>
      <w:r w:rsidRPr="00E94D23">
        <w:t>income</w:t>
      </w:r>
      <w:proofErr w:type="spellEnd"/>
      <w:r w:rsidRPr="00E94D23">
        <w:t xml:space="preserve"> </w:t>
      </w:r>
      <w:proofErr w:type="spellStart"/>
      <w:r w:rsidRPr="00E94D23">
        <w:t>losses</w:t>
      </w:r>
      <w:proofErr w:type="spellEnd"/>
      <w:r w:rsidRPr="00E94D23">
        <w:t xml:space="preserve"> are </w:t>
      </w:r>
      <w:proofErr w:type="spellStart"/>
      <w:r w:rsidRPr="00E94D23">
        <w:t>related</w:t>
      </w:r>
      <w:proofErr w:type="spellEnd"/>
      <w:r w:rsidRPr="00E94D23">
        <w:t xml:space="preserve"> </w:t>
      </w:r>
      <w:proofErr w:type="spellStart"/>
      <w:r w:rsidRPr="00E94D23">
        <w:t>to</w:t>
      </w:r>
      <w:proofErr w:type="spellEnd"/>
      <w:r w:rsidRPr="00E94D23">
        <w:t xml:space="preserve"> </w:t>
      </w:r>
      <w:proofErr w:type="spellStart"/>
      <w:r w:rsidRPr="00E94D23">
        <w:t>the</w:t>
      </w:r>
      <w:proofErr w:type="spellEnd"/>
      <w:r w:rsidRPr="00E94D23">
        <w:t xml:space="preserve"> </w:t>
      </w:r>
      <w:proofErr w:type="spellStart"/>
      <w:r w:rsidRPr="00E94D23">
        <w:t>high</w:t>
      </w:r>
      <w:proofErr w:type="spellEnd"/>
      <w:r w:rsidRPr="00E94D23">
        <w:t xml:space="preserve"> </w:t>
      </w:r>
      <w:proofErr w:type="spellStart"/>
      <w:r w:rsidRPr="00E94D23">
        <w:t>rates</w:t>
      </w:r>
      <w:proofErr w:type="spellEnd"/>
      <w:r w:rsidRPr="00E94D23">
        <w:t xml:space="preserve"> of </w:t>
      </w:r>
      <w:proofErr w:type="spellStart"/>
      <w:r w:rsidRPr="00E94D23">
        <w:t>unemployment</w:t>
      </w:r>
      <w:proofErr w:type="spellEnd"/>
      <w:r w:rsidRPr="00E94D23">
        <w:t>;</w:t>
      </w:r>
    </w:p>
    <w:p w:rsidR="0061568C" w:rsidRPr="00E94D23" w:rsidRDefault="00E33EF4" w:rsidP="00C376B1">
      <w:pPr>
        <w:pStyle w:val="ListParagraph"/>
        <w:numPr>
          <w:ilvl w:val="0"/>
          <w:numId w:val="69"/>
        </w:numPr>
        <w:ind w:left="567" w:hanging="567"/>
      </w:pPr>
      <w:r w:rsidRPr="00E94D23">
        <w:t xml:space="preserve">drastic </w:t>
      </w:r>
      <w:proofErr w:type="spellStart"/>
      <w:r w:rsidRPr="00E94D23">
        <w:t>cuts</w:t>
      </w:r>
      <w:proofErr w:type="spellEnd"/>
      <w:r w:rsidRPr="00E94D23">
        <w:t xml:space="preserve"> in </w:t>
      </w:r>
      <w:proofErr w:type="spellStart"/>
      <w:r w:rsidRPr="00E94D23">
        <w:t>wages</w:t>
      </w:r>
      <w:proofErr w:type="spellEnd"/>
      <w:r w:rsidRPr="00E94D23">
        <w:t xml:space="preserve"> </w:t>
      </w:r>
      <w:proofErr w:type="spellStart"/>
      <w:r w:rsidRPr="00E94D23">
        <w:t>and</w:t>
      </w:r>
      <w:proofErr w:type="spellEnd"/>
      <w:r w:rsidRPr="00E94D23">
        <w:t xml:space="preserve"> </w:t>
      </w:r>
      <w:proofErr w:type="spellStart"/>
      <w:r w:rsidRPr="00E94D23">
        <w:t>pensions</w:t>
      </w:r>
      <w:proofErr w:type="spellEnd"/>
      <w:r w:rsidRPr="00E94D23">
        <w:t xml:space="preserve">, </w:t>
      </w:r>
      <w:proofErr w:type="spellStart"/>
      <w:r w:rsidRPr="00E94D23">
        <w:t>combined</w:t>
      </w:r>
      <w:proofErr w:type="spellEnd"/>
      <w:r w:rsidRPr="00E94D23">
        <w:t xml:space="preserve"> </w:t>
      </w:r>
      <w:proofErr w:type="spellStart"/>
      <w:r w:rsidRPr="00E94D23">
        <w:t>with</w:t>
      </w:r>
      <w:proofErr w:type="spellEnd"/>
      <w:r w:rsidRPr="00E94D23">
        <w:t xml:space="preserve"> </w:t>
      </w:r>
      <w:proofErr w:type="spellStart"/>
      <w:r w:rsidRPr="00E94D23">
        <w:t>part-time</w:t>
      </w:r>
      <w:proofErr w:type="spellEnd"/>
      <w:r w:rsidRPr="00E94D23">
        <w:t xml:space="preserve"> </w:t>
      </w:r>
      <w:proofErr w:type="spellStart"/>
      <w:r w:rsidRPr="00E94D23">
        <w:t>jobs</w:t>
      </w:r>
      <w:proofErr w:type="spellEnd"/>
      <w:r w:rsidRPr="00E94D23">
        <w:t xml:space="preserve">, </w:t>
      </w:r>
      <w:proofErr w:type="spellStart"/>
      <w:r w:rsidRPr="00E94D23">
        <w:t>over-indebtedness</w:t>
      </w:r>
      <w:proofErr w:type="spellEnd"/>
      <w:r w:rsidRPr="00E94D23">
        <w:t xml:space="preserve"> </w:t>
      </w:r>
      <w:proofErr w:type="spellStart"/>
      <w:r w:rsidRPr="00E94D23">
        <w:t>and</w:t>
      </w:r>
      <w:proofErr w:type="spellEnd"/>
      <w:r w:rsidRPr="00E94D23">
        <w:t xml:space="preserve"> </w:t>
      </w:r>
      <w:proofErr w:type="spellStart"/>
      <w:r w:rsidRPr="00E94D23">
        <w:t>high</w:t>
      </w:r>
      <w:proofErr w:type="spellEnd"/>
      <w:r w:rsidRPr="00E94D23">
        <w:t xml:space="preserve"> </w:t>
      </w:r>
      <w:proofErr w:type="spellStart"/>
      <w:r w:rsidRPr="00E94D23">
        <w:t>taxes</w:t>
      </w:r>
      <w:proofErr w:type="spellEnd"/>
      <w:r w:rsidRPr="00E94D23">
        <w:t xml:space="preserve">, </w:t>
      </w:r>
      <w:proofErr w:type="spellStart"/>
      <w:r w:rsidRPr="00E94D23">
        <w:t>drastically</w:t>
      </w:r>
      <w:proofErr w:type="spellEnd"/>
      <w:r w:rsidRPr="00E94D23">
        <w:t xml:space="preserve"> </w:t>
      </w:r>
      <w:proofErr w:type="spellStart"/>
      <w:r w:rsidRPr="00E94D23">
        <w:t>reduced</w:t>
      </w:r>
      <w:proofErr w:type="spellEnd"/>
      <w:r w:rsidRPr="00E94D23">
        <w:t xml:space="preserve"> </w:t>
      </w:r>
      <w:proofErr w:type="spellStart"/>
      <w:r w:rsidRPr="00E94D23">
        <w:t>family</w:t>
      </w:r>
      <w:proofErr w:type="spellEnd"/>
      <w:r w:rsidRPr="00E94D23">
        <w:t xml:space="preserve"> </w:t>
      </w:r>
      <w:proofErr w:type="spellStart"/>
      <w:r w:rsidRPr="00E94D23">
        <w:t>incomes</w:t>
      </w:r>
      <w:proofErr w:type="spellEnd"/>
      <w:r w:rsidRPr="00E94D23">
        <w:t xml:space="preserve">, </w:t>
      </w:r>
      <w:proofErr w:type="spellStart"/>
      <w:r w:rsidRPr="00E94D23">
        <w:t>corroded</w:t>
      </w:r>
      <w:proofErr w:type="spellEnd"/>
      <w:r w:rsidRPr="00E94D23">
        <w:t xml:space="preserve"> </w:t>
      </w:r>
      <w:proofErr w:type="spellStart"/>
      <w:r w:rsidRPr="00E94D23">
        <w:t>purchasing</w:t>
      </w:r>
      <w:proofErr w:type="spellEnd"/>
      <w:r w:rsidRPr="00E94D23">
        <w:t xml:space="preserve"> </w:t>
      </w:r>
      <w:proofErr w:type="spellStart"/>
      <w:r w:rsidRPr="00E94D23">
        <w:t>power</w:t>
      </w:r>
      <w:proofErr w:type="spellEnd"/>
      <w:r w:rsidRPr="00E94D23">
        <w:t xml:space="preserve"> </w:t>
      </w:r>
      <w:proofErr w:type="spellStart"/>
      <w:r w:rsidRPr="00E94D23">
        <w:t>and</w:t>
      </w:r>
      <w:proofErr w:type="spellEnd"/>
      <w:r w:rsidRPr="00E94D23">
        <w:t xml:space="preserve"> </w:t>
      </w:r>
      <w:proofErr w:type="spellStart"/>
      <w:r w:rsidRPr="00E94D23">
        <w:t>marginalised</w:t>
      </w:r>
      <w:proofErr w:type="spellEnd"/>
      <w:r w:rsidRPr="00E94D23">
        <w:t xml:space="preserve"> large </w:t>
      </w:r>
      <w:proofErr w:type="spellStart"/>
      <w:r w:rsidRPr="00E94D23">
        <w:t>segments</w:t>
      </w:r>
      <w:proofErr w:type="spellEnd"/>
      <w:r w:rsidRPr="00E94D23">
        <w:t xml:space="preserve"> of </w:t>
      </w:r>
      <w:proofErr w:type="spellStart"/>
      <w:r w:rsidRPr="00E94D23">
        <w:t>the</w:t>
      </w:r>
      <w:proofErr w:type="spellEnd"/>
      <w:r w:rsidRPr="00E94D23">
        <w:t xml:space="preserve"> </w:t>
      </w:r>
      <w:proofErr w:type="spellStart"/>
      <w:r w:rsidRPr="00E94D23">
        <w:t>population</w:t>
      </w:r>
      <w:proofErr w:type="spellEnd"/>
      <w:r w:rsidRPr="00E94D23">
        <w:t xml:space="preserve">; </w:t>
      </w:r>
    </w:p>
    <w:p w:rsidR="0061568C" w:rsidRPr="00E94D23" w:rsidRDefault="00E33EF4" w:rsidP="00C376B1">
      <w:pPr>
        <w:pStyle w:val="ListParagraph"/>
        <w:numPr>
          <w:ilvl w:val="0"/>
          <w:numId w:val="70"/>
        </w:numPr>
        <w:ind w:left="567" w:hanging="567"/>
      </w:pPr>
      <w:r w:rsidRPr="00E94D23">
        <w:t xml:space="preserve">civil </w:t>
      </w:r>
      <w:proofErr w:type="spellStart"/>
      <w:r w:rsidRPr="00E94D23">
        <w:t>society</w:t>
      </w:r>
      <w:proofErr w:type="spellEnd"/>
      <w:r w:rsidRPr="00E94D23">
        <w:t xml:space="preserve"> </w:t>
      </w:r>
      <w:proofErr w:type="spellStart"/>
      <w:r w:rsidRPr="00E94D23">
        <w:t>organisations</w:t>
      </w:r>
      <w:proofErr w:type="spellEnd"/>
      <w:r w:rsidRPr="00E94D23">
        <w:t xml:space="preserve"> </w:t>
      </w:r>
      <w:proofErr w:type="spellStart"/>
      <w:r w:rsidRPr="00E94D23">
        <w:t>have</w:t>
      </w:r>
      <w:proofErr w:type="spellEnd"/>
      <w:r w:rsidRPr="00E94D23">
        <w:t xml:space="preserve"> </w:t>
      </w:r>
      <w:proofErr w:type="spellStart"/>
      <w:r w:rsidRPr="00E94D23">
        <w:t>faced</w:t>
      </w:r>
      <w:proofErr w:type="spellEnd"/>
      <w:r w:rsidRPr="00E94D23">
        <w:t xml:space="preserve"> severe </w:t>
      </w:r>
      <w:proofErr w:type="spellStart"/>
      <w:r w:rsidRPr="00E94D23">
        <w:t>financial</w:t>
      </w:r>
      <w:proofErr w:type="spellEnd"/>
      <w:r w:rsidRPr="00E94D23">
        <w:t xml:space="preserve"> </w:t>
      </w:r>
      <w:proofErr w:type="spellStart"/>
      <w:r w:rsidRPr="00E94D23">
        <w:t>problems</w:t>
      </w:r>
      <w:proofErr w:type="spellEnd"/>
      <w:r w:rsidRPr="00E94D23">
        <w:t xml:space="preserve">, </w:t>
      </w:r>
      <w:proofErr w:type="spellStart"/>
      <w:r w:rsidRPr="00E94D23">
        <w:t>which</w:t>
      </w:r>
      <w:proofErr w:type="spellEnd"/>
      <w:r w:rsidRPr="00E94D23">
        <w:t xml:space="preserve"> made it </w:t>
      </w:r>
      <w:proofErr w:type="spellStart"/>
      <w:r w:rsidRPr="00E94D23">
        <w:t>impossible</w:t>
      </w:r>
      <w:proofErr w:type="spellEnd"/>
      <w:r w:rsidRPr="00E94D23">
        <w:t xml:space="preserve"> </w:t>
      </w:r>
      <w:proofErr w:type="spellStart"/>
      <w:r w:rsidRPr="00E94D23">
        <w:t>to</w:t>
      </w:r>
      <w:proofErr w:type="spellEnd"/>
      <w:r w:rsidRPr="00E94D23">
        <w:t xml:space="preserve"> participate </w:t>
      </w:r>
      <w:proofErr w:type="spellStart"/>
      <w:r w:rsidRPr="00E94D23">
        <w:t>consistently</w:t>
      </w:r>
      <w:proofErr w:type="spellEnd"/>
      <w:r w:rsidRPr="00E94D23">
        <w:t xml:space="preserve"> in social </w:t>
      </w:r>
      <w:proofErr w:type="spellStart"/>
      <w:r w:rsidRPr="00E94D23">
        <w:t>and</w:t>
      </w:r>
      <w:proofErr w:type="spellEnd"/>
      <w:r w:rsidRPr="00E94D23">
        <w:t xml:space="preserve"> civil </w:t>
      </w:r>
      <w:proofErr w:type="spellStart"/>
      <w:r w:rsidRPr="00E94D23">
        <w:t>dialogue</w:t>
      </w:r>
      <w:proofErr w:type="spellEnd"/>
      <w:r w:rsidRPr="00E94D23">
        <w:t xml:space="preserve">, or </w:t>
      </w:r>
      <w:proofErr w:type="spellStart"/>
      <w:r w:rsidRPr="00E94D23">
        <w:t>adequately</w:t>
      </w:r>
      <w:proofErr w:type="spellEnd"/>
      <w:r w:rsidRPr="00E94D23">
        <w:t xml:space="preserve"> </w:t>
      </w:r>
      <w:proofErr w:type="spellStart"/>
      <w:r w:rsidRPr="00E94D23">
        <w:t>address</w:t>
      </w:r>
      <w:proofErr w:type="spellEnd"/>
      <w:r w:rsidRPr="00E94D23">
        <w:t xml:space="preserve"> </w:t>
      </w:r>
      <w:proofErr w:type="spellStart"/>
      <w:r w:rsidRPr="00E94D23">
        <w:t>the</w:t>
      </w:r>
      <w:proofErr w:type="spellEnd"/>
      <w:r w:rsidRPr="00E94D23">
        <w:t xml:space="preserve"> </w:t>
      </w:r>
      <w:proofErr w:type="spellStart"/>
      <w:r w:rsidRPr="00E94D23">
        <w:t>challenges</w:t>
      </w:r>
      <w:proofErr w:type="spellEnd"/>
      <w:r w:rsidRPr="00E94D23">
        <w:t xml:space="preserve"> </w:t>
      </w:r>
      <w:proofErr w:type="spellStart"/>
      <w:r w:rsidRPr="00E94D23">
        <w:t>arising</w:t>
      </w:r>
      <w:proofErr w:type="spellEnd"/>
      <w:r w:rsidRPr="00E94D23">
        <w:t xml:space="preserve">. </w:t>
      </w:r>
      <w:proofErr w:type="spellStart"/>
      <w:r w:rsidRPr="00E94D23">
        <w:t>This</w:t>
      </w:r>
      <w:proofErr w:type="spellEnd"/>
      <w:r w:rsidRPr="00E94D23">
        <w:t xml:space="preserve"> </w:t>
      </w:r>
      <w:proofErr w:type="spellStart"/>
      <w:r w:rsidRPr="00E94D23">
        <w:t>may</w:t>
      </w:r>
      <w:proofErr w:type="spellEnd"/>
      <w:r w:rsidRPr="00E94D23">
        <w:t xml:space="preserve"> </w:t>
      </w:r>
      <w:proofErr w:type="spellStart"/>
      <w:r w:rsidRPr="00E94D23">
        <w:t>weaken</w:t>
      </w:r>
      <w:proofErr w:type="spellEnd"/>
      <w:r w:rsidRPr="00E94D23">
        <w:t xml:space="preserve"> </w:t>
      </w:r>
      <w:proofErr w:type="spellStart"/>
      <w:r w:rsidRPr="00E94D23">
        <w:t>the</w:t>
      </w:r>
      <w:proofErr w:type="spellEnd"/>
      <w:r w:rsidRPr="00E94D23">
        <w:t xml:space="preserve"> quality of </w:t>
      </w:r>
      <w:proofErr w:type="spellStart"/>
      <w:r w:rsidRPr="00E94D23">
        <w:t>democracy</w:t>
      </w:r>
      <w:proofErr w:type="spellEnd"/>
      <w:r w:rsidRPr="00E94D23">
        <w:t xml:space="preserve"> </w:t>
      </w:r>
      <w:proofErr w:type="spellStart"/>
      <w:r w:rsidRPr="00E94D23">
        <w:t>since</w:t>
      </w:r>
      <w:proofErr w:type="spellEnd"/>
      <w:r w:rsidRPr="00E94D23">
        <w:t xml:space="preserve"> it </w:t>
      </w:r>
      <w:proofErr w:type="spellStart"/>
      <w:r w:rsidRPr="00E94D23">
        <w:t>can</w:t>
      </w:r>
      <w:proofErr w:type="spellEnd"/>
      <w:r w:rsidRPr="00E94D23">
        <w:t xml:space="preserve"> </w:t>
      </w:r>
      <w:proofErr w:type="spellStart"/>
      <w:r w:rsidRPr="00E94D23">
        <w:t>lead</w:t>
      </w:r>
      <w:proofErr w:type="spellEnd"/>
      <w:r w:rsidRPr="00E94D23">
        <w:t xml:space="preserve"> </w:t>
      </w:r>
      <w:proofErr w:type="spellStart"/>
      <w:r w:rsidRPr="00E94D23">
        <w:t>to</w:t>
      </w:r>
      <w:proofErr w:type="spellEnd"/>
      <w:r w:rsidRPr="00E94D23">
        <w:t xml:space="preserve"> </w:t>
      </w:r>
      <w:proofErr w:type="spellStart"/>
      <w:r w:rsidRPr="00E94D23">
        <w:t>the</w:t>
      </w:r>
      <w:proofErr w:type="spellEnd"/>
      <w:r w:rsidRPr="00E94D23">
        <w:t xml:space="preserve"> </w:t>
      </w:r>
      <w:proofErr w:type="spellStart"/>
      <w:r w:rsidRPr="00E94D23">
        <w:t>under-representation</w:t>
      </w:r>
      <w:proofErr w:type="spellEnd"/>
      <w:r w:rsidRPr="00E94D23">
        <w:t xml:space="preserve"> of </w:t>
      </w:r>
      <w:proofErr w:type="spellStart"/>
      <w:r w:rsidRPr="00E94D23">
        <w:t>the</w:t>
      </w:r>
      <w:proofErr w:type="spellEnd"/>
      <w:r w:rsidRPr="00E94D23">
        <w:t xml:space="preserve"> </w:t>
      </w:r>
      <w:proofErr w:type="spellStart"/>
      <w:r w:rsidRPr="00E94D23">
        <w:t>various</w:t>
      </w:r>
      <w:proofErr w:type="spellEnd"/>
      <w:r w:rsidRPr="00E94D23">
        <w:t xml:space="preserve"> economic </w:t>
      </w:r>
      <w:proofErr w:type="spellStart"/>
      <w:r w:rsidRPr="00E94D23">
        <w:t>and</w:t>
      </w:r>
      <w:proofErr w:type="spellEnd"/>
      <w:r w:rsidRPr="00E94D23">
        <w:t xml:space="preserve"> social </w:t>
      </w:r>
      <w:proofErr w:type="spellStart"/>
      <w:r w:rsidRPr="00E94D23">
        <w:t>interests</w:t>
      </w:r>
      <w:proofErr w:type="spellEnd"/>
      <w:r w:rsidRPr="00E94D23">
        <w:t>;</w:t>
      </w:r>
    </w:p>
    <w:p w:rsidR="0061568C" w:rsidRPr="00E94D23" w:rsidRDefault="00E33EF4" w:rsidP="00C376B1">
      <w:pPr>
        <w:pStyle w:val="ListParagraph"/>
        <w:numPr>
          <w:ilvl w:val="0"/>
          <w:numId w:val="71"/>
        </w:numPr>
        <w:ind w:left="567" w:hanging="567"/>
      </w:pPr>
      <w:r w:rsidRPr="00E94D23">
        <w:t xml:space="preserve">market monitoring </w:t>
      </w:r>
      <w:proofErr w:type="spellStart"/>
      <w:r w:rsidRPr="00E94D23">
        <w:t>mechanisms</w:t>
      </w:r>
      <w:proofErr w:type="spellEnd"/>
      <w:r w:rsidRPr="00E94D23">
        <w:t xml:space="preserve"> </w:t>
      </w:r>
      <w:proofErr w:type="spellStart"/>
      <w:r w:rsidRPr="00E94D23">
        <w:t>offered</w:t>
      </w:r>
      <w:proofErr w:type="spellEnd"/>
      <w:r w:rsidRPr="00E94D23">
        <w:t xml:space="preserve"> </w:t>
      </w:r>
      <w:proofErr w:type="spellStart"/>
      <w:r w:rsidRPr="00E94D23">
        <w:t>by</w:t>
      </w:r>
      <w:proofErr w:type="spellEnd"/>
      <w:r w:rsidRPr="00E94D23">
        <w:t xml:space="preserve"> civil </w:t>
      </w:r>
      <w:proofErr w:type="spellStart"/>
      <w:r w:rsidRPr="00E94D23">
        <w:t>society</w:t>
      </w:r>
      <w:proofErr w:type="spellEnd"/>
      <w:r w:rsidRPr="00E94D23">
        <w:t xml:space="preserve"> are </w:t>
      </w:r>
      <w:proofErr w:type="spellStart"/>
      <w:r w:rsidRPr="00E94D23">
        <w:t>deteriorating</w:t>
      </w:r>
      <w:proofErr w:type="spellEnd"/>
      <w:r w:rsidRPr="00E94D23">
        <w:t xml:space="preserve"> </w:t>
      </w:r>
      <w:proofErr w:type="spellStart"/>
      <w:r w:rsidRPr="00E94D23">
        <w:t>due</w:t>
      </w:r>
      <w:proofErr w:type="spellEnd"/>
      <w:r w:rsidRPr="00E94D23">
        <w:t xml:space="preserve"> </w:t>
      </w:r>
      <w:proofErr w:type="spellStart"/>
      <w:r w:rsidRPr="00E94D23">
        <w:t>to</w:t>
      </w:r>
      <w:proofErr w:type="spellEnd"/>
      <w:r w:rsidRPr="00E94D23">
        <w:t xml:space="preserve"> </w:t>
      </w:r>
      <w:proofErr w:type="spellStart"/>
      <w:r w:rsidRPr="00E94D23">
        <w:t>the</w:t>
      </w:r>
      <w:proofErr w:type="spellEnd"/>
      <w:r w:rsidRPr="00E94D23">
        <w:t xml:space="preserve"> </w:t>
      </w:r>
      <w:proofErr w:type="spellStart"/>
      <w:r w:rsidRPr="00E94D23">
        <w:t>lack</w:t>
      </w:r>
      <w:proofErr w:type="spellEnd"/>
      <w:r w:rsidRPr="00E94D23">
        <w:t xml:space="preserve"> of </w:t>
      </w:r>
      <w:proofErr w:type="spellStart"/>
      <w:r w:rsidRPr="00E94D23">
        <w:t>human</w:t>
      </w:r>
      <w:proofErr w:type="spellEnd"/>
      <w:r w:rsidRPr="00E94D23">
        <w:t xml:space="preserve"> </w:t>
      </w:r>
      <w:proofErr w:type="spellStart"/>
      <w:r w:rsidRPr="00E94D23">
        <w:t>and</w:t>
      </w:r>
      <w:proofErr w:type="spellEnd"/>
      <w:r w:rsidRPr="00E94D23">
        <w:t xml:space="preserve"> </w:t>
      </w:r>
      <w:proofErr w:type="spellStart"/>
      <w:r w:rsidRPr="00E94D23">
        <w:t>financial</w:t>
      </w:r>
      <w:proofErr w:type="spellEnd"/>
      <w:r w:rsidRPr="00E94D23">
        <w:t xml:space="preserve"> </w:t>
      </w:r>
      <w:proofErr w:type="spellStart"/>
      <w:r w:rsidRPr="00E94D23">
        <w:t>resources</w:t>
      </w:r>
      <w:proofErr w:type="spellEnd"/>
      <w:r w:rsidRPr="00E94D23">
        <w:t xml:space="preserve">, </w:t>
      </w:r>
      <w:proofErr w:type="spellStart"/>
      <w:r w:rsidRPr="00E94D23">
        <w:t>leading</w:t>
      </w:r>
      <w:proofErr w:type="spellEnd"/>
      <w:r w:rsidRPr="00E94D23">
        <w:t xml:space="preserve"> </w:t>
      </w:r>
      <w:proofErr w:type="spellStart"/>
      <w:r w:rsidRPr="00E94D23">
        <w:t>to</w:t>
      </w:r>
      <w:proofErr w:type="spellEnd"/>
      <w:r w:rsidRPr="00E94D23">
        <w:t xml:space="preserve"> </w:t>
      </w:r>
      <w:proofErr w:type="spellStart"/>
      <w:r w:rsidRPr="00E94D23">
        <w:t>gaps</w:t>
      </w:r>
      <w:proofErr w:type="spellEnd"/>
      <w:r w:rsidRPr="00E94D23">
        <w:t xml:space="preserve"> in </w:t>
      </w:r>
      <w:proofErr w:type="spellStart"/>
      <w:r w:rsidRPr="00E94D23">
        <w:t>protection</w:t>
      </w:r>
      <w:proofErr w:type="spellEnd"/>
      <w:r w:rsidRPr="00E94D23">
        <w:t xml:space="preserve"> for a </w:t>
      </w:r>
      <w:proofErr w:type="spellStart"/>
      <w:r w:rsidRPr="00E94D23">
        <w:t>wide</w:t>
      </w:r>
      <w:proofErr w:type="spellEnd"/>
      <w:r w:rsidRPr="00E94D23">
        <w:t xml:space="preserve"> </w:t>
      </w:r>
      <w:proofErr w:type="spellStart"/>
      <w:r w:rsidRPr="00E94D23">
        <w:t>variety</w:t>
      </w:r>
      <w:proofErr w:type="spellEnd"/>
      <w:r w:rsidRPr="00E94D23">
        <w:t xml:space="preserve"> of </w:t>
      </w:r>
      <w:proofErr w:type="spellStart"/>
      <w:r w:rsidRPr="00E94D23">
        <w:t>interests</w:t>
      </w:r>
      <w:proofErr w:type="spellEnd"/>
      <w:r w:rsidRPr="00E94D23">
        <w:t xml:space="preserve">, </w:t>
      </w:r>
      <w:proofErr w:type="spellStart"/>
      <w:r w:rsidRPr="00E94D23">
        <w:t>including</w:t>
      </w:r>
      <w:proofErr w:type="spellEnd"/>
      <w:r w:rsidRPr="00E94D23">
        <w:t xml:space="preserve"> </w:t>
      </w:r>
      <w:proofErr w:type="spellStart"/>
      <w:r w:rsidRPr="00E94D23">
        <w:t>consumers</w:t>
      </w:r>
      <w:proofErr w:type="spellEnd"/>
      <w:r w:rsidRPr="00E94D23">
        <w:t xml:space="preserve">; </w:t>
      </w:r>
    </w:p>
    <w:p w:rsidR="0061568C" w:rsidRPr="00E94D23" w:rsidRDefault="00E33EF4" w:rsidP="00C376B1">
      <w:pPr>
        <w:pStyle w:val="ListParagraph"/>
        <w:numPr>
          <w:ilvl w:val="0"/>
          <w:numId w:val="65"/>
        </w:numPr>
        <w:ind w:left="567" w:hanging="567"/>
        <w:rPr>
          <w:b/>
          <w:i/>
        </w:rPr>
      </w:pPr>
      <w:r w:rsidRPr="00E94D23">
        <w:t xml:space="preserve">social </w:t>
      </w:r>
      <w:proofErr w:type="spellStart"/>
      <w:r w:rsidRPr="00E94D23">
        <w:t>protection</w:t>
      </w:r>
      <w:proofErr w:type="spellEnd"/>
      <w:r w:rsidRPr="00E94D23">
        <w:t xml:space="preserve"> </w:t>
      </w:r>
      <w:proofErr w:type="spellStart"/>
      <w:r w:rsidRPr="00E94D23">
        <w:t>levels</w:t>
      </w:r>
      <w:proofErr w:type="spellEnd"/>
      <w:r w:rsidRPr="00E94D23">
        <w:t xml:space="preserve">, </w:t>
      </w:r>
      <w:proofErr w:type="spellStart"/>
      <w:r w:rsidRPr="00E94D23">
        <w:t>education</w:t>
      </w:r>
      <w:proofErr w:type="spellEnd"/>
      <w:r w:rsidRPr="00E94D23">
        <w:t xml:space="preserve"> </w:t>
      </w:r>
      <w:proofErr w:type="spellStart"/>
      <w:r w:rsidRPr="00E94D23">
        <w:t>and</w:t>
      </w:r>
      <w:proofErr w:type="spellEnd"/>
      <w:r w:rsidRPr="00E94D23">
        <w:t xml:space="preserve"> </w:t>
      </w:r>
      <w:proofErr w:type="spellStart"/>
      <w:r w:rsidRPr="00E94D23">
        <w:t>health</w:t>
      </w:r>
      <w:proofErr w:type="spellEnd"/>
      <w:r w:rsidRPr="00E94D23">
        <w:t xml:space="preserve"> </w:t>
      </w:r>
      <w:proofErr w:type="spellStart"/>
      <w:r w:rsidRPr="00E94D23">
        <w:t>were</w:t>
      </w:r>
      <w:proofErr w:type="spellEnd"/>
      <w:r w:rsidRPr="00E94D23">
        <w:t xml:space="preserve"> </w:t>
      </w:r>
      <w:proofErr w:type="spellStart"/>
      <w:r w:rsidRPr="00E94D23">
        <w:t>considerably</w:t>
      </w:r>
      <w:proofErr w:type="spellEnd"/>
      <w:r w:rsidRPr="00E94D23">
        <w:t xml:space="preserve"> </w:t>
      </w:r>
      <w:proofErr w:type="spellStart"/>
      <w:r w:rsidRPr="00E94D23">
        <w:t>weakened</w:t>
      </w:r>
      <w:proofErr w:type="spellEnd"/>
      <w:r w:rsidRPr="00E94D23">
        <w:t xml:space="preserve"> as a </w:t>
      </w:r>
      <w:proofErr w:type="spellStart"/>
      <w:r w:rsidRPr="00E94D23">
        <w:t>consequence</w:t>
      </w:r>
      <w:proofErr w:type="spellEnd"/>
      <w:r w:rsidRPr="00E94D23">
        <w:t xml:space="preserve"> of </w:t>
      </w:r>
      <w:proofErr w:type="spellStart"/>
      <w:r w:rsidRPr="00E94D23">
        <w:t>the</w:t>
      </w:r>
      <w:proofErr w:type="spellEnd"/>
      <w:r w:rsidRPr="00E94D23">
        <w:t xml:space="preserve"> </w:t>
      </w:r>
      <w:proofErr w:type="spellStart"/>
      <w:r w:rsidRPr="00E94D23">
        <w:t>cuts</w:t>
      </w:r>
      <w:proofErr w:type="spellEnd"/>
      <w:r w:rsidRPr="00E94D23">
        <w:rPr>
          <w:rStyle w:val="FootnoteReference"/>
        </w:rPr>
        <w:footnoteReference w:id="13"/>
      </w:r>
      <w:r w:rsidRPr="00E94D23">
        <w:t>;</w:t>
      </w:r>
    </w:p>
    <w:p w:rsidR="0061568C" w:rsidRPr="00E94D23" w:rsidRDefault="00E33EF4" w:rsidP="00C376B1">
      <w:pPr>
        <w:pStyle w:val="ListParagraph"/>
        <w:numPr>
          <w:ilvl w:val="0"/>
          <w:numId w:val="63"/>
        </w:numPr>
        <w:ind w:left="567" w:hanging="567"/>
        <w:rPr>
          <w:b/>
          <w:i/>
        </w:rPr>
      </w:pPr>
      <w:proofErr w:type="spellStart"/>
      <w:r w:rsidRPr="00E94D23">
        <w:t>the</w:t>
      </w:r>
      <w:proofErr w:type="spellEnd"/>
      <w:r w:rsidRPr="00E94D23">
        <w:t xml:space="preserve"> </w:t>
      </w:r>
      <w:proofErr w:type="spellStart"/>
      <w:r w:rsidRPr="00E94D23">
        <w:t>situation</w:t>
      </w:r>
      <w:proofErr w:type="spellEnd"/>
      <w:r w:rsidRPr="00E94D23">
        <w:t xml:space="preserve"> </w:t>
      </w:r>
      <w:proofErr w:type="spellStart"/>
      <w:r w:rsidRPr="00E94D23">
        <w:t>continues</w:t>
      </w:r>
      <w:proofErr w:type="spellEnd"/>
      <w:r w:rsidRPr="00E94D23">
        <w:t xml:space="preserve"> </w:t>
      </w:r>
      <w:proofErr w:type="spellStart"/>
      <w:r w:rsidRPr="00E94D23">
        <w:t>to</w:t>
      </w:r>
      <w:proofErr w:type="spellEnd"/>
      <w:r w:rsidRPr="00E94D23">
        <w:t xml:space="preserve"> </w:t>
      </w:r>
      <w:proofErr w:type="spellStart"/>
      <w:r w:rsidRPr="00E94D23">
        <w:t>be</w:t>
      </w:r>
      <w:proofErr w:type="spellEnd"/>
      <w:r w:rsidRPr="00E94D23">
        <w:t xml:space="preserve"> dramatic </w:t>
      </w:r>
      <w:proofErr w:type="spellStart"/>
      <w:r w:rsidRPr="00E94D23">
        <w:t>with</w:t>
      </w:r>
      <w:proofErr w:type="spellEnd"/>
      <w:r w:rsidRPr="00E94D23">
        <w:t xml:space="preserve"> </w:t>
      </w:r>
      <w:proofErr w:type="spellStart"/>
      <w:r w:rsidRPr="00E94D23">
        <w:t>regard</w:t>
      </w:r>
      <w:proofErr w:type="spellEnd"/>
      <w:r w:rsidRPr="00E94D23">
        <w:t xml:space="preserve"> </w:t>
      </w:r>
      <w:proofErr w:type="spellStart"/>
      <w:r w:rsidRPr="00E94D23">
        <w:t>to</w:t>
      </w:r>
      <w:proofErr w:type="spellEnd"/>
      <w:r w:rsidRPr="00E94D23">
        <w:t xml:space="preserve"> </w:t>
      </w:r>
      <w:proofErr w:type="spellStart"/>
      <w:r w:rsidRPr="00E94D23">
        <w:t>access</w:t>
      </w:r>
      <w:proofErr w:type="spellEnd"/>
      <w:r w:rsidRPr="00E94D23">
        <w:t xml:space="preserve"> </w:t>
      </w:r>
      <w:proofErr w:type="spellStart"/>
      <w:r w:rsidRPr="00E94D23">
        <w:t>to</w:t>
      </w:r>
      <w:proofErr w:type="spellEnd"/>
      <w:r w:rsidRPr="00E94D23">
        <w:t xml:space="preserve"> </w:t>
      </w:r>
      <w:proofErr w:type="spellStart"/>
      <w:r w:rsidRPr="00E94D23">
        <w:t>healthcare</w:t>
      </w:r>
      <w:proofErr w:type="spellEnd"/>
      <w:r w:rsidRPr="00E94D23">
        <w:t xml:space="preserve">, </w:t>
      </w:r>
      <w:proofErr w:type="spellStart"/>
      <w:r w:rsidRPr="00E94D23">
        <w:t>purchasing</w:t>
      </w:r>
      <w:proofErr w:type="spellEnd"/>
      <w:r w:rsidRPr="00E94D23">
        <w:t xml:space="preserve"> of </w:t>
      </w:r>
      <w:proofErr w:type="spellStart"/>
      <w:r w:rsidRPr="00E94D23">
        <w:t>medicines</w:t>
      </w:r>
      <w:proofErr w:type="spellEnd"/>
      <w:r w:rsidRPr="00E94D23">
        <w:t xml:space="preserve"> </w:t>
      </w:r>
      <w:proofErr w:type="spellStart"/>
      <w:r w:rsidRPr="00E94D23">
        <w:t>and</w:t>
      </w:r>
      <w:proofErr w:type="spellEnd"/>
      <w:r w:rsidRPr="00E94D23">
        <w:t xml:space="preserve"> social </w:t>
      </w:r>
      <w:proofErr w:type="spellStart"/>
      <w:r w:rsidRPr="00E94D23">
        <w:t>protection</w:t>
      </w:r>
      <w:proofErr w:type="spellEnd"/>
      <w:r w:rsidRPr="00E94D23">
        <w:t>;</w:t>
      </w:r>
    </w:p>
    <w:p w:rsidR="0061568C" w:rsidRPr="00E94D23" w:rsidRDefault="00E33EF4" w:rsidP="00C376B1">
      <w:pPr>
        <w:pStyle w:val="ListParagraph"/>
        <w:numPr>
          <w:ilvl w:val="0"/>
          <w:numId w:val="64"/>
        </w:numPr>
        <w:ind w:left="567" w:hanging="567"/>
      </w:pPr>
      <w:proofErr w:type="spellStart"/>
      <w:r w:rsidRPr="00E94D23">
        <w:t>These</w:t>
      </w:r>
      <w:proofErr w:type="spellEnd"/>
      <w:r w:rsidRPr="00E94D23">
        <w:t xml:space="preserve"> </w:t>
      </w:r>
      <w:proofErr w:type="spellStart"/>
      <w:r w:rsidRPr="00E94D23">
        <w:t>situations</w:t>
      </w:r>
      <w:proofErr w:type="spellEnd"/>
      <w:r w:rsidRPr="00E94D23">
        <w:t xml:space="preserve"> </w:t>
      </w:r>
      <w:proofErr w:type="spellStart"/>
      <w:r w:rsidRPr="00E94D23">
        <w:t>exacerbated</w:t>
      </w:r>
      <w:proofErr w:type="spellEnd"/>
      <w:r w:rsidRPr="00E94D23">
        <w:t xml:space="preserve"> </w:t>
      </w:r>
      <w:proofErr w:type="spellStart"/>
      <w:r w:rsidRPr="00E94D23">
        <w:t>poverty</w:t>
      </w:r>
      <w:proofErr w:type="spellEnd"/>
      <w:r w:rsidRPr="00E94D23">
        <w:t xml:space="preserve"> </w:t>
      </w:r>
      <w:proofErr w:type="spellStart"/>
      <w:r w:rsidRPr="00E94D23">
        <w:t>levels</w:t>
      </w:r>
      <w:proofErr w:type="spellEnd"/>
      <w:r w:rsidRPr="00E94D23">
        <w:t xml:space="preserve">, </w:t>
      </w:r>
      <w:proofErr w:type="spellStart"/>
      <w:r w:rsidRPr="00E94D23">
        <w:t>with</w:t>
      </w:r>
      <w:proofErr w:type="spellEnd"/>
      <w:r w:rsidRPr="00E94D23">
        <w:t xml:space="preserve"> </w:t>
      </w:r>
      <w:proofErr w:type="spellStart"/>
      <w:r w:rsidRPr="00E94D23">
        <w:t>poverty</w:t>
      </w:r>
      <w:proofErr w:type="spellEnd"/>
      <w:r w:rsidRPr="00E94D23">
        <w:t xml:space="preserve"> </w:t>
      </w:r>
      <w:proofErr w:type="spellStart"/>
      <w:r w:rsidRPr="00E94D23">
        <w:t>now</w:t>
      </w:r>
      <w:proofErr w:type="spellEnd"/>
      <w:r w:rsidRPr="00E94D23">
        <w:t xml:space="preserve"> </w:t>
      </w:r>
      <w:proofErr w:type="spellStart"/>
      <w:r w:rsidRPr="00E94D23">
        <w:t>affecting</w:t>
      </w:r>
      <w:proofErr w:type="spellEnd"/>
      <w:r w:rsidRPr="00E94D23">
        <w:t xml:space="preserve"> more </w:t>
      </w:r>
      <w:proofErr w:type="spellStart"/>
      <w:r w:rsidRPr="00E94D23">
        <w:t>than</w:t>
      </w:r>
      <w:proofErr w:type="spellEnd"/>
      <w:r w:rsidRPr="00E94D23">
        <w:t xml:space="preserve"> 20% of </w:t>
      </w:r>
      <w:proofErr w:type="spellStart"/>
      <w:r w:rsidRPr="00E94D23">
        <w:t>the</w:t>
      </w:r>
      <w:proofErr w:type="spellEnd"/>
      <w:r w:rsidRPr="00E94D23">
        <w:t xml:space="preserve"> </w:t>
      </w:r>
      <w:proofErr w:type="spellStart"/>
      <w:r w:rsidRPr="00E94D23">
        <w:t>population</w:t>
      </w:r>
      <w:proofErr w:type="spellEnd"/>
      <w:r w:rsidRPr="00E94D23">
        <w:t xml:space="preserve">, </w:t>
      </w:r>
      <w:proofErr w:type="spellStart"/>
      <w:r w:rsidRPr="00E94D23">
        <w:t>increasing</w:t>
      </w:r>
      <w:proofErr w:type="spellEnd"/>
      <w:r w:rsidRPr="00E94D23">
        <w:t xml:space="preserve"> </w:t>
      </w:r>
      <w:proofErr w:type="spellStart"/>
      <w:r w:rsidRPr="00E94D23">
        <w:t>inequality</w:t>
      </w:r>
      <w:proofErr w:type="spellEnd"/>
      <w:r w:rsidRPr="00E94D23">
        <w:t>.</w:t>
      </w:r>
    </w:p>
    <w:p w:rsidR="003E3A15" w:rsidRPr="00E94D23" w:rsidRDefault="003E3A15" w:rsidP="00023315">
      <w:pPr>
        <w:jc w:val="center"/>
      </w:pPr>
    </w:p>
    <w:p w:rsidR="003E3A15" w:rsidRPr="00E94D23" w:rsidRDefault="003E3A15" w:rsidP="00023315">
      <w:pPr>
        <w:jc w:val="center"/>
      </w:pPr>
      <w:r w:rsidRPr="00E94D23">
        <w:t>*</w:t>
      </w:r>
    </w:p>
    <w:p w:rsidR="003E3A15" w:rsidRPr="00E94D23" w:rsidRDefault="003E3A15" w:rsidP="00023315">
      <w:pPr>
        <w:jc w:val="center"/>
      </w:pPr>
    </w:p>
    <w:p w:rsidR="00040D7D" w:rsidRPr="00E94D23" w:rsidRDefault="003E3A15" w:rsidP="00023315">
      <w:pPr>
        <w:jc w:val="center"/>
      </w:pPr>
      <w:r w:rsidRPr="00E94D23">
        <w:t>*</w:t>
      </w:r>
      <w:r w:rsidRPr="00E94D23">
        <w:tab/>
        <w:t>*</w:t>
      </w:r>
      <w:r w:rsidRPr="00E94D23">
        <w:br w:type="page"/>
      </w:r>
    </w:p>
    <w:p w:rsidR="00040D7D" w:rsidRPr="00E94D23" w:rsidRDefault="003D46BD" w:rsidP="00E33EF4">
      <w:pPr>
        <w:jc w:val="center"/>
      </w:pPr>
      <w:r w:rsidRPr="00E94D23">
        <w:rPr>
          <w:b/>
        </w:rPr>
        <w:lastRenderedPageBreak/>
        <w:t>ANEXA II</w:t>
      </w:r>
      <w:r w:rsidRPr="00E94D23">
        <w:br/>
      </w:r>
      <w:r w:rsidRPr="00E94D23">
        <w:br/>
      </w:r>
      <w:r w:rsidRPr="00E94D23">
        <w:rPr>
          <w:b/>
        </w:rPr>
        <w:t>AVIZUL</w:t>
      </w:r>
      <w:r w:rsidRPr="00E94D23">
        <w:br/>
        <w:t>Secțiunii pentru uniunea economică și monetară și coeziune economică și socială</w:t>
      </w:r>
    </w:p>
    <w:p w:rsidR="00040D7D" w:rsidRPr="00E94D23" w:rsidRDefault="00040D7D" w:rsidP="00E33EF4">
      <w:pPr>
        <w:jc w:val="center"/>
      </w:pPr>
    </w:p>
    <w:p w:rsidR="00040D7D" w:rsidRPr="00E94D23" w:rsidRDefault="00040D7D" w:rsidP="000641AF">
      <w:r w:rsidRPr="00E94D23">
        <w:t>Următorul amendament, care a întrunit cel puțin o pătrime din voturile exprimate, a fost respins în cursul dezbaterii.</w:t>
      </w:r>
    </w:p>
    <w:p w:rsidR="00040D7D" w:rsidRPr="00E94D23" w:rsidRDefault="00040D7D" w:rsidP="00C376B1"/>
    <w:p w:rsidR="00040D7D" w:rsidRPr="00E94D23" w:rsidRDefault="00040D7D" w:rsidP="00E33EF4">
      <w:pPr>
        <w:keepNext/>
        <w:outlineLvl w:val="1"/>
        <w:rPr>
          <w:b/>
          <w:i/>
          <w:strike/>
        </w:rPr>
      </w:pPr>
      <w:r w:rsidRPr="00E94D23">
        <w:rPr>
          <w:b/>
        </w:rPr>
        <w:t>Punctul 1.7</w:t>
      </w:r>
    </w:p>
    <w:p w:rsidR="00040D7D" w:rsidRPr="00E94D23" w:rsidRDefault="00040D7D" w:rsidP="00E33EF4">
      <w:pPr>
        <w:keepNext/>
        <w:outlineLvl w:val="1"/>
      </w:pPr>
    </w:p>
    <w:p w:rsidR="00040D7D" w:rsidRPr="00E94D23" w:rsidRDefault="00040D7D" w:rsidP="00E33EF4">
      <w:pPr>
        <w:keepNext/>
        <w:outlineLvl w:val="1"/>
        <w:rPr>
          <w:i/>
          <w:strike/>
        </w:rPr>
      </w:pPr>
      <w:r w:rsidRPr="00E94D23">
        <w:t>Se modifică după cum urmează:</w:t>
      </w:r>
    </w:p>
    <w:p w:rsidR="00040D7D" w:rsidRPr="00E94D23" w:rsidRDefault="00040D7D" w:rsidP="00E33EF4">
      <w:pPr>
        <w:keepNext/>
        <w:outlineLvl w:val="1"/>
        <w:rPr>
          <w:i/>
          <w:strike/>
        </w:rPr>
      </w:pPr>
    </w:p>
    <w:p w:rsidR="00040D7D" w:rsidRPr="00E94D23" w:rsidRDefault="00E94D23" w:rsidP="00C376B1">
      <w:pPr>
        <w:ind w:left="567"/>
        <w:outlineLvl w:val="1"/>
        <w:rPr>
          <w:i/>
          <w:strike/>
        </w:rPr>
      </w:pPr>
      <w:r>
        <w:rPr>
          <w:i/>
        </w:rPr>
        <w:t>„</w:t>
      </w:r>
      <w:r w:rsidR="00040D7D" w:rsidRPr="00E94D23">
        <w:rPr>
          <w:i/>
        </w:rPr>
        <w:t xml:space="preserve">Digitizarea, robotizarea și inteligența artificială aduc schimbări profunde la nivelul economiei, al pieței forței de muncă, inclusiv în ce privește noile forme de muncă, al calificărilor și al societății, punând la încercare structurile existente, inclusiv stabilizatorii automați, și adăugând pe această cale un număr imprevizibil de persoane la cele deja excluse de pe piața muncii. CESE recomandă Comisiei să </w:t>
      </w:r>
      <w:r w:rsidR="00040D7D" w:rsidRPr="00E94D23">
        <w:rPr>
          <w:i/>
          <w:strike/>
        </w:rPr>
        <w:t xml:space="preserve">creeze o </w:t>
      </w:r>
      <w:r>
        <w:rPr>
          <w:i/>
          <w:strike/>
        </w:rPr>
        <w:t>«</w:t>
      </w:r>
      <w:r w:rsidR="00040D7D" w:rsidRPr="00E94D23">
        <w:rPr>
          <w:i/>
          <w:strike/>
        </w:rPr>
        <w:t>asigurare de șomaj europeană de bază și universală</w:t>
      </w:r>
      <w:r>
        <w:rPr>
          <w:i/>
          <w:strike/>
        </w:rPr>
        <w:t>»</w:t>
      </w:r>
      <w:r w:rsidR="00040D7D" w:rsidRPr="00E94D23">
        <w:rPr>
          <w:i/>
          <w:strike/>
        </w:rPr>
        <w:t xml:space="preserve">, pentru a </w:t>
      </w:r>
      <w:proofErr w:type="spellStart"/>
      <w:r w:rsidR="00040D7D" w:rsidRPr="00E94D23">
        <w:rPr>
          <w:i/>
          <w:strike/>
        </w:rPr>
        <w:t>răspunde</w:t>
      </w:r>
      <w:r w:rsidR="00040D7D" w:rsidRPr="00E94D23">
        <w:rPr>
          <w:i/>
          <w:u w:val="single"/>
        </w:rPr>
        <w:t>răspundă</w:t>
      </w:r>
      <w:proofErr w:type="spellEnd"/>
      <w:r w:rsidR="00040D7D" w:rsidRPr="00E94D23">
        <w:rPr>
          <w:i/>
        </w:rPr>
        <w:t xml:space="preserve"> în mod eficace acestei provocări și pentru a asigura o protecție socială decentă pentru toți, care să fie disponibilă pe durata întregii vieți active (15-65 de ani)</w:t>
      </w:r>
      <w:r w:rsidR="00040D7D" w:rsidRPr="00E94D23">
        <w:rPr>
          <w:i/>
          <w:u w:val="single"/>
        </w:rPr>
        <w:t>, pentru</w:t>
      </w:r>
      <w:r w:rsidR="00040D7D" w:rsidRPr="00E94D23">
        <w:rPr>
          <w:i/>
        </w:rPr>
        <w:t xml:space="preserve"> </w:t>
      </w:r>
      <w:r w:rsidR="00040D7D" w:rsidRPr="00E94D23">
        <w:rPr>
          <w:i/>
          <w:strike/>
        </w:rPr>
        <w:t xml:space="preserve">În ceea ce privește problema eradicării sărăciei, Comisia trebuie să creeze și un </w:t>
      </w:r>
      <w:r>
        <w:rPr>
          <w:i/>
          <w:strike/>
        </w:rPr>
        <w:t>«</w:t>
      </w:r>
      <w:r w:rsidR="00040D7D" w:rsidRPr="00E94D23">
        <w:rPr>
          <w:i/>
          <w:strike/>
        </w:rPr>
        <w:t>venit minim de subzistență</w:t>
      </w:r>
      <w:r>
        <w:rPr>
          <w:i/>
          <w:strike/>
        </w:rPr>
        <w:t>»</w:t>
      </w:r>
      <w:r w:rsidR="00040D7D" w:rsidRPr="00E94D23">
        <w:rPr>
          <w:i/>
          <w:strike/>
        </w:rPr>
        <w:t>, adoptând ca abordare și misiune europeană angajamentul de</w:t>
      </w:r>
      <w:r w:rsidR="00040D7D" w:rsidRPr="00E94D23">
        <w:rPr>
          <w:i/>
        </w:rPr>
        <w:t xml:space="preserve"> </w:t>
      </w:r>
      <w:r>
        <w:rPr>
          <w:i/>
          <w:strike/>
        </w:rPr>
        <w:t>«</w:t>
      </w:r>
      <w:r w:rsidR="00040D7D" w:rsidRPr="00E94D23">
        <w:rPr>
          <w:i/>
        </w:rPr>
        <w:t xml:space="preserve">a </w:t>
      </w:r>
      <w:r>
        <w:rPr>
          <w:i/>
          <w:u w:val="single"/>
        </w:rPr>
        <w:t>«</w:t>
      </w:r>
      <w:r w:rsidR="00040D7D" w:rsidRPr="00E94D23">
        <w:rPr>
          <w:i/>
        </w:rPr>
        <w:t>nu lăsa pe nimeni în urmă</w:t>
      </w:r>
      <w:r>
        <w:rPr>
          <w:i/>
        </w:rPr>
        <w:t>».”</w:t>
      </w:r>
    </w:p>
    <w:p w:rsidR="00040D7D" w:rsidRPr="00E94D23" w:rsidRDefault="00040D7D" w:rsidP="00E33EF4">
      <w:bookmarkStart w:id="0" w:name="_GoBack"/>
      <w:bookmarkEnd w:id="0"/>
    </w:p>
    <w:p w:rsidR="00040D7D" w:rsidRPr="00E94D23" w:rsidRDefault="00040D7D" w:rsidP="00E33EF4">
      <w:pPr>
        <w:keepNext/>
        <w:rPr>
          <w:b/>
        </w:rPr>
      </w:pPr>
      <w:r w:rsidRPr="00E94D23">
        <w:rPr>
          <w:b/>
        </w:rPr>
        <w:t>Expunere de motive</w:t>
      </w:r>
    </w:p>
    <w:p w:rsidR="00040D7D" w:rsidRPr="00E94D23" w:rsidRDefault="00040D7D" w:rsidP="00E33EF4">
      <w:pPr>
        <w:keepNext/>
      </w:pPr>
    </w:p>
    <w:p w:rsidR="00040D7D" w:rsidRPr="00E94D23" w:rsidRDefault="00040D7D" w:rsidP="00E33EF4">
      <w:r w:rsidRPr="00E94D23">
        <w:t>Nici introducerea unei asigurări de bază pentru şomaj, nici introducerea unui venit minim nu intră în sfera de competenţă a Comisiei.</w:t>
      </w:r>
    </w:p>
    <w:p w:rsidR="00040D7D" w:rsidRPr="00E94D23" w:rsidRDefault="00040D7D" w:rsidP="00C376B1"/>
    <w:p w:rsidR="00040D7D" w:rsidRPr="00E94D23" w:rsidRDefault="00E440F6" w:rsidP="00C376B1">
      <w:r w:rsidRPr="00E94D23">
        <w:t>Amendamentul a fost respins cu 36 de voturi pentru, 38 de voturi împotrivă și 9 abțineri.</w:t>
      </w:r>
    </w:p>
    <w:p w:rsidR="00E20FAF" w:rsidRPr="00E94D23" w:rsidRDefault="00E20FAF" w:rsidP="00C376B1"/>
    <w:p w:rsidR="00040D7D" w:rsidRPr="00E94D23" w:rsidRDefault="00040D7D" w:rsidP="00E33EF4">
      <w:pPr>
        <w:jc w:val="center"/>
      </w:pPr>
      <w:r w:rsidRPr="00E94D23">
        <w:t>_____________</w:t>
      </w:r>
    </w:p>
    <w:sectPr w:rsidR="00040D7D" w:rsidRPr="00E94D23" w:rsidSect="00E94D23">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B20" w:rsidRDefault="00CA5B20">
      <w:r>
        <w:separator/>
      </w:r>
    </w:p>
  </w:endnote>
  <w:endnote w:type="continuationSeparator" w:id="0">
    <w:p w:rsidR="00CA5B20" w:rsidRDefault="00CA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15" w:rsidRPr="00E94D23" w:rsidRDefault="00023315" w:rsidP="00E94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6A" w:rsidRPr="00E94D23" w:rsidRDefault="00E94D23" w:rsidP="00E94D23">
    <w:pPr>
      <w:pStyle w:val="Footer"/>
    </w:pPr>
    <w:r>
      <w:t xml:space="preserve">ECO/401 – EESC-2017-02368-00-02-AS-TRA (EN) </w:t>
    </w:r>
    <w:r>
      <w:fldChar w:fldCharType="begin"/>
    </w:r>
    <w:r>
      <w:instrText xml:space="preserve"> PAGE  \* Arabic  \* MERGEFORMAT </w:instrText>
    </w:r>
    <w:r>
      <w:fldChar w:fldCharType="separate"/>
    </w:r>
    <w:r w:rsidR="00C870A5">
      <w:rPr>
        <w:noProof/>
      </w:rPr>
      <w:t>1</w:t>
    </w:r>
    <w:r>
      <w:fldChar w:fldCharType="end"/>
    </w:r>
    <w:r>
      <w:t>/</w:t>
    </w:r>
    <w:r>
      <w:fldChar w:fldCharType="begin"/>
    </w:r>
    <w:r>
      <w:instrText xml:space="preserve"> = </w:instrText>
    </w:r>
    <w:fldSimple w:instr=" NUMPAGES ">
      <w:r w:rsidR="00C870A5">
        <w:rPr>
          <w:noProof/>
        </w:rPr>
        <w:instrText>1</w:instrText>
      </w:r>
    </w:fldSimple>
    <w:r>
      <w:instrText xml:space="preserve"> -0 </w:instrText>
    </w:r>
    <w:r>
      <w:fldChar w:fldCharType="separate"/>
    </w:r>
    <w:r w:rsidR="00C870A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15" w:rsidRPr="00E94D23" w:rsidRDefault="00023315" w:rsidP="00E94D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6A" w:rsidRPr="00E94D23" w:rsidRDefault="00A9616A" w:rsidP="00E94D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6A" w:rsidRPr="00E94D23" w:rsidRDefault="00E94D23" w:rsidP="00E94D23">
    <w:pPr>
      <w:pStyle w:val="Footer"/>
    </w:pPr>
    <w:r>
      <w:t xml:space="preserve">ECO/401 – EESC-2017-02368-00-02-AS-TRA (EN) </w:t>
    </w:r>
    <w:r>
      <w:fldChar w:fldCharType="begin"/>
    </w:r>
    <w:r>
      <w:instrText xml:space="preserve"> PAGE  \* Arabic  \* MERGEFORMAT </w:instrText>
    </w:r>
    <w:r>
      <w:fldChar w:fldCharType="separate"/>
    </w:r>
    <w:r w:rsidR="00C870A5">
      <w:rPr>
        <w:noProof/>
      </w:rPr>
      <w:t>15</w:t>
    </w:r>
    <w:r>
      <w:fldChar w:fldCharType="end"/>
    </w:r>
    <w:r>
      <w:t>/</w:t>
    </w:r>
    <w:r>
      <w:fldChar w:fldCharType="begin"/>
    </w:r>
    <w:r>
      <w:instrText xml:space="preserve"> = </w:instrText>
    </w:r>
    <w:fldSimple w:instr=" NUMPAGES ">
      <w:r w:rsidR="00C870A5">
        <w:rPr>
          <w:noProof/>
        </w:rPr>
        <w:instrText>15</w:instrText>
      </w:r>
    </w:fldSimple>
    <w:r>
      <w:instrText xml:space="preserve"> -0 </w:instrText>
    </w:r>
    <w:r>
      <w:fldChar w:fldCharType="separate"/>
    </w:r>
    <w:r w:rsidR="00C870A5">
      <w:rPr>
        <w:noProof/>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6A" w:rsidRPr="00E94D23" w:rsidRDefault="00A9616A" w:rsidP="00E94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B20" w:rsidRDefault="00CA5B20">
      <w:r>
        <w:separator/>
      </w:r>
    </w:p>
  </w:footnote>
  <w:footnote w:type="continuationSeparator" w:id="0">
    <w:p w:rsidR="00CA5B20" w:rsidRDefault="00CA5B20">
      <w:r>
        <w:continuationSeparator/>
      </w:r>
    </w:p>
  </w:footnote>
  <w:footnote w:id="1">
    <w:p w:rsidR="00A9616A" w:rsidRPr="00E94D23" w:rsidRDefault="00A9616A" w:rsidP="00E33EF4">
      <w:pPr>
        <w:pStyle w:val="FootnoteText"/>
      </w:pPr>
      <w:r w:rsidRPr="00E94D23">
        <w:rPr>
          <w:rStyle w:val="FootnoteReference"/>
        </w:rPr>
        <w:footnoteRef/>
      </w:r>
      <w:r w:rsidRPr="00E94D23">
        <w:rPr>
          <w:rStyle w:val="FootnoteReference"/>
        </w:rPr>
        <w:t xml:space="preserve"> </w:t>
      </w:r>
      <w:r w:rsidRPr="00E94D23">
        <w:tab/>
      </w:r>
      <w:proofErr w:type="spellStart"/>
      <w:r w:rsidRPr="00E94D23">
        <w:t>Easterly</w:t>
      </w:r>
      <w:proofErr w:type="spellEnd"/>
      <w:r w:rsidRPr="00E94D23">
        <w:t xml:space="preserve"> 2002; </w:t>
      </w:r>
    </w:p>
    <w:p w:rsidR="00A9616A" w:rsidRPr="00E94D23" w:rsidRDefault="00A9616A" w:rsidP="00C376B1">
      <w:pPr>
        <w:pStyle w:val="FootnoteText"/>
        <w:ind w:firstLine="0"/>
      </w:pPr>
      <w:r w:rsidRPr="00E94D23">
        <w:t>FMI (2010), Solicitarea formulată de Grecia, privind un acord standby; raportul de țară nr. 10/110, mai;</w:t>
      </w:r>
    </w:p>
    <w:p w:rsidR="00A9616A" w:rsidRPr="00E94D23" w:rsidRDefault="00A9616A" w:rsidP="00C376B1">
      <w:pPr>
        <w:pStyle w:val="FootnoteText"/>
        <w:ind w:firstLine="0"/>
      </w:pPr>
      <w:r w:rsidRPr="00E94D23">
        <w:t>Document de reflecție privind aprofundarea uniunii economice și monetare, Comisia Europeană, 31 mai 2017.</w:t>
      </w:r>
    </w:p>
  </w:footnote>
  <w:footnote w:id="2">
    <w:p w:rsidR="00DB3870" w:rsidRPr="00E94D23" w:rsidRDefault="00DB3870" w:rsidP="00E33EF4">
      <w:pPr>
        <w:pStyle w:val="FootnoteText"/>
      </w:pPr>
      <w:r w:rsidRPr="00E94D23">
        <w:rPr>
          <w:rStyle w:val="FootnoteReference"/>
        </w:rPr>
        <w:footnoteRef/>
      </w:r>
      <w:r w:rsidRPr="00E94D23">
        <w:rPr>
          <w:rStyle w:val="FootnoteReference"/>
        </w:rPr>
        <w:t xml:space="preserve"> </w:t>
      </w:r>
      <w:r w:rsidRPr="00E94D23">
        <w:tab/>
      </w:r>
      <w:r w:rsidRPr="00E94D23">
        <w:t xml:space="preserve">A se vedea avizul CESE privind dezechilibrele macroeconomice, </w:t>
      </w:r>
      <w:hyperlink r:id="rId1">
        <w:r w:rsidRPr="00E94D23">
          <w:rPr>
            <w:rStyle w:val="Hyperlink"/>
          </w:rPr>
          <w:t>JO C 218, 23.7.2011, p. 53</w:t>
        </w:r>
      </w:hyperlink>
      <w:r w:rsidRPr="00E94D23">
        <w:t>.</w:t>
      </w:r>
    </w:p>
  </w:footnote>
  <w:footnote w:id="3">
    <w:p w:rsidR="00A9616A" w:rsidRPr="00E94D23" w:rsidRDefault="00A9616A" w:rsidP="00E33EF4">
      <w:pPr>
        <w:pStyle w:val="FootnoteText"/>
      </w:pPr>
      <w:r w:rsidRPr="00E94D23">
        <w:rPr>
          <w:rStyle w:val="FootnoteReference"/>
        </w:rPr>
        <w:footnoteRef/>
      </w:r>
      <w:r w:rsidRPr="00E94D23">
        <w:rPr>
          <w:rStyle w:val="FootnoteReference"/>
        </w:rPr>
        <w:t xml:space="preserve"> </w:t>
      </w:r>
      <w:r w:rsidRPr="00E94D23">
        <w:tab/>
      </w:r>
      <w:hyperlink r:id="rId2">
        <w:r w:rsidRPr="00E94D23">
          <w:rPr>
            <w:rStyle w:val="Hyperlink"/>
          </w:rPr>
          <w:t xml:space="preserve">ZBW – Leibniz Information Centre for </w:t>
        </w:r>
        <w:proofErr w:type="spellStart"/>
        <w:r w:rsidRPr="00E94D23">
          <w:rPr>
            <w:rStyle w:val="Hyperlink"/>
          </w:rPr>
          <w:t>Economics</w:t>
        </w:r>
        <w:proofErr w:type="spellEnd"/>
        <w:r w:rsidRPr="00E94D23">
          <w:rPr>
            <w:rStyle w:val="Hyperlink"/>
          </w:rPr>
          <w:t xml:space="preserve"> (</w:t>
        </w:r>
        <w:proofErr w:type="spellStart"/>
        <w:r w:rsidRPr="00E94D23">
          <w:rPr>
            <w:rStyle w:val="Hyperlink"/>
          </w:rPr>
          <w:t>Intereconomics</w:t>
        </w:r>
        <w:proofErr w:type="spellEnd"/>
        <w:r w:rsidRPr="00E94D23">
          <w:rPr>
            <w:rStyle w:val="Hyperlink"/>
          </w:rPr>
          <w:t xml:space="preserve"> 2013)</w:t>
        </w:r>
      </w:hyperlink>
      <w:r w:rsidRPr="00E94D23">
        <w:t>.</w:t>
      </w:r>
    </w:p>
  </w:footnote>
  <w:footnote w:id="4">
    <w:p w:rsidR="00A9616A" w:rsidRPr="00E94D23" w:rsidRDefault="00A9616A" w:rsidP="00E33EF4">
      <w:pPr>
        <w:pStyle w:val="FootnoteText"/>
      </w:pPr>
      <w:r w:rsidRPr="00E94D23">
        <w:rPr>
          <w:rStyle w:val="FootnoteReference"/>
        </w:rPr>
        <w:footnoteRef/>
      </w:r>
      <w:r w:rsidRPr="00E94D23">
        <w:rPr>
          <w:rStyle w:val="FootnoteReference"/>
        </w:rPr>
        <w:t xml:space="preserve"> </w:t>
      </w:r>
      <w:r w:rsidRPr="00E94D23">
        <w:tab/>
      </w:r>
      <w:hyperlink r:id="rId3">
        <w:r w:rsidRPr="00E94D23">
          <w:rPr>
            <w:rStyle w:val="Hyperlink"/>
          </w:rPr>
          <w:t xml:space="preserve">ZBW – Leibniz Information Centre for </w:t>
        </w:r>
        <w:proofErr w:type="spellStart"/>
        <w:r w:rsidRPr="00E94D23">
          <w:rPr>
            <w:rStyle w:val="Hyperlink"/>
          </w:rPr>
          <w:t>Economics</w:t>
        </w:r>
        <w:proofErr w:type="spellEnd"/>
        <w:r w:rsidRPr="00E94D23">
          <w:rPr>
            <w:rStyle w:val="Hyperlink"/>
          </w:rPr>
          <w:t xml:space="preserve"> (</w:t>
        </w:r>
        <w:proofErr w:type="spellStart"/>
        <w:r w:rsidRPr="00E94D23">
          <w:rPr>
            <w:rStyle w:val="Hyperlink"/>
          </w:rPr>
          <w:t>Intereconomics</w:t>
        </w:r>
        <w:proofErr w:type="spellEnd"/>
        <w:r w:rsidRPr="00E94D23">
          <w:rPr>
            <w:rStyle w:val="Hyperlink"/>
          </w:rPr>
          <w:t xml:space="preserve"> 2013)</w:t>
        </w:r>
      </w:hyperlink>
      <w:r w:rsidRPr="00E94D23">
        <w:t>.</w:t>
      </w:r>
    </w:p>
  </w:footnote>
  <w:footnote w:id="5">
    <w:p w:rsidR="00A9616A" w:rsidRPr="00E94D23" w:rsidRDefault="00A9616A" w:rsidP="00E33EF4">
      <w:pPr>
        <w:pStyle w:val="FootnoteText"/>
      </w:pPr>
      <w:r w:rsidRPr="00E94D23">
        <w:rPr>
          <w:rStyle w:val="FootnoteReference"/>
        </w:rPr>
        <w:footnoteRef/>
      </w:r>
      <w:r w:rsidRPr="00E94D23">
        <w:rPr>
          <w:rStyle w:val="FootnoteReference"/>
        </w:rPr>
        <w:t xml:space="preserve"> </w:t>
      </w:r>
      <w:r w:rsidRPr="00E94D23">
        <w:tab/>
      </w:r>
      <w:hyperlink r:id="rId4">
        <w:r w:rsidRPr="00E94D23">
          <w:rPr>
            <w:rStyle w:val="Hyperlink"/>
          </w:rPr>
          <w:t xml:space="preserve">ZBW – Leibniz Information Centre for </w:t>
        </w:r>
        <w:proofErr w:type="spellStart"/>
        <w:r w:rsidRPr="00E94D23">
          <w:rPr>
            <w:rStyle w:val="Hyperlink"/>
          </w:rPr>
          <w:t>Economics</w:t>
        </w:r>
        <w:proofErr w:type="spellEnd"/>
        <w:r w:rsidRPr="00E94D23">
          <w:rPr>
            <w:rStyle w:val="Hyperlink"/>
          </w:rPr>
          <w:t xml:space="preserve"> (</w:t>
        </w:r>
        <w:proofErr w:type="spellStart"/>
        <w:r w:rsidRPr="00E94D23">
          <w:rPr>
            <w:rStyle w:val="Hyperlink"/>
          </w:rPr>
          <w:t>Intereconomics</w:t>
        </w:r>
        <w:proofErr w:type="spellEnd"/>
        <w:r w:rsidRPr="00E94D23">
          <w:rPr>
            <w:rStyle w:val="Hyperlink"/>
          </w:rPr>
          <w:t xml:space="preserve"> 2013)</w:t>
        </w:r>
      </w:hyperlink>
      <w:r w:rsidRPr="00E94D23">
        <w:t>.</w:t>
      </w:r>
    </w:p>
  </w:footnote>
  <w:footnote w:id="6">
    <w:p w:rsidR="00A9616A" w:rsidRPr="00E94D23" w:rsidRDefault="00A9616A" w:rsidP="00E33EF4">
      <w:pPr>
        <w:pStyle w:val="FootnoteText"/>
      </w:pPr>
      <w:r w:rsidRPr="00E94D23">
        <w:rPr>
          <w:rStyle w:val="FootnoteReference"/>
        </w:rPr>
        <w:footnoteRef/>
      </w:r>
      <w:r w:rsidRPr="00E94D23">
        <w:rPr>
          <w:rStyle w:val="FootnoteReference"/>
        </w:rPr>
        <w:t xml:space="preserve"> </w:t>
      </w:r>
      <w:r w:rsidRPr="00E94D23">
        <w:tab/>
      </w:r>
      <w:hyperlink r:id="rId5">
        <w:r w:rsidRPr="00E94D23">
          <w:rPr>
            <w:rStyle w:val="Hyperlink"/>
          </w:rPr>
          <w:t xml:space="preserve">Studiul CESE „The impact of </w:t>
        </w:r>
        <w:proofErr w:type="spellStart"/>
        <w:r w:rsidRPr="00E94D23">
          <w:rPr>
            <w:rStyle w:val="Hyperlink"/>
          </w:rPr>
          <w:t>anti-crisis</w:t>
        </w:r>
        <w:proofErr w:type="spellEnd"/>
        <w:r w:rsidRPr="00E94D23">
          <w:rPr>
            <w:rStyle w:val="Hyperlink"/>
          </w:rPr>
          <w:t xml:space="preserve"> </w:t>
        </w:r>
        <w:proofErr w:type="spellStart"/>
        <w:r w:rsidRPr="00E94D23">
          <w:rPr>
            <w:rStyle w:val="Hyperlink"/>
          </w:rPr>
          <w:t>measures</w:t>
        </w:r>
        <w:proofErr w:type="spellEnd"/>
        <w:r w:rsidRPr="00E94D23">
          <w:rPr>
            <w:rStyle w:val="Hyperlink"/>
          </w:rPr>
          <w:t xml:space="preserve"> </w:t>
        </w:r>
        <w:proofErr w:type="spellStart"/>
        <w:r w:rsidRPr="00E94D23">
          <w:rPr>
            <w:rStyle w:val="Hyperlink"/>
          </w:rPr>
          <w:t>and</w:t>
        </w:r>
        <w:proofErr w:type="spellEnd"/>
        <w:r w:rsidRPr="00E94D23">
          <w:rPr>
            <w:rStyle w:val="Hyperlink"/>
          </w:rPr>
          <w:t xml:space="preserve"> </w:t>
        </w:r>
        <w:proofErr w:type="spellStart"/>
        <w:r w:rsidRPr="00E94D23">
          <w:rPr>
            <w:rStyle w:val="Hyperlink"/>
          </w:rPr>
          <w:t>the</w:t>
        </w:r>
        <w:proofErr w:type="spellEnd"/>
        <w:r w:rsidRPr="00E94D23">
          <w:rPr>
            <w:rStyle w:val="Hyperlink"/>
          </w:rPr>
          <w:t xml:space="preserve"> social </w:t>
        </w:r>
        <w:proofErr w:type="spellStart"/>
        <w:r w:rsidRPr="00E94D23">
          <w:rPr>
            <w:rStyle w:val="Hyperlink"/>
          </w:rPr>
          <w:t>and</w:t>
        </w:r>
        <w:proofErr w:type="spellEnd"/>
        <w:r w:rsidRPr="00E94D23">
          <w:rPr>
            <w:rStyle w:val="Hyperlink"/>
          </w:rPr>
          <w:t xml:space="preserve"> </w:t>
        </w:r>
        <w:proofErr w:type="spellStart"/>
        <w:r w:rsidRPr="00E94D23">
          <w:rPr>
            <w:rStyle w:val="Hyperlink"/>
          </w:rPr>
          <w:t>employment</w:t>
        </w:r>
        <w:proofErr w:type="spellEnd"/>
        <w:r w:rsidRPr="00E94D23">
          <w:rPr>
            <w:rStyle w:val="Hyperlink"/>
          </w:rPr>
          <w:t xml:space="preserve"> </w:t>
        </w:r>
        <w:proofErr w:type="spellStart"/>
        <w:r w:rsidRPr="00E94D23">
          <w:rPr>
            <w:rStyle w:val="Hyperlink"/>
          </w:rPr>
          <w:t>situation</w:t>
        </w:r>
        <w:proofErr w:type="spellEnd"/>
        <w:r w:rsidRPr="00E94D23">
          <w:rPr>
            <w:rStyle w:val="Hyperlink"/>
          </w:rPr>
          <w:t xml:space="preserve">: </w:t>
        </w:r>
        <w:proofErr w:type="spellStart"/>
        <w:r w:rsidRPr="00E94D23">
          <w:rPr>
            <w:rStyle w:val="Hyperlink"/>
          </w:rPr>
          <w:t>Ireland</w:t>
        </w:r>
        <w:proofErr w:type="spellEnd"/>
        <w:r w:rsidRPr="00E94D23">
          <w:rPr>
            <w:rStyle w:val="Hyperlink"/>
          </w:rPr>
          <w:t>” (Impactul măsurilor anticriză și situația socială și a ocupării forței de muncă: Irlanda) (2013)</w:t>
        </w:r>
      </w:hyperlink>
      <w:r w:rsidRPr="00E94D23">
        <w:t>.</w:t>
      </w:r>
    </w:p>
  </w:footnote>
  <w:footnote w:id="7">
    <w:p w:rsidR="00A9616A" w:rsidRPr="00E94D23" w:rsidRDefault="00A9616A" w:rsidP="00E33EF4">
      <w:pPr>
        <w:pStyle w:val="FootnoteText"/>
      </w:pPr>
      <w:r w:rsidRPr="00E94D23">
        <w:rPr>
          <w:rStyle w:val="FootnoteReference"/>
        </w:rPr>
        <w:footnoteRef/>
      </w:r>
      <w:r w:rsidRPr="00E94D23">
        <w:rPr>
          <w:rStyle w:val="FootnoteReference"/>
        </w:rPr>
        <w:t xml:space="preserve"> </w:t>
      </w:r>
      <w:r w:rsidRPr="00E94D23">
        <w:tab/>
      </w:r>
      <w:hyperlink r:id="rId6">
        <w:r w:rsidRPr="00E94D23">
          <w:rPr>
            <w:rStyle w:val="Hyperlink"/>
          </w:rPr>
          <w:t xml:space="preserve">ZBW – Leibniz Information Centre for </w:t>
        </w:r>
        <w:proofErr w:type="spellStart"/>
        <w:r w:rsidRPr="00E94D23">
          <w:rPr>
            <w:rStyle w:val="Hyperlink"/>
          </w:rPr>
          <w:t>Economics</w:t>
        </w:r>
        <w:proofErr w:type="spellEnd"/>
        <w:r w:rsidRPr="00E94D23">
          <w:rPr>
            <w:rStyle w:val="Hyperlink"/>
          </w:rPr>
          <w:t xml:space="preserve"> (</w:t>
        </w:r>
        <w:proofErr w:type="spellStart"/>
        <w:r w:rsidRPr="00E94D23">
          <w:rPr>
            <w:rStyle w:val="Hyperlink"/>
          </w:rPr>
          <w:t>Intereconomics</w:t>
        </w:r>
        <w:proofErr w:type="spellEnd"/>
        <w:r w:rsidRPr="00E94D23">
          <w:rPr>
            <w:rStyle w:val="Hyperlink"/>
          </w:rPr>
          <w:t xml:space="preserve"> 2013)</w:t>
        </w:r>
      </w:hyperlink>
      <w:r w:rsidRPr="00E94D23">
        <w:t>.</w:t>
      </w:r>
    </w:p>
  </w:footnote>
  <w:footnote w:id="8">
    <w:p w:rsidR="00A9616A" w:rsidRPr="00E94D23" w:rsidRDefault="00A9616A" w:rsidP="00E33EF4">
      <w:pPr>
        <w:pStyle w:val="FootnoteText"/>
      </w:pPr>
      <w:r w:rsidRPr="00E94D23">
        <w:rPr>
          <w:rStyle w:val="FootnoteReference"/>
        </w:rPr>
        <w:footnoteRef/>
      </w:r>
      <w:r w:rsidRPr="00E94D23">
        <w:rPr>
          <w:rStyle w:val="FootnoteReference"/>
        </w:rPr>
        <w:t xml:space="preserve"> </w:t>
      </w:r>
      <w:r w:rsidRPr="00E94D23">
        <w:tab/>
      </w:r>
      <w:hyperlink r:id="rId7">
        <w:r w:rsidRPr="00E94D23">
          <w:rPr>
            <w:rStyle w:val="Hyperlink"/>
          </w:rPr>
          <w:t xml:space="preserve">Studiul CESE „The impact of </w:t>
        </w:r>
        <w:proofErr w:type="spellStart"/>
        <w:r w:rsidRPr="00E94D23">
          <w:rPr>
            <w:rStyle w:val="Hyperlink"/>
          </w:rPr>
          <w:t>anti-crisis</w:t>
        </w:r>
        <w:proofErr w:type="spellEnd"/>
        <w:r w:rsidRPr="00E94D23">
          <w:rPr>
            <w:rStyle w:val="Hyperlink"/>
          </w:rPr>
          <w:t xml:space="preserve"> </w:t>
        </w:r>
        <w:proofErr w:type="spellStart"/>
        <w:r w:rsidRPr="00E94D23">
          <w:rPr>
            <w:rStyle w:val="Hyperlink"/>
          </w:rPr>
          <w:t>measures</w:t>
        </w:r>
        <w:proofErr w:type="spellEnd"/>
        <w:r w:rsidRPr="00E94D23">
          <w:rPr>
            <w:rStyle w:val="Hyperlink"/>
          </w:rPr>
          <w:t xml:space="preserve"> </w:t>
        </w:r>
        <w:proofErr w:type="spellStart"/>
        <w:r w:rsidRPr="00E94D23">
          <w:rPr>
            <w:rStyle w:val="Hyperlink"/>
          </w:rPr>
          <w:t>and</w:t>
        </w:r>
        <w:proofErr w:type="spellEnd"/>
        <w:r w:rsidRPr="00E94D23">
          <w:rPr>
            <w:rStyle w:val="Hyperlink"/>
          </w:rPr>
          <w:t xml:space="preserve"> </w:t>
        </w:r>
        <w:proofErr w:type="spellStart"/>
        <w:r w:rsidRPr="00E94D23">
          <w:rPr>
            <w:rStyle w:val="Hyperlink"/>
          </w:rPr>
          <w:t>the</w:t>
        </w:r>
        <w:proofErr w:type="spellEnd"/>
        <w:r w:rsidRPr="00E94D23">
          <w:rPr>
            <w:rStyle w:val="Hyperlink"/>
          </w:rPr>
          <w:t xml:space="preserve"> social </w:t>
        </w:r>
        <w:proofErr w:type="spellStart"/>
        <w:r w:rsidRPr="00E94D23">
          <w:rPr>
            <w:rStyle w:val="Hyperlink"/>
          </w:rPr>
          <w:t>and</w:t>
        </w:r>
        <w:proofErr w:type="spellEnd"/>
        <w:r w:rsidRPr="00E94D23">
          <w:rPr>
            <w:rStyle w:val="Hyperlink"/>
          </w:rPr>
          <w:t xml:space="preserve"> </w:t>
        </w:r>
        <w:proofErr w:type="spellStart"/>
        <w:r w:rsidRPr="00E94D23">
          <w:rPr>
            <w:rStyle w:val="Hyperlink"/>
          </w:rPr>
          <w:t>employment</w:t>
        </w:r>
        <w:proofErr w:type="spellEnd"/>
        <w:r w:rsidRPr="00E94D23">
          <w:rPr>
            <w:rStyle w:val="Hyperlink"/>
          </w:rPr>
          <w:t xml:space="preserve"> </w:t>
        </w:r>
        <w:proofErr w:type="spellStart"/>
        <w:r w:rsidRPr="00E94D23">
          <w:rPr>
            <w:rStyle w:val="Hyperlink"/>
          </w:rPr>
          <w:t>situation</w:t>
        </w:r>
        <w:proofErr w:type="spellEnd"/>
        <w:r w:rsidRPr="00E94D23">
          <w:rPr>
            <w:rStyle w:val="Hyperlink"/>
          </w:rPr>
          <w:t xml:space="preserve">: </w:t>
        </w:r>
        <w:proofErr w:type="spellStart"/>
        <w:r w:rsidRPr="00E94D23">
          <w:rPr>
            <w:rStyle w:val="Hyperlink"/>
          </w:rPr>
          <w:t>Greece</w:t>
        </w:r>
        <w:proofErr w:type="spellEnd"/>
        <w:r w:rsidRPr="00E94D23">
          <w:rPr>
            <w:rStyle w:val="Hyperlink"/>
          </w:rPr>
          <w:t>” (Impactul măsurilor anticriză și situația socială și a ocupării forței de muncă: Grecia) (2013)</w:t>
        </w:r>
      </w:hyperlink>
      <w:r w:rsidRPr="00E94D23">
        <w:t>.</w:t>
      </w:r>
    </w:p>
  </w:footnote>
  <w:footnote w:id="9">
    <w:p w:rsidR="00A9616A" w:rsidRPr="00E94D23" w:rsidRDefault="00A9616A" w:rsidP="00E33EF4">
      <w:pPr>
        <w:pStyle w:val="FootnoteText"/>
      </w:pPr>
      <w:r w:rsidRPr="00E94D23">
        <w:rPr>
          <w:rStyle w:val="FootnoteReference"/>
        </w:rPr>
        <w:footnoteRef/>
      </w:r>
      <w:r w:rsidRPr="00E94D23">
        <w:rPr>
          <w:rStyle w:val="FootnoteReference"/>
        </w:rPr>
        <w:t xml:space="preserve"> </w:t>
      </w:r>
      <w:r w:rsidRPr="00E94D23">
        <w:tab/>
      </w:r>
      <w:r w:rsidRPr="00E94D23">
        <w:t xml:space="preserve">Studiu al Unității de asistență pentru guvernanța economică a PE, intitulat </w:t>
      </w:r>
      <w:hyperlink r:id="rId8">
        <w:r w:rsidRPr="00E94D23">
          <w:rPr>
            <w:rStyle w:val="Hyperlink"/>
            <w:i/>
          </w:rPr>
          <w:t xml:space="preserve">The Troika </w:t>
        </w:r>
        <w:proofErr w:type="spellStart"/>
        <w:r w:rsidRPr="00E94D23">
          <w:rPr>
            <w:rStyle w:val="Hyperlink"/>
            <w:i/>
          </w:rPr>
          <w:t>and</w:t>
        </w:r>
        <w:proofErr w:type="spellEnd"/>
        <w:r w:rsidRPr="00E94D23">
          <w:rPr>
            <w:rStyle w:val="Hyperlink"/>
            <w:i/>
          </w:rPr>
          <w:t xml:space="preserve"> </w:t>
        </w:r>
        <w:proofErr w:type="spellStart"/>
        <w:r w:rsidRPr="00E94D23">
          <w:rPr>
            <w:rStyle w:val="Hyperlink"/>
            <w:i/>
          </w:rPr>
          <w:t>financial</w:t>
        </w:r>
        <w:proofErr w:type="spellEnd"/>
        <w:r w:rsidRPr="00E94D23">
          <w:rPr>
            <w:rStyle w:val="Hyperlink"/>
            <w:i/>
          </w:rPr>
          <w:t xml:space="preserve"> </w:t>
        </w:r>
        <w:proofErr w:type="spellStart"/>
        <w:r w:rsidRPr="00E94D23">
          <w:rPr>
            <w:rStyle w:val="Hyperlink"/>
            <w:i/>
          </w:rPr>
          <w:t>assistance</w:t>
        </w:r>
        <w:proofErr w:type="spellEnd"/>
        <w:r w:rsidRPr="00E94D23">
          <w:rPr>
            <w:rStyle w:val="Hyperlink"/>
            <w:i/>
          </w:rPr>
          <w:t xml:space="preserve"> in </w:t>
        </w:r>
        <w:proofErr w:type="spellStart"/>
        <w:r w:rsidRPr="00E94D23">
          <w:rPr>
            <w:rStyle w:val="Hyperlink"/>
            <w:i/>
          </w:rPr>
          <w:t>the</w:t>
        </w:r>
        <w:proofErr w:type="spellEnd"/>
        <w:r w:rsidRPr="00E94D23">
          <w:rPr>
            <w:rStyle w:val="Hyperlink"/>
            <w:i/>
          </w:rPr>
          <w:t xml:space="preserve"> euro </w:t>
        </w:r>
        <w:proofErr w:type="spellStart"/>
        <w:r w:rsidRPr="00E94D23">
          <w:rPr>
            <w:rStyle w:val="Hyperlink"/>
            <w:i/>
          </w:rPr>
          <w:t>area</w:t>
        </w:r>
        <w:proofErr w:type="spellEnd"/>
        <w:r w:rsidRPr="00E94D23">
          <w:rPr>
            <w:rStyle w:val="Hyperlink"/>
            <w:i/>
          </w:rPr>
          <w:t xml:space="preserve">: </w:t>
        </w:r>
        <w:proofErr w:type="spellStart"/>
        <w:r w:rsidRPr="00E94D23">
          <w:rPr>
            <w:rStyle w:val="Hyperlink"/>
            <w:i/>
          </w:rPr>
          <w:t>successes</w:t>
        </w:r>
        <w:proofErr w:type="spellEnd"/>
        <w:r w:rsidRPr="00E94D23">
          <w:rPr>
            <w:rStyle w:val="Hyperlink"/>
            <w:i/>
          </w:rPr>
          <w:t xml:space="preserve"> </w:t>
        </w:r>
        <w:proofErr w:type="spellStart"/>
        <w:r w:rsidRPr="00E94D23">
          <w:rPr>
            <w:rStyle w:val="Hyperlink"/>
            <w:i/>
          </w:rPr>
          <w:t>and</w:t>
        </w:r>
        <w:proofErr w:type="spellEnd"/>
        <w:r w:rsidRPr="00E94D23">
          <w:rPr>
            <w:rStyle w:val="Hyperlink"/>
            <w:i/>
          </w:rPr>
          <w:t xml:space="preserve"> </w:t>
        </w:r>
        <w:proofErr w:type="spellStart"/>
        <w:r w:rsidRPr="00E94D23">
          <w:rPr>
            <w:rStyle w:val="Hyperlink"/>
            <w:i/>
          </w:rPr>
          <w:t>failures</w:t>
        </w:r>
        <w:proofErr w:type="spellEnd"/>
        <w:r w:rsidRPr="00E94D23">
          <w:rPr>
            <w:rStyle w:val="Hyperlink"/>
            <w:i/>
          </w:rPr>
          <w:t xml:space="preserve"> </w:t>
        </w:r>
        <w:r w:rsidRPr="00E94D23">
          <w:rPr>
            <w:rStyle w:val="Hyperlink"/>
          </w:rPr>
          <w:t>(Troica și asistența financiară în zona euro: succese și eșecuri)</w:t>
        </w:r>
      </w:hyperlink>
      <w:r w:rsidRPr="00E94D23">
        <w:t xml:space="preserve"> (Feb 2014).</w:t>
      </w:r>
    </w:p>
  </w:footnote>
  <w:footnote w:id="10">
    <w:p w:rsidR="00E33EF4" w:rsidRPr="00E94D23" w:rsidRDefault="00E33EF4" w:rsidP="00DB3405">
      <w:pPr>
        <w:pStyle w:val="FootnoteText"/>
      </w:pPr>
      <w:r w:rsidRPr="00E94D23">
        <w:rPr>
          <w:rStyle w:val="FootnoteReference"/>
        </w:rPr>
        <w:footnoteRef/>
      </w:r>
      <w:r w:rsidRPr="00E94D23">
        <w:rPr>
          <w:rStyle w:val="FootnoteReference"/>
        </w:rPr>
        <w:t xml:space="preserve"> </w:t>
      </w:r>
      <w:r w:rsidRPr="00E94D23">
        <w:tab/>
      </w:r>
      <w:proofErr w:type="spellStart"/>
      <w:r w:rsidRPr="00E94D23">
        <w:rPr>
          <w:i/>
        </w:rPr>
        <w:t>Desigualdade</w:t>
      </w:r>
      <w:proofErr w:type="spellEnd"/>
      <w:r w:rsidRPr="00E94D23">
        <w:rPr>
          <w:i/>
        </w:rPr>
        <w:t xml:space="preserve"> de </w:t>
      </w:r>
      <w:proofErr w:type="spellStart"/>
      <w:r w:rsidRPr="00E94D23">
        <w:rPr>
          <w:i/>
        </w:rPr>
        <w:t>rendimento</w:t>
      </w:r>
      <w:proofErr w:type="spellEnd"/>
      <w:r w:rsidRPr="00E94D23">
        <w:rPr>
          <w:i/>
        </w:rPr>
        <w:t xml:space="preserve"> e </w:t>
      </w:r>
      <w:proofErr w:type="spellStart"/>
      <w:r w:rsidRPr="00E94D23">
        <w:rPr>
          <w:i/>
        </w:rPr>
        <w:t>Pobreza</w:t>
      </w:r>
      <w:proofErr w:type="spellEnd"/>
      <w:r w:rsidRPr="00E94D23">
        <w:rPr>
          <w:i/>
        </w:rPr>
        <w:t xml:space="preserve"> </w:t>
      </w:r>
      <w:proofErr w:type="spellStart"/>
      <w:r w:rsidRPr="00E94D23">
        <w:rPr>
          <w:i/>
        </w:rPr>
        <w:t>em</w:t>
      </w:r>
      <w:proofErr w:type="spellEnd"/>
      <w:r w:rsidRPr="00E94D23">
        <w:rPr>
          <w:i/>
        </w:rPr>
        <w:t xml:space="preserve"> </w:t>
      </w:r>
      <w:proofErr w:type="spellStart"/>
      <w:r w:rsidRPr="00E94D23">
        <w:rPr>
          <w:i/>
        </w:rPr>
        <w:t>Portugal</w:t>
      </w:r>
      <w:proofErr w:type="spellEnd"/>
      <w:r w:rsidRPr="00E94D23">
        <w:rPr>
          <w:i/>
        </w:rPr>
        <w:t xml:space="preserve"> </w:t>
      </w:r>
      <w:r w:rsidRPr="00E94D23">
        <w:t>("</w:t>
      </w:r>
      <w:proofErr w:type="spellStart"/>
      <w:r w:rsidRPr="00E94D23">
        <w:t>Inequality</w:t>
      </w:r>
      <w:proofErr w:type="spellEnd"/>
      <w:r w:rsidRPr="00E94D23">
        <w:t xml:space="preserve"> of </w:t>
      </w:r>
      <w:proofErr w:type="spellStart"/>
      <w:r w:rsidRPr="00E94D23">
        <w:t>income</w:t>
      </w:r>
      <w:proofErr w:type="spellEnd"/>
      <w:r w:rsidRPr="00E94D23">
        <w:t xml:space="preserve"> </w:t>
      </w:r>
      <w:proofErr w:type="spellStart"/>
      <w:r w:rsidRPr="00E94D23">
        <w:t>and</w:t>
      </w:r>
      <w:proofErr w:type="spellEnd"/>
      <w:r w:rsidRPr="00E94D23">
        <w:t xml:space="preserve"> </w:t>
      </w:r>
      <w:proofErr w:type="spellStart"/>
      <w:r w:rsidRPr="00E94D23">
        <w:t>poverty</w:t>
      </w:r>
      <w:proofErr w:type="spellEnd"/>
      <w:r w:rsidRPr="00E94D23">
        <w:t xml:space="preserve"> in </w:t>
      </w:r>
      <w:proofErr w:type="spellStart"/>
      <w:r w:rsidRPr="00E94D23">
        <w:t>Portugal</w:t>
      </w:r>
      <w:proofErr w:type="spellEnd"/>
      <w:r w:rsidRPr="00E94D23">
        <w:t xml:space="preserve">") (FFMS, </w:t>
      </w:r>
      <w:proofErr w:type="spellStart"/>
      <w:r w:rsidRPr="00E94D23">
        <w:t>September</w:t>
      </w:r>
      <w:proofErr w:type="spellEnd"/>
      <w:r w:rsidRPr="00E94D23">
        <w:t xml:space="preserve"> 2016).</w:t>
      </w:r>
    </w:p>
  </w:footnote>
  <w:footnote w:id="11">
    <w:p w:rsidR="00E33EF4" w:rsidRPr="00E94D23" w:rsidRDefault="00E33EF4" w:rsidP="00DB3405">
      <w:pPr>
        <w:pStyle w:val="FootnoteText"/>
      </w:pPr>
      <w:r w:rsidRPr="00E94D23">
        <w:rPr>
          <w:rStyle w:val="FootnoteReference"/>
        </w:rPr>
        <w:footnoteRef/>
      </w:r>
      <w:r w:rsidRPr="00E94D23">
        <w:rPr>
          <w:rStyle w:val="FootnoteReference"/>
        </w:rPr>
        <w:t xml:space="preserve"> </w:t>
      </w:r>
      <w:r w:rsidRPr="00E94D23">
        <w:tab/>
      </w:r>
      <w:hyperlink r:id="rId9">
        <w:r w:rsidRPr="00E94D23">
          <w:rPr>
            <w:rStyle w:val="Hyperlink"/>
          </w:rPr>
          <w:t xml:space="preserve">EESC </w:t>
        </w:r>
        <w:proofErr w:type="spellStart"/>
        <w:r w:rsidRPr="00E94D23">
          <w:rPr>
            <w:rStyle w:val="Hyperlink"/>
          </w:rPr>
          <w:t>study</w:t>
        </w:r>
        <w:proofErr w:type="spellEnd"/>
        <w:r w:rsidRPr="00E94D23">
          <w:rPr>
            <w:rStyle w:val="Hyperlink"/>
          </w:rPr>
          <w:t xml:space="preserve"> on The impact of </w:t>
        </w:r>
        <w:proofErr w:type="spellStart"/>
        <w:r w:rsidRPr="00E94D23">
          <w:rPr>
            <w:rStyle w:val="Hyperlink"/>
          </w:rPr>
          <w:t>anti-crisis</w:t>
        </w:r>
        <w:proofErr w:type="spellEnd"/>
        <w:r w:rsidRPr="00E94D23">
          <w:rPr>
            <w:rStyle w:val="Hyperlink"/>
          </w:rPr>
          <w:t xml:space="preserve"> </w:t>
        </w:r>
        <w:proofErr w:type="spellStart"/>
        <w:r w:rsidRPr="00E94D23">
          <w:rPr>
            <w:rStyle w:val="Hyperlink"/>
          </w:rPr>
          <w:t>measures</w:t>
        </w:r>
        <w:proofErr w:type="spellEnd"/>
        <w:r w:rsidRPr="00E94D23">
          <w:rPr>
            <w:rStyle w:val="Hyperlink"/>
          </w:rPr>
          <w:t xml:space="preserve"> </w:t>
        </w:r>
        <w:proofErr w:type="spellStart"/>
        <w:r w:rsidRPr="00E94D23">
          <w:rPr>
            <w:rStyle w:val="Hyperlink"/>
          </w:rPr>
          <w:t>and</w:t>
        </w:r>
        <w:proofErr w:type="spellEnd"/>
        <w:r w:rsidRPr="00E94D23">
          <w:rPr>
            <w:rStyle w:val="Hyperlink"/>
          </w:rPr>
          <w:t xml:space="preserve"> </w:t>
        </w:r>
        <w:proofErr w:type="spellStart"/>
        <w:r w:rsidRPr="00E94D23">
          <w:rPr>
            <w:rStyle w:val="Hyperlink"/>
          </w:rPr>
          <w:t>the</w:t>
        </w:r>
        <w:proofErr w:type="spellEnd"/>
        <w:r w:rsidRPr="00E94D23">
          <w:rPr>
            <w:rStyle w:val="Hyperlink"/>
          </w:rPr>
          <w:t xml:space="preserve"> social </w:t>
        </w:r>
        <w:proofErr w:type="spellStart"/>
        <w:r w:rsidRPr="00E94D23">
          <w:rPr>
            <w:rStyle w:val="Hyperlink"/>
          </w:rPr>
          <w:t>and</w:t>
        </w:r>
        <w:proofErr w:type="spellEnd"/>
        <w:r w:rsidRPr="00E94D23">
          <w:rPr>
            <w:rStyle w:val="Hyperlink"/>
          </w:rPr>
          <w:t xml:space="preserve"> </w:t>
        </w:r>
        <w:proofErr w:type="spellStart"/>
        <w:r w:rsidRPr="00E94D23">
          <w:rPr>
            <w:rStyle w:val="Hyperlink"/>
          </w:rPr>
          <w:t>employment</w:t>
        </w:r>
        <w:proofErr w:type="spellEnd"/>
        <w:r w:rsidRPr="00E94D23">
          <w:rPr>
            <w:rStyle w:val="Hyperlink"/>
          </w:rPr>
          <w:t xml:space="preserve"> </w:t>
        </w:r>
        <w:proofErr w:type="spellStart"/>
        <w:r w:rsidRPr="00E94D23">
          <w:rPr>
            <w:rStyle w:val="Hyperlink"/>
          </w:rPr>
          <w:t>situation</w:t>
        </w:r>
        <w:proofErr w:type="spellEnd"/>
        <w:r w:rsidRPr="00E94D23">
          <w:rPr>
            <w:rStyle w:val="Hyperlink"/>
          </w:rPr>
          <w:t xml:space="preserve">: </w:t>
        </w:r>
        <w:proofErr w:type="spellStart"/>
        <w:r w:rsidRPr="00E94D23">
          <w:rPr>
            <w:rStyle w:val="Hyperlink"/>
          </w:rPr>
          <w:t>Ireland</w:t>
        </w:r>
        <w:proofErr w:type="spellEnd"/>
        <w:r w:rsidRPr="00E94D23">
          <w:rPr>
            <w:rStyle w:val="Hyperlink"/>
          </w:rPr>
          <w:t xml:space="preserve"> (2013)</w:t>
        </w:r>
      </w:hyperlink>
      <w:r w:rsidRPr="00E94D23">
        <w:t>.</w:t>
      </w:r>
    </w:p>
  </w:footnote>
  <w:footnote w:id="12">
    <w:p w:rsidR="00E33EF4" w:rsidRPr="00E94D23" w:rsidRDefault="00E33EF4" w:rsidP="00DB3405">
      <w:pPr>
        <w:pStyle w:val="FootnoteText"/>
      </w:pPr>
      <w:r w:rsidRPr="00E94D23">
        <w:rPr>
          <w:rStyle w:val="FootnoteReference"/>
        </w:rPr>
        <w:footnoteRef/>
      </w:r>
      <w:r w:rsidRPr="00E94D23">
        <w:rPr>
          <w:rStyle w:val="FootnoteReference"/>
        </w:rPr>
        <w:t xml:space="preserve"> </w:t>
      </w:r>
      <w:r w:rsidRPr="00E94D23">
        <w:tab/>
      </w:r>
      <w:hyperlink r:id="rId10">
        <w:r w:rsidRPr="00E94D23">
          <w:rPr>
            <w:rStyle w:val="Hyperlink"/>
          </w:rPr>
          <w:t xml:space="preserve">ZBW – Leibniz Information Centre for </w:t>
        </w:r>
        <w:proofErr w:type="spellStart"/>
        <w:r w:rsidRPr="00E94D23">
          <w:rPr>
            <w:rStyle w:val="Hyperlink"/>
          </w:rPr>
          <w:t>Economics</w:t>
        </w:r>
        <w:proofErr w:type="spellEnd"/>
        <w:r w:rsidRPr="00E94D23">
          <w:rPr>
            <w:rStyle w:val="Hyperlink"/>
          </w:rPr>
          <w:t xml:space="preserve"> (</w:t>
        </w:r>
        <w:proofErr w:type="spellStart"/>
        <w:r w:rsidRPr="00E94D23">
          <w:rPr>
            <w:rStyle w:val="Hyperlink"/>
          </w:rPr>
          <w:t>Intereconomics</w:t>
        </w:r>
        <w:proofErr w:type="spellEnd"/>
        <w:r w:rsidRPr="00E94D23">
          <w:rPr>
            <w:rStyle w:val="Hyperlink"/>
          </w:rPr>
          <w:t xml:space="preserve"> 2013)</w:t>
        </w:r>
      </w:hyperlink>
      <w:r w:rsidRPr="00E94D23">
        <w:t>.</w:t>
      </w:r>
    </w:p>
  </w:footnote>
  <w:footnote w:id="13">
    <w:p w:rsidR="00E33EF4" w:rsidRPr="00E94D23" w:rsidRDefault="00E33EF4" w:rsidP="00DB3405">
      <w:pPr>
        <w:pStyle w:val="FootnoteText"/>
      </w:pPr>
      <w:r w:rsidRPr="00E94D23">
        <w:rPr>
          <w:rStyle w:val="FootnoteReference"/>
        </w:rPr>
        <w:footnoteRef/>
      </w:r>
      <w:r w:rsidRPr="00E94D23">
        <w:rPr>
          <w:rStyle w:val="FootnoteReference"/>
        </w:rPr>
        <w:t xml:space="preserve"> </w:t>
      </w:r>
      <w:r w:rsidRPr="00E94D23">
        <w:tab/>
      </w:r>
      <w:hyperlink r:id="rId11">
        <w:r w:rsidRPr="00E94D23">
          <w:rPr>
            <w:rStyle w:val="Hyperlink"/>
          </w:rPr>
          <w:t xml:space="preserve">EESC </w:t>
        </w:r>
        <w:proofErr w:type="spellStart"/>
        <w:r w:rsidRPr="00E94D23">
          <w:rPr>
            <w:rStyle w:val="Hyperlink"/>
          </w:rPr>
          <w:t>Study</w:t>
        </w:r>
        <w:proofErr w:type="spellEnd"/>
        <w:r w:rsidRPr="00E94D23">
          <w:rPr>
            <w:rStyle w:val="Hyperlink"/>
          </w:rPr>
          <w:t xml:space="preserve"> </w:t>
        </w:r>
        <w:r w:rsidRPr="00E94D23">
          <w:rPr>
            <w:rStyle w:val="Hyperlink"/>
            <w:i/>
          </w:rPr>
          <w:t xml:space="preserve">The impact of </w:t>
        </w:r>
        <w:proofErr w:type="spellStart"/>
        <w:r w:rsidRPr="00E94D23">
          <w:rPr>
            <w:rStyle w:val="Hyperlink"/>
            <w:i/>
          </w:rPr>
          <w:t>anti-crisis</w:t>
        </w:r>
        <w:proofErr w:type="spellEnd"/>
        <w:r w:rsidRPr="00E94D23">
          <w:rPr>
            <w:rStyle w:val="Hyperlink"/>
            <w:i/>
          </w:rPr>
          <w:t xml:space="preserve"> </w:t>
        </w:r>
        <w:proofErr w:type="spellStart"/>
        <w:r w:rsidRPr="00E94D23">
          <w:rPr>
            <w:rStyle w:val="Hyperlink"/>
            <w:i/>
          </w:rPr>
          <w:t>measures</w:t>
        </w:r>
        <w:proofErr w:type="spellEnd"/>
        <w:r w:rsidRPr="00E94D23">
          <w:rPr>
            <w:rStyle w:val="Hyperlink"/>
            <w:i/>
          </w:rPr>
          <w:t xml:space="preserve"> </w:t>
        </w:r>
        <w:proofErr w:type="spellStart"/>
        <w:r w:rsidRPr="00E94D23">
          <w:rPr>
            <w:rStyle w:val="Hyperlink"/>
            <w:i/>
          </w:rPr>
          <w:t>and</w:t>
        </w:r>
        <w:proofErr w:type="spellEnd"/>
        <w:r w:rsidRPr="00E94D23">
          <w:rPr>
            <w:rStyle w:val="Hyperlink"/>
            <w:i/>
          </w:rPr>
          <w:t xml:space="preserve"> </w:t>
        </w:r>
        <w:proofErr w:type="spellStart"/>
        <w:r w:rsidRPr="00E94D23">
          <w:rPr>
            <w:rStyle w:val="Hyperlink"/>
            <w:i/>
          </w:rPr>
          <w:t>the</w:t>
        </w:r>
        <w:proofErr w:type="spellEnd"/>
        <w:r w:rsidRPr="00E94D23">
          <w:rPr>
            <w:rStyle w:val="Hyperlink"/>
            <w:i/>
          </w:rPr>
          <w:t xml:space="preserve"> social </w:t>
        </w:r>
        <w:proofErr w:type="spellStart"/>
        <w:r w:rsidRPr="00E94D23">
          <w:rPr>
            <w:rStyle w:val="Hyperlink"/>
            <w:i/>
          </w:rPr>
          <w:t>and</w:t>
        </w:r>
        <w:proofErr w:type="spellEnd"/>
        <w:r w:rsidRPr="00E94D23">
          <w:rPr>
            <w:rStyle w:val="Hyperlink"/>
            <w:i/>
          </w:rPr>
          <w:t xml:space="preserve"> </w:t>
        </w:r>
        <w:proofErr w:type="spellStart"/>
        <w:r w:rsidRPr="00E94D23">
          <w:rPr>
            <w:rStyle w:val="Hyperlink"/>
            <w:i/>
          </w:rPr>
          <w:t>employment</w:t>
        </w:r>
        <w:proofErr w:type="spellEnd"/>
        <w:r w:rsidRPr="00E94D23">
          <w:rPr>
            <w:rStyle w:val="Hyperlink"/>
            <w:i/>
          </w:rPr>
          <w:t xml:space="preserve"> </w:t>
        </w:r>
        <w:proofErr w:type="spellStart"/>
        <w:r w:rsidRPr="00E94D23">
          <w:rPr>
            <w:rStyle w:val="Hyperlink"/>
            <w:i/>
          </w:rPr>
          <w:t>situation</w:t>
        </w:r>
        <w:proofErr w:type="spellEnd"/>
        <w:r w:rsidRPr="00E94D23">
          <w:rPr>
            <w:rStyle w:val="Hyperlink"/>
            <w:i/>
          </w:rPr>
          <w:t xml:space="preserve">: </w:t>
        </w:r>
        <w:proofErr w:type="spellStart"/>
        <w:r w:rsidRPr="00E94D23">
          <w:rPr>
            <w:rStyle w:val="Hyperlink"/>
            <w:i/>
          </w:rPr>
          <w:t>Greece</w:t>
        </w:r>
        <w:proofErr w:type="spellEnd"/>
        <w:r w:rsidRPr="00E94D23">
          <w:rPr>
            <w:rStyle w:val="Hyperlink"/>
          </w:rPr>
          <w:t xml:space="preserve"> (2013)</w:t>
        </w:r>
      </w:hyperlink>
      <w:r w:rsidRPr="00E94D2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15" w:rsidRPr="00E94D23" w:rsidRDefault="00023315" w:rsidP="00E94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15" w:rsidRPr="00E94D23" w:rsidRDefault="00023315" w:rsidP="00E94D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15" w:rsidRPr="00E94D23" w:rsidRDefault="00023315" w:rsidP="00E94D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6A" w:rsidRPr="00E94D23" w:rsidRDefault="00A9616A" w:rsidP="00E94D2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6A" w:rsidRPr="00E94D23" w:rsidRDefault="00A9616A" w:rsidP="00E94D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6A" w:rsidRPr="00E94D23" w:rsidRDefault="00A9616A" w:rsidP="00E94D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0475F90"/>
    <w:multiLevelType w:val="singleLevel"/>
    <w:tmpl w:val="0530559C"/>
    <w:lvl w:ilvl="0">
      <w:start w:val="1"/>
      <w:numFmt w:val="bullet"/>
      <w:lvlText w:val=""/>
      <w:lvlJc w:val="left"/>
      <w:pPr>
        <w:ind w:left="1440" w:hanging="360"/>
      </w:pPr>
      <w:rPr>
        <w:rFonts w:ascii="Symbol" w:hAnsi="Symbol" w:hint="default"/>
      </w:rPr>
    </w:lvl>
  </w:abstractNum>
  <w:abstractNum w:abstractNumId="2">
    <w:nsid w:val="00586F88"/>
    <w:multiLevelType w:val="singleLevel"/>
    <w:tmpl w:val="7408E2A4"/>
    <w:lvl w:ilvl="0">
      <w:start w:val="1"/>
      <w:numFmt w:val="bullet"/>
      <w:lvlText w:val=""/>
      <w:lvlJc w:val="left"/>
      <w:pPr>
        <w:ind w:left="720" w:hanging="360"/>
      </w:pPr>
      <w:rPr>
        <w:rFonts w:ascii="Symbol" w:hAnsi="Symbol" w:hint="default"/>
      </w:rPr>
    </w:lvl>
  </w:abstractNum>
  <w:abstractNum w:abstractNumId="3">
    <w:nsid w:val="0527648D"/>
    <w:multiLevelType w:val="multilevel"/>
    <w:tmpl w:val="9DAEBA9E"/>
    <w:lvl w:ilvl="0">
      <w:start w:val="4"/>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582" w:hanging="1440"/>
      </w:pPr>
      <w:rPr>
        <w:rFonts w:hint="default"/>
      </w:rPr>
    </w:lvl>
  </w:abstractNum>
  <w:abstractNum w:abstractNumId="4">
    <w:nsid w:val="056106E7"/>
    <w:multiLevelType w:val="singleLevel"/>
    <w:tmpl w:val="8490F27C"/>
    <w:lvl w:ilvl="0">
      <w:start w:val="1"/>
      <w:numFmt w:val="bullet"/>
      <w:lvlText w:val=""/>
      <w:lvlJc w:val="left"/>
      <w:pPr>
        <w:ind w:left="1440" w:hanging="360"/>
      </w:pPr>
      <w:rPr>
        <w:rFonts w:ascii="Symbol" w:hAnsi="Symbol" w:hint="default"/>
      </w:rPr>
    </w:lvl>
  </w:abstractNum>
  <w:abstractNum w:abstractNumId="5">
    <w:nsid w:val="05AC54F4"/>
    <w:multiLevelType w:val="hybridMultilevel"/>
    <w:tmpl w:val="B094AD5A"/>
    <w:lvl w:ilvl="0" w:tplc="891ECDDC">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744523"/>
    <w:multiLevelType w:val="hybridMultilevel"/>
    <w:tmpl w:val="29C84F24"/>
    <w:lvl w:ilvl="0" w:tplc="F89622A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335FEC"/>
    <w:multiLevelType w:val="hybridMultilevel"/>
    <w:tmpl w:val="4E0CA110"/>
    <w:lvl w:ilvl="0" w:tplc="82882282">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B805302"/>
    <w:multiLevelType w:val="singleLevel"/>
    <w:tmpl w:val="78BC3286"/>
    <w:lvl w:ilvl="0">
      <w:start w:val="1"/>
      <w:numFmt w:val="bullet"/>
      <w:lvlText w:val=""/>
      <w:lvlJc w:val="left"/>
      <w:pPr>
        <w:ind w:left="1440" w:hanging="360"/>
      </w:pPr>
      <w:rPr>
        <w:rFonts w:ascii="Symbol" w:hAnsi="Symbol" w:hint="default"/>
      </w:rPr>
    </w:lvl>
  </w:abstractNum>
  <w:abstractNum w:abstractNumId="9">
    <w:nsid w:val="10873E02"/>
    <w:multiLevelType w:val="hybridMultilevel"/>
    <w:tmpl w:val="2FCAE896"/>
    <w:lvl w:ilvl="0" w:tplc="33FEFCB4">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651022"/>
    <w:multiLevelType w:val="hybridMultilevel"/>
    <w:tmpl w:val="7DE67BDC"/>
    <w:lvl w:ilvl="0" w:tplc="169E001A">
      <w:start w:val="1"/>
      <w:numFmt w:val="lowerRoman"/>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136B1D41"/>
    <w:multiLevelType w:val="hybridMultilevel"/>
    <w:tmpl w:val="DEA271C8"/>
    <w:lvl w:ilvl="0" w:tplc="D61807C4">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07598A"/>
    <w:multiLevelType w:val="hybridMultilevel"/>
    <w:tmpl w:val="8DD80060"/>
    <w:lvl w:ilvl="0" w:tplc="4134DF2E">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nsid w:val="162362DE"/>
    <w:multiLevelType w:val="hybridMultilevel"/>
    <w:tmpl w:val="5E6E3250"/>
    <w:lvl w:ilvl="0" w:tplc="2CB22CC6">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AA1729"/>
    <w:multiLevelType w:val="singleLevel"/>
    <w:tmpl w:val="0530559C"/>
    <w:lvl w:ilvl="0">
      <w:start w:val="1"/>
      <w:numFmt w:val="bullet"/>
      <w:lvlText w:val=""/>
      <w:lvlJc w:val="left"/>
      <w:pPr>
        <w:ind w:left="1440" w:hanging="360"/>
      </w:pPr>
      <w:rPr>
        <w:rFonts w:ascii="Symbol" w:hAnsi="Symbol" w:hint="default"/>
      </w:rPr>
    </w:lvl>
  </w:abstractNum>
  <w:abstractNum w:abstractNumId="15">
    <w:nsid w:val="186F21DC"/>
    <w:multiLevelType w:val="multilevel"/>
    <w:tmpl w:val="57CA44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9336662"/>
    <w:multiLevelType w:val="singleLevel"/>
    <w:tmpl w:val="8490F27C"/>
    <w:lvl w:ilvl="0">
      <w:start w:val="1"/>
      <w:numFmt w:val="bullet"/>
      <w:lvlText w:val=""/>
      <w:lvlJc w:val="left"/>
      <w:pPr>
        <w:ind w:left="1440" w:hanging="360"/>
      </w:pPr>
      <w:rPr>
        <w:rFonts w:ascii="Symbol" w:hAnsi="Symbol" w:hint="default"/>
      </w:rPr>
    </w:lvl>
  </w:abstractNum>
  <w:abstractNum w:abstractNumId="17">
    <w:nsid w:val="1BEB4294"/>
    <w:multiLevelType w:val="singleLevel"/>
    <w:tmpl w:val="5E6E325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8">
    <w:nsid w:val="1D3666E7"/>
    <w:multiLevelType w:val="hybridMultilevel"/>
    <w:tmpl w:val="EAD0AD1C"/>
    <w:lvl w:ilvl="0" w:tplc="7F2E864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247190"/>
    <w:multiLevelType w:val="singleLevel"/>
    <w:tmpl w:val="78BC3286"/>
    <w:lvl w:ilvl="0">
      <w:start w:val="1"/>
      <w:numFmt w:val="bullet"/>
      <w:lvlText w:val=""/>
      <w:lvlJc w:val="left"/>
      <w:pPr>
        <w:ind w:left="1440" w:hanging="360"/>
      </w:pPr>
      <w:rPr>
        <w:rFonts w:ascii="Symbol" w:hAnsi="Symbol" w:hint="default"/>
      </w:rPr>
    </w:lvl>
  </w:abstractNum>
  <w:abstractNum w:abstractNumId="20">
    <w:nsid w:val="1F790E3F"/>
    <w:multiLevelType w:val="hybridMultilevel"/>
    <w:tmpl w:val="63CAAD52"/>
    <w:lvl w:ilvl="0" w:tplc="1CAE8638">
      <w:start w:val="1"/>
      <w:numFmt w:val="lowerRoman"/>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1">
    <w:nsid w:val="22890E6C"/>
    <w:multiLevelType w:val="singleLevel"/>
    <w:tmpl w:val="0530559C"/>
    <w:lvl w:ilvl="0">
      <w:start w:val="1"/>
      <w:numFmt w:val="bullet"/>
      <w:lvlText w:val=""/>
      <w:lvlJc w:val="left"/>
      <w:pPr>
        <w:ind w:left="1440" w:hanging="360"/>
      </w:pPr>
      <w:rPr>
        <w:rFonts w:ascii="Symbol" w:hAnsi="Symbol" w:hint="default"/>
      </w:rPr>
    </w:lvl>
  </w:abstractNum>
  <w:abstractNum w:abstractNumId="22">
    <w:nsid w:val="23AF33CC"/>
    <w:multiLevelType w:val="multilevel"/>
    <w:tmpl w:val="8FAC4356"/>
    <w:lvl w:ilvl="0">
      <w:start w:val="1"/>
      <w:numFmt w:val="decimal"/>
      <w:lvlText w:val="%1."/>
      <w:legacy w:legacy="1" w:legacySpace="0" w:legacyIndent="0"/>
      <w:lvlJc w:val="left"/>
      <w:rPr>
        <w:b w:val="0"/>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3">
    <w:nsid w:val="24620937"/>
    <w:multiLevelType w:val="hybridMultilevel"/>
    <w:tmpl w:val="8490F27C"/>
    <w:lvl w:ilvl="0" w:tplc="4134DF2E">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nsid w:val="296B1E56"/>
    <w:multiLevelType w:val="singleLevel"/>
    <w:tmpl w:val="0530559C"/>
    <w:lvl w:ilvl="0">
      <w:start w:val="1"/>
      <w:numFmt w:val="bullet"/>
      <w:lvlText w:val=""/>
      <w:lvlJc w:val="left"/>
      <w:pPr>
        <w:ind w:left="1440" w:hanging="360"/>
      </w:pPr>
      <w:rPr>
        <w:rFonts w:ascii="Symbol" w:hAnsi="Symbol" w:hint="default"/>
      </w:rPr>
    </w:lvl>
  </w:abstractNum>
  <w:abstractNum w:abstractNumId="25">
    <w:nsid w:val="2CA8605A"/>
    <w:multiLevelType w:val="singleLevel"/>
    <w:tmpl w:val="8490F27C"/>
    <w:lvl w:ilvl="0">
      <w:start w:val="1"/>
      <w:numFmt w:val="bullet"/>
      <w:lvlText w:val=""/>
      <w:lvlJc w:val="left"/>
      <w:pPr>
        <w:ind w:left="1440" w:hanging="360"/>
      </w:pPr>
      <w:rPr>
        <w:rFonts w:ascii="Symbol" w:hAnsi="Symbol" w:hint="default"/>
      </w:rPr>
    </w:lvl>
  </w:abstractNum>
  <w:abstractNum w:abstractNumId="26">
    <w:nsid w:val="2D067FAF"/>
    <w:multiLevelType w:val="singleLevel"/>
    <w:tmpl w:val="0530559C"/>
    <w:lvl w:ilvl="0">
      <w:start w:val="1"/>
      <w:numFmt w:val="bullet"/>
      <w:lvlText w:val=""/>
      <w:lvlJc w:val="left"/>
      <w:pPr>
        <w:ind w:left="1440" w:hanging="360"/>
      </w:pPr>
      <w:rPr>
        <w:rFonts w:ascii="Symbol" w:hAnsi="Symbol" w:hint="default"/>
      </w:rPr>
    </w:lvl>
  </w:abstractNum>
  <w:abstractNum w:abstractNumId="27">
    <w:nsid w:val="2E094651"/>
    <w:multiLevelType w:val="hybridMultilevel"/>
    <w:tmpl w:val="B56C78BE"/>
    <w:lvl w:ilvl="0" w:tplc="4134DF2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2F6C70AC"/>
    <w:multiLevelType w:val="singleLevel"/>
    <w:tmpl w:val="0530559C"/>
    <w:lvl w:ilvl="0">
      <w:start w:val="1"/>
      <w:numFmt w:val="bullet"/>
      <w:lvlText w:val=""/>
      <w:lvlJc w:val="left"/>
      <w:pPr>
        <w:ind w:left="1440" w:hanging="360"/>
      </w:pPr>
      <w:rPr>
        <w:rFonts w:ascii="Symbol" w:hAnsi="Symbol" w:hint="default"/>
      </w:rPr>
    </w:lvl>
  </w:abstractNum>
  <w:abstractNum w:abstractNumId="29">
    <w:nsid w:val="2FB85D05"/>
    <w:multiLevelType w:val="singleLevel"/>
    <w:tmpl w:val="5E6E325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0">
    <w:nsid w:val="3112363F"/>
    <w:multiLevelType w:val="hybridMultilevel"/>
    <w:tmpl w:val="BD7CD90A"/>
    <w:lvl w:ilvl="0" w:tplc="AB6A8F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1705476"/>
    <w:multiLevelType w:val="singleLevel"/>
    <w:tmpl w:val="8DD80060"/>
    <w:lvl w:ilvl="0">
      <w:start w:val="1"/>
      <w:numFmt w:val="bullet"/>
      <w:lvlText w:val=""/>
      <w:lvlJc w:val="left"/>
      <w:pPr>
        <w:ind w:left="1287" w:hanging="360"/>
      </w:pPr>
      <w:rPr>
        <w:rFonts w:ascii="Symbol" w:hAnsi="Symbol" w:hint="default"/>
      </w:rPr>
    </w:lvl>
  </w:abstractNum>
  <w:abstractNum w:abstractNumId="32">
    <w:nsid w:val="37015A87"/>
    <w:multiLevelType w:val="hybridMultilevel"/>
    <w:tmpl w:val="4FB41AF6"/>
    <w:lvl w:ilvl="0" w:tplc="4134DF2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385834B4"/>
    <w:multiLevelType w:val="hybridMultilevel"/>
    <w:tmpl w:val="A3E65D3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nsid w:val="38DD3318"/>
    <w:multiLevelType w:val="hybridMultilevel"/>
    <w:tmpl w:val="AEC08760"/>
    <w:lvl w:ilvl="0" w:tplc="E7B6D030">
      <w:start w:val="1"/>
      <w:numFmt w:val="decimal"/>
      <w:lvlText w:val="(%1)"/>
      <w:lvlJc w:val="left"/>
      <w:pPr>
        <w:ind w:left="1080" w:hanging="360"/>
      </w:pPr>
      <w:rPr>
        <w:rFonts w:hint="default"/>
        <w:b/>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5">
    <w:nsid w:val="3D4E10AB"/>
    <w:multiLevelType w:val="singleLevel"/>
    <w:tmpl w:val="5E6E325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6">
    <w:nsid w:val="41966468"/>
    <w:multiLevelType w:val="multilevel"/>
    <w:tmpl w:val="7B642F84"/>
    <w:lvl w:ilvl="0">
      <w:start w:val="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1287"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2061FFC"/>
    <w:multiLevelType w:val="singleLevel"/>
    <w:tmpl w:val="7408E2A4"/>
    <w:lvl w:ilvl="0">
      <w:start w:val="1"/>
      <w:numFmt w:val="bullet"/>
      <w:lvlText w:val=""/>
      <w:lvlJc w:val="left"/>
      <w:pPr>
        <w:ind w:left="720" w:hanging="360"/>
      </w:pPr>
      <w:rPr>
        <w:rFonts w:ascii="Symbol" w:hAnsi="Symbol" w:hint="default"/>
      </w:rPr>
    </w:lvl>
  </w:abstractNum>
  <w:abstractNum w:abstractNumId="38">
    <w:nsid w:val="44A64F9F"/>
    <w:multiLevelType w:val="singleLevel"/>
    <w:tmpl w:val="5E6E325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9">
    <w:nsid w:val="44B401E0"/>
    <w:multiLevelType w:val="singleLevel"/>
    <w:tmpl w:val="7408E2A4"/>
    <w:lvl w:ilvl="0">
      <w:start w:val="1"/>
      <w:numFmt w:val="bullet"/>
      <w:lvlText w:val=""/>
      <w:lvlJc w:val="left"/>
      <w:pPr>
        <w:ind w:left="720" w:hanging="360"/>
      </w:pPr>
      <w:rPr>
        <w:rFonts w:ascii="Symbol" w:hAnsi="Symbol" w:hint="default"/>
      </w:rPr>
    </w:lvl>
  </w:abstractNum>
  <w:abstractNum w:abstractNumId="40">
    <w:nsid w:val="44E65B41"/>
    <w:multiLevelType w:val="singleLevel"/>
    <w:tmpl w:val="0530559C"/>
    <w:lvl w:ilvl="0">
      <w:start w:val="1"/>
      <w:numFmt w:val="bullet"/>
      <w:lvlText w:val=""/>
      <w:lvlJc w:val="left"/>
      <w:pPr>
        <w:ind w:left="1440" w:hanging="360"/>
      </w:pPr>
      <w:rPr>
        <w:rFonts w:ascii="Symbol" w:hAnsi="Symbol" w:hint="default"/>
      </w:rPr>
    </w:lvl>
  </w:abstractNum>
  <w:abstractNum w:abstractNumId="41">
    <w:nsid w:val="45144E8A"/>
    <w:multiLevelType w:val="hybridMultilevel"/>
    <w:tmpl w:val="2B2CB922"/>
    <w:lvl w:ilvl="0" w:tplc="4134DF2E">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2">
    <w:nsid w:val="45550580"/>
    <w:multiLevelType w:val="singleLevel"/>
    <w:tmpl w:val="2B2CB922"/>
    <w:lvl w:ilvl="0">
      <w:start w:val="1"/>
      <w:numFmt w:val="bullet"/>
      <w:lvlText w:val=""/>
      <w:lvlJc w:val="left"/>
      <w:pPr>
        <w:ind w:left="1440" w:hanging="360"/>
      </w:pPr>
      <w:rPr>
        <w:rFonts w:ascii="Symbol" w:hAnsi="Symbol" w:hint="default"/>
      </w:rPr>
    </w:lvl>
  </w:abstractNum>
  <w:abstractNum w:abstractNumId="43">
    <w:nsid w:val="45D546A3"/>
    <w:multiLevelType w:val="multilevel"/>
    <w:tmpl w:val="4A6EC1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67835F6"/>
    <w:multiLevelType w:val="singleLevel"/>
    <w:tmpl w:val="5E6E325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45">
    <w:nsid w:val="48F22E4D"/>
    <w:multiLevelType w:val="hybridMultilevel"/>
    <w:tmpl w:val="78BC3286"/>
    <w:lvl w:ilvl="0" w:tplc="4134DF2E">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6">
    <w:nsid w:val="4A80578C"/>
    <w:multiLevelType w:val="singleLevel"/>
    <w:tmpl w:val="5E6E325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47">
    <w:nsid w:val="4BBE0D18"/>
    <w:multiLevelType w:val="singleLevel"/>
    <w:tmpl w:val="78BC3286"/>
    <w:lvl w:ilvl="0">
      <w:start w:val="1"/>
      <w:numFmt w:val="bullet"/>
      <w:lvlText w:val=""/>
      <w:lvlJc w:val="left"/>
      <w:pPr>
        <w:ind w:left="1440" w:hanging="360"/>
      </w:pPr>
      <w:rPr>
        <w:rFonts w:ascii="Symbol" w:hAnsi="Symbol" w:hint="default"/>
      </w:rPr>
    </w:lvl>
  </w:abstractNum>
  <w:abstractNum w:abstractNumId="48">
    <w:nsid w:val="4D88222B"/>
    <w:multiLevelType w:val="multilevel"/>
    <w:tmpl w:val="188C3034"/>
    <w:lvl w:ilvl="0">
      <w:start w:val="1"/>
      <w:numFmt w:val="decimal"/>
      <w:lvlText w:val="%1."/>
      <w:legacy w:legacy="1" w:legacySpace="0" w:legacyIndent="0"/>
      <w:lvlJc w:val="left"/>
      <w:rPr>
        <w:b w:val="0"/>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9">
    <w:nsid w:val="4DF611CE"/>
    <w:multiLevelType w:val="hybridMultilevel"/>
    <w:tmpl w:val="8AAC7618"/>
    <w:lvl w:ilvl="0" w:tplc="1CAE8638">
      <w:start w:val="1"/>
      <w:numFmt w:val="low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nsid w:val="4DF911B2"/>
    <w:multiLevelType w:val="singleLevel"/>
    <w:tmpl w:val="0530559C"/>
    <w:lvl w:ilvl="0">
      <w:start w:val="1"/>
      <w:numFmt w:val="bullet"/>
      <w:lvlText w:val=""/>
      <w:lvlJc w:val="left"/>
      <w:pPr>
        <w:ind w:left="1440" w:hanging="360"/>
      </w:pPr>
      <w:rPr>
        <w:rFonts w:ascii="Symbol" w:hAnsi="Symbol" w:hint="default"/>
      </w:rPr>
    </w:lvl>
  </w:abstractNum>
  <w:abstractNum w:abstractNumId="51">
    <w:nsid w:val="4E3A3B0E"/>
    <w:multiLevelType w:val="multilevel"/>
    <w:tmpl w:val="9B7670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03F4F59"/>
    <w:multiLevelType w:val="singleLevel"/>
    <w:tmpl w:val="7408E2A4"/>
    <w:lvl w:ilvl="0">
      <w:start w:val="1"/>
      <w:numFmt w:val="bullet"/>
      <w:lvlText w:val=""/>
      <w:lvlJc w:val="left"/>
      <w:pPr>
        <w:ind w:left="720" w:hanging="360"/>
      </w:pPr>
      <w:rPr>
        <w:rFonts w:ascii="Symbol" w:hAnsi="Symbol" w:hint="default"/>
      </w:rPr>
    </w:lvl>
  </w:abstractNum>
  <w:abstractNum w:abstractNumId="53">
    <w:nsid w:val="504C35A1"/>
    <w:multiLevelType w:val="singleLevel"/>
    <w:tmpl w:val="78BC3286"/>
    <w:lvl w:ilvl="0">
      <w:start w:val="1"/>
      <w:numFmt w:val="bullet"/>
      <w:lvlText w:val=""/>
      <w:lvlJc w:val="left"/>
      <w:pPr>
        <w:ind w:left="1440" w:hanging="360"/>
      </w:pPr>
      <w:rPr>
        <w:rFonts w:ascii="Symbol" w:hAnsi="Symbol" w:hint="default"/>
      </w:rPr>
    </w:lvl>
  </w:abstractNum>
  <w:abstractNum w:abstractNumId="54">
    <w:nsid w:val="51E3311D"/>
    <w:multiLevelType w:val="singleLevel"/>
    <w:tmpl w:val="5E6E325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55">
    <w:nsid w:val="53D71CBA"/>
    <w:multiLevelType w:val="hybridMultilevel"/>
    <w:tmpl w:val="68FCF5D2"/>
    <w:lvl w:ilvl="0" w:tplc="1CAE8638">
      <w:start w:val="1"/>
      <w:numFmt w:val="lowerRoman"/>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56">
    <w:nsid w:val="5669495D"/>
    <w:multiLevelType w:val="singleLevel"/>
    <w:tmpl w:val="78BC3286"/>
    <w:lvl w:ilvl="0">
      <w:start w:val="1"/>
      <w:numFmt w:val="bullet"/>
      <w:lvlText w:val=""/>
      <w:lvlJc w:val="left"/>
      <w:pPr>
        <w:ind w:left="1440" w:hanging="360"/>
      </w:pPr>
      <w:rPr>
        <w:rFonts w:ascii="Symbol" w:hAnsi="Symbol" w:hint="default"/>
      </w:rPr>
    </w:lvl>
  </w:abstractNum>
  <w:abstractNum w:abstractNumId="57">
    <w:nsid w:val="568B6DA6"/>
    <w:multiLevelType w:val="singleLevel"/>
    <w:tmpl w:val="7408E2A4"/>
    <w:lvl w:ilvl="0">
      <w:start w:val="1"/>
      <w:numFmt w:val="bullet"/>
      <w:lvlText w:val=""/>
      <w:lvlJc w:val="left"/>
      <w:pPr>
        <w:ind w:left="720" w:hanging="360"/>
      </w:pPr>
      <w:rPr>
        <w:rFonts w:ascii="Symbol" w:hAnsi="Symbol" w:hint="default"/>
      </w:rPr>
    </w:lvl>
  </w:abstractNum>
  <w:abstractNum w:abstractNumId="58">
    <w:nsid w:val="5A497C9B"/>
    <w:multiLevelType w:val="singleLevel"/>
    <w:tmpl w:val="8490F27C"/>
    <w:lvl w:ilvl="0">
      <w:start w:val="1"/>
      <w:numFmt w:val="bullet"/>
      <w:lvlText w:val=""/>
      <w:lvlJc w:val="left"/>
      <w:pPr>
        <w:ind w:left="1440" w:hanging="360"/>
      </w:pPr>
      <w:rPr>
        <w:rFonts w:ascii="Symbol" w:hAnsi="Symbol" w:hint="default"/>
      </w:rPr>
    </w:lvl>
  </w:abstractNum>
  <w:abstractNum w:abstractNumId="59">
    <w:nsid w:val="5A4C4CE4"/>
    <w:multiLevelType w:val="singleLevel"/>
    <w:tmpl w:val="4FB41AF6"/>
    <w:lvl w:ilvl="0">
      <w:start w:val="1"/>
      <w:numFmt w:val="bullet"/>
      <w:lvlText w:val=""/>
      <w:lvlJc w:val="left"/>
      <w:pPr>
        <w:ind w:left="720" w:hanging="360"/>
      </w:pPr>
      <w:rPr>
        <w:rFonts w:ascii="Symbol" w:hAnsi="Symbol" w:hint="default"/>
      </w:rPr>
    </w:lvl>
  </w:abstractNum>
  <w:abstractNum w:abstractNumId="60">
    <w:nsid w:val="5DA421A6"/>
    <w:multiLevelType w:val="hybridMultilevel"/>
    <w:tmpl w:val="E9D409B2"/>
    <w:lvl w:ilvl="0" w:tplc="D8CEF1E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nsid w:val="5F6F6E36"/>
    <w:multiLevelType w:val="singleLevel"/>
    <w:tmpl w:val="4FB41AF6"/>
    <w:lvl w:ilvl="0">
      <w:start w:val="1"/>
      <w:numFmt w:val="bullet"/>
      <w:lvlText w:val=""/>
      <w:lvlJc w:val="left"/>
      <w:pPr>
        <w:ind w:left="720" w:hanging="360"/>
      </w:pPr>
      <w:rPr>
        <w:rFonts w:ascii="Symbol" w:hAnsi="Symbol" w:hint="default"/>
      </w:rPr>
    </w:lvl>
  </w:abstractNum>
  <w:abstractNum w:abstractNumId="62">
    <w:nsid w:val="5FF74B97"/>
    <w:multiLevelType w:val="singleLevel"/>
    <w:tmpl w:val="78BC3286"/>
    <w:lvl w:ilvl="0">
      <w:start w:val="1"/>
      <w:numFmt w:val="bullet"/>
      <w:lvlText w:val=""/>
      <w:lvlJc w:val="left"/>
      <w:pPr>
        <w:ind w:left="1440" w:hanging="360"/>
      </w:pPr>
      <w:rPr>
        <w:rFonts w:ascii="Symbol" w:hAnsi="Symbol" w:hint="default"/>
      </w:rPr>
    </w:lvl>
  </w:abstractNum>
  <w:abstractNum w:abstractNumId="63">
    <w:nsid w:val="677F3945"/>
    <w:multiLevelType w:val="hybridMultilevel"/>
    <w:tmpl w:val="881C0E4E"/>
    <w:lvl w:ilvl="0" w:tplc="A23430C8">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7CA6C5E"/>
    <w:multiLevelType w:val="singleLevel"/>
    <w:tmpl w:val="BD7CD90A"/>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65">
    <w:nsid w:val="686A753C"/>
    <w:multiLevelType w:val="singleLevel"/>
    <w:tmpl w:val="0530559C"/>
    <w:lvl w:ilvl="0">
      <w:start w:val="1"/>
      <w:numFmt w:val="bullet"/>
      <w:lvlText w:val=""/>
      <w:lvlJc w:val="left"/>
      <w:pPr>
        <w:ind w:left="1440" w:hanging="360"/>
      </w:pPr>
      <w:rPr>
        <w:rFonts w:ascii="Symbol" w:hAnsi="Symbol" w:hint="default"/>
      </w:rPr>
    </w:lvl>
  </w:abstractNum>
  <w:abstractNum w:abstractNumId="66">
    <w:nsid w:val="6BC41E6F"/>
    <w:multiLevelType w:val="singleLevel"/>
    <w:tmpl w:val="2B2CB922"/>
    <w:lvl w:ilvl="0">
      <w:start w:val="1"/>
      <w:numFmt w:val="bullet"/>
      <w:lvlText w:val=""/>
      <w:lvlJc w:val="left"/>
      <w:pPr>
        <w:ind w:left="1440" w:hanging="360"/>
      </w:pPr>
      <w:rPr>
        <w:rFonts w:ascii="Symbol" w:hAnsi="Symbol" w:hint="default"/>
      </w:rPr>
    </w:lvl>
  </w:abstractNum>
  <w:abstractNum w:abstractNumId="67">
    <w:nsid w:val="6C5544D5"/>
    <w:multiLevelType w:val="singleLevel"/>
    <w:tmpl w:val="8490F27C"/>
    <w:lvl w:ilvl="0">
      <w:start w:val="1"/>
      <w:numFmt w:val="bullet"/>
      <w:lvlText w:val=""/>
      <w:lvlJc w:val="left"/>
      <w:pPr>
        <w:ind w:left="1440" w:hanging="360"/>
      </w:pPr>
      <w:rPr>
        <w:rFonts w:ascii="Symbol" w:hAnsi="Symbol" w:hint="default"/>
      </w:rPr>
    </w:lvl>
  </w:abstractNum>
  <w:abstractNum w:abstractNumId="68">
    <w:nsid w:val="6DB92410"/>
    <w:multiLevelType w:val="hybridMultilevel"/>
    <w:tmpl w:val="0530559C"/>
    <w:lvl w:ilvl="0" w:tplc="4134DF2E">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9">
    <w:nsid w:val="70571C8E"/>
    <w:multiLevelType w:val="hybridMultilevel"/>
    <w:tmpl w:val="7408E2A4"/>
    <w:lvl w:ilvl="0" w:tplc="4134DF2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nsid w:val="734329B8"/>
    <w:multiLevelType w:val="hybridMultilevel"/>
    <w:tmpl w:val="4E50D128"/>
    <w:lvl w:ilvl="0" w:tplc="01A42FBA">
      <w:start w:val="1"/>
      <w:numFmt w:val="decimal"/>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71">
    <w:nsid w:val="760C6C6C"/>
    <w:multiLevelType w:val="singleLevel"/>
    <w:tmpl w:val="B56C78BE"/>
    <w:lvl w:ilvl="0">
      <w:start w:val="1"/>
      <w:numFmt w:val="bullet"/>
      <w:lvlText w:val=""/>
      <w:lvlJc w:val="left"/>
      <w:pPr>
        <w:ind w:left="720" w:hanging="360"/>
      </w:pPr>
      <w:rPr>
        <w:rFonts w:ascii="Symbol" w:hAnsi="Symbol" w:hint="default"/>
      </w:rPr>
    </w:lvl>
  </w:abstractNum>
  <w:abstractNum w:abstractNumId="72">
    <w:nsid w:val="7AA85385"/>
    <w:multiLevelType w:val="multilevel"/>
    <w:tmpl w:val="DE108F4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3">
    <w:nsid w:val="7E7D5DB1"/>
    <w:multiLevelType w:val="singleLevel"/>
    <w:tmpl w:val="7408E2A4"/>
    <w:lvl w:ilvl="0">
      <w:start w:val="1"/>
      <w:numFmt w:val="bullet"/>
      <w:lvlText w:val=""/>
      <w:lvlJc w:val="left"/>
      <w:pPr>
        <w:ind w:left="720" w:hanging="360"/>
      </w:pPr>
      <w:rPr>
        <w:rFonts w:ascii="Symbol" w:hAnsi="Symbol" w:hint="default"/>
      </w:rPr>
    </w:lvl>
  </w:abstractNum>
  <w:num w:numId="1">
    <w:abstractNumId w:val="0"/>
  </w:num>
  <w:num w:numId="2">
    <w:abstractNumId w:val="33"/>
  </w:num>
  <w:num w:numId="3">
    <w:abstractNumId w:val="70"/>
  </w:num>
  <w:num w:numId="4">
    <w:abstractNumId w:val="36"/>
  </w:num>
  <w:num w:numId="5">
    <w:abstractNumId w:val="0"/>
    <w:lvlOverride w:ilvl="0">
      <w:startOverride w:val="2"/>
    </w:lvlOverride>
    <w:lvlOverride w:ilvl="1">
      <w:startOverride w:val="1"/>
    </w:lvlOverride>
    <w:lvlOverride w:ilvl="2">
      <w:startOverride w:val="2"/>
    </w:lvlOverride>
  </w:num>
  <w:num w:numId="6">
    <w:abstractNumId w:val="34"/>
  </w:num>
  <w:num w:numId="7">
    <w:abstractNumId w:val="43"/>
  </w:num>
  <w:num w:numId="8">
    <w:abstractNumId w:val="72"/>
  </w:num>
  <w:num w:numId="9">
    <w:abstractNumId w:val="51"/>
  </w:num>
  <w:num w:numId="10">
    <w:abstractNumId w:val="3"/>
  </w:num>
  <w:num w:numId="11">
    <w:abstractNumId w:val="0"/>
    <w:lvlOverride w:ilvl="0">
      <w:startOverride w:val="3"/>
    </w:lvlOverride>
    <w:lvlOverride w:ilvl="1">
      <w:startOverride w:val="1"/>
    </w:lvlOverride>
  </w:num>
  <w:num w:numId="12">
    <w:abstractNumId w:val="0"/>
    <w:lvlOverride w:ilvl="0">
      <w:startOverride w:val="3"/>
    </w:lvlOverride>
    <w:lvlOverride w:ilvl="1">
      <w:startOverride w:val="1"/>
    </w:lvlOverride>
  </w:num>
  <w:num w:numId="13">
    <w:abstractNumId w:val="0"/>
    <w:lvlOverride w:ilvl="0">
      <w:startOverride w:val="3"/>
    </w:lvlOverride>
    <w:lvlOverride w:ilvl="1">
      <w:startOverride w:val="1"/>
    </w:lvlOverride>
  </w:num>
  <w:num w:numId="14">
    <w:abstractNumId w:val="0"/>
    <w:lvlOverride w:ilvl="0">
      <w:startOverride w:val="3"/>
    </w:lvlOverride>
    <w:lvlOverride w:ilvl="1">
      <w:startOverride w:val="1"/>
    </w:lvlOverride>
  </w:num>
  <w:num w:numId="15">
    <w:abstractNumId w:val="0"/>
    <w:lvlOverride w:ilvl="0">
      <w:startOverride w:val="3"/>
    </w:lvlOverride>
    <w:lvlOverride w:ilvl="1">
      <w:startOverride w:val="1"/>
    </w:lvlOverride>
  </w:num>
  <w:num w:numId="16">
    <w:abstractNumId w:val="15"/>
  </w:num>
  <w:num w:numId="17">
    <w:abstractNumId w:val="0"/>
    <w:lvlOverride w:ilvl="0">
      <w:startOverride w:val="4"/>
    </w:lvlOverride>
  </w:num>
  <w:num w:numId="18">
    <w:abstractNumId w:val="0"/>
    <w:lvlOverride w:ilvl="0">
      <w:startOverride w:val="2"/>
    </w:lvlOverride>
    <w:lvlOverride w:ilvl="1">
      <w:startOverride w:val="3"/>
    </w:lvlOverride>
  </w:num>
  <w:num w:numId="19">
    <w:abstractNumId w:val="0"/>
    <w:lvlOverride w:ilvl="0">
      <w:startOverride w:val="2"/>
    </w:lvlOverride>
    <w:lvlOverride w:ilvl="1">
      <w:startOverride w:val="3"/>
    </w:lvlOverride>
  </w:num>
  <w:num w:numId="20">
    <w:abstractNumId w:val="0"/>
    <w:lvlOverride w:ilvl="0">
      <w:startOverride w:val="7"/>
    </w:lvlOverride>
    <w:lvlOverride w:ilvl="1">
      <w:startOverride w:val="8"/>
    </w:lvlOverride>
  </w:num>
  <w:num w:numId="21">
    <w:abstractNumId w:val="0"/>
    <w:lvlOverride w:ilvl="0">
      <w:startOverride w:val="7"/>
    </w:lvlOverride>
    <w:lvlOverride w:ilvl="1">
      <w:startOverride w:val="8"/>
    </w:lvlOverride>
  </w:num>
  <w:num w:numId="22">
    <w:abstractNumId w:val="0"/>
    <w:lvlOverride w:ilvl="0">
      <w:startOverride w:val="2"/>
    </w:lvlOverride>
    <w:lvlOverride w:ilvl="1">
      <w:startOverride w:val="5"/>
    </w:lvlOverride>
  </w:num>
  <w:num w:numId="23">
    <w:abstractNumId w:val="0"/>
    <w:lvlOverride w:ilvl="0">
      <w:startOverride w:val="2"/>
    </w:lvlOverride>
    <w:lvlOverride w:ilvl="1">
      <w:startOverride w:val="4"/>
    </w:lvlOverride>
  </w:num>
  <w:num w:numId="24">
    <w:abstractNumId w:val="23"/>
  </w:num>
  <w:num w:numId="25">
    <w:abstractNumId w:val="68"/>
  </w:num>
  <w:num w:numId="26">
    <w:abstractNumId w:val="45"/>
  </w:num>
  <w:num w:numId="27">
    <w:abstractNumId w:val="41"/>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55"/>
  </w:num>
  <w:num w:numId="42">
    <w:abstractNumId w:val="60"/>
  </w:num>
  <w:num w:numId="43">
    <w:abstractNumId w:val="49"/>
  </w:num>
  <w:num w:numId="44">
    <w:abstractNumId w:val="20"/>
  </w:num>
  <w:num w:numId="45">
    <w:abstractNumId w:val="22"/>
  </w:num>
  <w:num w:numId="46">
    <w:abstractNumId w:val="48"/>
  </w:num>
  <w:num w:numId="47">
    <w:abstractNumId w:val="32"/>
  </w:num>
  <w:num w:numId="48">
    <w:abstractNumId w:val="10"/>
  </w:num>
  <w:num w:numId="49">
    <w:abstractNumId w:val="13"/>
  </w:num>
  <w:num w:numId="50">
    <w:abstractNumId w:val="9"/>
  </w:num>
  <w:num w:numId="51">
    <w:abstractNumId w:val="7"/>
  </w:num>
  <w:num w:numId="52">
    <w:abstractNumId w:val="63"/>
  </w:num>
  <w:num w:numId="53">
    <w:abstractNumId w:val="6"/>
  </w:num>
  <w:num w:numId="54">
    <w:abstractNumId w:val="18"/>
  </w:num>
  <w:num w:numId="55">
    <w:abstractNumId w:val="11"/>
  </w:num>
  <w:num w:numId="56">
    <w:abstractNumId w:val="5"/>
  </w:num>
  <w:num w:numId="57">
    <w:abstractNumId w:val="30"/>
  </w:num>
  <w:num w:numId="58">
    <w:abstractNumId w:val="0"/>
    <w:lvlOverride w:ilvl="0">
      <w:startOverride w:val="7"/>
    </w:lvlOverride>
    <w:lvlOverride w:ilvl="1">
      <w:startOverride w:val="2"/>
    </w:lvlOverride>
  </w:num>
  <w:num w:numId="59">
    <w:abstractNumId w:val="27"/>
  </w:num>
  <w:num w:numId="60">
    <w:abstractNumId w:val="12"/>
  </w:num>
  <w:num w:numId="61">
    <w:abstractNumId w:val="0"/>
    <w:lvlOverride w:ilvl="0">
      <w:startOverride w:val="1"/>
    </w:lvlOverride>
    <w:lvlOverride w:ilvl="1">
      <w:startOverride w:val="5"/>
    </w:lvlOverride>
  </w:num>
  <w:num w:numId="62">
    <w:abstractNumId w:val="69"/>
  </w:num>
  <w:num w:numId="63">
    <w:abstractNumId w:val="66"/>
  </w:num>
  <w:num w:numId="64">
    <w:abstractNumId w:val="42"/>
  </w:num>
  <w:num w:numId="65">
    <w:abstractNumId w:val="31"/>
  </w:num>
  <w:num w:numId="66">
    <w:abstractNumId w:val="19"/>
  </w:num>
  <w:num w:numId="67">
    <w:abstractNumId w:val="8"/>
  </w:num>
  <w:num w:numId="68">
    <w:abstractNumId w:val="53"/>
  </w:num>
  <w:num w:numId="69">
    <w:abstractNumId w:val="56"/>
  </w:num>
  <w:num w:numId="70">
    <w:abstractNumId w:val="62"/>
  </w:num>
  <w:num w:numId="71">
    <w:abstractNumId w:val="47"/>
  </w:num>
  <w:num w:numId="72">
    <w:abstractNumId w:val="28"/>
  </w:num>
  <w:num w:numId="73">
    <w:abstractNumId w:val="40"/>
  </w:num>
  <w:num w:numId="74">
    <w:abstractNumId w:val="1"/>
  </w:num>
  <w:num w:numId="75">
    <w:abstractNumId w:val="14"/>
  </w:num>
  <w:num w:numId="76">
    <w:abstractNumId w:val="65"/>
  </w:num>
  <w:num w:numId="77">
    <w:abstractNumId w:val="26"/>
  </w:num>
  <w:num w:numId="78">
    <w:abstractNumId w:val="50"/>
  </w:num>
  <w:num w:numId="79">
    <w:abstractNumId w:val="24"/>
  </w:num>
  <w:num w:numId="80">
    <w:abstractNumId w:val="21"/>
  </w:num>
  <w:num w:numId="81">
    <w:abstractNumId w:val="4"/>
  </w:num>
  <w:num w:numId="82">
    <w:abstractNumId w:val="25"/>
  </w:num>
  <w:num w:numId="83">
    <w:abstractNumId w:val="16"/>
  </w:num>
  <w:num w:numId="84">
    <w:abstractNumId w:val="58"/>
  </w:num>
  <w:num w:numId="85">
    <w:abstractNumId w:val="67"/>
  </w:num>
  <w:num w:numId="86">
    <w:abstractNumId w:val="61"/>
  </w:num>
  <w:num w:numId="87">
    <w:abstractNumId w:val="59"/>
  </w:num>
  <w:num w:numId="88">
    <w:abstractNumId w:val="71"/>
  </w:num>
  <w:num w:numId="89">
    <w:abstractNumId w:val="64"/>
  </w:num>
  <w:num w:numId="90">
    <w:abstractNumId w:val="17"/>
  </w:num>
  <w:num w:numId="91">
    <w:abstractNumId w:val="38"/>
  </w:num>
  <w:num w:numId="92">
    <w:abstractNumId w:val="29"/>
  </w:num>
  <w:num w:numId="93">
    <w:abstractNumId w:val="35"/>
  </w:num>
  <w:num w:numId="94">
    <w:abstractNumId w:val="54"/>
  </w:num>
  <w:num w:numId="95">
    <w:abstractNumId w:val="46"/>
  </w:num>
  <w:num w:numId="96">
    <w:abstractNumId w:val="44"/>
  </w:num>
  <w:num w:numId="97">
    <w:abstractNumId w:val="2"/>
  </w:num>
  <w:num w:numId="98">
    <w:abstractNumId w:val="39"/>
  </w:num>
  <w:num w:numId="99">
    <w:abstractNumId w:val="52"/>
  </w:num>
  <w:num w:numId="100">
    <w:abstractNumId w:val="37"/>
  </w:num>
  <w:num w:numId="101">
    <w:abstractNumId w:val="57"/>
  </w:num>
  <w:num w:numId="102">
    <w:abstractNumId w:val="73"/>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 Leirião">
    <w15:presenceInfo w15:providerId="Windows Live" w15:userId="59db67f4ed849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1D19"/>
    <w:rsid w:val="0000432C"/>
    <w:rsid w:val="00004A87"/>
    <w:rsid w:val="00005AB9"/>
    <w:rsid w:val="00005EB9"/>
    <w:rsid w:val="00006E24"/>
    <w:rsid w:val="00006E71"/>
    <w:rsid w:val="000073E2"/>
    <w:rsid w:val="00007A40"/>
    <w:rsid w:val="000117AE"/>
    <w:rsid w:val="00011D33"/>
    <w:rsid w:val="00014242"/>
    <w:rsid w:val="0002032E"/>
    <w:rsid w:val="00020E6E"/>
    <w:rsid w:val="00021C7B"/>
    <w:rsid w:val="000225CB"/>
    <w:rsid w:val="00023315"/>
    <w:rsid w:val="00023C86"/>
    <w:rsid w:val="00024CFC"/>
    <w:rsid w:val="000261FD"/>
    <w:rsid w:val="00030257"/>
    <w:rsid w:val="00030F3A"/>
    <w:rsid w:val="00031A4B"/>
    <w:rsid w:val="00032AF1"/>
    <w:rsid w:val="00033913"/>
    <w:rsid w:val="00033E5B"/>
    <w:rsid w:val="000357A8"/>
    <w:rsid w:val="0003686A"/>
    <w:rsid w:val="00036A46"/>
    <w:rsid w:val="00040D7D"/>
    <w:rsid w:val="00042BFC"/>
    <w:rsid w:val="000430A6"/>
    <w:rsid w:val="0004333D"/>
    <w:rsid w:val="00044923"/>
    <w:rsid w:val="00044AAE"/>
    <w:rsid w:val="000456AE"/>
    <w:rsid w:val="00045969"/>
    <w:rsid w:val="000507A0"/>
    <w:rsid w:val="0005249C"/>
    <w:rsid w:val="00052891"/>
    <w:rsid w:val="000534A5"/>
    <w:rsid w:val="00054BB3"/>
    <w:rsid w:val="00056778"/>
    <w:rsid w:val="0005680D"/>
    <w:rsid w:val="000574FE"/>
    <w:rsid w:val="00063FB4"/>
    <w:rsid w:val="00064145"/>
    <w:rsid w:val="000641AF"/>
    <w:rsid w:val="00065C37"/>
    <w:rsid w:val="0006793E"/>
    <w:rsid w:val="00072260"/>
    <w:rsid w:val="0007266E"/>
    <w:rsid w:val="00072959"/>
    <w:rsid w:val="00072E0F"/>
    <w:rsid w:val="000735E5"/>
    <w:rsid w:val="0007392F"/>
    <w:rsid w:val="000742EF"/>
    <w:rsid w:val="00074993"/>
    <w:rsid w:val="00085E79"/>
    <w:rsid w:val="00086A8A"/>
    <w:rsid w:val="00087B39"/>
    <w:rsid w:val="000920E9"/>
    <w:rsid w:val="00096502"/>
    <w:rsid w:val="00096722"/>
    <w:rsid w:val="00096802"/>
    <w:rsid w:val="000970BA"/>
    <w:rsid w:val="000A1386"/>
    <w:rsid w:val="000A1A84"/>
    <w:rsid w:val="000A3DC0"/>
    <w:rsid w:val="000A49BB"/>
    <w:rsid w:val="000B1774"/>
    <w:rsid w:val="000B69E4"/>
    <w:rsid w:val="000B778F"/>
    <w:rsid w:val="000C06F9"/>
    <w:rsid w:val="000C3441"/>
    <w:rsid w:val="000C686C"/>
    <w:rsid w:val="000C7F53"/>
    <w:rsid w:val="000D19BD"/>
    <w:rsid w:val="000D19F1"/>
    <w:rsid w:val="000D1CBA"/>
    <w:rsid w:val="000D2F8E"/>
    <w:rsid w:val="000D3019"/>
    <w:rsid w:val="000D54BF"/>
    <w:rsid w:val="000E160F"/>
    <w:rsid w:val="000E26ED"/>
    <w:rsid w:val="000E2852"/>
    <w:rsid w:val="000E2EB7"/>
    <w:rsid w:val="000E3C73"/>
    <w:rsid w:val="000E3EF5"/>
    <w:rsid w:val="000E4A66"/>
    <w:rsid w:val="000E6902"/>
    <w:rsid w:val="000E76A1"/>
    <w:rsid w:val="000F196B"/>
    <w:rsid w:val="000F1F5B"/>
    <w:rsid w:val="000F25BE"/>
    <w:rsid w:val="000F3796"/>
    <w:rsid w:val="000F469A"/>
    <w:rsid w:val="00105361"/>
    <w:rsid w:val="001101F8"/>
    <w:rsid w:val="0011206F"/>
    <w:rsid w:val="001124E3"/>
    <w:rsid w:val="00112981"/>
    <w:rsid w:val="00113963"/>
    <w:rsid w:val="001142B7"/>
    <w:rsid w:val="0011656A"/>
    <w:rsid w:val="00116691"/>
    <w:rsid w:val="00117207"/>
    <w:rsid w:val="0012220C"/>
    <w:rsid w:val="0012567A"/>
    <w:rsid w:val="00127FB6"/>
    <w:rsid w:val="00130507"/>
    <w:rsid w:val="001309B5"/>
    <w:rsid w:val="00130CDB"/>
    <w:rsid w:val="00134175"/>
    <w:rsid w:val="00134D86"/>
    <w:rsid w:val="00134F03"/>
    <w:rsid w:val="001357E5"/>
    <w:rsid w:val="001369E3"/>
    <w:rsid w:val="00136EA3"/>
    <w:rsid w:val="00137575"/>
    <w:rsid w:val="0014144A"/>
    <w:rsid w:val="00142648"/>
    <w:rsid w:val="00143416"/>
    <w:rsid w:val="00144231"/>
    <w:rsid w:val="00146559"/>
    <w:rsid w:val="00146E69"/>
    <w:rsid w:val="00150434"/>
    <w:rsid w:val="0015124C"/>
    <w:rsid w:val="00152AFE"/>
    <w:rsid w:val="001538DC"/>
    <w:rsid w:val="0015528C"/>
    <w:rsid w:val="00155721"/>
    <w:rsid w:val="00157DC1"/>
    <w:rsid w:val="001606DB"/>
    <w:rsid w:val="001610D6"/>
    <w:rsid w:val="001610E5"/>
    <w:rsid w:val="00162088"/>
    <w:rsid w:val="00162135"/>
    <w:rsid w:val="0016503F"/>
    <w:rsid w:val="001666A8"/>
    <w:rsid w:val="0016674F"/>
    <w:rsid w:val="001668A2"/>
    <w:rsid w:val="00167CA0"/>
    <w:rsid w:val="0017120D"/>
    <w:rsid w:val="001714F6"/>
    <w:rsid w:val="0017230C"/>
    <w:rsid w:val="001726DC"/>
    <w:rsid w:val="00172D67"/>
    <w:rsid w:val="00173EAD"/>
    <w:rsid w:val="00174EA6"/>
    <w:rsid w:val="00176168"/>
    <w:rsid w:val="00177158"/>
    <w:rsid w:val="001808A5"/>
    <w:rsid w:val="0018160A"/>
    <w:rsid w:val="00181A29"/>
    <w:rsid w:val="00182838"/>
    <w:rsid w:val="001831C1"/>
    <w:rsid w:val="00184FD4"/>
    <w:rsid w:val="00186B04"/>
    <w:rsid w:val="00186F1E"/>
    <w:rsid w:val="00190836"/>
    <w:rsid w:val="00193930"/>
    <w:rsid w:val="001954E9"/>
    <w:rsid w:val="001963A5"/>
    <w:rsid w:val="00196BA3"/>
    <w:rsid w:val="00196F1E"/>
    <w:rsid w:val="00197FCA"/>
    <w:rsid w:val="001A27DB"/>
    <w:rsid w:val="001A43DF"/>
    <w:rsid w:val="001A4700"/>
    <w:rsid w:val="001A4DAE"/>
    <w:rsid w:val="001A5613"/>
    <w:rsid w:val="001A5912"/>
    <w:rsid w:val="001A66D3"/>
    <w:rsid w:val="001A6852"/>
    <w:rsid w:val="001A7AC0"/>
    <w:rsid w:val="001B286A"/>
    <w:rsid w:val="001B2D02"/>
    <w:rsid w:val="001B2D1A"/>
    <w:rsid w:val="001B3647"/>
    <w:rsid w:val="001B5A39"/>
    <w:rsid w:val="001B67BE"/>
    <w:rsid w:val="001B77FA"/>
    <w:rsid w:val="001C05DC"/>
    <w:rsid w:val="001C0ABE"/>
    <w:rsid w:val="001C19BA"/>
    <w:rsid w:val="001C2B3C"/>
    <w:rsid w:val="001C45DC"/>
    <w:rsid w:val="001C4669"/>
    <w:rsid w:val="001C5852"/>
    <w:rsid w:val="001C6BDA"/>
    <w:rsid w:val="001C7325"/>
    <w:rsid w:val="001D0901"/>
    <w:rsid w:val="001D18CF"/>
    <w:rsid w:val="001D35B7"/>
    <w:rsid w:val="001D42C3"/>
    <w:rsid w:val="001D4560"/>
    <w:rsid w:val="001D45F0"/>
    <w:rsid w:val="001D72E0"/>
    <w:rsid w:val="001D73A3"/>
    <w:rsid w:val="001E16B4"/>
    <w:rsid w:val="001E35F4"/>
    <w:rsid w:val="001E3C8D"/>
    <w:rsid w:val="001E41BB"/>
    <w:rsid w:val="001E4A33"/>
    <w:rsid w:val="001E5C27"/>
    <w:rsid w:val="001E606F"/>
    <w:rsid w:val="001E7BD5"/>
    <w:rsid w:val="001F000C"/>
    <w:rsid w:val="001F602B"/>
    <w:rsid w:val="001F6AC8"/>
    <w:rsid w:val="001F7FF6"/>
    <w:rsid w:val="00200E3B"/>
    <w:rsid w:val="00201EFF"/>
    <w:rsid w:val="002037D5"/>
    <w:rsid w:val="0020510B"/>
    <w:rsid w:val="00206F90"/>
    <w:rsid w:val="00206FC3"/>
    <w:rsid w:val="00211EDA"/>
    <w:rsid w:val="00212B03"/>
    <w:rsid w:val="002131AE"/>
    <w:rsid w:val="0021503B"/>
    <w:rsid w:val="00215C10"/>
    <w:rsid w:val="00215C2D"/>
    <w:rsid w:val="00217F65"/>
    <w:rsid w:val="00221A06"/>
    <w:rsid w:val="002232BA"/>
    <w:rsid w:val="0022334D"/>
    <w:rsid w:val="002252C4"/>
    <w:rsid w:val="00225E8F"/>
    <w:rsid w:val="002266D6"/>
    <w:rsid w:val="0023143D"/>
    <w:rsid w:val="0023183E"/>
    <w:rsid w:val="00231B5C"/>
    <w:rsid w:val="00235138"/>
    <w:rsid w:val="00235B6C"/>
    <w:rsid w:val="00236B3F"/>
    <w:rsid w:val="002374C2"/>
    <w:rsid w:val="00241DFD"/>
    <w:rsid w:val="00243E36"/>
    <w:rsid w:val="0024540B"/>
    <w:rsid w:val="00245EF4"/>
    <w:rsid w:val="00246707"/>
    <w:rsid w:val="00247AD5"/>
    <w:rsid w:val="00250E11"/>
    <w:rsid w:val="00251383"/>
    <w:rsid w:val="002522C9"/>
    <w:rsid w:val="00252A21"/>
    <w:rsid w:val="00253E4F"/>
    <w:rsid w:val="00253E61"/>
    <w:rsid w:val="002542E4"/>
    <w:rsid w:val="0025777F"/>
    <w:rsid w:val="00261053"/>
    <w:rsid w:val="00262645"/>
    <w:rsid w:val="00262FDE"/>
    <w:rsid w:val="0026357E"/>
    <w:rsid w:val="00263629"/>
    <w:rsid w:val="00265269"/>
    <w:rsid w:val="0026657B"/>
    <w:rsid w:val="00266C58"/>
    <w:rsid w:val="00266E12"/>
    <w:rsid w:val="00267C31"/>
    <w:rsid w:val="002705C8"/>
    <w:rsid w:val="00270CEF"/>
    <w:rsid w:val="002710FD"/>
    <w:rsid w:val="002712F4"/>
    <w:rsid w:val="002750E3"/>
    <w:rsid w:val="002769BD"/>
    <w:rsid w:val="00276A75"/>
    <w:rsid w:val="002809EA"/>
    <w:rsid w:val="00280C59"/>
    <w:rsid w:val="00281D20"/>
    <w:rsid w:val="002821F1"/>
    <w:rsid w:val="00284962"/>
    <w:rsid w:val="00286E28"/>
    <w:rsid w:val="002874E0"/>
    <w:rsid w:val="00287B0E"/>
    <w:rsid w:val="0029426B"/>
    <w:rsid w:val="00295F27"/>
    <w:rsid w:val="00297343"/>
    <w:rsid w:val="00297DCA"/>
    <w:rsid w:val="002A0B53"/>
    <w:rsid w:val="002A0EEF"/>
    <w:rsid w:val="002A104C"/>
    <w:rsid w:val="002A18C6"/>
    <w:rsid w:val="002A25E4"/>
    <w:rsid w:val="002A34EE"/>
    <w:rsid w:val="002A5434"/>
    <w:rsid w:val="002A710F"/>
    <w:rsid w:val="002B2DF7"/>
    <w:rsid w:val="002B3403"/>
    <w:rsid w:val="002C3BF4"/>
    <w:rsid w:val="002C4AC6"/>
    <w:rsid w:val="002C6957"/>
    <w:rsid w:val="002C749F"/>
    <w:rsid w:val="002D0F23"/>
    <w:rsid w:val="002D1723"/>
    <w:rsid w:val="002D62D8"/>
    <w:rsid w:val="002D72DF"/>
    <w:rsid w:val="002E0F6E"/>
    <w:rsid w:val="002E24AD"/>
    <w:rsid w:val="002E29DA"/>
    <w:rsid w:val="002E7B33"/>
    <w:rsid w:val="002F059B"/>
    <w:rsid w:val="002F139D"/>
    <w:rsid w:val="002F1972"/>
    <w:rsid w:val="002F47FC"/>
    <w:rsid w:val="002F5B0B"/>
    <w:rsid w:val="00300924"/>
    <w:rsid w:val="0030363E"/>
    <w:rsid w:val="00303641"/>
    <w:rsid w:val="00303B22"/>
    <w:rsid w:val="0030596E"/>
    <w:rsid w:val="003073C3"/>
    <w:rsid w:val="00307803"/>
    <w:rsid w:val="003229F5"/>
    <w:rsid w:val="00323637"/>
    <w:rsid w:val="00324E8A"/>
    <w:rsid w:val="0032577E"/>
    <w:rsid w:val="003259E6"/>
    <w:rsid w:val="0033114A"/>
    <w:rsid w:val="00331D87"/>
    <w:rsid w:val="00332850"/>
    <w:rsid w:val="00334309"/>
    <w:rsid w:val="00334478"/>
    <w:rsid w:val="003346B4"/>
    <w:rsid w:val="003347E9"/>
    <w:rsid w:val="00334AE6"/>
    <w:rsid w:val="003365D0"/>
    <w:rsid w:val="00341BC3"/>
    <w:rsid w:val="003439AB"/>
    <w:rsid w:val="00345842"/>
    <w:rsid w:val="00345AB7"/>
    <w:rsid w:val="0034760F"/>
    <w:rsid w:val="0035034C"/>
    <w:rsid w:val="00352CB9"/>
    <w:rsid w:val="00353B54"/>
    <w:rsid w:val="00354170"/>
    <w:rsid w:val="00354695"/>
    <w:rsid w:val="0035549B"/>
    <w:rsid w:val="00356066"/>
    <w:rsid w:val="003561E9"/>
    <w:rsid w:val="0036043F"/>
    <w:rsid w:val="00360D5B"/>
    <w:rsid w:val="00363803"/>
    <w:rsid w:val="003711D4"/>
    <w:rsid w:val="0037123C"/>
    <w:rsid w:val="00372D4D"/>
    <w:rsid w:val="003755C8"/>
    <w:rsid w:val="00375687"/>
    <w:rsid w:val="00375C56"/>
    <w:rsid w:val="00380516"/>
    <w:rsid w:val="00380AE0"/>
    <w:rsid w:val="0038296C"/>
    <w:rsid w:val="00383324"/>
    <w:rsid w:val="00383B73"/>
    <w:rsid w:val="00384C96"/>
    <w:rsid w:val="00385E5F"/>
    <w:rsid w:val="00387A75"/>
    <w:rsid w:val="003904FD"/>
    <w:rsid w:val="003916A9"/>
    <w:rsid w:val="00393A71"/>
    <w:rsid w:val="00393B11"/>
    <w:rsid w:val="00394254"/>
    <w:rsid w:val="003A02CF"/>
    <w:rsid w:val="003A1CC7"/>
    <w:rsid w:val="003A2F45"/>
    <w:rsid w:val="003A4FCB"/>
    <w:rsid w:val="003A5982"/>
    <w:rsid w:val="003A5B02"/>
    <w:rsid w:val="003A5BE8"/>
    <w:rsid w:val="003B1103"/>
    <w:rsid w:val="003B12F7"/>
    <w:rsid w:val="003B2041"/>
    <w:rsid w:val="003B2DDA"/>
    <w:rsid w:val="003B2EAF"/>
    <w:rsid w:val="003B61C5"/>
    <w:rsid w:val="003C2BFB"/>
    <w:rsid w:val="003C3047"/>
    <w:rsid w:val="003C436B"/>
    <w:rsid w:val="003C5337"/>
    <w:rsid w:val="003C59C6"/>
    <w:rsid w:val="003C5F92"/>
    <w:rsid w:val="003D26AE"/>
    <w:rsid w:val="003D46BD"/>
    <w:rsid w:val="003D5335"/>
    <w:rsid w:val="003D534D"/>
    <w:rsid w:val="003D554C"/>
    <w:rsid w:val="003D5BF5"/>
    <w:rsid w:val="003D5D01"/>
    <w:rsid w:val="003D68F5"/>
    <w:rsid w:val="003D707B"/>
    <w:rsid w:val="003D7A8C"/>
    <w:rsid w:val="003D7C00"/>
    <w:rsid w:val="003E3A15"/>
    <w:rsid w:val="003E56E5"/>
    <w:rsid w:val="003E5B22"/>
    <w:rsid w:val="003E6F23"/>
    <w:rsid w:val="003E7E60"/>
    <w:rsid w:val="003F00D4"/>
    <w:rsid w:val="003F2209"/>
    <w:rsid w:val="003F3D39"/>
    <w:rsid w:val="003F6224"/>
    <w:rsid w:val="003F6275"/>
    <w:rsid w:val="003F646A"/>
    <w:rsid w:val="003F6761"/>
    <w:rsid w:val="003F6A0A"/>
    <w:rsid w:val="003F6A50"/>
    <w:rsid w:val="00400D3E"/>
    <w:rsid w:val="004024F5"/>
    <w:rsid w:val="00402DE1"/>
    <w:rsid w:val="00403D8B"/>
    <w:rsid w:val="004058F1"/>
    <w:rsid w:val="00405BE5"/>
    <w:rsid w:val="00405CFF"/>
    <w:rsid w:val="00407E7D"/>
    <w:rsid w:val="0041283D"/>
    <w:rsid w:val="00413AB4"/>
    <w:rsid w:val="0041411E"/>
    <w:rsid w:val="00414FDC"/>
    <w:rsid w:val="004154E5"/>
    <w:rsid w:val="00421373"/>
    <w:rsid w:val="00421FB7"/>
    <w:rsid w:val="00422E3A"/>
    <w:rsid w:val="004235E6"/>
    <w:rsid w:val="0042461B"/>
    <w:rsid w:val="0042763B"/>
    <w:rsid w:val="0043024C"/>
    <w:rsid w:val="004314A0"/>
    <w:rsid w:val="00431D12"/>
    <w:rsid w:val="00432027"/>
    <w:rsid w:val="00432AEA"/>
    <w:rsid w:val="00433E11"/>
    <w:rsid w:val="0043412D"/>
    <w:rsid w:val="00436706"/>
    <w:rsid w:val="00436E47"/>
    <w:rsid w:val="0044041C"/>
    <w:rsid w:val="00440F38"/>
    <w:rsid w:val="00443106"/>
    <w:rsid w:val="00443BFB"/>
    <w:rsid w:val="00443D38"/>
    <w:rsid w:val="00445C99"/>
    <w:rsid w:val="00447FA0"/>
    <w:rsid w:val="00450E7A"/>
    <w:rsid w:val="004538E1"/>
    <w:rsid w:val="004541D2"/>
    <w:rsid w:val="00455580"/>
    <w:rsid w:val="00456AF8"/>
    <w:rsid w:val="00460ABF"/>
    <w:rsid w:val="00461C3B"/>
    <w:rsid w:val="004643EE"/>
    <w:rsid w:val="004646A7"/>
    <w:rsid w:val="00466A6D"/>
    <w:rsid w:val="004677D2"/>
    <w:rsid w:val="00467B2C"/>
    <w:rsid w:val="00470B15"/>
    <w:rsid w:val="00470E64"/>
    <w:rsid w:val="00471558"/>
    <w:rsid w:val="00475869"/>
    <w:rsid w:val="00475A77"/>
    <w:rsid w:val="00476989"/>
    <w:rsid w:val="0048293D"/>
    <w:rsid w:val="0048359D"/>
    <w:rsid w:val="004837A4"/>
    <w:rsid w:val="004866A9"/>
    <w:rsid w:val="00490963"/>
    <w:rsid w:val="00492774"/>
    <w:rsid w:val="00493C64"/>
    <w:rsid w:val="00496D7A"/>
    <w:rsid w:val="004A0BFE"/>
    <w:rsid w:val="004A1EED"/>
    <w:rsid w:val="004A31BC"/>
    <w:rsid w:val="004A3F1A"/>
    <w:rsid w:val="004A3F45"/>
    <w:rsid w:val="004A4C40"/>
    <w:rsid w:val="004B1AFA"/>
    <w:rsid w:val="004B2B47"/>
    <w:rsid w:val="004B7088"/>
    <w:rsid w:val="004B7176"/>
    <w:rsid w:val="004C1E56"/>
    <w:rsid w:val="004C4D12"/>
    <w:rsid w:val="004C5B76"/>
    <w:rsid w:val="004C6714"/>
    <w:rsid w:val="004D02CD"/>
    <w:rsid w:val="004D0B24"/>
    <w:rsid w:val="004D117A"/>
    <w:rsid w:val="004D349B"/>
    <w:rsid w:val="004D4B90"/>
    <w:rsid w:val="004D5C76"/>
    <w:rsid w:val="004D638B"/>
    <w:rsid w:val="004D6B95"/>
    <w:rsid w:val="004D7F41"/>
    <w:rsid w:val="004E03A2"/>
    <w:rsid w:val="004E1199"/>
    <w:rsid w:val="004E1879"/>
    <w:rsid w:val="004E317E"/>
    <w:rsid w:val="004E3954"/>
    <w:rsid w:val="004E3C08"/>
    <w:rsid w:val="004E4EF6"/>
    <w:rsid w:val="004E5856"/>
    <w:rsid w:val="004F0598"/>
    <w:rsid w:val="004F1720"/>
    <w:rsid w:val="004F2330"/>
    <w:rsid w:val="004F41FC"/>
    <w:rsid w:val="004F53C6"/>
    <w:rsid w:val="004F55C6"/>
    <w:rsid w:val="004F69DB"/>
    <w:rsid w:val="004F6B87"/>
    <w:rsid w:val="004F7BAA"/>
    <w:rsid w:val="00501C2D"/>
    <w:rsid w:val="00502637"/>
    <w:rsid w:val="00502CAC"/>
    <w:rsid w:val="005065C1"/>
    <w:rsid w:val="005076E0"/>
    <w:rsid w:val="00507FAD"/>
    <w:rsid w:val="00511140"/>
    <w:rsid w:val="00513851"/>
    <w:rsid w:val="00513CFE"/>
    <w:rsid w:val="00516291"/>
    <w:rsid w:val="00516FDE"/>
    <w:rsid w:val="00517FA0"/>
    <w:rsid w:val="005221E1"/>
    <w:rsid w:val="00523B6A"/>
    <w:rsid w:val="00524BA6"/>
    <w:rsid w:val="00525F6C"/>
    <w:rsid w:val="0052614B"/>
    <w:rsid w:val="0053034D"/>
    <w:rsid w:val="005316AD"/>
    <w:rsid w:val="00533AD9"/>
    <w:rsid w:val="00533BFD"/>
    <w:rsid w:val="00541AEB"/>
    <w:rsid w:val="0054312E"/>
    <w:rsid w:val="00543FFF"/>
    <w:rsid w:val="005446E0"/>
    <w:rsid w:val="00546332"/>
    <w:rsid w:val="00546AB4"/>
    <w:rsid w:val="00546E85"/>
    <w:rsid w:val="00550096"/>
    <w:rsid w:val="005514E5"/>
    <w:rsid w:val="0055333D"/>
    <w:rsid w:val="00553924"/>
    <w:rsid w:val="005554D6"/>
    <w:rsid w:val="005556F6"/>
    <w:rsid w:val="00561050"/>
    <w:rsid w:val="00563A75"/>
    <w:rsid w:val="00563C84"/>
    <w:rsid w:val="00566066"/>
    <w:rsid w:val="00566DE6"/>
    <w:rsid w:val="00570577"/>
    <w:rsid w:val="00575C56"/>
    <w:rsid w:val="0057617B"/>
    <w:rsid w:val="005762F6"/>
    <w:rsid w:val="00576AC7"/>
    <w:rsid w:val="00576B02"/>
    <w:rsid w:val="00577A8A"/>
    <w:rsid w:val="00577D0D"/>
    <w:rsid w:val="00582FF3"/>
    <w:rsid w:val="00583151"/>
    <w:rsid w:val="00583861"/>
    <w:rsid w:val="00584A9E"/>
    <w:rsid w:val="00584FBE"/>
    <w:rsid w:val="00585483"/>
    <w:rsid w:val="00586B6B"/>
    <w:rsid w:val="00587378"/>
    <w:rsid w:val="00587C05"/>
    <w:rsid w:val="005904F4"/>
    <w:rsid w:val="00590AAB"/>
    <w:rsid w:val="005938C3"/>
    <w:rsid w:val="0059468C"/>
    <w:rsid w:val="00595125"/>
    <w:rsid w:val="00596F21"/>
    <w:rsid w:val="005A2357"/>
    <w:rsid w:val="005A3E4F"/>
    <w:rsid w:val="005A49CA"/>
    <w:rsid w:val="005A6343"/>
    <w:rsid w:val="005A6DE8"/>
    <w:rsid w:val="005A721B"/>
    <w:rsid w:val="005B0D4A"/>
    <w:rsid w:val="005B1CDD"/>
    <w:rsid w:val="005B1E19"/>
    <w:rsid w:val="005B32A0"/>
    <w:rsid w:val="005B3E07"/>
    <w:rsid w:val="005B506B"/>
    <w:rsid w:val="005B54E6"/>
    <w:rsid w:val="005B55FC"/>
    <w:rsid w:val="005B5C46"/>
    <w:rsid w:val="005B7B8A"/>
    <w:rsid w:val="005C0A77"/>
    <w:rsid w:val="005C2AFD"/>
    <w:rsid w:val="005C2D5E"/>
    <w:rsid w:val="005C2D82"/>
    <w:rsid w:val="005C3B81"/>
    <w:rsid w:val="005C54C5"/>
    <w:rsid w:val="005C650C"/>
    <w:rsid w:val="005C662E"/>
    <w:rsid w:val="005C702C"/>
    <w:rsid w:val="005D086C"/>
    <w:rsid w:val="005D11D3"/>
    <w:rsid w:val="005D4E1F"/>
    <w:rsid w:val="005D4FB3"/>
    <w:rsid w:val="005D5D4E"/>
    <w:rsid w:val="005D7373"/>
    <w:rsid w:val="005D7AAC"/>
    <w:rsid w:val="005E0491"/>
    <w:rsid w:val="005E160B"/>
    <w:rsid w:val="005E2F07"/>
    <w:rsid w:val="005E2FEA"/>
    <w:rsid w:val="005E396C"/>
    <w:rsid w:val="005E77B6"/>
    <w:rsid w:val="005E7A0C"/>
    <w:rsid w:val="005E7E15"/>
    <w:rsid w:val="005F04FD"/>
    <w:rsid w:val="005F1373"/>
    <w:rsid w:val="005F2AAA"/>
    <w:rsid w:val="005F314B"/>
    <w:rsid w:val="005F3AA6"/>
    <w:rsid w:val="005F6B78"/>
    <w:rsid w:val="005F6EC8"/>
    <w:rsid w:val="005F7944"/>
    <w:rsid w:val="0060248F"/>
    <w:rsid w:val="00604101"/>
    <w:rsid w:val="006043B6"/>
    <w:rsid w:val="00605B79"/>
    <w:rsid w:val="0061036A"/>
    <w:rsid w:val="00611AF2"/>
    <w:rsid w:val="0061212B"/>
    <w:rsid w:val="006127AF"/>
    <w:rsid w:val="00613A98"/>
    <w:rsid w:val="0061568C"/>
    <w:rsid w:val="00615FB2"/>
    <w:rsid w:val="006168DD"/>
    <w:rsid w:val="00617582"/>
    <w:rsid w:val="00617BD1"/>
    <w:rsid w:val="00617CE8"/>
    <w:rsid w:val="006219C9"/>
    <w:rsid w:val="00621EB4"/>
    <w:rsid w:val="0062298C"/>
    <w:rsid w:val="0062428D"/>
    <w:rsid w:val="00624844"/>
    <w:rsid w:val="00625DDE"/>
    <w:rsid w:val="00626100"/>
    <w:rsid w:val="006278A0"/>
    <w:rsid w:val="0063095F"/>
    <w:rsid w:val="0063167B"/>
    <w:rsid w:val="00631CBD"/>
    <w:rsid w:val="00634457"/>
    <w:rsid w:val="006352DA"/>
    <w:rsid w:val="0063580B"/>
    <w:rsid w:val="00635D38"/>
    <w:rsid w:val="0063704F"/>
    <w:rsid w:val="00637957"/>
    <w:rsid w:val="00637BBC"/>
    <w:rsid w:val="0064176F"/>
    <w:rsid w:val="00646AC2"/>
    <w:rsid w:val="00650390"/>
    <w:rsid w:val="0065261A"/>
    <w:rsid w:val="006529A8"/>
    <w:rsid w:val="00653A9E"/>
    <w:rsid w:val="00654DAB"/>
    <w:rsid w:val="006550C8"/>
    <w:rsid w:val="00656A2B"/>
    <w:rsid w:val="0065706C"/>
    <w:rsid w:val="00661F2F"/>
    <w:rsid w:val="0066204A"/>
    <w:rsid w:val="00664383"/>
    <w:rsid w:val="0067095D"/>
    <w:rsid w:val="00670E3C"/>
    <w:rsid w:val="00673F37"/>
    <w:rsid w:val="00676475"/>
    <w:rsid w:val="00677B86"/>
    <w:rsid w:val="00677F57"/>
    <w:rsid w:val="00680C7E"/>
    <w:rsid w:val="00681088"/>
    <w:rsid w:val="0068165B"/>
    <w:rsid w:val="00682828"/>
    <w:rsid w:val="00683D6E"/>
    <w:rsid w:val="0068530D"/>
    <w:rsid w:val="006855AA"/>
    <w:rsid w:val="00693719"/>
    <w:rsid w:val="0069551A"/>
    <w:rsid w:val="0069577E"/>
    <w:rsid w:val="00696127"/>
    <w:rsid w:val="0069634B"/>
    <w:rsid w:val="00696623"/>
    <w:rsid w:val="006A04E9"/>
    <w:rsid w:val="006A1BE3"/>
    <w:rsid w:val="006A3F45"/>
    <w:rsid w:val="006A3FB0"/>
    <w:rsid w:val="006A4A03"/>
    <w:rsid w:val="006A6539"/>
    <w:rsid w:val="006A7543"/>
    <w:rsid w:val="006B0756"/>
    <w:rsid w:val="006B16EB"/>
    <w:rsid w:val="006B1D97"/>
    <w:rsid w:val="006B2604"/>
    <w:rsid w:val="006B3BA5"/>
    <w:rsid w:val="006B4157"/>
    <w:rsid w:val="006B70BA"/>
    <w:rsid w:val="006B725C"/>
    <w:rsid w:val="006C273D"/>
    <w:rsid w:val="006C38D0"/>
    <w:rsid w:val="006C4C77"/>
    <w:rsid w:val="006C5C4F"/>
    <w:rsid w:val="006C6282"/>
    <w:rsid w:val="006C696A"/>
    <w:rsid w:val="006C7243"/>
    <w:rsid w:val="006C742D"/>
    <w:rsid w:val="006C762A"/>
    <w:rsid w:val="006C7BF5"/>
    <w:rsid w:val="006D106B"/>
    <w:rsid w:val="006D2BC0"/>
    <w:rsid w:val="006D36B9"/>
    <w:rsid w:val="006D3D12"/>
    <w:rsid w:val="006D5FF9"/>
    <w:rsid w:val="006D6449"/>
    <w:rsid w:val="006D6DB0"/>
    <w:rsid w:val="006D7AA0"/>
    <w:rsid w:val="006E0772"/>
    <w:rsid w:val="006E094A"/>
    <w:rsid w:val="006E0F86"/>
    <w:rsid w:val="006E23E7"/>
    <w:rsid w:val="006E33F4"/>
    <w:rsid w:val="006E392B"/>
    <w:rsid w:val="006E3994"/>
    <w:rsid w:val="006E50F1"/>
    <w:rsid w:val="006E77DB"/>
    <w:rsid w:val="006F050C"/>
    <w:rsid w:val="006F0B15"/>
    <w:rsid w:val="006F0DCC"/>
    <w:rsid w:val="006F1551"/>
    <w:rsid w:val="006F285A"/>
    <w:rsid w:val="006F28D3"/>
    <w:rsid w:val="006F2F3D"/>
    <w:rsid w:val="006F3381"/>
    <w:rsid w:val="006F62B7"/>
    <w:rsid w:val="00702B91"/>
    <w:rsid w:val="0070338B"/>
    <w:rsid w:val="00703DF9"/>
    <w:rsid w:val="007048EB"/>
    <w:rsid w:val="00704A55"/>
    <w:rsid w:val="00704FBB"/>
    <w:rsid w:val="00705B19"/>
    <w:rsid w:val="0070726A"/>
    <w:rsid w:val="0070757D"/>
    <w:rsid w:val="00707F6B"/>
    <w:rsid w:val="00710364"/>
    <w:rsid w:val="00711986"/>
    <w:rsid w:val="00711E4D"/>
    <w:rsid w:val="0071226B"/>
    <w:rsid w:val="00712DD4"/>
    <w:rsid w:val="00713516"/>
    <w:rsid w:val="00716CDF"/>
    <w:rsid w:val="00717040"/>
    <w:rsid w:val="007173A3"/>
    <w:rsid w:val="007200CF"/>
    <w:rsid w:val="00724E42"/>
    <w:rsid w:val="00726E44"/>
    <w:rsid w:val="00731431"/>
    <w:rsid w:val="00733D50"/>
    <w:rsid w:val="00742710"/>
    <w:rsid w:val="00743CCB"/>
    <w:rsid w:val="007473C4"/>
    <w:rsid w:val="00754171"/>
    <w:rsid w:val="007542C1"/>
    <w:rsid w:val="00761466"/>
    <w:rsid w:val="007622A7"/>
    <w:rsid w:val="007644B3"/>
    <w:rsid w:val="00764652"/>
    <w:rsid w:val="007651CD"/>
    <w:rsid w:val="00766CAD"/>
    <w:rsid w:val="0076713B"/>
    <w:rsid w:val="00767235"/>
    <w:rsid w:val="007675A9"/>
    <w:rsid w:val="00771597"/>
    <w:rsid w:val="00773279"/>
    <w:rsid w:val="007750A2"/>
    <w:rsid w:val="00775E20"/>
    <w:rsid w:val="007775A5"/>
    <w:rsid w:val="007817D6"/>
    <w:rsid w:val="00781E1C"/>
    <w:rsid w:val="00783D04"/>
    <w:rsid w:val="00787912"/>
    <w:rsid w:val="0079177A"/>
    <w:rsid w:val="00794836"/>
    <w:rsid w:val="007948D5"/>
    <w:rsid w:val="00797522"/>
    <w:rsid w:val="007A15C9"/>
    <w:rsid w:val="007A4E46"/>
    <w:rsid w:val="007A6676"/>
    <w:rsid w:val="007A7C5A"/>
    <w:rsid w:val="007B021C"/>
    <w:rsid w:val="007B3920"/>
    <w:rsid w:val="007B3AA6"/>
    <w:rsid w:val="007B45F3"/>
    <w:rsid w:val="007B7C51"/>
    <w:rsid w:val="007B7FF5"/>
    <w:rsid w:val="007C3406"/>
    <w:rsid w:val="007C3FC6"/>
    <w:rsid w:val="007C59A1"/>
    <w:rsid w:val="007C6C91"/>
    <w:rsid w:val="007C6E88"/>
    <w:rsid w:val="007D0C04"/>
    <w:rsid w:val="007D0E52"/>
    <w:rsid w:val="007D0F52"/>
    <w:rsid w:val="007D21F0"/>
    <w:rsid w:val="007D2CE9"/>
    <w:rsid w:val="007D3F0D"/>
    <w:rsid w:val="007D4FED"/>
    <w:rsid w:val="007D69DA"/>
    <w:rsid w:val="007D70B1"/>
    <w:rsid w:val="007D7140"/>
    <w:rsid w:val="007D78E4"/>
    <w:rsid w:val="007D7FF2"/>
    <w:rsid w:val="007E0E9D"/>
    <w:rsid w:val="007E1CDB"/>
    <w:rsid w:val="007E408C"/>
    <w:rsid w:val="007E451E"/>
    <w:rsid w:val="007E5F78"/>
    <w:rsid w:val="007E7E21"/>
    <w:rsid w:val="007F0460"/>
    <w:rsid w:val="007F0DA2"/>
    <w:rsid w:val="007F24B6"/>
    <w:rsid w:val="007F39CE"/>
    <w:rsid w:val="007F4807"/>
    <w:rsid w:val="007F52EA"/>
    <w:rsid w:val="007F5E0D"/>
    <w:rsid w:val="007F61E6"/>
    <w:rsid w:val="007F71C4"/>
    <w:rsid w:val="00801085"/>
    <w:rsid w:val="00801496"/>
    <w:rsid w:val="00801A89"/>
    <w:rsid w:val="00803E10"/>
    <w:rsid w:val="00810848"/>
    <w:rsid w:val="00812138"/>
    <w:rsid w:val="00813167"/>
    <w:rsid w:val="008131F2"/>
    <w:rsid w:val="00814645"/>
    <w:rsid w:val="008151F2"/>
    <w:rsid w:val="00816290"/>
    <w:rsid w:val="008168BB"/>
    <w:rsid w:val="0081777A"/>
    <w:rsid w:val="008203A1"/>
    <w:rsid w:val="008210E0"/>
    <w:rsid w:val="008212D7"/>
    <w:rsid w:val="00821676"/>
    <w:rsid w:val="00823381"/>
    <w:rsid w:val="00824079"/>
    <w:rsid w:val="0082425A"/>
    <w:rsid w:val="0082780E"/>
    <w:rsid w:val="00831F0A"/>
    <w:rsid w:val="00832115"/>
    <w:rsid w:val="00833118"/>
    <w:rsid w:val="00833A78"/>
    <w:rsid w:val="0083589C"/>
    <w:rsid w:val="0083764C"/>
    <w:rsid w:val="0083777E"/>
    <w:rsid w:val="008410F1"/>
    <w:rsid w:val="00844249"/>
    <w:rsid w:val="00844604"/>
    <w:rsid w:val="00844B24"/>
    <w:rsid w:val="0084585F"/>
    <w:rsid w:val="00852425"/>
    <w:rsid w:val="00852706"/>
    <w:rsid w:val="00852C20"/>
    <w:rsid w:val="00853E00"/>
    <w:rsid w:val="00853E53"/>
    <w:rsid w:val="00853F16"/>
    <w:rsid w:val="0085535C"/>
    <w:rsid w:val="00855BB0"/>
    <w:rsid w:val="00856400"/>
    <w:rsid w:val="008567DB"/>
    <w:rsid w:val="00856DB5"/>
    <w:rsid w:val="00862D94"/>
    <w:rsid w:val="00864D3C"/>
    <w:rsid w:val="00864D76"/>
    <w:rsid w:val="008656C9"/>
    <w:rsid w:val="0086711C"/>
    <w:rsid w:val="00867535"/>
    <w:rsid w:val="00871980"/>
    <w:rsid w:val="00871E25"/>
    <w:rsid w:val="008724E5"/>
    <w:rsid w:val="0087356E"/>
    <w:rsid w:val="008745A7"/>
    <w:rsid w:val="00875C5B"/>
    <w:rsid w:val="008811D1"/>
    <w:rsid w:val="008813B8"/>
    <w:rsid w:val="00882AE9"/>
    <w:rsid w:val="00882ED4"/>
    <w:rsid w:val="00883C5F"/>
    <w:rsid w:val="00885FF1"/>
    <w:rsid w:val="00887CAC"/>
    <w:rsid w:val="00891502"/>
    <w:rsid w:val="00891C7D"/>
    <w:rsid w:val="00892FA7"/>
    <w:rsid w:val="008A09A5"/>
    <w:rsid w:val="008A180C"/>
    <w:rsid w:val="008A3301"/>
    <w:rsid w:val="008A448E"/>
    <w:rsid w:val="008A4DF1"/>
    <w:rsid w:val="008A5636"/>
    <w:rsid w:val="008A635A"/>
    <w:rsid w:val="008A775E"/>
    <w:rsid w:val="008B125E"/>
    <w:rsid w:val="008B14B4"/>
    <w:rsid w:val="008B241C"/>
    <w:rsid w:val="008B408B"/>
    <w:rsid w:val="008B4F11"/>
    <w:rsid w:val="008C2026"/>
    <w:rsid w:val="008C2362"/>
    <w:rsid w:val="008C2D54"/>
    <w:rsid w:val="008C3049"/>
    <w:rsid w:val="008C374E"/>
    <w:rsid w:val="008C63CD"/>
    <w:rsid w:val="008D061C"/>
    <w:rsid w:val="008D0E0D"/>
    <w:rsid w:val="008D2F1A"/>
    <w:rsid w:val="008D4AE9"/>
    <w:rsid w:val="008D5C51"/>
    <w:rsid w:val="008D5CF3"/>
    <w:rsid w:val="008D78A1"/>
    <w:rsid w:val="008D7D39"/>
    <w:rsid w:val="008E0CC9"/>
    <w:rsid w:val="008E20B5"/>
    <w:rsid w:val="008E4574"/>
    <w:rsid w:val="008E6F40"/>
    <w:rsid w:val="008E715D"/>
    <w:rsid w:val="008E71A8"/>
    <w:rsid w:val="008F0CC2"/>
    <w:rsid w:val="008F1AC2"/>
    <w:rsid w:val="008F3EBC"/>
    <w:rsid w:val="008F4016"/>
    <w:rsid w:val="008F402E"/>
    <w:rsid w:val="008F42FE"/>
    <w:rsid w:val="008F4379"/>
    <w:rsid w:val="008F4A00"/>
    <w:rsid w:val="008F5402"/>
    <w:rsid w:val="0090024E"/>
    <w:rsid w:val="0090053A"/>
    <w:rsid w:val="0090104C"/>
    <w:rsid w:val="00901C2A"/>
    <w:rsid w:val="0090310F"/>
    <w:rsid w:val="00904E5F"/>
    <w:rsid w:val="00905C10"/>
    <w:rsid w:val="00905D3C"/>
    <w:rsid w:val="00910680"/>
    <w:rsid w:val="00910E23"/>
    <w:rsid w:val="009118C7"/>
    <w:rsid w:val="00911A1D"/>
    <w:rsid w:val="00912A45"/>
    <w:rsid w:val="00915E6E"/>
    <w:rsid w:val="00921219"/>
    <w:rsid w:val="009225B6"/>
    <w:rsid w:val="00922CD1"/>
    <w:rsid w:val="009238A3"/>
    <w:rsid w:val="00925397"/>
    <w:rsid w:val="00925F17"/>
    <w:rsid w:val="0092691A"/>
    <w:rsid w:val="00927184"/>
    <w:rsid w:val="00927882"/>
    <w:rsid w:val="00933A21"/>
    <w:rsid w:val="00934C10"/>
    <w:rsid w:val="0093662A"/>
    <w:rsid w:val="0094060C"/>
    <w:rsid w:val="00942C4B"/>
    <w:rsid w:val="00943A42"/>
    <w:rsid w:val="00944196"/>
    <w:rsid w:val="009443BA"/>
    <w:rsid w:val="00950A0B"/>
    <w:rsid w:val="00952340"/>
    <w:rsid w:val="00955A21"/>
    <w:rsid w:val="009606A5"/>
    <w:rsid w:val="00962F1F"/>
    <w:rsid w:val="00964391"/>
    <w:rsid w:val="0096450E"/>
    <w:rsid w:val="00965304"/>
    <w:rsid w:val="00965938"/>
    <w:rsid w:val="0096621D"/>
    <w:rsid w:val="00971293"/>
    <w:rsid w:val="009735AB"/>
    <w:rsid w:val="00973A3B"/>
    <w:rsid w:val="00973BAA"/>
    <w:rsid w:val="00974DFC"/>
    <w:rsid w:val="00976DAB"/>
    <w:rsid w:val="00983EAE"/>
    <w:rsid w:val="00985178"/>
    <w:rsid w:val="009853E0"/>
    <w:rsid w:val="00985D55"/>
    <w:rsid w:val="00986D23"/>
    <w:rsid w:val="0098760B"/>
    <w:rsid w:val="00990914"/>
    <w:rsid w:val="00992AD4"/>
    <w:rsid w:val="00993526"/>
    <w:rsid w:val="00997982"/>
    <w:rsid w:val="009A11DD"/>
    <w:rsid w:val="009A225A"/>
    <w:rsid w:val="009A34EF"/>
    <w:rsid w:val="009A38B9"/>
    <w:rsid w:val="009A481B"/>
    <w:rsid w:val="009A56D1"/>
    <w:rsid w:val="009A6D9E"/>
    <w:rsid w:val="009B0713"/>
    <w:rsid w:val="009B30AA"/>
    <w:rsid w:val="009B5217"/>
    <w:rsid w:val="009B61E1"/>
    <w:rsid w:val="009C1385"/>
    <w:rsid w:val="009C48DE"/>
    <w:rsid w:val="009C5590"/>
    <w:rsid w:val="009D07C9"/>
    <w:rsid w:val="009D1D0B"/>
    <w:rsid w:val="009D366A"/>
    <w:rsid w:val="009D60D9"/>
    <w:rsid w:val="009D6B60"/>
    <w:rsid w:val="009E1E1E"/>
    <w:rsid w:val="009E2B8D"/>
    <w:rsid w:val="009E308F"/>
    <w:rsid w:val="009E3148"/>
    <w:rsid w:val="009E33E3"/>
    <w:rsid w:val="009E407F"/>
    <w:rsid w:val="009E50B1"/>
    <w:rsid w:val="009E696F"/>
    <w:rsid w:val="009E7794"/>
    <w:rsid w:val="009E7F16"/>
    <w:rsid w:val="009F0838"/>
    <w:rsid w:val="009F2C94"/>
    <w:rsid w:val="009F5052"/>
    <w:rsid w:val="009F6FB7"/>
    <w:rsid w:val="00A01B7C"/>
    <w:rsid w:val="00A03083"/>
    <w:rsid w:val="00A0365C"/>
    <w:rsid w:val="00A04918"/>
    <w:rsid w:val="00A04C85"/>
    <w:rsid w:val="00A06DB0"/>
    <w:rsid w:val="00A100F0"/>
    <w:rsid w:val="00A10346"/>
    <w:rsid w:val="00A12CB1"/>
    <w:rsid w:val="00A13707"/>
    <w:rsid w:val="00A1405F"/>
    <w:rsid w:val="00A156E6"/>
    <w:rsid w:val="00A16EBD"/>
    <w:rsid w:val="00A177C5"/>
    <w:rsid w:val="00A2019F"/>
    <w:rsid w:val="00A21ABA"/>
    <w:rsid w:val="00A21B7D"/>
    <w:rsid w:val="00A24D50"/>
    <w:rsid w:val="00A25A3A"/>
    <w:rsid w:val="00A27D86"/>
    <w:rsid w:val="00A30A3D"/>
    <w:rsid w:val="00A32440"/>
    <w:rsid w:val="00A33151"/>
    <w:rsid w:val="00A3579E"/>
    <w:rsid w:val="00A357D4"/>
    <w:rsid w:val="00A35DA8"/>
    <w:rsid w:val="00A36970"/>
    <w:rsid w:val="00A36E97"/>
    <w:rsid w:val="00A40840"/>
    <w:rsid w:val="00A41961"/>
    <w:rsid w:val="00A41EB4"/>
    <w:rsid w:val="00A42AD6"/>
    <w:rsid w:val="00A42EBE"/>
    <w:rsid w:val="00A4387C"/>
    <w:rsid w:val="00A448E9"/>
    <w:rsid w:val="00A4495D"/>
    <w:rsid w:val="00A44BFF"/>
    <w:rsid w:val="00A501DD"/>
    <w:rsid w:val="00A501E3"/>
    <w:rsid w:val="00A5099D"/>
    <w:rsid w:val="00A50F0C"/>
    <w:rsid w:val="00A515B6"/>
    <w:rsid w:val="00A55621"/>
    <w:rsid w:val="00A56441"/>
    <w:rsid w:val="00A61B6F"/>
    <w:rsid w:val="00A658EB"/>
    <w:rsid w:val="00A665F5"/>
    <w:rsid w:val="00A669B5"/>
    <w:rsid w:val="00A674A6"/>
    <w:rsid w:val="00A67D81"/>
    <w:rsid w:val="00A708F4"/>
    <w:rsid w:val="00A71A48"/>
    <w:rsid w:val="00A71CBD"/>
    <w:rsid w:val="00A736DD"/>
    <w:rsid w:val="00A7405E"/>
    <w:rsid w:val="00A764C1"/>
    <w:rsid w:val="00A827C8"/>
    <w:rsid w:val="00A82869"/>
    <w:rsid w:val="00A82FAA"/>
    <w:rsid w:val="00A836EC"/>
    <w:rsid w:val="00A85D22"/>
    <w:rsid w:val="00A85E39"/>
    <w:rsid w:val="00A8622A"/>
    <w:rsid w:val="00A86663"/>
    <w:rsid w:val="00A8758C"/>
    <w:rsid w:val="00A9053B"/>
    <w:rsid w:val="00A9138E"/>
    <w:rsid w:val="00A91975"/>
    <w:rsid w:val="00A94FED"/>
    <w:rsid w:val="00A9545F"/>
    <w:rsid w:val="00A9616A"/>
    <w:rsid w:val="00AA127E"/>
    <w:rsid w:val="00AA19AE"/>
    <w:rsid w:val="00AA38BC"/>
    <w:rsid w:val="00AA423D"/>
    <w:rsid w:val="00AA6A95"/>
    <w:rsid w:val="00AA798A"/>
    <w:rsid w:val="00AB10DE"/>
    <w:rsid w:val="00AB1831"/>
    <w:rsid w:val="00AB2617"/>
    <w:rsid w:val="00AB3668"/>
    <w:rsid w:val="00AB4371"/>
    <w:rsid w:val="00AB5276"/>
    <w:rsid w:val="00AB5ED7"/>
    <w:rsid w:val="00AB6C45"/>
    <w:rsid w:val="00AB7B0F"/>
    <w:rsid w:val="00AC0393"/>
    <w:rsid w:val="00AC0B4C"/>
    <w:rsid w:val="00AC0C39"/>
    <w:rsid w:val="00AC1B91"/>
    <w:rsid w:val="00AC2CB7"/>
    <w:rsid w:val="00AD01EC"/>
    <w:rsid w:val="00AD05A2"/>
    <w:rsid w:val="00AD0AEE"/>
    <w:rsid w:val="00AD0EFB"/>
    <w:rsid w:val="00AD4908"/>
    <w:rsid w:val="00AD49E3"/>
    <w:rsid w:val="00AD4B4F"/>
    <w:rsid w:val="00AD78CD"/>
    <w:rsid w:val="00AE0298"/>
    <w:rsid w:val="00AE077E"/>
    <w:rsid w:val="00AE2B9D"/>
    <w:rsid w:val="00AE6B53"/>
    <w:rsid w:val="00AE6C26"/>
    <w:rsid w:val="00AF0616"/>
    <w:rsid w:val="00AF0E28"/>
    <w:rsid w:val="00AF6F9B"/>
    <w:rsid w:val="00AF76FE"/>
    <w:rsid w:val="00AF7C42"/>
    <w:rsid w:val="00B01409"/>
    <w:rsid w:val="00B0253C"/>
    <w:rsid w:val="00B04314"/>
    <w:rsid w:val="00B04D4A"/>
    <w:rsid w:val="00B04E3F"/>
    <w:rsid w:val="00B04EA4"/>
    <w:rsid w:val="00B10DBA"/>
    <w:rsid w:val="00B10DBD"/>
    <w:rsid w:val="00B11EEB"/>
    <w:rsid w:val="00B155FD"/>
    <w:rsid w:val="00B15629"/>
    <w:rsid w:val="00B17CAF"/>
    <w:rsid w:val="00B20F9B"/>
    <w:rsid w:val="00B2372C"/>
    <w:rsid w:val="00B24994"/>
    <w:rsid w:val="00B256B8"/>
    <w:rsid w:val="00B262D9"/>
    <w:rsid w:val="00B266BA"/>
    <w:rsid w:val="00B30270"/>
    <w:rsid w:val="00B306AC"/>
    <w:rsid w:val="00B32CFE"/>
    <w:rsid w:val="00B32F70"/>
    <w:rsid w:val="00B331BE"/>
    <w:rsid w:val="00B373D0"/>
    <w:rsid w:val="00B43AAA"/>
    <w:rsid w:val="00B43D1A"/>
    <w:rsid w:val="00B469AC"/>
    <w:rsid w:val="00B4742D"/>
    <w:rsid w:val="00B52D3F"/>
    <w:rsid w:val="00B53139"/>
    <w:rsid w:val="00B5356B"/>
    <w:rsid w:val="00B5531A"/>
    <w:rsid w:val="00B562CE"/>
    <w:rsid w:val="00B56985"/>
    <w:rsid w:val="00B6092C"/>
    <w:rsid w:val="00B615EF"/>
    <w:rsid w:val="00B61885"/>
    <w:rsid w:val="00B62DE2"/>
    <w:rsid w:val="00B64510"/>
    <w:rsid w:val="00B73549"/>
    <w:rsid w:val="00B736B7"/>
    <w:rsid w:val="00B73C59"/>
    <w:rsid w:val="00B74417"/>
    <w:rsid w:val="00B7550D"/>
    <w:rsid w:val="00B77246"/>
    <w:rsid w:val="00B83857"/>
    <w:rsid w:val="00B8649D"/>
    <w:rsid w:val="00B866CD"/>
    <w:rsid w:val="00B87E13"/>
    <w:rsid w:val="00B906FF"/>
    <w:rsid w:val="00B93034"/>
    <w:rsid w:val="00B93D82"/>
    <w:rsid w:val="00B94E39"/>
    <w:rsid w:val="00B97406"/>
    <w:rsid w:val="00B97C5D"/>
    <w:rsid w:val="00BA1290"/>
    <w:rsid w:val="00BA293B"/>
    <w:rsid w:val="00BA2FC3"/>
    <w:rsid w:val="00BA3D3D"/>
    <w:rsid w:val="00BA502A"/>
    <w:rsid w:val="00BA606A"/>
    <w:rsid w:val="00BA65AF"/>
    <w:rsid w:val="00BA7FE1"/>
    <w:rsid w:val="00BB03FF"/>
    <w:rsid w:val="00BB140E"/>
    <w:rsid w:val="00BB2792"/>
    <w:rsid w:val="00BB3C29"/>
    <w:rsid w:val="00BB5821"/>
    <w:rsid w:val="00BB59F9"/>
    <w:rsid w:val="00BB725B"/>
    <w:rsid w:val="00BB72BE"/>
    <w:rsid w:val="00BB76BF"/>
    <w:rsid w:val="00BC1369"/>
    <w:rsid w:val="00BC1AD1"/>
    <w:rsid w:val="00BC3A27"/>
    <w:rsid w:val="00BC4A58"/>
    <w:rsid w:val="00BC4E81"/>
    <w:rsid w:val="00BC576D"/>
    <w:rsid w:val="00BC613B"/>
    <w:rsid w:val="00BD2E44"/>
    <w:rsid w:val="00BD3125"/>
    <w:rsid w:val="00BD4F17"/>
    <w:rsid w:val="00BD51D9"/>
    <w:rsid w:val="00BD64E2"/>
    <w:rsid w:val="00BD7DD1"/>
    <w:rsid w:val="00BD7E61"/>
    <w:rsid w:val="00BE24D5"/>
    <w:rsid w:val="00BE31C2"/>
    <w:rsid w:val="00BE48C8"/>
    <w:rsid w:val="00BE4995"/>
    <w:rsid w:val="00BE72EC"/>
    <w:rsid w:val="00BF0FE0"/>
    <w:rsid w:val="00BF1649"/>
    <w:rsid w:val="00BF1E06"/>
    <w:rsid w:val="00BF429A"/>
    <w:rsid w:val="00BF62BE"/>
    <w:rsid w:val="00BF7831"/>
    <w:rsid w:val="00C01DAC"/>
    <w:rsid w:val="00C02FB4"/>
    <w:rsid w:val="00C041E3"/>
    <w:rsid w:val="00C048FD"/>
    <w:rsid w:val="00C07126"/>
    <w:rsid w:val="00C11355"/>
    <w:rsid w:val="00C1146C"/>
    <w:rsid w:val="00C141E6"/>
    <w:rsid w:val="00C15AC5"/>
    <w:rsid w:val="00C16853"/>
    <w:rsid w:val="00C17863"/>
    <w:rsid w:val="00C20D4C"/>
    <w:rsid w:val="00C24FCB"/>
    <w:rsid w:val="00C25E27"/>
    <w:rsid w:val="00C263F0"/>
    <w:rsid w:val="00C31235"/>
    <w:rsid w:val="00C32063"/>
    <w:rsid w:val="00C336E3"/>
    <w:rsid w:val="00C33D41"/>
    <w:rsid w:val="00C34230"/>
    <w:rsid w:val="00C34ECD"/>
    <w:rsid w:val="00C363FB"/>
    <w:rsid w:val="00C376B1"/>
    <w:rsid w:val="00C40AFD"/>
    <w:rsid w:val="00C415DE"/>
    <w:rsid w:val="00C41E20"/>
    <w:rsid w:val="00C42E3E"/>
    <w:rsid w:val="00C44153"/>
    <w:rsid w:val="00C444E4"/>
    <w:rsid w:val="00C473FF"/>
    <w:rsid w:val="00C47430"/>
    <w:rsid w:val="00C47E07"/>
    <w:rsid w:val="00C500C3"/>
    <w:rsid w:val="00C51C13"/>
    <w:rsid w:val="00C525A5"/>
    <w:rsid w:val="00C5300F"/>
    <w:rsid w:val="00C53E22"/>
    <w:rsid w:val="00C54594"/>
    <w:rsid w:val="00C57784"/>
    <w:rsid w:val="00C66CE0"/>
    <w:rsid w:val="00C67448"/>
    <w:rsid w:val="00C7104D"/>
    <w:rsid w:val="00C711E1"/>
    <w:rsid w:val="00C71BED"/>
    <w:rsid w:val="00C737B2"/>
    <w:rsid w:val="00C76FB5"/>
    <w:rsid w:val="00C778B4"/>
    <w:rsid w:val="00C801BA"/>
    <w:rsid w:val="00C813FF"/>
    <w:rsid w:val="00C8165E"/>
    <w:rsid w:val="00C81B53"/>
    <w:rsid w:val="00C81D15"/>
    <w:rsid w:val="00C82AD2"/>
    <w:rsid w:val="00C82B7D"/>
    <w:rsid w:val="00C85E6B"/>
    <w:rsid w:val="00C86854"/>
    <w:rsid w:val="00C86B82"/>
    <w:rsid w:val="00C870A5"/>
    <w:rsid w:val="00C90FB6"/>
    <w:rsid w:val="00C9220E"/>
    <w:rsid w:val="00C9304B"/>
    <w:rsid w:val="00C932BD"/>
    <w:rsid w:val="00C93429"/>
    <w:rsid w:val="00C974F7"/>
    <w:rsid w:val="00CA14F3"/>
    <w:rsid w:val="00CA16C5"/>
    <w:rsid w:val="00CA1980"/>
    <w:rsid w:val="00CA1A15"/>
    <w:rsid w:val="00CA2496"/>
    <w:rsid w:val="00CA2D0E"/>
    <w:rsid w:val="00CA415A"/>
    <w:rsid w:val="00CA4D49"/>
    <w:rsid w:val="00CA5B20"/>
    <w:rsid w:val="00CA7A35"/>
    <w:rsid w:val="00CB09B6"/>
    <w:rsid w:val="00CB0AA9"/>
    <w:rsid w:val="00CB1536"/>
    <w:rsid w:val="00CB225E"/>
    <w:rsid w:val="00CB6D73"/>
    <w:rsid w:val="00CB7FB8"/>
    <w:rsid w:val="00CC02B0"/>
    <w:rsid w:val="00CC0776"/>
    <w:rsid w:val="00CC1E0B"/>
    <w:rsid w:val="00CC1F71"/>
    <w:rsid w:val="00CC5588"/>
    <w:rsid w:val="00CC5EB3"/>
    <w:rsid w:val="00CC7577"/>
    <w:rsid w:val="00CD0D6F"/>
    <w:rsid w:val="00CD0E7B"/>
    <w:rsid w:val="00CD0ECF"/>
    <w:rsid w:val="00CD10B1"/>
    <w:rsid w:val="00CD1EEB"/>
    <w:rsid w:val="00CD2ABD"/>
    <w:rsid w:val="00CD36BB"/>
    <w:rsid w:val="00CD4024"/>
    <w:rsid w:val="00CD4617"/>
    <w:rsid w:val="00CD4855"/>
    <w:rsid w:val="00CD5809"/>
    <w:rsid w:val="00CD60B9"/>
    <w:rsid w:val="00CD6A00"/>
    <w:rsid w:val="00CD6EE6"/>
    <w:rsid w:val="00CD7170"/>
    <w:rsid w:val="00CE09F7"/>
    <w:rsid w:val="00CE3309"/>
    <w:rsid w:val="00CE482F"/>
    <w:rsid w:val="00CE5F58"/>
    <w:rsid w:val="00CE610F"/>
    <w:rsid w:val="00CE6B16"/>
    <w:rsid w:val="00CE6D43"/>
    <w:rsid w:val="00CE7888"/>
    <w:rsid w:val="00CF0F22"/>
    <w:rsid w:val="00CF27ED"/>
    <w:rsid w:val="00CF5B13"/>
    <w:rsid w:val="00D00606"/>
    <w:rsid w:val="00D0060C"/>
    <w:rsid w:val="00D012E8"/>
    <w:rsid w:val="00D01668"/>
    <w:rsid w:val="00D020B4"/>
    <w:rsid w:val="00D03163"/>
    <w:rsid w:val="00D03729"/>
    <w:rsid w:val="00D04880"/>
    <w:rsid w:val="00D04D25"/>
    <w:rsid w:val="00D05D4F"/>
    <w:rsid w:val="00D06FC5"/>
    <w:rsid w:val="00D0774A"/>
    <w:rsid w:val="00D10E1C"/>
    <w:rsid w:val="00D15156"/>
    <w:rsid w:val="00D161A3"/>
    <w:rsid w:val="00D162F5"/>
    <w:rsid w:val="00D16747"/>
    <w:rsid w:val="00D20E4D"/>
    <w:rsid w:val="00D22E49"/>
    <w:rsid w:val="00D23716"/>
    <w:rsid w:val="00D25ED8"/>
    <w:rsid w:val="00D2745F"/>
    <w:rsid w:val="00D27F8F"/>
    <w:rsid w:val="00D316B8"/>
    <w:rsid w:val="00D31CFC"/>
    <w:rsid w:val="00D3255D"/>
    <w:rsid w:val="00D340C3"/>
    <w:rsid w:val="00D36B2A"/>
    <w:rsid w:val="00D37985"/>
    <w:rsid w:val="00D409CD"/>
    <w:rsid w:val="00D423D4"/>
    <w:rsid w:val="00D424EE"/>
    <w:rsid w:val="00D42CAF"/>
    <w:rsid w:val="00D43691"/>
    <w:rsid w:val="00D4435F"/>
    <w:rsid w:val="00D44E8E"/>
    <w:rsid w:val="00D44FF7"/>
    <w:rsid w:val="00D52404"/>
    <w:rsid w:val="00D5280D"/>
    <w:rsid w:val="00D5310F"/>
    <w:rsid w:val="00D5391D"/>
    <w:rsid w:val="00D5594B"/>
    <w:rsid w:val="00D55A10"/>
    <w:rsid w:val="00D601EF"/>
    <w:rsid w:val="00D61533"/>
    <w:rsid w:val="00D635EA"/>
    <w:rsid w:val="00D63B2F"/>
    <w:rsid w:val="00D63B40"/>
    <w:rsid w:val="00D64431"/>
    <w:rsid w:val="00D65D49"/>
    <w:rsid w:val="00D665E4"/>
    <w:rsid w:val="00D67128"/>
    <w:rsid w:val="00D70747"/>
    <w:rsid w:val="00D7261D"/>
    <w:rsid w:val="00D73E29"/>
    <w:rsid w:val="00D755FC"/>
    <w:rsid w:val="00D75EF2"/>
    <w:rsid w:val="00D76B6D"/>
    <w:rsid w:val="00D76DC3"/>
    <w:rsid w:val="00D77B9E"/>
    <w:rsid w:val="00D8149A"/>
    <w:rsid w:val="00D81937"/>
    <w:rsid w:val="00D81E09"/>
    <w:rsid w:val="00D8205A"/>
    <w:rsid w:val="00D82EFA"/>
    <w:rsid w:val="00D84D07"/>
    <w:rsid w:val="00D8526A"/>
    <w:rsid w:val="00D8686F"/>
    <w:rsid w:val="00D90E91"/>
    <w:rsid w:val="00D91198"/>
    <w:rsid w:val="00D92D3E"/>
    <w:rsid w:val="00D94E29"/>
    <w:rsid w:val="00D96DB8"/>
    <w:rsid w:val="00D9751A"/>
    <w:rsid w:val="00D9780C"/>
    <w:rsid w:val="00DA04D0"/>
    <w:rsid w:val="00DA1AE9"/>
    <w:rsid w:val="00DA64DC"/>
    <w:rsid w:val="00DB0305"/>
    <w:rsid w:val="00DB3870"/>
    <w:rsid w:val="00DB4785"/>
    <w:rsid w:val="00DB50D7"/>
    <w:rsid w:val="00DB60E1"/>
    <w:rsid w:val="00DB66C0"/>
    <w:rsid w:val="00DB6F33"/>
    <w:rsid w:val="00DC1347"/>
    <w:rsid w:val="00DC1E17"/>
    <w:rsid w:val="00DC2CE8"/>
    <w:rsid w:val="00DC32BF"/>
    <w:rsid w:val="00DC34BD"/>
    <w:rsid w:val="00DC39F1"/>
    <w:rsid w:val="00DC42D2"/>
    <w:rsid w:val="00DC5514"/>
    <w:rsid w:val="00DC7073"/>
    <w:rsid w:val="00DD0C37"/>
    <w:rsid w:val="00DD12BE"/>
    <w:rsid w:val="00DD1F00"/>
    <w:rsid w:val="00DD5225"/>
    <w:rsid w:val="00DE2389"/>
    <w:rsid w:val="00DE35D4"/>
    <w:rsid w:val="00DE4B35"/>
    <w:rsid w:val="00DE62A3"/>
    <w:rsid w:val="00DF00B1"/>
    <w:rsid w:val="00DF054E"/>
    <w:rsid w:val="00DF19C1"/>
    <w:rsid w:val="00DF1AD3"/>
    <w:rsid w:val="00DF42AD"/>
    <w:rsid w:val="00DF4CDE"/>
    <w:rsid w:val="00DF4E6A"/>
    <w:rsid w:val="00DF54CA"/>
    <w:rsid w:val="00DF56C9"/>
    <w:rsid w:val="00DF5B64"/>
    <w:rsid w:val="00DF5C8B"/>
    <w:rsid w:val="00DF6C14"/>
    <w:rsid w:val="00E018F3"/>
    <w:rsid w:val="00E02794"/>
    <w:rsid w:val="00E03A19"/>
    <w:rsid w:val="00E043E3"/>
    <w:rsid w:val="00E0505B"/>
    <w:rsid w:val="00E05E53"/>
    <w:rsid w:val="00E06698"/>
    <w:rsid w:val="00E0754E"/>
    <w:rsid w:val="00E07EE2"/>
    <w:rsid w:val="00E10702"/>
    <w:rsid w:val="00E107A7"/>
    <w:rsid w:val="00E11280"/>
    <w:rsid w:val="00E12359"/>
    <w:rsid w:val="00E152FF"/>
    <w:rsid w:val="00E155D8"/>
    <w:rsid w:val="00E16F65"/>
    <w:rsid w:val="00E17A1E"/>
    <w:rsid w:val="00E20FAF"/>
    <w:rsid w:val="00E2127F"/>
    <w:rsid w:val="00E213F1"/>
    <w:rsid w:val="00E243EE"/>
    <w:rsid w:val="00E2461B"/>
    <w:rsid w:val="00E24886"/>
    <w:rsid w:val="00E24DD3"/>
    <w:rsid w:val="00E26407"/>
    <w:rsid w:val="00E276FB"/>
    <w:rsid w:val="00E32595"/>
    <w:rsid w:val="00E32DC6"/>
    <w:rsid w:val="00E33A74"/>
    <w:rsid w:val="00E33EF4"/>
    <w:rsid w:val="00E34EBB"/>
    <w:rsid w:val="00E36087"/>
    <w:rsid w:val="00E361C3"/>
    <w:rsid w:val="00E4030B"/>
    <w:rsid w:val="00E403F8"/>
    <w:rsid w:val="00E41D56"/>
    <w:rsid w:val="00E41F43"/>
    <w:rsid w:val="00E420CE"/>
    <w:rsid w:val="00E43A2A"/>
    <w:rsid w:val="00E440F6"/>
    <w:rsid w:val="00E44473"/>
    <w:rsid w:val="00E457DF"/>
    <w:rsid w:val="00E45AD3"/>
    <w:rsid w:val="00E46642"/>
    <w:rsid w:val="00E4703A"/>
    <w:rsid w:val="00E4731E"/>
    <w:rsid w:val="00E5139A"/>
    <w:rsid w:val="00E52AA3"/>
    <w:rsid w:val="00E5413D"/>
    <w:rsid w:val="00E55125"/>
    <w:rsid w:val="00E56E7C"/>
    <w:rsid w:val="00E57977"/>
    <w:rsid w:val="00E635D7"/>
    <w:rsid w:val="00E639AC"/>
    <w:rsid w:val="00E652A0"/>
    <w:rsid w:val="00E70576"/>
    <w:rsid w:val="00E705F5"/>
    <w:rsid w:val="00E71DED"/>
    <w:rsid w:val="00E7201E"/>
    <w:rsid w:val="00E73EDD"/>
    <w:rsid w:val="00E8373B"/>
    <w:rsid w:val="00E8380E"/>
    <w:rsid w:val="00E83954"/>
    <w:rsid w:val="00E83ED4"/>
    <w:rsid w:val="00E868C7"/>
    <w:rsid w:val="00E876BF"/>
    <w:rsid w:val="00E91730"/>
    <w:rsid w:val="00E9204B"/>
    <w:rsid w:val="00E93056"/>
    <w:rsid w:val="00E9379C"/>
    <w:rsid w:val="00E94D23"/>
    <w:rsid w:val="00E95A38"/>
    <w:rsid w:val="00E95C1C"/>
    <w:rsid w:val="00E96F04"/>
    <w:rsid w:val="00E97823"/>
    <w:rsid w:val="00E97AEC"/>
    <w:rsid w:val="00EA20FE"/>
    <w:rsid w:val="00EA259B"/>
    <w:rsid w:val="00EA5C55"/>
    <w:rsid w:val="00EA7046"/>
    <w:rsid w:val="00EB1657"/>
    <w:rsid w:val="00EB2DB9"/>
    <w:rsid w:val="00EB3D4C"/>
    <w:rsid w:val="00EB491E"/>
    <w:rsid w:val="00EB4AF5"/>
    <w:rsid w:val="00EB5D76"/>
    <w:rsid w:val="00EB681B"/>
    <w:rsid w:val="00EC470F"/>
    <w:rsid w:val="00EC4FAD"/>
    <w:rsid w:val="00EC63F0"/>
    <w:rsid w:val="00ED1681"/>
    <w:rsid w:val="00ED3EAF"/>
    <w:rsid w:val="00ED45E1"/>
    <w:rsid w:val="00ED483E"/>
    <w:rsid w:val="00EE01FD"/>
    <w:rsid w:val="00EE1522"/>
    <w:rsid w:val="00EE30AE"/>
    <w:rsid w:val="00EE3CFA"/>
    <w:rsid w:val="00EE3EEF"/>
    <w:rsid w:val="00EE69E4"/>
    <w:rsid w:val="00EF0A2D"/>
    <w:rsid w:val="00EF1EEA"/>
    <w:rsid w:val="00EF2A7F"/>
    <w:rsid w:val="00EF32C3"/>
    <w:rsid w:val="00EF4AC9"/>
    <w:rsid w:val="00EF6B2F"/>
    <w:rsid w:val="00EF7E90"/>
    <w:rsid w:val="00F002B6"/>
    <w:rsid w:val="00F00E06"/>
    <w:rsid w:val="00F04F7A"/>
    <w:rsid w:val="00F07AA2"/>
    <w:rsid w:val="00F10AFE"/>
    <w:rsid w:val="00F116F9"/>
    <w:rsid w:val="00F11A2B"/>
    <w:rsid w:val="00F14C71"/>
    <w:rsid w:val="00F15C6C"/>
    <w:rsid w:val="00F16B3B"/>
    <w:rsid w:val="00F17173"/>
    <w:rsid w:val="00F20156"/>
    <w:rsid w:val="00F20987"/>
    <w:rsid w:val="00F217D0"/>
    <w:rsid w:val="00F21DEF"/>
    <w:rsid w:val="00F224DC"/>
    <w:rsid w:val="00F22F6D"/>
    <w:rsid w:val="00F2335B"/>
    <w:rsid w:val="00F2418E"/>
    <w:rsid w:val="00F24961"/>
    <w:rsid w:val="00F2687F"/>
    <w:rsid w:val="00F26A5E"/>
    <w:rsid w:val="00F27F29"/>
    <w:rsid w:val="00F303E9"/>
    <w:rsid w:val="00F3273B"/>
    <w:rsid w:val="00F32D54"/>
    <w:rsid w:val="00F3496B"/>
    <w:rsid w:val="00F34DD4"/>
    <w:rsid w:val="00F35284"/>
    <w:rsid w:val="00F35B10"/>
    <w:rsid w:val="00F36C54"/>
    <w:rsid w:val="00F37398"/>
    <w:rsid w:val="00F418EA"/>
    <w:rsid w:val="00F41A29"/>
    <w:rsid w:val="00F42A2B"/>
    <w:rsid w:val="00F44C1C"/>
    <w:rsid w:val="00F50B28"/>
    <w:rsid w:val="00F518DF"/>
    <w:rsid w:val="00F544DB"/>
    <w:rsid w:val="00F54855"/>
    <w:rsid w:val="00F60F1D"/>
    <w:rsid w:val="00F60FDE"/>
    <w:rsid w:val="00F6228E"/>
    <w:rsid w:val="00F6502E"/>
    <w:rsid w:val="00F65663"/>
    <w:rsid w:val="00F658B3"/>
    <w:rsid w:val="00F71558"/>
    <w:rsid w:val="00F737D0"/>
    <w:rsid w:val="00F7471B"/>
    <w:rsid w:val="00F75147"/>
    <w:rsid w:val="00F756C0"/>
    <w:rsid w:val="00F75A40"/>
    <w:rsid w:val="00F76E50"/>
    <w:rsid w:val="00F77637"/>
    <w:rsid w:val="00F8435D"/>
    <w:rsid w:val="00F84D69"/>
    <w:rsid w:val="00F851AB"/>
    <w:rsid w:val="00F85D8D"/>
    <w:rsid w:val="00F862E5"/>
    <w:rsid w:val="00F87DD0"/>
    <w:rsid w:val="00F91DA6"/>
    <w:rsid w:val="00F93360"/>
    <w:rsid w:val="00F93FE4"/>
    <w:rsid w:val="00F954D3"/>
    <w:rsid w:val="00F96693"/>
    <w:rsid w:val="00F97246"/>
    <w:rsid w:val="00F97BA9"/>
    <w:rsid w:val="00F97E4E"/>
    <w:rsid w:val="00FA1A40"/>
    <w:rsid w:val="00FA217B"/>
    <w:rsid w:val="00FA3C3E"/>
    <w:rsid w:val="00FA66CC"/>
    <w:rsid w:val="00FB0BC5"/>
    <w:rsid w:val="00FB0BCC"/>
    <w:rsid w:val="00FB5886"/>
    <w:rsid w:val="00FB74AE"/>
    <w:rsid w:val="00FB77B2"/>
    <w:rsid w:val="00FC03B2"/>
    <w:rsid w:val="00FC05B4"/>
    <w:rsid w:val="00FC0FE5"/>
    <w:rsid w:val="00FC31C1"/>
    <w:rsid w:val="00FC3D41"/>
    <w:rsid w:val="00FC4E3D"/>
    <w:rsid w:val="00FC5A8A"/>
    <w:rsid w:val="00FC6992"/>
    <w:rsid w:val="00FD1ABC"/>
    <w:rsid w:val="00FD2E72"/>
    <w:rsid w:val="00FD3C51"/>
    <w:rsid w:val="00FD6148"/>
    <w:rsid w:val="00FD6816"/>
    <w:rsid w:val="00FD7DDF"/>
    <w:rsid w:val="00FE05B6"/>
    <w:rsid w:val="00FE0FD8"/>
    <w:rsid w:val="00FE1775"/>
    <w:rsid w:val="00FE22D0"/>
    <w:rsid w:val="00FE3F0D"/>
    <w:rsid w:val="00FE4C38"/>
    <w:rsid w:val="00FE4C92"/>
    <w:rsid w:val="00FE4F83"/>
    <w:rsid w:val="00FE5CD5"/>
    <w:rsid w:val="00FE7F7F"/>
    <w:rsid w:val="00FF052A"/>
    <w:rsid w:val="00FF0FAA"/>
    <w:rsid w:val="00FF3358"/>
    <w:rsid w:val="00FF3759"/>
    <w:rsid w:val="00FF3F97"/>
    <w:rsid w:val="00FF4396"/>
    <w:rsid w:val="00FF4A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o-RO" w:eastAsia="ro-RO" w:bidi="ro-RO"/>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2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15"/>
    <w:pPr>
      <w:spacing w:line="288" w:lineRule="auto"/>
      <w:jc w:val="both"/>
    </w:pPr>
  </w:style>
  <w:style w:type="paragraph" w:styleId="Heading1">
    <w:name w:val="heading 1"/>
    <w:basedOn w:val="Normal"/>
    <w:next w:val="Normal"/>
    <w:link w:val="Heading1Char"/>
    <w:qFormat/>
    <w:rsid w:val="00023315"/>
    <w:pPr>
      <w:numPr>
        <w:numId w:val="1"/>
      </w:numPr>
      <w:ind w:left="567" w:hanging="567"/>
      <w:outlineLvl w:val="0"/>
    </w:pPr>
    <w:rPr>
      <w:kern w:val="28"/>
    </w:rPr>
  </w:style>
  <w:style w:type="paragraph" w:styleId="Heading2">
    <w:name w:val="heading 2"/>
    <w:basedOn w:val="Normal"/>
    <w:next w:val="Normal"/>
    <w:link w:val="Heading2Char"/>
    <w:qFormat/>
    <w:rsid w:val="00023315"/>
    <w:pPr>
      <w:numPr>
        <w:ilvl w:val="1"/>
        <w:numId w:val="1"/>
      </w:numPr>
      <w:ind w:left="567" w:hanging="567"/>
      <w:outlineLvl w:val="1"/>
    </w:pPr>
  </w:style>
  <w:style w:type="paragraph" w:styleId="Heading3">
    <w:name w:val="heading 3"/>
    <w:basedOn w:val="Normal"/>
    <w:next w:val="Normal"/>
    <w:link w:val="Heading3Char"/>
    <w:qFormat/>
    <w:rsid w:val="00023315"/>
    <w:pPr>
      <w:numPr>
        <w:ilvl w:val="2"/>
        <w:numId w:val="1"/>
      </w:numPr>
      <w:ind w:left="567" w:hanging="567"/>
      <w:outlineLvl w:val="2"/>
    </w:pPr>
  </w:style>
  <w:style w:type="paragraph" w:styleId="Heading4">
    <w:name w:val="heading 4"/>
    <w:basedOn w:val="Normal"/>
    <w:next w:val="Normal"/>
    <w:link w:val="Heading4Char"/>
    <w:qFormat/>
    <w:rsid w:val="00023315"/>
    <w:pPr>
      <w:numPr>
        <w:ilvl w:val="3"/>
        <w:numId w:val="1"/>
      </w:numPr>
      <w:ind w:left="567" w:hanging="567"/>
      <w:outlineLvl w:val="3"/>
    </w:pPr>
  </w:style>
  <w:style w:type="paragraph" w:styleId="Heading5">
    <w:name w:val="heading 5"/>
    <w:basedOn w:val="Normal"/>
    <w:next w:val="Normal"/>
    <w:link w:val="Heading5Char"/>
    <w:qFormat/>
    <w:rsid w:val="00023315"/>
    <w:pPr>
      <w:numPr>
        <w:ilvl w:val="4"/>
        <w:numId w:val="1"/>
      </w:numPr>
      <w:ind w:left="567" w:hanging="567"/>
      <w:outlineLvl w:val="4"/>
    </w:pPr>
  </w:style>
  <w:style w:type="paragraph" w:styleId="Heading6">
    <w:name w:val="heading 6"/>
    <w:basedOn w:val="Normal"/>
    <w:next w:val="Normal"/>
    <w:link w:val="Heading6Char"/>
    <w:qFormat/>
    <w:rsid w:val="00023315"/>
    <w:pPr>
      <w:numPr>
        <w:ilvl w:val="5"/>
        <w:numId w:val="1"/>
      </w:numPr>
      <w:ind w:left="567" w:hanging="567"/>
      <w:outlineLvl w:val="5"/>
    </w:pPr>
  </w:style>
  <w:style w:type="paragraph" w:styleId="Heading7">
    <w:name w:val="heading 7"/>
    <w:basedOn w:val="Normal"/>
    <w:next w:val="Normal"/>
    <w:link w:val="Heading7Char"/>
    <w:qFormat/>
    <w:rsid w:val="00023315"/>
    <w:pPr>
      <w:numPr>
        <w:ilvl w:val="6"/>
        <w:numId w:val="1"/>
      </w:numPr>
      <w:ind w:left="567" w:hanging="567"/>
      <w:outlineLvl w:val="6"/>
    </w:pPr>
  </w:style>
  <w:style w:type="paragraph" w:styleId="Heading8">
    <w:name w:val="heading 8"/>
    <w:basedOn w:val="Normal"/>
    <w:next w:val="Normal"/>
    <w:link w:val="Heading8Char"/>
    <w:qFormat/>
    <w:rsid w:val="00023315"/>
    <w:pPr>
      <w:numPr>
        <w:ilvl w:val="7"/>
        <w:numId w:val="1"/>
      </w:numPr>
      <w:ind w:left="567" w:hanging="567"/>
      <w:outlineLvl w:val="7"/>
    </w:pPr>
  </w:style>
  <w:style w:type="paragraph" w:styleId="Heading9">
    <w:name w:val="heading 9"/>
    <w:basedOn w:val="Normal"/>
    <w:next w:val="Normal"/>
    <w:link w:val="Heading9Char"/>
    <w:qFormat/>
    <w:rsid w:val="0002331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ro-RO" w:eastAsia="ro-RO" w:bidi="ro-RO"/>
    </w:rPr>
  </w:style>
  <w:style w:type="character" w:customStyle="1" w:styleId="Heading2Char">
    <w:name w:val="Heading 2 Char"/>
    <w:basedOn w:val="DefaultParagraphFont"/>
    <w:link w:val="Heading2"/>
    <w:locked/>
    <w:rsid w:val="00CB1536"/>
    <w:rPr>
      <w:lang w:val="ro-RO" w:eastAsia="ro-RO" w:bidi="ro-RO"/>
    </w:rPr>
  </w:style>
  <w:style w:type="character" w:customStyle="1" w:styleId="Heading3Char">
    <w:name w:val="Heading 3 Char"/>
    <w:basedOn w:val="DefaultParagraphFont"/>
    <w:link w:val="Heading3"/>
    <w:locked/>
    <w:rsid w:val="00CB1536"/>
    <w:rPr>
      <w:lang w:val="ro-RO" w:eastAsia="ro-RO" w:bidi="ro-RO"/>
    </w:rPr>
  </w:style>
  <w:style w:type="character" w:customStyle="1" w:styleId="Heading4Char">
    <w:name w:val="Heading 4 Char"/>
    <w:basedOn w:val="DefaultParagraphFont"/>
    <w:link w:val="Heading4"/>
    <w:locked/>
    <w:rsid w:val="00CB1536"/>
    <w:rPr>
      <w:lang w:val="ro-RO" w:eastAsia="ro-RO" w:bidi="ro-RO"/>
    </w:rPr>
  </w:style>
  <w:style w:type="character" w:customStyle="1" w:styleId="Heading5Char">
    <w:name w:val="Heading 5 Char"/>
    <w:basedOn w:val="DefaultParagraphFont"/>
    <w:link w:val="Heading5"/>
    <w:locked/>
    <w:rsid w:val="00CB1536"/>
    <w:rPr>
      <w:lang w:val="ro-RO" w:eastAsia="ro-RO" w:bidi="ro-RO"/>
    </w:rPr>
  </w:style>
  <w:style w:type="character" w:customStyle="1" w:styleId="Heading6Char">
    <w:name w:val="Heading 6 Char"/>
    <w:basedOn w:val="DefaultParagraphFont"/>
    <w:link w:val="Heading6"/>
    <w:locked/>
    <w:rsid w:val="00CB1536"/>
    <w:rPr>
      <w:lang w:val="ro-RO" w:eastAsia="ro-RO" w:bidi="ro-RO"/>
    </w:rPr>
  </w:style>
  <w:style w:type="character" w:customStyle="1" w:styleId="Heading7Char">
    <w:name w:val="Heading 7 Char"/>
    <w:basedOn w:val="DefaultParagraphFont"/>
    <w:link w:val="Heading7"/>
    <w:locked/>
    <w:rsid w:val="00CB1536"/>
    <w:rPr>
      <w:lang w:val="ro-RO" w:eastAsia="ro-RO" w:bidi="ro-RO"/>
    </w:rPr>
  </w:style>
  <w:style w:type="character" w:customStyle="1" w:styleId="Heading8Char">
    <w:name w:val="Heading 8 Char"/>
    <w:basedOn w:val="DefaultParagraphFont"/>
    <w:link w:val="Heading8"/>
    <w:locked/>
    <w:rsid w:val="00CB1536"/>
    <w:rPr>
      <w:lang w:val="ro-RO" w:eastAsia="ro-RO" w:bidi="ro-RO"/>
    </w:rPr>
  </w:style>
  <w:style w:type="character" w:customStyle="1" w:styleId="Heading9Char">
    <w:name w:val="Heading 9 Char"/>
    <w:basedOn w:val="DefaultParagraphFont"/>
    <w:link w:val="Heading9"/>
    <w:locked/>
    <w:rsid w:val="00CB1536"/>
    <w:rPr>
      <w:lang w:val="ro-RO" w:eastAsia="ro-RO" w:bidi="ro-RO"/>
    </w:rPr>
  </w:style>
  <w:style w:type="paragraph" w:styleId="Footer">
    <w:name w:val="footer"/>
    <w:basedOn w:val="Normal"/>
    <w:link w:val="FooterChar"/>
    <w:qFormat/>
    <w:rsid w:val="00023315"/>
  </w:style>
  <w:style w:type="character" w:customStyle="1" w:styleId="FooterChar">
    <w:name w:val="Footer Char"/>
    <w:basedOn w:val="DefaultParagraphFont"/>
    <w:link w:val="Footer"/>
    <w:locked/>
    <w:rsid w:val="00CB1536"/>
    <w:rPr>
      <w:lang w:val="ro-RO" w:eastAsia="ro-RO" w:bidi="ro-RO"/>
    </w:rPr>
  </w:style>
  <w:style w:type="paragraph" w:styleId="FootnoteText">
    <w:name w:val="footnote text"/>
    <w:basedOn w:val="Normal"/>
    <w:link w:val="FootnoteTextChar"/>
    <w:qFormat/>
    <w:rsid w:val="00023315"/>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ro-RO" w:eastAsia="ro-RO" w:bidi="ro-RO"/>
    </w:rPr>
  </w:style>
  <w:style w:type="paragraph" w:styleId="Header">
    <w:name w:val="header"/>
    <w:basedOn w:val="Normal"/>
    <w:link w:val="HeaderChar"/>
    <w:qFormat/>
    <w:rsid w:val="00023315"/>
  </w:style>
  <w:style w:type="character" w:customStyle="1" w:styleId="HeaderChar">
    <w:name w:val="Header Char"/>
    <w:basedOn w:val="DefaultParagraphFont"/>
    <w:link w:val="Header"/>
    <w:locked/>
    <w:rsid w:val="00CB1536"/>
    <w:rPr>
      <w:lang w:val="ro-RO" w:eastAsia="ro-RO" w:bidi="ro-RO"/>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023315"/>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A501DD"/>
    <w:pPr>
      <w:ind w:left="720"/>
      <w:contextualSpacing/>
    </w:pPr>
  </w:style>
  <w:style w:type="paragraph" w:styleId="BalloonText">
    <w:name w:val="Balloon Text"/>
    <w:basedOn w:val="Normal"/>
    <w:link w:val="BalloonTextChar"/>
    <w:uiPriority w:val="99"/>
    <w:semiHidden/>
    <w:unhideWhenUsed/>
    <w:rsid w:val="000233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315"/>
    <w:rPr>
      <w:rFonts w:ascii="Tahoma" w:hAnsi="Tahoma" w:cs="Tahoma"/>
      <w:sz w:val="16"/>
      <w:szCs w:val="16"/>
      <w:lang w:val="ro-RO" w:eastAsia="ro-RO" w:bidi="ro-RO"/>
    </w:rPr>
  </w:style>
  <w:style w:type="paragraph" w:customStyle="1" w:styleId="quotes">
    <w:name w:val="quotes"/>
    <w:basedOn w:val="Normal"/>
    <w:next w:val="Normal"/>
    <w:rsid w:val="00023315"/>
    <w:pPr>
      <w:ind w:left="72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o-RO" w:eastAsia="ro-RO" w:bidi="ro-RO"/>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2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15"/>
    <w:pPr>
      <w:spacing w:line="288" w:lineRule="auto"/>
      <w:jc w:val="both"/>
    </w:pPr>
  </w:style>
  <w:style w:type="paragraph" w:styleId="Heading1">
    <w:name w:val="heading 1"/>
    <w:basedOn w:val="Normal"/>
    <w:next w:val="Normal"/>
    <w:link w:val="Heading1Char"/>
    <w:qFormat/>
    <w:rsid w:val="00023315"/>
    <w:pPr>
      <w:numPr>
        <w:numId w:val="1"/>
      </w:numPr>
      <w:ind w:left="567" w:hanging="567"/>
      <w:outlineLvl w:val="0"/>
    </w:pPr>
    <w:rPr>
      <w:kern w:val="28"/>
    </w:rPr>
  </w:style>
  <w:style w:type="paragraph" w:styleId="Heading2">
    <w:name w:val="heading 2"/>
    <w:basedOn w:val="Normal"/>
    <w:next w:val="Normal"/>
    <w:link w:val="Heading2Char"/>
    <w:qFormat/>
    <w:rsid w:val="00023315"/>
    <w:pPr>
      <w:numPr>
        <w:ilvl w:val="1"/>
        <w:numId w:val="1"/>
      </w:numPr>
      <w:ind w:left="567" w:hanging="567"/>
      <w:outlineLvl w:val="1"/>
    </w:pPr>
  </w:style>
  <w:style w:type="paragraph" w:styleId="Heading3">
    <w:name w:val="heading 3"/>
    <w:basedOn w:val="Normal"/>
    <w:next w:val="Normal"/>
    <w:link w:val="Heading3Char"/>
    <w:qFormat/>
    <w:rsid w:val="00023315"/>
    <w:pPr>
      <w:numPr>
        <w:ilvl w:val="2"/>
        <w:numId w:val="1"/>
      </w:numPr>
      <w:ind w:left="567" w:hanging="567"/>
      <w:outlineLvl w:val="2"/>
    </w:pPr>
  </w:style>
  <w:style w:type="paragraph" w:styleId="Heading4">
    <w:name w:val="heading 4"/>
    <w:basedOn w:val="Normal"/>
    <w:next w:val="Normal"/>
    <w:link w:val="Heading4Char"/>
    <w:qFormat/>
    <w:rsid w:val="00023315"/>
    <w:pPr>
      <w:numPr>
        <w:ilvl w:val="3"/>
        <w:numId w:val="1"/>
      </w:numPr>
      <w:ind w:left="567" w:hanging="567"/>
      <w:outlineLvl w:val="3"/>
    </w:pPr>
  </w:style>
  <w:style w:type="paragraph" w:styleId="Heading5">
    <w:name w:val="heading 5"/>
    <w:basedOn w:val="Normal"/>
    <w:next w:val="Normal"/>
    <w:link w:val="Heading5Char"/>
    <w:qFormat/>
    <w:rsid w:val="00023315"/>
    <w:pPr>
      <w:numPr>
        <w:ilvl w:val="4"/>
        <w:numId w:val="1"/>
      </w:numPr>
      <w:ind w:left="567" w:hanging="567"/>
      <w:outlineLvl w:val="4"/>
    </w:pPr>
  </w:style>
  <w:style w:type="paragraph" w:styleId="Heading6">
    <w:name w:val="heading 6"/>
    <w:basedOn w:val="Normal"/>
    <w:next w:val="Normal"/>
    <w:link w:val="Heading6Char"/>
    <w:qFormat/>
    <w:rsid w:val="00023315"/>
    <w:pPr>
      <w:numPr>
        <w:ilvl w:val="5"/>
        <w:numId w:val="1"/>
      </w:numPr>
      <w:ind w:left="567" w:hanging="567"/>
      <w:outlineLvl w:val="5"/>
    </w:pPr>
  </w:style>
  <w:style w:type="paragraph" w:styleId="Heading7">
    <w:name w:val="heading 7"/>
    <w:basedOn w:val="Normal"/>
    <w:next w:val="Normal"/>
    <w:link w:val="Heading7Char"/>
    <w:qFormat/>
    <w:rsid w:val="00023315"/>
    <w:pPr>
      <w:numPr>
        <w:ilvl w:val="6"/>
        <w:numId w:val="1"/>
      </w:numPr>
      <w:ind w:left="567" w:hanging="567"/>
      <w:outlineLvl w:val="6"/>
    </w:pPr>
  </w:style>
  <w:style w:type="paragraph" w:styleId="Heading8">
    <w:name w:val="heading 8"/>
    <w:basedOn w:val="Normal"/>
    <w:next w:val="Normal"/>
    <w:link w:val="Heading8Char"/>
    <w:qFormat/>
    <w:rsid w:val="00023315"/>
    <w:pPr>
      <w:numPr>
        <w:ilvl w:val="7"/>
        <w:numId w:val="1"/>
      </w:numPr>
      <w:ind w:left="567" w:hanging="567"/>
      <w:outlineLvl w:val="7"/>
    </w:pPr>
  </w:style>
  <w:style w:type="paragraph" w:styleId="Heading9">
    <w:name w:val="heading 9"/>
    <w:basedOn w:val="Normal"/>
    <w:next w:val="Normal"/>
    <w:link w:val="Heading9Char"/>
    <w:qFormat/>
    <w:rsid w:val="0002331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ro-RO" w:eastAsia="ro-RO" w:bidi="ro-RO"/>
    </w:rPr>
  </w:style>
  <w:style w:type="character" w:customStyle="1" w:styleId="Heading2Char">
    <w:name w:val="Heading 2 Char"/>
    <w:basedOn w:val="DefaultParagraphFont"/>
    <w:link w:val="Heading2"/>
    <w:locked/>
    <w:rsid w:val="00CB1536"/>
    <w:rPr>
      <w:lang w:val="ro-RO" w:eastAsia="ro-RO" w:bidi="ro-RO"/>
    </w:rPr>
  </w:style>
  <w:style w:type="character" w:customStyle="1" w:styleId="Heading3Char">
    <w:name w:val="Heading 3 Char"/>
    <w:basedOn w:val="DefaultParagraphFont"/>
    <w:link w:val="Heading3"/>
    <w:locked/>
    <w:rsid w:val="00CB1536"/>
    <w:rPr>
      <w:lang w:val="ro-RO" w:eastAsia="ro-RO" w:bidi="ro-RO"/>
    </w:rPr>
  </w:style>
  <w:style w:type="character" w:customStyle="1" w:styleId="Heading4Char">
    <w:name w:val="Heading 4 Char"/>
    <w:basedOn w:val="DefaultParagraphFont"/>
    <w:link w:val="Heading4"/>
    <w:locked/>
    <w:rsid w:val="00CB1536"/>
    <w:rPr>
      <w:lang w:val="ro-RO" w:eastAsia="ro-RO" w:bidi="ro-RO"/>
    </w:rPr>
  </w:style>
  <w:style w:type="character" w:customStyle="1" w:styleId="Heading5Char">
    <w:name w:val="Heading 5 Char"/>
    <w:basedOn w:val="DefaultParagraphFont"/>
    <w:link w:val="Heading5"/>
    <w:locked/>
    <w:rsid w:val="00CB1536"/>
    <w:rPr>
      <w:lang w:val="ro-RO" w:eastAsia="ro-RO" w:bidi="ro-RO"/>
    </w:rPr>
  </w:style>
  <w:style w:type="character" w:customStyle="1" w:styleId="Heading6Char">
    <w:name w:val="Heading 6 Char"/>
    <w:basedOn w:val="DefaultParagraphFont"/>
    <w:link w:val="Heading6"/>
    <w:locked/>
    <w:rsid w:val="00CB1536"/>
    <w:rPr>
      <w:lang w:val="ro-RO" w:eastAsia="ro-RO" w:bidi="ro-RO"/>
    </w:rPr>
  </w:style>
  <w:style w:type="character" w:customStyle="1" w:styleId="Heading7Char">
    <w:name w:val="Heading 7 Char"/>
    <w:basedOn w:val="DefaultParagraphFont"/>
    <w:link w:val="Heading7"/>
    <w:locked/>
    <w:rsid w:val="00CB1536"/>
    <w:rPr>
      <w:lang w:val="ro-RO" w:eastAsia="ro-RO" w:bidi="ro-RO"/>
    </w:rPr>
  </w:style>
  <w:style w:type="character" w:customStyle="1" w:styleId="Heading8Char">
    <w:name w:val="Heading 8 Char"/>
    <w:basedOn w:val="DefaultParagraphFont"/>
    <w:link w:val="Heading8"/>
    <w:locked/>
    <w:rsid w:val="00CB1536"/>
    <w:rPr>
      <w:lang w:val="ro-RO" w:eastAsia="ro-RO" w:bidi="ro-RO"/>
    </w:rPr>
  </w:style>
  <w:style w:type="character" w:customStyle="1" w:styleId="Heading9Char">
    <w:name w:val="Heading 9 Char"/>
    <w:basedOn w:val="DefaultParagraphFont"/>
    <w:link w:val="Heading9"/>
    <w:locked/>
    <w:rsid w:val="00CB1536"/>
    <w:rPr>
      <w:lang w:val="ro-RO" w:eastAsia="ro-RO" w:bidi="ro-RO"/>
    </w:rPr>
  </w:style>
  <w:style w:type="paragraph" w:styleId="Footer">
    <w:name w:val="footer"/>
    <w:basedOn w:val="Normal"/>
    <w:link w:val="FooterChar"/>
    <w:qFormat/>
    <w:rsid w:val="00023315"/>
  </w:style>
  <w:style w:type="character" w:customStyle="1" w:styleId="FooterChar">
    <w:name w:val="Footer Char"/>
    <w:basedOn w:val="DefaultParagraphFont"/>
    <w:link w:val="Footer"/>
    <w:locked/>
    <w:rsid w:val="00CB1536"/>
    <w:rPr>
      <w:lang w:val="ro-RO" w:eastAsia="ro-RO" w:bidi="ro-RO"/>
    </w:rPr>
  </w:style>
  <w:style w:type="paragraph" w:styleId="FootnoteText">
    <w:name w:val="footnote text"/>
    <w:basedOn w:val="Normal"/>
    <w:link w:val="FootnoteTextChar"/>
    <w:qFormat/>
    <w:rsid w:val="00023315"/>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ro-RO" w:eastAsia="ro-RO" w:bidi="ro-RO"/>
    </w:rPr>
  </w:style>
  <w:style w:type="paragraph" w:styleId="Header">
    <w:name w:val="header"/>
    <w:basedOn w:val="Normal"/>
    <w:link w:val="HeaderChar"/>
    <w:qFormat/>
    <w:rsid w:val="00023315"/>
  </w:style>
  <w:style w:type="character" w:customStyle="1" w:styleId="HeaderChar">
    <w:name w:val="Header Char"/>
    <w:basedOn w:val="DefaultParagraphFont"/>
    <w:link w:val="Header"/>
    <w:locked/>
    <w:rsid w:val="00CB1536"/>
    <w:rPr>
      <w:lang w:val="ro-RO" w:eastAsia="ro-RO" w:bidi="ro-RO"/>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023315"/>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A501DD"/>
    <w:pPr>
      <w:ind w:left="720"/>
      <w:contextualSpacing/>
    </w:pPr>
  </w:style>
  <w:style w:type="paragraph" w:styleId="BalloonText">
    <w:name w:val="Balloon Text"/>
    <w:basedOn w:val="Normal"/>
    <w:link w:val="BalloonTextChar"/>
    <w:uiPriority w:val="99"/>
    <w:semiHidden/>
    <w:unhideWhenUsed/>
    <w:rsid w:val="000233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315"/>
    <w:rPr>
      <w:rFonts w:ascii="Tahoma" w:hAnsi="Tahoma" w:cs="Tahoma"/>
      <w:sz w:val="16"/>
      <w:szCs w:val="16"/>
      <w:lang w:val="ro-RO" w:eastAsia="ro-RO" w:bidi="ro-RO"/>
    </w:rPr>
  </w:style>
  <w:style w:type="paragraph" w:customStyle="1" w:styleId="quotes">
    <w:name w:val="quotes"/>
    <w:basedOn w:val="Normal"/>
    <w:next w:val="Normal"/>
    <w:rsid w:val="00023315"/>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026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uroparl.europa.eu/RegData/etudes/etudes/join/2014/497764/IPOL-ECON_ET(2014)497764_EN.pdf" TargetMode="External"/><Relationship Id="rId3" Type="http://schemas.openxmlformats.org/officeDocument/2006/relationships/hyperlink" Target="https://link.springer.com/article/10.1007/s10272-013-0441-3" TargetMode="External"/><Relationship Id="rId7" Type="http://schemas.openxmlformats.org/officeDocument/2006/relationships/hyperlink" Target="http://www.eesc.europa.eu/?i=portal.en.publications.27230" TargetMode="External"/><Relationship Id="rId2" Type="http://schemas.openxmlformats.org/officeDocument/2006/relationships/hyperlink" Target="https://link.springer.com/article/10.1007/s10272-013-0441-3" TargetMode="External"/><Relationship Id="rId1" Type="http://schemas.openxmlformats.org/officeDocument/2006/relationships/hyperlink" Target="http://eur-lex.europa.eu/LexUriServ/LexUriServ.do?uri=OJ:C:2011:218:SOM:RO:HTML" TargetMode="External"/><Relationship Id="rId6" Type="http://schemas.openxmlformats.org/officeDocument/2006/relationships/hyperlink" Target="https://link.springer.com/article/10.1007/s10272-013-0441-3" TargetMode="External"/><Relationship Id="rId11" Type="http://schemas.openxmlformats.org/officeDocument/2006/relationships/hyperlink" Target="http://www.eesc.europa.eu/?i=portal.en.publications.27230" TargetMode="External"/><Relationship Id="rId5" Type="http://schemas.openxmlformats.org/officeDocument/2006/relationships/hyperlink" Target="http://www.eesc.europa.eu/?i=portal.en.publications.27244" TargetMode="External"/><Relationship Id="rId10" Type="http://schemas.openxmlformats.org/officeDocument/2006/relationships/hyperlink" Target="https://link.springer.com/article/10.1007/s10272-013-0441-3" TargetMode="External"/><Relationship Id="rId4" Type="http://schemas.openxmlformats.org/officeDocument/2006/relationships/hyperlink" Target="https://link.springer.com/article/10.1007/s10272-013-0441-3" TargetMode="External"/><Relationship Id="rId9" Type="http://schemas.openxmlformats.org/officeDocument/2006/relationships/hyperlink" Target="http://www.eesc.europa.eu/?i=portal.en.publications.272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WTPCSN73YJ26-5-14443</_dlc_DocId>
    <_dlc_DocIdUrl xmlns="8a3471f6-0f36-4ccf-b5ee-1ca67ea797ef">
      <Url>http://dm2016/eesc/2017/_layouts/DocIdRedir.aspx?ID=WTPCSN73YJ26-5-14443</Url>
      <Description>WTPCSN73YJ26-5-14443</Description>
    </_dlc_DocIdUrl>
    <MeetingNumber xmlns="d1332135-b17a-446f-a1ae-f2f9eb486b6d">532</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2018-02-08T12:00:00+00:00</ProductionDate>
    <DocumentNumber xmlns="d1332135-b17a-446f-a1ae-f2f9eb486b6d">2368</DocumentNumber>
    <FicheYear xmlns="8a3471f6-0f36-4ccf-b5ee-1ca67ea797ef">2017</FicheYear>
    <DocumentVersion xmlns="8a3471f6-0f36-4ccf-b5ee-1ca67ea797ef">2</DocumentVersion>
    <DossierNumber xmlns="8a3471f6-0f36-4ccf-b5ee-1ca67ea797ef">401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2018-02-14T12:00:00+00:00</MeetingDate>
    <TaxCatchAll xmlns="8a3471f6-0f36-4ccf-b5ee-1ca67ea797ef">
      <Value>33</Value>
      <Value>38</Value>
      <Value>37</Value>
      <Value>36</Value>
      <Value>35</Value>
      <Value>34</Value>
      <Value>25</Value>
      <Value>32</Value>
      <Value>31</Value>
      <Value>30</Value>
      <Value>29</Value>
      <Value>28</Value>
      <Value>27</Value>
      <Value>26</Value>
      <Value>72</Value>
      <Value>24</Value>
      <Value>23</Value>
      <Value>22</Value>
      <Value>18</Value>
      <Value>14</Value>
      <Value>15</Value>
      <Value>108</Value>
      <Value>12</Value>
      <Value>10</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8a3471f6-0f36-4ccf-b5ee-1ca67ea797ef">LEIRIÃO &amp; CEDRONE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1752</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a3471f6-0f36-4ccf-b5ee-1ca67ea797ef">Union économique et monétaire, cohésion economique et sociale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F2E69B9A178FF4F86235F65FC497A74" ma:contentTypeVersion="4" ma:contentTypeDescription="Defines the documents for Document Manager V2" ma:contentTypeScope="" ma:versionID="7c7370e5f24c31613b423e23f71d8933">
  <xsd:schema xmlns:xsd="http://www.w3.org/2001/XMLSchema" xmlns:xs="http://www.w3.org/2001/XMLSchema" xmlns:p="http://schemas.microsoft.com/office/2006/metadata/properties" xmlns:ns2="8a3471f6-0f36-4ccf-b5ee-1ca67ea797ef" xmlns:ns3="http://schemas.microsoft.com/sharepoint/v3/fields" xmlns:ns4="d1332135-b17a-446f-a1ae-f2f9eb486b6d" targetNamespace="http://schemas.microsoft.com/office/2006/metadata/properties" ma:root="true" ma:fieldsID="64f84f555a0d7ba68d8ed7e866e26e38" ns2:_="" ns3:_="" ns4:_="">
    <xsd:import namespace="8a3471f6-0f36-4ccf-b5ee-1ca67ea797ef"/>
    <xsd:import namespace="http://schemas.microsoft.com/sharepoint/v3/fields"/>
    <xsd:import namespace="d1332135-b17a-446f-a1ae-f2f9eb486b6d"/>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332135-b17a-446f-a1ae-f2f9eb486b6d"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D04E-6A5E-48AF-A4C2-39AF8D6C755C}"/>
</file>

<file path=customXml/itemProps2.xml><?xml version="1.0" encoding="utf-8"?>
<ds:datastoreItem xmlns:ds="http://schemas.openxmlformats.org/officeDocument/2006/customXml" ds:itemID="{F75CB98D-9329-41B8-8B2D-9F785994E9EF}"/>
</file>

<file path=customXml/itemProps3.xml><?xml version="1.0" encoding="utf-8"?>
<ds:datastoreItem xmlns:ds="http://schemas.openxmlformats.org/officeDocument/2006/customXml" ds:itemID="{BA470676-BA11-4F02-B286-5FDA13F4F3A5}"/>
</file>

<file path=customXml/itemProps4.xml><?xml version="1.0" encoding="utf-8"?>
<ds:datastoreItem xmlns:ds="http://schemas.openxmlformats.org/officeDocument/2006/customXml" ds:itemID="{116EF977-1A90-4725-9923-D36CCB75E778}"/>
</file>

<file path=customXml/itemProps5.xml><?xml version="1.0" encoding="utf-8"?>
<ds:datastoreItem xmlns:ds="http://schemas.openxmlformats.org/officeDocument/2006/customXml" ds:itemID="{970960AF-8DD5-4CC9-8DA9-2AB1FA800CEB}"/>
</file>

<file path=docProps/app.xml><?xml version="1.0" encoding="utf-8"?>
<Properties xmlns="http://schemas.openxmlformats.org/officeDocument/2006/extended-properties" xmlns:vt="http://schemas.openxmlformats.org/officeDocument/2006/docPropsVTypes">
  <Template>Styles.dotm</Template>
  <TotalTime>6</TotalTime>
  <Pages>15</Pages>
  <Words>5851</Words>
  <Characters>33936</Characters>
  <Application>Microsoft Office Word</Application>
  <DocSecurity>0</DocSecurity>
  <Lines>282</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Lessons learned for avoiding the severity of austerity policies in the EU</vt:lpstr>
      <vt:lpstr>European Agenda on Migration: Second implementation package - A permanent crisis relocation mechanism under the Dublin system</vt:lpstr>
    </vt:vector>
  </TitlesOfParts>
  <Company>CESE-CdR</Company>
  <LinksUpToDate>false</LinksUpToDate>
  <CharactersWithSpaces>39708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Argumente desprinse din experiența trecutului pentru evitarea unor politici de austeritate drastice în UE</dc:title>
  <dc:creator/>
  <cp:keywords>EESC-2017-02368-00-02-AS-TRA-EN</cp:keywords>
  <dc:description>Rapporteur: LEIRIÃO &amp; CEDRONE - Original language: EN - Date of document: 08/02/2018 - Date of meeting: 14/02/2018 - External documents:  - Administrator:  PERLAKY-TÓTH KRISZTINA</dc:description>
  <cp:lastModifiedBy/>
  <cp:revision>7</cp:revision>
  <cp:lastPrinted>2018-01-05T17:18:00Z</cp:lastPrinted>
  <dcterms:created xsi:type="dcterms:W3CDTF">2018-02-08T11:27:00Z</dcterms:created>
  <dcterms:modified xsi:type="dcterms:W3CDTF">2018-02-08T11:33:00Z</dcterms:modified>
  <cp:category>ECO/401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08/02/2018, 31/01/2018, 31/01/2018, 30/01/2018, 30/01/2018, 15/01/2018, 09/01/2018, 21/11/2017, 20/06/2017, 04/11/2015, 27/10/2015, 19/10/2015, 09/10/2015, 05/10/2015, 05/10/2015, 26/08/2015, 26/08/2015, 25/08/2015</vt:lpwstr>
  </property>
  <property fmtid="{D5CDD505-2E9C-101B-9397-08002B2CF9AE}" pid="4" name="Pref_Time">
    <vt:lpwstr>10:15:51, 12:24:17, 12:07:37, 16:25:57, 13:55:28, 17:53:06, 14:59:30, 14:54:10, 17:03:26, 12:10:07, 14:44:02, 16:04:16, 14:09:30, 16:24:55, 16:04:02, 08:56:14, 07:27:56, 17:31:53</vt:lpwstr>
  </property>
  <property fmtid="{D5CDD505-2E9C-101B-9397-08002B2CF9AE}" pid="5" name="Pref_User">
    <vt:lpwstr>mreg, mreg, nmcg, tvoc, YMUR, mreg, mkop, tvoc, enied, ssex, enied, amett, tvoc, mreg, mreg, amett, enied, ssex</vt:lpwstr>
  </property>
  <property fmtid="{D5CDD505-2E9C-101B-9397-08002B2CF9AE}" pid="6" name="Pref_FileName">
    <vt:lpwstr>EESC-2017-02368-00-02-AS-ORI.docx, EESC-2017-02368-00-01-AS-TRA-EN-CRR.docx, EESC-2017-02368-00-01-AS-CRR-EN.docx, EESC-2017-02368-00-00-AS-TRA-EN-CRR.docx, EESC-2017-02368-00-00-AS-CRR-EN.docx, EESC-2017-02368-00-01-PA-ORI.docx, EESC-2017-02368-00-00-PA-</vt:lpwstr>
  </property>
  <property fmtid="{D5CDD505-2E9C-101B-9397-08002B2CF9AE}" pid="7" name="ContentTypeId">
    <vt:lpwstr>0x010100EA97B91038054C99906057A708A1480A003F2E69B9A178FF4F86235F65FC497A74</vt:lpwstr>
  </property>
  <property fmtid="{D5CDD505-2E9C-101B-9397-08002B2CF9AE}" pid="8" name="_dlc_DocIdItemGuid">
    <vt:lpwstr>c16a9687-45d7-4ddd-9529-375ca321674e</vt:lpwstr>
  </property>
  <property fmtid="{D5CDD505-2E9C-101B-9397-08002B2CF9AE}" pid="9" name="MeetingNumber">
    <vt:i4>532</vt:i4>
  </property>
  <property fmtid="{D5CDD505-2E9C-101B-9397-08002B2CF9AE}" pid="10" name="DocumentType_0">
    <vt:lpwstr>AS|c7a748eb-f6f2-4d9d-8b5a-af0cafebc224</vt:lpwstr>
  </property>
  <property fmtid="{D5CDD505-2E9C-101B-9397-08002B2CF9AE}" pid="11" name="AvailableTranslations">
    <vt:lpwstr>27;#CS|72f9705b-0217-4fd3-bea2-cbc7ed80e26e;#29;#HU|6b229040-c589-4408-b4c1-4285663d20a8;#4;#EN|f2175f21-25d7-44a3-96da-d6a61b075e1b;#28;#ET|ff6c3f4c-b02c-4c3c-ab07-2c37995a7a0a;#8;#FR|d2afafd3-4c81-4f60-8f52-ee33f2f54ff3;#37;#RO|feb747a2-64cd-4299-af12-4833ddc30497;#23;#DA|5d49c027-8956-412b-aa16-e85a0f96ad0e;#14;#ES|e7a6b05b-ae16-40c8-add9-68b64b03aeba;#30;#LV|46f7e311-5d9f-4663-b433-18aeccb7ace7;#22;#IT|0774613c-01ed-4e5d-a25d-11d2388de825;#36;#BG|1a1b3951-7821-4e6a-85f5-5673fc08bd2c;#34;#SK|46d9fce0-ef79-4f71-b89b-cd6aa82426b8;#38;#HR|2f555653-ed1a-4fe6-8362-9082d95989e5;#12;#NL|55c6556c-b4f4-441d-9acf-c498d4f838bd;#31;#LT|a7ff5ce7-6123-4f68-865a-a57c31810414;#24;#EL|6d4f4d51-af9b-4650-94b4-4276bee85c91;#25;#FI|87606a43-d45f-42d6-b8c9-e1a3457db5b7;#33;#PL|1e03da61-4678-4e07-b136-b5024ca9197b;#18;#DE|f6b31e5a-26fa-4935-b661-318e46daf27e;#32;#MT|7df99101-6854-4a26-b53a-b88c0da02c26;#26;#SV|c2ed69e7-a339-43d7-8f22-d93680a92aa0;#35;#SL|98a412ae-eb01-49e9-ae3d-585a81724cfc;#15;#PT|50ccc04a-eadd-42ae-a0cb-acaf45f812ba</vt:lpwstr>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FicheYear">
    <vt:i4>2017</vt:i4>
  </property>
  <property fmtid="{D5CDD505-2E9C-101B-9397-08002B2CF9AE}" pid="15" name="DocumentNumber">
    <vt:i4>2368</vt:i4>
  </property>
  <property fmtid="{D5CDD505-2E9C-101B-9397-08002B2CF9AE}" pid="16" name="DocumentVersion">
    <vt:i4>2</vt:i4>
  </property>
  <property fmtid="{D5CDD505-2E9C-101B-9397-08002B2CF9AE}" pid="17" name="DossierNumber">
    <vt:i4>401</vt:i4>
  </property>
  <property fmtid="{D5CDD505-2E9C-101B-9397-08002B2CF9AE}" pid="18" name="DocumentSource">
    <vt:lpwstr>1;#EESC|422833ec-8d7e-4e65-8e4e-8bed07ffb729</vt:lpwstr>
  </property>
  <property fmtid="{D5CDD505-2E9C-101B-9397-08002B2CF9AE}" pid="20" name="DocumentType">
    <vt:lpwstr>108;#AS|c7a748eb-f6f2-4d9d-8b5a-af0cafebc224</vt:lpwstr>
  </property>
  <property fmtid="{D5CDD505-2E9C-101B-9397-08002B2CF9AE}" pid="21" name="DocumentStatus">
    <vt:lpwstr>2;#TRA|150d2a88-1431-44e6-a8ca-0bb753ab8672</vt:lpwstr>
  </property>
  <property fmtid="{D5CDD505-2E9C-101B-9397-08002B2CF9AE}" pid="22" name="DossierName">
    <vt:lpwstr>10;#ECO|8df351f5-c957-404c-8cf3-8ffb22c9cba2</vt:lpwstr>
  </property>
  <property fmtid="{D5CDD505-2E9C-101B-9397-08002B2CF9AE}" pid="23" name="DocumentPart">
    <vt:i4>0</vt:i4>
  </property>
  <property fmtid="{D5CDD505-2E9C-101B-9397-08002B2CF9AE}" pid="24" name="RequestingService">
    <vt:lpwstr>Union économique et monétaire, cohésion economique et sociale</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SPL-CES|32d8cb1f-c9ec-4365-95c7-8385a18618ac</vt:lpwstr>
  </property>
  <property fmtid="{D5CDD505-2E9C-101B-9397-08002B2CF9AE}" pid="28" name="OriginalLanguage">
    <vt:lpwstr>4;#EN|f2175f21-25d7-44a3-96da-d6a61b075e1b</vt:lpwstr>
  </property>
  <property fmtid="{D5CDD505-2E9C-101B-9397-08002B2CF9AE}" pid="29" name="MeetingName">
    <vt:lpwstr>72;#SPL-CES|32d8cb1f-c9ec-4365-95c7-8385a18618ac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MeetingDate">
    <vt:filetime>2018-02-14T12:00:00Z</vt:filetime>
  </property>
  <property fmtid="{D5CDD505-2E9C-101B-9397-08002B2CF9AE}" pid="33" name="TaxCatchAll">
    <vt:lpwstr>31;#LT|a7ff5ce7-6123-4f68-865a-a57c31810414;#32;#MT|7df99101-6854-4a26-b53a-b88c0da02c26;#29;#HU|6b229040-c589-4408-b4c1-4285663d20a8;#27;#CS|72f9705b-0217-4fd3-bea2-cbc7ed80e26e;#25;#FI|87606a43-d45f-42d6-b8c9-e1a3457db5b7;#26;#SV|c2ed69e7-a339-43d7-8f22-d93680a92aa0;#72;#SPL-CES|32d8cb1f-c9ec-4365-95c7-8385a18618ac;#22;#IT|0774613c-01ed-4e5d-a25d-11d2388de825;#108;#AS|c7a748eb-f6f2-4d9d-8b5a-af0cafebc224;#14;#ES|e7a6b05b-ae16-40c8-add9-68b64b03aeba;#12;#NL|55c6556c-b4f4-441d-9acf-c498d4f838bd;#10;#ECO|8df351f5-c957-404c-8cf3-8ffb22c9cba2;#6;#Final|ea5e6674-7b27-4bac-b091-73adbb394efe;#5;#Unrestricted|826e22d7-d029-4ec0-a450-0c28ff673572;#4;#EN|f2175f21-25d7-44a3-96da-d6a61b075e1b;#2;#TRA|150d2a88-1431-44e6-a8ca-0bb753ab8672;#1;#EESC|422833ec-8d7e-4e65-8e4e-8bed07ffb729</vt:lpwstr>
  </property>
  <property fmtid="{D5CDD505-2E9C-101B-9397-08002B2CF9AE}" pid="34" name="AvailableTranslations_0">
    <vt:lpwstr>CS|72f9705b-0217-4fd3-bea2-cbc7ed80e26e;HU|6b229040-c589-4408-b4c1-4285663d20a8;EN|f2175f21-25d7-44a3-96da-d6a61b075e1b;ES|e7a6b05b-ae16-40c8-add9-68b64b03aeba;IT|0774613c-01ed-4e5d-a25d-11d2388de825;NL|55c6556c-b4f4-441d-9acf-c498d4f838bd;LT|a7ff5ce7-6123-4f68-865a-a57c31810414;FI|87606a43-d45f-42d6-b8c9-e1a3457db5b7;MT|7df99101-6854-4a26-b53a-b88c0da02c26;SV|c2ed69e7-a339-43d7-8f22-d93680a92aa0</vt:lpwstr>
  </property>
  <property fmtid="{D5CDD505-2E9C-101B-9397-08002B2CF9AE}" pid="35" name="VersionStatus">
    <vt:lpwstr>6;#Final|ea5e6674-7b27-4bac-b091-73adbb394efe</vt:lpwstr>
  </property>
  <property fmtid="{D5CDD505-2E9C-101B-9397-08002B2CF9AE}" pid="36" name="Rapporteur">
    <vt:lpwstr>LEIRIÃO &amp; CEDRONE</vt:lpwstr>
  </property>
  <property fmtid="{D5CDD505-2E9C-101B-9397-08002B2CF9AE}" pid="37" name="VersionStatus_0">
    <vt:lpwstr>Final|ea5e6674-7b27-4bac-b091-73adbb394efe</vt:lpwstr>
  </property>
  <property fmtid="{D5CDD505-2E9C-101B-9397-08002B2CF9AE}" pid="38" name="FicheNumber">
    <vt:i4>1752</vt:i4>
  </property>
  <property fmtid="{D5CDD505-2E9C-101B-9397-08002B2CF9AE}" pid="39" name="DocumentYear">
    <vt:i4>2017</vt:i4>
  </property>
  <property fmtid="{D5CDD505-2E9C-101B-9397-08002B2CF9AE}" pid="40" name="DocumentLanguage">
    <vt:lpwstr>37;#RO|feb747a2-64cd-4299-af12-4833ddc30497</vt:lpwstr>
  </property>
  <property name="OP_sanitized" fmtid="{D5CDD505-2E9C-101B-9397-08002B2CF9AE}" pid="40">
    <vt:lpwstr>True</vt:lpwstr>
  </property>
</Properties>
</file>