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4BC" w:rsidRDefault="00575C0C" w:rsidP="00575C0C">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52CCC389-807B-49F7-A338-709E1446E2AF" style="width:455.25pt;height:357.75pt">
            <v:imagedata r:id="rId11" o:title=""/>
          </v:shape>
        </w:pict>
      </w:r>
    </w:p>
    <w:p w:rsidR="002951A4" w:rsidRPr="002951A4" w:rsidRDefault="002951A4" w:rsidP="002951A4">
      <w:pPr>
        <w:pStyle w:val="Pagedecouverture"/>
        <w:rPr>
          <w:noProof/>
        </w:rPr>
        <w:sectPr w:rsidR="002951A4" w:rsidRPr="002951A4" w:rsidSect="00575C0C">
          <w:footerReference w:type="even" r:id="rId12"/>
          <w:footerReference w:type="default" r:id="rId13"/>
          <w:pgSz w:w="11907" w:h="16839"/>
          <w:pgMar w:top="1134" w:right="1417" w:bottom="1134" w:left="1417" w:header="709" w:footer="709" w:gutter="0"/>
          <w:pgNumType w:start="0"/>
          <w:cols w:space="720"/>
          <w:docGrid w:linePitch="360"/>
        </w:sectPr>
      </w:pPr>
    </w:p>
    <w:p w:rsidR="005A1A21" w:rsidRPr="002951A4" w:rsidRDefault="005A1A21" w:rsidP="005A1A21">
      <w:pPr>
        <w:pStyle w:val="Exposdesmotifstitre"/>
        <w:rPr>
          <w:noProof/>
        </w:rPr>
      </w:pPr>
      <w:bookmarkStart w:id="0" w:name="_GoBack"/>
      <w:bookmarkEnd w:id="0"/>
    </w:p>
    <w:p w:rsidR="00881654" w:rsidRPr="002951A4" w:rsidRDefault="00881654" w:rsidP="00881654">
      <w:pPr>
        <w:rPr>
          <w:noProof/>
        </w:rPr>
      </w:pPr>
    </w:p>
    <w:p w:rsidR="00E84F24" w:rsidRDefault="001B1E33">
      <w:pPr>
        <w:pStyle w:val="Rfrenceinterinstitutionnelle"/>
        <w:rPr>
          <w:noProof/>
        </w:rPr>
      </w:pPr>
      <w:r>
        <w:rPr>
          <w:noProof/>
        </w:rPr>
        <w:t>2026/0145 (NLE)</w:t>
      </w:r>
    </w:p>
    <w:p w:rsidR="00CD04BC" w:rsidRPr="002951A4" w:rsidRDefault="002951A4" w:rsidP="002951A4">
      <w:pPr>
        <w:pStyle w:val="Statut"/>
        <w:rPr>
          <w:noProof/>
        </w:rPr>
      </w:pPr>
      <w:r w:rsidRPr="002951A4">
        <w:rPr>
          <w:noProof/>
        </w:rPr>
        <w:t>Propunere de</w:t>
      </w:r>
    </w:p>
    <w:p w:rsidR="00CD04BC" w:rsidRPr="002951A4" w:rsidRDefault="002951A4" w:rsidP="002951A4">
      <w:pPr>
        <w:pStyle w:val="Typedudocument"/>
        <w:rPr>
          <w:noProof/>
        </w:rPr>
      </w:pPr>
      <w:r w:rsidRPr="002951A4">
        <w:rPr>
          <w:noProof/>
        </w:rPr>
        <w:t>DECIZIE DE PUNERE ÎN APLICARE A CONSILIULUI</w:t>
      </w:r>
    </w:p>
    <w:p w:rsidR="00CD04BC" w:rsidRPr="002951A4" w:rsidRDefault="002951A4" w:rsidP="002951A4">
      <w:pPr>
        <w:pStyle w:val="Titreobjet"/>
        <w:rPr>
          <w:noProof/>
        </w:rPr>
      </w:pPr>
      <w:r w:rsidRPr="002951A4">
        <w:rPr>
          <w:noProof/>
        </w:rPr>
        <w:t>de autorizare a sprijinului acordat Republicii Moldova din rezerva UE pentru securitate cibernetică și de abrogare a Deciziei de punere în aplicare (UE) 2025/1458</w:t>
      </w:r>
    </w:p>
    <w:p w:rsidR="00CD04BC" w:rsidRPr="002951A4" w:rsidRDefault="002951A4" w:rsidP="002951A4">
      <w:pPr>
        <w:pStyle w:val="IntrtEEE"/>
        <w:rPr>
          <w:noProof/>
        </w:rPr>
      </w:pPr>
      <w:r w:rsidRPr="002951A4">
        <w:rPr>
          <w:noProof/>
        </w:rPr>
        <w:t>(Text cu relevanță pentru SEE)</w:t>
      </w:r>
    </w:p>
    <w:p w:rsidR="00CD04BC" w:rsidRPr="002951A4" w:rsidRDefault="00CD04BC" w:rsidP="00921EE3">
      <w:pPr>
        <w:pStyle w:val="Institutionquiagit"/>
        <w:rPr>
          <w:noProof/>
        </w:rPr>
      </w:pPr>
      <w:r w:rsidRPr="002951A4">
        <w:rPr>
          <w:rStyle w:val="normaltextrun"/>
          <w:noProof/>
        </w:rPr>
        <w:t>CONSILIUL UNIUNII EUROPENE,</w:t>
      </w:r>
    </w:p>
    <w:p w:rsidR="00CD04BC" w:rsidRPr="002951A4" w:rsidRDefault="00CD04BC" w:rsidP="004428FF">
      <w:pPr>
        <w:rPr>
          <w:rFonts w:ascii="Segoe UI" w:hAnsi="Segoe UI" w:cs="Segoe UI"/>
          <w:noProof/>
          <w:sz w:val="18"/>
          <w:szCs w:val="18"/>
        </w:rPr>
      </w:pPr>
      <w:r w:rsidRPr="002951A4">
        <w:rPr>
          <w:rStyle w:val="normaltextrun"/>
          <w:noProof/>
        </w:rPr>
        <w:t>având în vedere Tratatul privind funcționarea Uniunii Europene,</w:t>
      </w:r>
    </w:p>
    <w:p w:rsidR="00CD04BC" w:rsidRPr="002951A4" w:rsidRDefault="00CD04BC" w:rsidP="004428FF">
      <w:pPr>
        <w:rPr>
          <w:rFonts w:ascii="Segoe UI" w:hAnsi="Segoe UI" w:cs="Segoe UI"/>
          <w:noProof/>
          <w:sz w:val="18"/>
          <w:szCs w:val="18"/>
        </w:rPr>
      </w:pPr>
      <w:r w:rsidRPr="002951A4">
        <w:rPr>
          <w:rStyle w:val="normaltextrun"/>
          <w:noProof/>
        </w:rPr>
        <w:t>având în vedere Regulamentul (UE) 2025/38 al Parlamentului European și al Consiliului din 19 decembrie 2024 de stabilire a unor măsuri de consolidare a solidarității și a capacităților la nivelul Uniunii pentru detectarea amenințărilor și a incidentelor de securitate cibernetică, pregătirea legată de acestea și răspunsul la acestea și de modificare a Regulamentului</w:t>
      </w:r>
      <w:r w:rsidR="0018038E">
        <w:rPr>
          <w:rStyle w:val="normaltextrun"/>
          <w:noProof/>
        </w:rPr>
        <w:t> </w:t>
      </w:r>
      <w:r w:rsidRPr="002951A4">
        <w:rPr>
          <w:rStyle w:val="normaltextrun"/>
          <w:noProof/>
        </w:rPr>
        <w:t>(UE) 2021/694 (Regulamentul privind solidaritatea cibernetică)</w:t>
      </w:r>
      <w:r w:rsidRPr="002951A4">
        <w:rPr>
          <w:rStyle w:val="FootnoteReference"/>
          <w:noProof/>
        </w:rPr>
        <w:footnoteReference w:id="1"/>
      </w:r>
      <w:r w:rsidRPr="002951A4">
        <w:rPr>
          <w:rStyle w:val="normaltextrun"/>
          <w:noProof/>
        </w:rPr>
        <w:t>, în special articolul 19 alineatul (4),</w:t>
      </w:r>
      <w:r w:rsidR="0018038E">
        <w:rPr>
          <w:rStyle w:val="normaltextrun"/>
          <w:noProof/>
        </w:rPr>
        <w:t xml:space="preserve"> </w:t>
      </w:r>
    </w:p>
    <w:p w:rsidR="00CD04BC" w:rsidRPr="002951A4" w:rsidRDefault="00CD04BC" w:rsidP="004428FF">
      <w:pPr>
        <w:rPr>
          <w:rFonts w:ascii="Segoe UI" w:hAnsi="Segoe UI" w:cs="Segoe UI"/>
          <w:noProof/>
          <w:sz w:val="18"/>
          <w:szCs w:val="18"/>
        </w:rPr>
      </w:pPr>
      <w:r w:rsidRPr="002951A4">
        <w:rPr>
          <w:rStyle w:val="normaltextrun"/>
          <w:noProof/>
        </w:rPr>
        <w:t>având în vedere propunerea Comisiei Europene, </w:t>
      </w:r>
      <w:r w:rsidRPr="002951A4">
        <w:rPr>
          <w:rStyle w:val="eop"/>
          <w:noProof/>
        </w:rPr>
        <w:t xml:space="preserve"> </w:t>
      </w:r>
    </w:p>
    <w:p w:rsidR="00CD04BC" w:rsidRPr="002951A4" w:rsidRDefault="00CD04BC" w:rsidP="004428FF">
      <w:pPr>
        <w:rPr>
          <w:rStyle w:val="normaltextrun"/>
          <w:rFonts w:ascii="Segoe UI" w:hAnsi="Segoe UI" w:cs="Segoe UI"/>
          <w:noProof/>
          <w:sz w:val="18"/>
          <w:szCs w:val="18"/>
        </w:rPr>
      </w:pPr>
      <w:r w:rsidRPr="002951A4">
        <w:rPr>
          <w:rStyle w:val="normaltextrun"/>
          <w:noProof/>
        </w:rPr>
        <w:t>întrucât: </w:t>
      </w:r>
      <w:r w:rsidRPr="002951A4">
        <w:rPr>
          <w:rStyle w:val="eop"/>
          <w:noProof/>
        </w:rPr>
        <w:t xml:space="preserve"> </w:t>
      </w:r>
    </w:p>
    <w:p w:rsidR="008E5360" w:rsidRPr="002951A4" w:rsidRDefault="008E5360" w:rsidP="008E5360">
      <w:pPr>
        <w:pStyle w:val="ManualConsidrant"/>
        <w:rPr>
          <w:rStyle w:val="normaltextrun"/>
          <w:noProof/>
        </w:rPr>
      </w:pPr>
      <w:r>
        <w:rPr>
          <w:noProof/>
        </w:rPr>
        <w:t>(1)</w:t>
      </w:r>
      <w:r>
        <w:rPr>
          <w:noProof/>
        </w:rPr>
        <w:tab/>
      </w:r>
      <w:r w:rsidRPr="002951A4">
        <w:rPr>
          <w:rStyle w:val="normaltextrun"/>
          <w:noProof/>
        </w:rPr>
        <w:t>La 23 iunie 2022, Consiliul European a acordat Republicii Moldova statutul de țară candidată. Decizia s-a bazat pe îndeplinirea de către Republica Moldova a</w:t>
      </w:r>
      <w:r w:rsidR="0018038E">
        <w:rPr>
          <w:rStyle w:val="normaltextrun"/>
          <w:noProof/>
        </w:rPr>
        <w:t xml:space="preserve"> </w:t>
      </w:r>
      <w:r w:rsidRPr="002951A4">
        <w:rPr>
          <w:rStyle w:val="normaltextrun"/>
          <w:noProof/>
        </w:rPr>
        <w:t>condițiilor specificate în avizul Comisiei din iunie 2022 privind cererea de aderare a</w:t>
      </w:r>
      <w:r w:rsidR="0018038E">
        <w:rPr>
          <w:rStyle w:val="normaltextrun"/>
          <w:noProof/>
        </w:rPr>
        <w:t xml:space="preserve"> </w:t>
      </w:r>
      <w:r w:rsidRPr="002951A4">
        <w:rPr>
          <w:rStyle w:val="normaltextrun"/>
          <w:noProof/>
        </w:rPr>
        <w:t>Republicii</w:t>
      </w:r>
      <w:r w:rsidR="0018038E">
        <w:rPr>
          <w:rStyle w:val="normaltextrun"/>
          <w:noProof/>
        </w:rPr>
        <w:t> </w:t>
      </w:r>
      <w:r w:rsidRPr="002951A4">
        <w:rPr>
          <w:rStyle w:val="normaltextrun"/>
          <w:noProof/>
        </w:rPr>
        <w:t>Moldova. La 14 decembrie 2023, Consiliul European a decis să înceapă negocierile de aderare cu Republica Moldova, în urma recomandării emise de Comisie.</w:t>
      </w:r>
    </w:p>
    <w:p w:rsidR="008E5360" w:rsidRPr="002951A4" w:rsidRDefault="008E5360" w:rsidP="008E5360">
      <w:pPr>
        <w:pStyle w:val="ManualConsidrant"/>
        <w:rPr>
          <w:rStyle w:val="normaltextrun"/>
          <w:noProof/>
        </w:rPr>
      </w:pPr>
      <w:r>
        <w:rPr>
          <w:noProof/>
        </w:rPr>
        <w:t>(2)</w:t>
      </w:r>
      <w:r>
        <w:rPr>
          <w:noProof/>
        </w:rPr>
        <w:tab/>
      </w:r>
      <w:r w:rsidRPr="002951A4">
        <w:rPr>
          <w:rStyle w:val="normaltextrun"/>
          <w:noProof/>
        </w:rPr>
        <w:t>În concluziile sale din 15 decembrie 2022, Consiliul European a afirmat că Uniunea va continua să ofere Republicii Moldova tot sprijinul relevant în contextul în care aceasta se confruntă cu impactul multidimensional al războiului de agresiune al Rusiei împotriva Ucrainei.</w:t>
      </w:r>
    </w:p>
    <w:p w:rsidR="008E5360" w:rsidRPr="002951A4" w:rsidRDefault="008E5360" w:rsidP="008E5360">
      <w:pPr>
        <w:pStyle w:val="ManualConsidrant"/>
        <w:rPr>
          <w:rStyle w:val="normaltextrun"/>
          <w:noProof/>
        </w:rPr>
      </w:pPr>
      <w:r>
        <w:rPr>
          <w:noProof/>
        </w:rPr>
        <w:t>(3)</w:t>
      </w:r>
      <w:r>
        <w:rPr>
          <w:noProof/>
        </w:rPr>
        <w:tab/>
      </w:r>
      <w:r w:rsidRPr="002951A4">
        <w:rPr>
          <w:rStyle w:val="normaltextrun"/>
          <w:noProof/>
        </w:rPr>
        <w:t>Incidentele cibernetice continuă să aibă efecte asupra economiei și societății atât în întreaga Uniune, cât și la nivel mondial. Amenințările cibernetice evoluează deosebit de rapid în anumite țări candidate la aderarea la UE, în care eventualele incidente semnificative sau de mare amploare au potențialul de a perturba și de a afecta infrastructura critică, de a aduce atingere bunei funcționări a economiei și a instituțiilor sau de a genera riscuri grave pentru siguranța publică și securitatea entităților și cetățenilor. Acest lucru este valabil în special în Republica Moldova, unde Rusia desfășoară campanii hibride și atacuri cibernetice pentru a amenința infrastructura critică, procesele democratice și infrastructura electorală.</w:t>
      </w:r>
    </w:p>
    <w:p w:rsidR="008E5360" w:rsidRPr="002951A4" w:rsidRDefault="008E5360" w:rsidP="008E5360">
      <w:pPr>
        <w:pStyle w:val="ManualConsidrant"/>
        <w:rPr>
          <w:rStyle w:val="normaltextrun"/>
          <w:noProof/>
        </w:rPr>
      </w:pPr>
      <w:r>
        <w:rPr>
          <w:noProof/>
        </w:rPr>
        <w:lastRenderedPageBreak/>
        <w:t>(4)</w:t>
      </w:r>
      <w:r>
        <w:rPr>
          <w:noProof/>
        </w:rPr>
        <w:tab/>
      </w:r>
      <w:r w:rsidRPr="002951A4">
        <w:rPr>
          <w:rStyle w:val="normaltextrun"/>
          <w:noProof/>
        </w:rPr>
        <w:t>Având în vedere caracterul imprevizibil al atacurilor cibernetice, faptul că, adesea, acestea nu se limitează doar la o anumită zonă geografică și că prezintă un risc ridicat de propagare, consolidarea rezilienței țărilor învecinate și a capacității lor de a răspunde în mod eficace la incidente de securitate cibernetică semnificative și de mare amploare contribuie la protecția Uniunii, în special a pieței interne și a industriei sale în ansamblu. Prin urmare, Regulamentul (UE) 2025/38 prevede că țările terțe care sunt parte la un acord de asociere cu Uniunea care permite participarea lor la programul „Europa digitală” (DEP) (denumite în continuare „țările terțe asociate la DEP”) pot fi sprijinite din rezerva UE pentru securitate cibernetică („rezerva”), pe întreg teritoriul lor sau pe o parte a acestuia, dacă se prevede astfel în acordul de asociere la DEP a țării terțe în cauză.</w:t>
      </w:r>
    </w:p>
    <w:p w:rsidR="008E5360" w:rsidRPr="002951A4" w:rsidRDefault="008E5360" w:rsidP="008E5360">
      <w:pPr>
        <w:pStyle w:val="ManualConsidrant"/>
        <w:rPr>
          <w:rStyle w:val="normaltextrun"/>
          <w:noProof/>
        </w:rPr>
      </w:pPr>
      <w:r>
        <w:rPr>
          <w:noProof/>
        </w:rPr>
        <w:t>(5)</w:t>
      </w:r>
      <w:r>
        <w:rPr>
          <w:noProof/>
        </w:rPr>
        <w:tab/>
      </w:r>
      <w:r w:rsidRPr="002951A4">
        <w:rPr>
          <w:rStyle w:val="normaltextrun"/>
          <w:noProof/>
        </w:rPr>
        <w:t>În conformitate cu articolul 19 din Regulamentul (UE) 2025/38, țările terțe asociate la DEP pot solicita sprijin din rezervă în cazul în care entitățile vizate și pentru care se solicită un astfel de sprijin sunt entități care își desfășoară activitatea în sectoare cu o importanță critică ridicată sau în alte sectoare critice și în cazul în care incidentele detectate conduc la perturbări operaționale semnificative sau ar putea avea efecte de propagare în Uniune. O țară terță este eligibilă pentru un astfel de sprijin doar în cazul în care acest lucru este prevăzut în mod specific în acordul prin care țara terță în cauză este asociată la DEP. În plus, aceste țări terțe ar trebui să rămână eligibile numai atât timp cât sunt îndeplinite cele trei criterii prevăzute la articolul 19 alineatul (3) din Regulamentul (UE) 2025/38. În primul rând, este necesar ca țara terță să respecte pe deplin clauzele relevante din acordul respectiv. În al doilea rând, având în vedere caracterul complementar al rezervei, este necesar ca țara terță să fi luat măsuri adecvate pentru a se pregăti pentru incidente de securitate cibernetică semnificative sau echivalente cu cele de mare amploare. În al treilea rând, este necesar ca acordarea de sprijin din rezervă să fie în concordanță cu politica Uniunii față de țara respectivă și cu relațiile generale cu aceasta și cu alte politici ale Uniunii în domeniul securității.</w:t>
      </w:r>
      <w:r w:rsidRPr="002951A4">
        <w:rPr>
          <w:noProof/>
        </w:rPr>
        <w:tab/>
      </w:r>
    </w:p>
    <w:p w:rsidR="008E5360" w:rsidRPr="002951A4" w:rsidRDefault="008E5360" w:rsidP="008E5360">
      <w:pPr>
        <w:pStyle w:val="ManualConsidrant"/>
        <w:rPr>
          <w:rStyle w:val="normaltextrun"/>
          <w:noProof/>
        </w:rPr>
      </w:pPr>
      <w:r>
        <w:rPr>
          <w:noProof/>
        </w:rPr>
        <w:t>(6)</w:t>
      </w:r>
      <w:r>
        <w:rPr>
          <w:noProof/>
        </w:rPr>
        <w:tab/>
      </w:r>
      <w:r w:rsidRPr="002951A4">
        <w:rPr>
          <w:rStyle w:val="normaltextrun"/>
          <w:noProof/>
        </w:rPr>
        <w:t>Acordarea de sprijin țărilor terțe asociate la DEP poate avea consecințe asupra relațiilor cu țările terțe și politicii de securitate a Uniunii, inclusiv în contextul politicii externe și de securitate comune și al politicii de securitate și apărare comune. Consiliul acționează pe baza unei propuneri a Comisiei, ținând seama în mod corespunzător de evaluarea de către Comisie a celor trei criterii menționate la articolul 19 alineatul (3) din Regulamentul (UE) 2025/38.</w:t>
      </w:r>
    </w:p>
    <w:p w:rsidR="008E5360" w:rsidRPr="002951A4" w:rsidRDefault="008E5360" w:rsidP="008E5360">
      <w:pPr>
        <w:pStyle w:val="ManualConsidrant"/>
        <w:rPr>
          <w:rStyle w:val="normaltextrun"/>
          <w:noProof/>
        </w:rPr>
      </w:pPr>
      <w:r>
        <w:rPr>
          <w:noProof/>
        </w:rPr>
        <w:t>(7)</w:t>
      </w:r>
      <w:r>
        <w:rPr>
          <w:noProof/>
        </w:rPr>
        <w:tab/>
      </w:r>
      <w:r w:rsidRPr="002951A4">
        <w:rPr>
          <w:rStyle w:val="normaltextrun"/>
          <w:noProof/>
        </w:rPr>
        <w:t>Republica Moldova a fost puternic afectată de războiul de agresiune al Rusiei împotriva Ucrainei, fiind, în același timp, vizată în mod direct de activitățile hibride ale Rusiei care urmăresc să destabilizeze țara și să îi submineze calea către aderarea la Uniune. În acest context, Uniunea a oferit un sprijin cuprinzător Republicii Moldova pentru a-i permite să facă față provocărilor cu care se confruntă ca urmare a războiului de agresiune al Rusiei împotriva Ucrainei și să consolideze reziliența, securitatea și stabilitatea țării în fața activităților destabilizatoare directe din partea Rusiei.</w:t>
      </w:r>
    </w:p>
    <w:p w:rsidR="00543F83" w:rsidRPr="002951A4" w:rsidRDefault="007E381C" w:rsidP="008E5360">
      <w:pPr>
        <w:pStyle w:val="ManualConsidrant"/>
        <w:rPr>
          <w:rStyle w:val="normaltextrun"/>
          <w:noProof/>
        </w:rPr>
      </w:pPr>
      <w:r>
        <w:rPr>
          <w:noProof/>
        </w:rPr>
        <w:t>(8)</w:t>
      </w:r>
      <w:r>
        <w:rPr>
          <w:noProof/>
        </w:rPr>
        <w:tab/>
      </w:r>
      <w:r w:rsidRPr="002951A4">
        <w:rPr>
          <w:rStyle w:val="normaltextrun"/>
          <w:noProof/>
        </w:rPr>
        <w:t>La 24 aprilie 2023, Consiliul a adoptat Decizia (PESC) 2023/855, prin care s-a instituit o misiune civilă de parteneriat a Uniunii Europene în Republica Moldova în cadrul politicii de securitate și apărare comune, pentru a oferi consiliere strategică și sprijin operațional în domeniul gestionării crizelor și al amenințărilor hibride. Începând din 2021, Uniunea a oferit, de asemenea, un sprijin consecvent prin intermediul Instrumentului european pentru pace, pentru a consolida capacitățile Republicii</w:t>
      </w:r>
      <w:r w:rsidR="0018038E">
        <w:rPr>
          <w:rStyle w:val="normaltextrun"/>
          <w:noProof/>
        </w:rPr>
        <w:t> </w:t>
      </w:r>
      <w:r w:rsidRPr="002951A4">
        <w:rPr>
          <w:rStyle w:val="normaltextrun"/>
          <w:noProof/>
        </w:rPr>
        <w:t xml:space="preserve">Moldova în domeniul militar și al apărării. Semnarea parteneriatului pentru securitate și apărare dintre UE și Republica Moldova la 21 mai 2024 a raționalizat </w:t>
      </w:r>
      <w:r w:rsidRPr="002951A4">
        <w:rPr>
          <w:rStyle w:val="normaltextrun"/>
          <w:noProof/>
        </w:rPr>
        <w:lastRenderedPageBreak/>
        <w:t>structura cooperării dintre Uniune și Republica Moldova în domenii-cheie precum pacea, securitatea și apărarea. În plus, Planul de creștere pentru Republica Moldova, adoptat de Comisie la 10 octombrie 2024, urmărește să sprijine reformele socioeconomice ale Republicii Moldova și să îi îmbunătățească accesul la piața internă, fiind preconizate reforme specifice în ceea ce privește guvernanța securității cibernetice.</w:t>
      </w:r>
    </w:p>
    <w:p w:rsidR="00CD04BC" w:rsidRPr="002951A4" w:rsidRDefault="00396A6F" w:rsidP="00700654">
      <w:pPr>
        <w:pStyle w:val="ManualConsidrant"/>
        <w:rPr>
          <w:noProof/>
        </w:rPr>
      </w:pPr>
      <w:r>
        <w:rPr>
          <w:noProof/>
        </w:rPr>
        <w:t>(9)</w:t>
      </w:r>
      <w:r>
        <w:rPr>
          <w:noProof/>
        </w:rPr>
        <w:tab/>
      </w:r>
      <w:r w:rsidRPr="002951A4">
        <w:rPr>
          <w:rStyle w:val="normaltextrun"/>
          <w:noProof/>
        </w:rPr>
        <w:t>Întrucât Moldova a îndeplinit criteriile prevăzute la articolul 19 alineatul (3) din Regulamentul (UE) 2025/38, prin Decizia de punere în aplicare (UE) 2025/1458</w:t>
      </w:r>
      <w:r w:rsidRPr="002951A4">
        <w:rPr>
          <w:rStyle w:val="FootnoteReference"/>
          <w:noProof/>
        </w:rPr>
        <w:footnoteReference w:id="2"/>
      </w:r>
      <w:r w:rsidRPr="002951A4">
        <w:rPr>
          <w:rStyle w:val="normaltextrun"/>
          <w:noProof/>
        </w:rPr>
        <w:t xml:space="preserve"> a Consiliului din 14 iulie 2025 s-a autorizat acordarea de sprijin din rezerva pentru Republica Moldova. De atunci, Republica Moldova este eligibilă pentru a beneficia de sprijin pentru a răspunde la incidentele de securitate cibernetică.</w:t>
      </w:r>
      <w:r w:rsidRPr="002951A4">
        <w:rPr>
          <w:rStyle w:val="eop"/>
          <w:noProof/>
        </w:rPr>
        <w:t xml:space="preserve"> </w:t>
      </w:r>
    </w:p>
    <w:p w:rsidR="00CD04BC" w:rsidRPr="002951A4" w:rsidRDefault="00D70A4C" w:rsidP="004428FF">
      <w:pPr>
        <w:pStyle w:val="ManualConsidrant"/>
        <w:rPr>
          <w:noProof/>
        </w:rPr>
      </w:pPr>
      <w:r>
        <w:rPr>
          <w:noProof/>
        </w:rPr>
        <w:t>(10)</w:t>
      </w:r>
      <w:r>
        <w:rPr>
          <w:noProof/>
        </w:rPr>
        <w:tab/>
      </w:r>
      <w:r w:rsidRPr="002951A4">
        <w:rPr>
          <w:rStyle w:val="normaltextrun"/>
          <w:noProof/>
        </w:rPr>
        <w:t>În conformitate cu articolul 19 alineatul (4) din Regulamentul 2025/38, Decizia de punere în aplicare (UE) 2025/1458 trebuie să se aplice pentru o perioadă de maximum un an și poate fi reînnoită. Comisia a reevaluat cele trei criterii prevăzute la articolul 19 alineatul (3) din Regulamentul (UE) 2025/38 și consideră că acestea sunt îndeplinite. </w:t>
      </w:r>
      <w:r w:rsidRPr="002951A4">
        <w:rPr>
          <w:rStyle w:val="eop"/>
          <w:noProof/>
        </w:rPr>
        <w:t xml:space="preserve"> De asemenea, în cadrul acestei evaluări, Comisia a consultat Înaltul Reprezentant al Uniunii pentru afaceri externe și politica de securitate.</w:t>
      </w:r>
    </w:p>
    <w:p w:rsidR="00D54FF2" w:rsidRPr="002951A4" w:rsidRDefault="00460DB4" w:rsidP="004428FF">
      <w:pPr>
        <w:pStyle w:val="ManualConsidrant"/>
        <w:rPr>
          <w:rStyle w:val="normaltextrun"/>
          <w:noProof/>
        </w:rPr>
      </w:pPr>
      <w:r>
        <w:rPr>
          <w:noProof/>
        </w:rPr>
        <w:t>(11)</w:t>
      </w:r>
      <w:r>
        <w:rPr>
          <w:noProof/>
        </w:rPr>
        <w:tab/>
      </w:r>
      <w:r w:rsidRPr="002951A4">
        <w:rPr>
          <w:noProof/>
        </w:rPr>
        <w:t xml:space="preserve">Întrucât </w:t>
      </w:r>
      <w:r w:rsidRPr="002951A4">
        <w:rPr>
          <w:rStyle w:val="normaltextrun"/>
          <w:noProof/>
        </w:rPr>
        <w:t xml:space="preserve">acordul de asociere a Republicii Moldova la DEP prevede un sprijin din rezervă și respectiva țară îndeplinește criteriile prevăzute la articolul 19 alineatul (3) din Regulamentul (UE) 2025/38, sprijinul din rezervă pentru Republica Moldova ar trebui să continue să fie autorizat, </w:t>
      </w:r>
      <w:r w:rsidRPr="002951A4">
        <w:rPr>
          <w:noProof/>
        </w:rPr>
        <w:t xml:space="preserve">Prin urmare, Decizia de punere în aplicare (UE) 2025/1458 ar trebui reînnoită </w:t>
      </w:r>
      <w:r w:rsidRPr="002951A4">
        <w:rPr>
          <w:rStyle w:val="normaltextrun"/>
          <w:noProof/>
        </w:rPr>
        <w:t>în temeiul articolului 19 alineatul (4) din Regulamentul 2025/38</w:t>
      </w:r>
      <w:r w:rsidRPr="002951A4">
        <w:rPr>
          <w:noProof/>
        </w:rPr>
        <w:t xml:space="preserve"> și înlocuită cu prezenta decizie de punere în aplicare.</w:t>
      </w:r>
    </w:p>
    <w:p w:rsidR="00CD04BC" w:rsidRPr="002951A4" w:rsidRDefault="00D54FF2" w:rsidP="004428FF">
      <w:pPr>
        <w:pStyle w:val="ManualConsidrant"/>
        <w:rPr>
          <w:noProof/>
        </w:rPr>
      </w:pPr>
      <w:r>
        <w:rPr>
          <w:noProof/>
        </w:rPr>
        <w:t>(12)</w:t>
      </w:r>
      <w:r>
        <w:rPr>
          <w:noProof/>
        </w:rPr>
        <w:tab/>
      </w:r>
      <w:r w:rsidRPr="002951A4">
        <w:rPr>
          <w:noProof/>
        </w:rPr>
        <w:t>Decizia de punere în aplicare (UE) 2025/1458 ar trebui să fie abrogată</w:t>
      </w:r>
      <w:r w:rsidRPr="002951A4">
        <w:rPr>
          <w:rStyle w:val="normaltextrun"/>
          <w:noProof/>
        </w:rPr>
        <w:t>,</w:t>
      </w:r>
    </w:p>
    <w:p w:rsidR="00CD04BC" w:rsidRPr="002951A4" w:rsidRDefault="00CD04BC" w:rsidP="004428FF">
      <w:pPr>
        <w:pStyle w:val="Formuledadoption"/>
        <w:rPr>
          <w:noProof/>
        </w:rPr>
      </w:pPr>
      <w:r w:rsidRPr="002951A4">
        <w:rPr>
          <w:rStyle w:val="normaltextrun"/>
          <w:noProof/>
        </w:rPr>
        <w:t>ADOPTĂ PREZENTA DECIZIE:</w:t>
      </w:r>
    </w:p>
    <w:p w:rsidR="00CD04BC" w:rsidRPr="002951A4" w:rsidRDefault="00CD04BC" w:rsidP="00CD04BC">
      <w:pPr>
        <w:pStyle w:val="Titrearticle"/>
        <w:rPr>
          <w:noProof/>
        </w:rPr>
      </w:pPr>
      <w:r w:rsidRPr="002951A4">
        <w:rPr>
          <w:noProof/>
        </w:rPr>
        <w:t>Articolul 1</w:t>
      </w:r>
    </w:p>
    <w:p w:rsidR="00CD04BC" w:rsidRPr="002951A4" w:rsidRDefault="00F93FCC" w:rsidP="00CD04BC">
      <w:pPr>
        <w:rPr>
          <w:noProof/>
        </w:rPr>
      </w:pPr>
      <w:r w:rsidRPr="002951A4">
        <w:rPr>
          <w:noProof/>
        </w:rPr>
        <w:t xml:space="preserve">Se autorizează furnizarea de sprijin pentru Republica Moldova din rezerva UE pentru securitate cibernetică în înțelesul articolului 19 din Regulamentul (UE) 2025/38. </w:t>
      </w:r>
    </w:p>
    <w:p w:rsidR="00BD08B5" w:rsidRPr="002951A4" w:rsidRDefault="00BD08B5" w:rsidP="00BD08B5">
      <w:pPr>
        <w:pStyle w:val="Titrearticle"/>
        <w:rPr>
          <w:noProof/>
        </w:rPr>
      </w:pPr>
      <w:r w:rsidRPr="002951A4">
        <w:rPr>
          <w:noProof/>
        </w:rPr>
        <w:t>Articolul 2</w:t>
      </w:r>
    </w:p>
    <w:p w:rsidR="00351D1C" w:rsidRPr="002951A4" w:rsidRDefault="00AB35C3" w:rsidP="00BD08B5">
      <w:pPr>
        <w:rPr>
          <w:rFonts w:eastAsia="Times New Roman"/>
          <w:noProof/>
          <w:color w:val="333333"/>
        </w:rPr>
      </w:pPr>
      <w:r w:rsidRPr="002951A4">
        <w:rPr>
          <w:noProof/>
        </w:rPr>
        <w:t>Decizia de punere în aplicare (UE) 2025/1458 se abrogă.</w:t>
      </w:r>
    </w:p>
    <w:p w:rsidR="00CD04BC" w:rsidRPr="002951A4" w:rsidRDefault="00BD08B5" w:rsidP="00BD08B5">
      <w:pPr>
        <w:rPr>
          <w:noProof/>
        </w:rPr>
      </w:pPr>
      <w:r w:rsidRPr="002951A4">
        <w:rPr>
          <w:noProof/>
          <w:color w:val="333333"/>
        </w:rPr>
        <w:t>Prezenta decizie intră în vigoare la 15 iulie 2026 și se aplică timp de un an.</w:t>
      </w:r>
    </w:p>
    <w:p w:rsidR="00CD04BC" w:rsidRPr="002951A4" w:rsidRDefault="002951A4" w:rsidP="00284105">
      <w:pPr>
        <w:pStyle w:val="Fait"/>
        <w:rPr>
          <w:noProof/>
        </w:rPr>
      </w:pPr>
      <w:r>
        <w:rPr>
          <w:noProof/>
        </w:rPr>
        <w:t>Adoptată la Bruxelles,</w:t>
      </w:r>
    </w:p>
    <w:p w:rsidR="00CD04BC" w:rsidRPr="002951A4" w:rsidRDefault="00CD04BC" w:rsidP="00284105">
      <w:pPr>
        <w:pStyle w:val="Institutionquisigne"/>
        <w:rPr>
          <w:noProof/>
        </w:rPr>
      </w:pPr>
      <w:r w:rsidRPr="002951A4">
        <w:rPr>
          <w:noProof/>
        </w:rPr>
        <w:tab/>
        <w:t>Pentru Consiliu,</w:t>
      </w:r>
    </w:p>
    <w:p w:rsidR="00CD04BC" w:rsidRPr="002951A4" w:rsidRDefault="00CD04BC" w:rsidP="00CD04BC">
      <w:pPr>
        <w:pStyle w:val="Personnequisigne"/>
        <w:rPr>
          <w:noProof/>
        </w:rPr>
      </w:pPr>
      <w:r w:rsidRPr="002951A4">
        <w:rPr>
          <w:noProof/>
        </w:rPr>
        <w:tab/>
        <w:t>Președintele</w:t>
      </w:r>
    </w:p>
    <w:sectPr w:rsidR="00CD04BC" w:rsidRPr="002951A4" w:rsidSect="00575C0C">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0A2" w:rsidRDefault="00AD10A2" w:rsidP="00CD04BC">
      <w:pPr>
        <w:spacing w:before="0" w:after="0"/>
      </w:pPr>
      <w:r>
        <w:separator/>
      </w:r>
    </w:p>
  </w:endnote>
  <w:endnote w:type="continuationSeparator" w:id="0">
    <w:p w:rsidR="00AD10A2" w:rsidRDefault="00AD10A2" w:rsidP="00CD04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C0C" w:rsidRPr="00575C0C" w:rsidRDefault="00575C0C" w:rsidP="00575C0C">
    <w:pPr>
      <w:pStyle w:val="Footer"/>
      <w:rPr>
        <w:rFonts w:ascii="Arial" w:hAnsi="Arial" w:cs="Arial"/>
        <w:b/>
        <w:sz w:val="48"/>
      </w:rPr>
    </w:pPr>
    <w:r w:rsidRPr="00575C0C">
      <w:rPr>
        <w:rFonts w:ascii="Arial" w:hAnsi="Arial" w:cs="Arial"/>
        <w:b/>
        <w:sz w:val="48"/>
      </w:rPr>
      <w:t>RO</w:t>
    </w:r>
    <w:r w:rsidRPr="00575C0C">
      <w:rPr>
        <w:rFonts w:ascii="Arial" w:hAnsi="Arial" w:cs="Arial"/>
        <w:b/>
        <w:sz w:val="48"/>
      </w:rPr>
      <w:tab/>
    </w:r>
    <w:r w:rsidRPr="00575C0C">
      <w:rPr>
        <w:rFonts w:ascii="Arial" w:hAnsi="Arial" w:cs="Arial"/>
        <w:b/>
        <w:sz w:val="48"/>
      </w:rPr>
      <w:tab/>
    </w:r>
    <w:r w:rsidRPr="00575C0C">
      <w:tab/>
    </w:r>
    <w:r w:rsidRPr="00575C0C">
      <w:rPr>
        <w:rFonts w:ascii="Arial" w:hAnsi="Arial" w:cs="Arial"/>
        <w:b/>
        <w:sz w:val="48"/>
      </w:rPr>
      <w:t>RO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C0C" w:rsidRPr="00575C0C" w:rsidRDefault="00575C0C" w:rsidP="00575C0C">
    <w:pPr>
      <w:pStyle w:val="Footer"/>
      <w:rPr>
        <w:rFonts w:ascii="Arial" w:hAnsi="Arial" w:cs="Arial"/>
        <w:b/>
        <w:sz w:val="48"/>
      </w:rPr>
    </w:pPr>
    <w:r w:rsidRPr="00575C0C">
      <w:rPr>
        <w:rFonts w:ascii="Arial" w:hAnsi="Arial" w:cs="Arial"/>
        <w:b/>
        <w:sz w:val="48"/>
      </w:rPr>
      <w:t>RO</w:t>
    </w:r>
    <w:r w:rsidRPr="00575C0C">
      <w:rPr>
        <w:rFonts w:ascii="Arial" w:hAnsi="Arial" w:cs="Arial"/>
        <w:b/>
        <w:sz w:val="48"/>
      </w:rPr>
      <w:tab/>
    </w:r>
    <w:r w:rsidRPr="00575C0C">
      <w:rPr>
        <w:rFonts w:ascii="Arial" w:hAnsi="Arial" w:cs="Arial"/>
        <w:b/>
        <w:sz w:val="48"/>
      </w:rPr>
      <w:tab/>
    </w:r>
    <w:r w:rsidRPr="00575C0C">
      <w:tab/>
    </w:r>
    <w:r w:rsidRPr="00575C0C">
      <w:rPr>
        <w:rFonts w:ascii="Arial" w:hAnsi="Arial" w:cs="Arial"/>
        <w:b/>
        <w:sz w:val="48"/>
      </w:rPr>
      <w:t>RO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C0C" w:rsidRDefault="00575C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C0C" w:rsidRPr="00575C0C" w:rsidRDefault="00575C0C" w:rsidP="00575C0C">
    <w:pPr>
      <w:pStyle w:val="Footer"/>
      <w:rPr>
        <w:rFonts w:ascii="Arial" w:hAnsi="Arial" w:cs="Arial"/>
        <w:b/>
        <w:sz w:val="48"/>
      </w:rPr>
    </w:pPr>
    <w:r w:rsidRPr="00575C0C">
      <w:rPr>
        <w:rFonts w:ascii="Arial" w:hAnsi="Arial" w:cs="Arial"/>
        <w:b/>
        <w:sz w:val="48"/>
      </w:rPr>
      <w:t>RO</w:t>
    </w:r>
    <w:r w:rsidRPr="00575C0C">
      <w:rPr>
        <w:rFonts w:ascii="Arial" w:hAnsi="Arial" w:cs="Arial"/>
        <w:b/>
        <w:sz w:val="48"/>
      </w:rPr>
      <w:tab/>
    </w:r>
    <w:r>
      <w:fldChar w:fldCharType="begin"/>
    </w:r>
    <w:r>
      <w:instrText xml:space="preserve"> PAGE  \* MERGEFORMAT </w:instrText>
    </w:r>
    <w:r>
      <w:fldChar w:fldCharType="separate"/>
    </w:r>
    <w:r w:rsidR="00284105">
      <w:rPr>
        <w:noProof/>
      </w:rPr>
      <w:t>3</w:t>
    </w:r>
    <w:r>
      <w:fldChar w:fldCharType="end"/>
    </w:r>
    <w:r>
      <w:tab/>
    </w:r>
    <w:r w:rsidRPr="00575C0C">
      <w:tab/>
    </w:r>
    <w:r w:rsidRPr="00575C0C">
      <w:rPr>
        <w:rFonts w:ascii="Arial" w:hAnsi="Arial" w:cs="Arial"/>
        <w:b/>
        <w:sz w:val="48"/>
      </w:rPr>
      <w:t>RO</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C0C" w:rsidRDefault="00575C0C" w:rsidP="00575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0A2" w:rsidRDefault="00AD10A2" w:rsidP="00CD04BC">
      <w:pPr>
        <w:spacing w:before="0" w:after="0"/>
      </w:pPr>
      <w:r>
        <w:separator/>
      </w:r>
    </w:p>
  </w:footnote>
  <w:footnote w:type="continuationSeparator" w:id="0">
    <w:p w:rsidR="00AD10A2" w:rsidRDefault="00AD10A2" w:rsidP="00CD04BC">
      <w:pPr>
        <w:spacing w:before="0" w:after="0"/>
      </w:pPr>
      <w:r>
        <w:continuationSeparator/>
      </w:r>
    </w:p>
  </w:footnote>
  <w:footnote w:id="1">
    <w:p w:rsidR="00C24A43" w:rsidRPr="00460DB4" w:rsidRDefault="00C24A43">
      <w:pPr>
        <w:pStyle w:val="FootnoteText"/>
      </w:pPr>
      <w:r>
        <w:rPr>
          <w:rStyle w:val="FootnoteReference"/>
        </w:rPr>
        <w:footnoteRef/>
      </w:r>
      <w:r>
        <w:tab/>
        <w:t xml:space="preserve">JO L, 2025/38, 15.1.2025, ELI: </w:t>
      </w:r>
      <w:hyperlink r:id="rId1" w:history="1">
        <w:r>
          <w:rPr>
            <w:rStyle w:val="Hyperlink"/>
          </w:rPr>
          <w:t>http://data.europa.eu/eli/reg/2025/38/oj</w:t>
        </w:r>
      </w:hyperlink>
      <w:r>
        <w:t>.</w:t>
      </w:r>
    </w:p>
  </w:footnote>
  <w:footnote w:id="2">
    <w:p w:rsidR="00677CAC" w:rsidRPr="00460DB4" w:rsidRDefault="0092696C" w:rsidP="0053130C">
      <w:pPr>
        <w:pStyle w:val="FootnoteText"/>
      </w:pPr>
      <w:r>
        <w:rPr>
          <w:rStyle w:val="FootnoteReference"/>
        </w:rPr>
        <w:footnoteRef/>
      </w:r>
      <w:r>
        <w:tab/>
      </w:r>
      <w:r>
        <w:rPr>
          <w:rStyle w:val="normaltextrun"/>
        </w:rPr>
        <w:t xml:space="preserve">JO L, 2025/1458, 18.7.2025, ELI: </w:t>
      </w:r>
      <w:hyperlink r:id="rId2" w:history="1">
        <w:r>
          <w:rPr>
            <w:rStyle w:val="Hyperlink"/>
          </w:rPr>
          <w:t>http://data.europa.eu/eli/dec_impl/2025/1458/oj</w:t>
        </w:r>
      </w:hyperlink>
      <w:r>
        <w:rPr>
          <w:rStyle w:val="normaltextru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C0C" w:rsidRDefault="00575C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C0C" w:rsidRDefault="00575C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608E96D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332DD8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44DE83B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3C9A69A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496658F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22A8A8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57442264"/>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F1C2564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2"/>
    <w:lvlOverride w:ilvl="0">
      <w:startOverride w:val="1"/>
    </w:lvlOverride>
  </w:num>
  <w:num w:numId="10">
    <w:abstractNumId w:val="19"/>
  </w:num>
  <w:num w:numId="11">
    <w:abstractNumId w:val="12"/>
  </w:num>
  <w:num w:numId="12">
    <w:abstractNumId w:val="21"/>
  </w:num>
  <w:num w:numId="13">
    <w:abstractNumId w:val="11"/>
  </w:num>
  <w:num w:numId="14">
    <w:abstractNumId w:val="13"/>
  </w:num>
  <w:num w:numId="15">
    <w:abstractNumId w:val="14"/>
  </w:num>
  <w:num w:numId="16">
    <w:abstractNumId w:val="9"/>
  </w:num>
  <w:num w:numId="17">
    <w:abstractNumId w:val="20"/>
  </w:num>
  <w:num w:numId="18">
    <w:abstractNumId w:val="8"/>
  </w:num>
  <w:num w:numId="19">
    <w:abstractNumId w:val="15"/>
  </w:num>
  <w:num w:numId="20">
    <w:abstractNumId w:val="17"/>
  </w:num>
  <w:num w:numId="21">
    <w:abstractNumId w:val="18"/>
  </w:num>
  <w:num w:numId="22">
    <w:abstractNumId w:val="10"/>
  </w:num>
  <w:num w:numId="23">
    <w:abstractNumId w:val="16"/>
  </w:num>
  <w:num w:numId="24">
    <w:abstractNumId w:val="22"/>
  </w:num>
  <w:num w:numId="25">
    <w:abstractNumId w:val="19"/>
  </w:num>
  <w:num w:numId="26">
    <w:abstractNumId w:val="12"/>
  </w:num>
  <w:num w:numId="27">
    <w:abstractNumId w:val="21"/>
  </w:num>
  <w:num w:numId="28">
    <w:abstractNumId w:val="11"/>
  </w:num>
  <w:num w:numId="29">
    <w:abstractNumId w:val="13"/>
  </w:num>
  <w:num w:numId="30">
    <w:abstractNumId w:val="14"/>
  </w:num>
  <w:num w:numId="31">
    <w:abstractNumId w:val="9"/>
  </w:num>
  <w:num w:numId="32">
    <w:abstractNumId w:val="20"/>
  </w:num>
  <w:num w:numId="33">
    <w:abstractNumId w:val="8"/>
  </w:num>
  <w:num w:numId="34">
    <w:abstractNumId w:val="15"/>
  </w:num>
  <w:num w:numId="35">
    <w:abstractNumId w:val="17"/>
  </w:num>
  <w:num w:numId="36">
    <w:abstractNumId w:val="18"/>
  </w:num>
  <w:num w:numId="37">
    <w:abstractNumId w:val="10"/>
  </w:num>
  <w:num w:numId="38">
    <w:abstractNumId w:val="16"/>
  </w:num>
  <w:num w:numId="39">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6-06-09 09:17:21"/>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52CCC389-807B-49F7-A338-709E1446E2AF"/>
    <w:docVar w:name="LW_COVERPAGE_TYPE" w:val="1"/>
    <w:docVar w:name="LW_CreatedUtc" w:val="2026-04-30T13:54:26.1264942Z"/>
    <w:docVar w:name="LW_CROSSREFERENCE" w:val="&lt;UNUSED&gt;"/>
    <w:docVar w:name="LW_DocType" w:val="COM"/>
    <w:docVar w:name="LW_EMISSION" w:val="12.6.2026"/>
    <w:docVar w:name="LW_EMISSION_ISODATE" w:val="2026-06-12"/>
    <w:docVar w:name="LW_EMISSION_LOCATION" w:val="BRX"/>
    <w:docVar w:name="LW_EMISSION_PREFIX" w:val="Bruxelles, "/>
    <w:docVar w:name="LW_EMISSION_SUFFIX" w:val=" "/>
    <w:docVar w:name="LW_ID_DOCMODEL" w:val="SJ-021"/>
    <w:docVar w:name="LW_ID_DOCSIGNATURE" w:val="SJ-021"/>
    <w:docVar w:name="LW_ID_DOCSTRUCTURE" w:val="COM/PL/ORG"/>
    <w:docVar w:name="LW_ID_DOCTYPE" w:val="SJ-021"/>
    <w:docVar w:name="LW_ID_STATUT" w:val="SJ-021"/>
    <w:docVar w:name="LW_INSERT_EXP.MOTIFS.NEW" w:val="1"/>
    <w:docVar w:name="LW_INTERETEEE.CP" w:val="(Text cu relevan\u539?\u259? pentru SEE)"/>
    <w:docVar w:name="LW_LANGUE" w:val="RO"/>
    <w:docVar w:name="LW_LEVEL_OF_SENSITIVITY" w:val="Standard treatment"/>
    <w:docVar w:name="LW_NOM.INST" w:val="COMISIA EUROPEAN\u258?"/>
    <w:docVar w:name="LW_NOM.INST_JOINTDOC" w:val="&lt;EMPTY&gt;"/>
    <w:docVar w:name="LW_PART_NBR" w:val="1"/>
    <w:docVar w:name="LW_PART_NBR_TOTAL" w:val="1"/>
    <w:docVar w:name="LW_REF.II.NEW.CP" w:val="NLE"/>
    <w:docVar w:name="LW_REF.II.NEW.CP_NUMBER" w:val="0145"/>
    <w:docVar w:name="LW_REF.II.NEW.CP_YEAR" w:val="2026"/>
    <w:docVar w:name="LW_REF.INST.NEW" w:val="COM"/>
    <w:docVar w:name="LW_REF.INST.NEW_ADOPTED" w:val="final"/>
    <w:docVar w:name="LW_REF.INST.NEW_TEXT" w:val="(2026) 280"/>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unere de"/>
    <w:docVar w:name="LW_SUPERTITRE" w:val="&lt;UNUSED&gt;"/>
    <w:docVar w:name="LW_TITRE.OBJ.CP" w:val="de autorizare a sprijinului acordat Republicii Moldova din rezerva UE pentru securitate cibernetic\u259? \u537?i de abrogare a Deciziei de punere în aplicare (UE) 2025/1458"/>
    <w:docVar w:name="LW_TYPE.DOC.CP" w:val="DECIZIE DE PUNERE ÎN APLICARE A CONSILIULUI"/>
    <w:docVar w:name="LwApiVersions" w:val="LW4CoDe 1.24.5.0; LW 9.2, Build 20251112"/>
  </w:docVars>
  <w:rsids>
    <w:rsidRoot w:val="00CD04BC"/>
    <w:rsid w:val="0002383A"/>
    <w:rsid w:val="0003791C"/>
    <w:rsid w:val="00051EE2"/>
    <w:rsid w:val="0006718F"/>
    <w:rsid w:val="00086856"/>
    <w:rsid w:val="00090ACF"/>
    <w:rsid w:val="000C2487"/>
    <w:rsid w:val="000C6974"/>
    <w:rsid w:val="000E4000"/>
    <w:rsid w:val="000E504D"/>
    <w:rsid w:val="000F2A2A"/>
    <w:rsid w:val="00100F01"/>
    <w:rsid w:val="00103F9B"/>
    <w:rsid w:val="001065F5"/>
    <w:rsid w:val="0011439C"/>
    <w:rsid w:val="001233F3"/>
    <w:rsid w:val="001238EF"/>
    <w:rsid w:val="001322A1"/>
    <w:rsid w:val="00135CD3"/>
    <w:rsid w:val="001560E5"/>
    <w:rsid w:val="00160738"/>
    <w:rsid w:val="00163161"/>
    <w:rsid w:val="001634AB"/>
    <w:rsid w:val="00172239"/>
    <w:rsid w:val="0018038E"/>
    <w:rsid w:val="001853B1"/>
    <w:rsid w:val="00191E1C"/>
    <w:rsid w:val="0019546B"/>
    <w:rsid w:val="00195DAC"/>
    <w:rsid w:val="00197613"/>
    <w:rsid w:val="001A362F"/>
    <w:rsid w:val="001F1196"/>
    <w:rsid w:val="001F519E"/>
    <w:rsid w:val="002005A8"/>
    <w:rsid w:val="00205506"/>
    <w:rsid w:val="00207240"/>
    <w:rsid w:val="00213ED4"/>
    <w:rsid w:val="00220352"/>
    <w:rsid w:val="002308B3"/>
    <w:rsid w:val="00233DC7"/>
    <w:rsid w:val="0024706D"/>
    <w:rsid w:val="00247779"/>
    <w:rsid w:val="0025543E"/>
    <w:rsid w:val="00267E61"/>
    <w:rsid w:val="00280765"/>
    <w:rsid w:val="00284105"/>
    <w:rsid w:val="00285BEE"/>
    <w:rsid w:val="002917BA"/>
    <w:rsid w:val="002951A4"/>
    <w:rsid w:val="0029533F"/>
    <w:rsid w:val="002A61AD"/>
    <w:rsid w:val="002B30AF"/>
    <w:rsid w:val="002B6E6E"/>
    <w:rsid w:val="002B755A"/>
    <w:rsid w:val="002C4775"/>
    <w:rsid w:val="002E0211"/>
    <w:rsid w:val="002E19C3"/>
    <w:rsid w:val="002E5B06"/>
    <w:rsid w:val="002F3346"/>
    <w:rsid w:val="00321A8E"/>
    <w:rsid w:val="0032326B"/>
    <w:rsid w:val="0033114C"/>
    <w:rsid w:val="0033344A"/>
    <w:rsid w:val="003373E1"/>
    <w:rsid w:val="00351D1C"/>
    <w:rsid w:val="003776FA"/>
    <w:rsid w:val="00382A62"/>
    <w:rsid w:val="00387FBC"/>
    <w:rsid w:val="003909E2"/>
    <w:rsid w:val="00396A6F"/>
    <w:rsid w:val="00397349"/>
    <w:rsid w:val="003A0297"/>
    <w:rsid w:val="003A5AA4"/>
    <w:rsid w:val="003B3487"/>
    <w:rsid w:val="004062CE"/>
    <w:rsid w:val="00422DDB"/>
    <w:rsid w:val="004238BF"/>
    <w:rsid w:val="0042648E"/>
    <w:rsid w:val="004428FF"/>
    <w:rsid w:val="00460DB4"/>
    <w:rsid w:val="004746B0"/>
    <w:rsid w:val="00490654"/>
    <w:rsid w:val="004936D2"/>
    <w:rsid w:val="004C3EBC"/>
    <w:rsid w:val="004D0ADC"/>
    <w:rsid w:val="004D0FFE"/>
    <w:rsid w:val="004F511F"/>
    <w:rsid w:val="004F53A9"/>
    <w:rsid w:val="005051F7"/>
    <w:rsid w:val="00513494"/>
    <w:rsid w:val="00523762"/>
    <w:rsid w:val="0053130C"/>
    <w:rsid w:val="005317CF"/>
    <w:rsid w:val="00535287"/>
    <w:rsid w:val="00542AF0"/>
    <w:rsid w:val="00543F83"/>
    <w:rsid w:val="005603BC"/>
    <w:rsid w:val="00572DE8"/>
    <w:rsid w:val="00575C0C"/>
    <w:rsid w:val="0057755B"/>
    <w:rsid w:val="00577A2F"/>
    <w:rsid w:val="005A1A21"/>
    <w:rsid w:val="005A215C"/>
    <w:rsid w:val="005A4F67"/>
    <w:rsid w:val="005A595B"/>
    <w:rsid w:val="005B1EB6"/>
    <w:rsid w:val="005D1F90"/>
    <w:rsid w:val="005E1C4F"/>
    <w:rsid w:val="006119DC"/>
    <w:rsid w:val="00623808"/>
    <w:rsid w:val="006265DC"/>
    <w:rsid w:val="00636707"/>
    <w:rsid w:val="006376D1"/>
    <w:rsid w:val="00637922"/>
    <w:rsid w:val="00657EF0"/>
    <w:rsid w:val="00663937"/>
    <w:rsid w:val="00663ABC"/>
    <w:rsid w:val="0066687E"/>
    <w:rsid w:val="00671693"/>
    <w:rsid w:val="00677C0F"/>
    <w:rsid w:val="00677CAC"/>
    <w:rsid w:val="00682A27"/>
    <w:rsid w:val="00686900"/>
    <w:rsid w:val="006946D4"/>
    <w:rsid w:val="006961E1"/>
    <w:rsid w:val="006A11B5"/>
    <w:rsid w:val="006C44A7"/>
    <w:rsid w:val="006D1C95"/>
    <w:rsid w:val="006F3B1B"/>
    <w:rsid w:val="00700654"/>
    <w:rsid w:val="007025BF"/>
    <w:rsid w:val="00706241"/>
    <w:rsid w:val="00717527"/>
    <w:rsid w:val="007529AC"/>
    <w:rsid w:val="00773331"/>
    <w:rsid w:val="00782541"/>
    <w:rsid w:val="00791BDC"/>
    <w:rsid w:val="007932EF"/>
    <w:rsid w:val="00797579"/>
    <w:rsid w:val="007A0DFC"/>
    <w:rsid w:val="007A3FA1"/>
    <w:rsid w:val="007A4BA8"/>
    <w:rsid w:val="007B7D75"/>
    <w:rsid w:val="007C0C22"/>
    <w:rsid w:val="007C18F4"/>
    <w:rsid w:val="007D4A9A"/>
    <w:rsid w:val="007E05B0"/>
    <w:rsid w:val="007E3175"/>
    <w:rsid w:val="007E381C"/>
    <w:rsid w:val="0080311A"/>
    <w:rsid w:val="0081029B"/>
    <w:rsid w:val="00814EBB"/>
    <w:rsid w:val="00847C9E"/>
    <w:rsid w:val="00852FED"/>
    <w:rsid w:val="008534CC"/>
    <w:rsid w:val="00874D22"/>
    <w:rsid w:val="0087522E"/>
    <w:rsid w:val="00881654"/>
    <w:rsid w:val="00882715"/>
    <w:rsid w:val="008836CA"/>
    <w:rsid w:val="008849A5"/>
    <w:rsid w:val="008A0611"/>
    <w:rsid w:val="008A2914"/>
    <w:rsid w:val="008A5D22"/>
    <w:rsid w:val="008E4D8E"/>
    <w:rsid w:val="008E5360"/>
    <w:rsid w:val="008F4BBF"/>
    <w:rsid w:val="00921EE3"/>
    <w:rsid w:val="0092696C"/>
    <w:rsid w:val="009434F3"/>
    <w:rsid w:val="0094561D"/>
    <w:rsid w:val="00961FF0"/>
    <w:rsid w:val="00973931"/>
    <w:rsid w:val="00975EB9"/>
    <w:rsid w:val="00984BD1"/>
    <w:rsid w:val="00987B0D"/>
    <w:rsid w:val="00995D34"/>
    <w:rsid w:val="009A5A94"/>
    <w:rsid w:val="009B68C9"/>
    <w:rsid w:val="009C70BA"/>
    <w:rsid w:val="009D0367"/>
    <w:rsid w:val="009E053E"/>
    <w:rsid w:val="00A00211"/>
    <w:rsid w:val="00A07D6B"/>
    <w:rsid w:val="00A10F7B"/>
    <w:rsid w:val="00A118B0"/>
    <w:rsid w:val="00A20B11"/>
    <w:rsid w:val="00A41FEF"/>
    <w:rsid w:val="00A65BBD"/>
    <w:rsid w:val="00A67E8B"/>
    <w:rsid w:val="00A749CB"/>
    <w:rsid w:val="00A91BE1"/>
    <w:rsid w:val="00AA0905"/>
    <w:rsid w:val="00AB35C3"/>
    <w:rsid w:val="00AB3857"/>
    <w:rsid w:val="00AD10A2"/>
    <w:rsid w:val="00AD6BB7"/>
    <w:rsid w:val="00AE0580"/>
    <w:rsid w:val="00AE4FDA"/>
    <w:rsid w:val="00AF077A"/>
    <w:rsid w:val="00AF1144"/>
    <w:rsid w:val="00B04C50"/>
    <w:rsid w:val="00B24AAA"/>
    <w:rsid w:val="00B24BDA"/>
    <w:rsid w:val="00B42EA7"/>
    <w:rsid w:val="00B5569E"/>
    <w:rsid w:val="00B56A29"/>
    <w:rsid w:val="00B82AB1"/>
    <w:rsid w:val="00B8504D"/>
    <w:rsid w:val="00BA1796"/>
    <w:rsid w:val="00BC1CEF"/>
    <w:rsid w:val="00BC2B4B"/>
    <w:rsid w:val="00BC5B99"/>
    <w:rsid w:val="00BC5C04"/>
    <w:rsid w:val="00BD08B5"/>
    <w:rsid w:val="00BD75A8"/>
    <w:rsid w:val="00BE4037"/>
    <w:rsid w:val="00C05FAA"/>
    <w:rsid w:val="00C07079"/>
    <w:rsid w:val="00C12301"/>
    <w:rsid w:val="00C245D2"/>
    <w:rsid w:val="00C24A43"/>
    <w:rsid w:val="00C25C2D"/>
    <w:rsid w:val="00C42B59"/>
    <w:rsid w:val="00C4391C"/>
    <w:rsid w:val="00C45A34"/>
    <w:rsid w:val="00C474E4"/>
    <w:rsid w:val="00C546F7"/>
    <w:rsid w:val="00C577AD"/>
    <w:rsid w:val="00C72921"/>
    <w:rsid w:val="00C93202"/>
    <w:rsid w:val="00C9798A"/>
    <w:rsid w:val="00CA31CE"/>
    <w:rsid w:val="00CD04BC"/>
    <w:rsid w:val="00D00C7A"/>
    <w:rsid w:val="00D022B6"/>
    <w:rsid w:val="00D20381"/>
    <w:rsid w:val="00D37706"/>
    <w:rsid w:val="00D42FA7"/>
    <w:rsid w:val="00D45489"/>
    <w:rsid w:val="00D50E13"/>
    <w:rsid w:val="00D54FF2"/>
    <w:rsid w:val="00D70A4C"/>
    <w:rsid w:val="00D72133"/>
    <w:rsid w:val="00D734D9"/>
    <w:rsid w:val="00D8564C"/>
    <w:rsid w:val="00D95221"/>
    <w:rsid w:val="00DB443D"/>
    <w:rsid w:val="00DB7569"/>
    <w:rsid w:val="00DC170B"/>
    <w:rsid w:val="00DC3714"/>
    <w:rsid w:val="00DD4EFD"/>
    <w:rsid w:val="00DE040B"/>
    <w:rsid w:val="00DE087D"/>
    <w:rsid w:val="00E04BFE"/>
    <w:rsid w:val="00E2501F"/>
    <w:rsid w:val="00E325A5"/>
    <w:rsid w:val="00E40E80"/>
    <w:rsid w:val="00E46332"/>
    <w:rsid w:val="00E61CCC"/>
    <w:rsid w:val="00E664ED"/>
    <w:rsid w:val="00E82645"/>
    <w:rsid w:val="00E836F2"/>
    <w:rsid w:val="00E84F24"/>
    <w:rsid w:val="00EA031D"/>
    <w:rsid w:val="00EA1BA7"/>
    <w:rsid w:val="00EA6E82"/>
    <w:rsid w:val="00EB170E"/>
    <w:rsid w:val="00EB2AD8"/>
    <w:rsid w:val="00EC5AE3"/>
    <w:rsid w:val="00EF04E4"/>
    <w:rsid w:val="00EF0FEA"/>
    <w:rsid w:val="00F10C86"/>
    <w:rsid w:val="00F22CF5"/>
    <w:rsid w:val="00F26319"/>
    <w:rsid w:val="00F42D02"/>
    <w:rsid w:val="00F4791B"/>
    <w:rsid w:val="00F5142E"/>
    <w:rsid w:val="00F5330A"/>
    <w:rsid w:val="00F56170"/>
    <w:rsid w:val="00F6434C"/>
    <w:rsid w:val="00F74B18"/>
    <w:rsid w:val="00F75C9A"/>
    <w:rsid w:val="00F93FCC"/>
    <w:rsid w:val="00FC38F8"/>
    <w:rsid w:val="00FD3B49"/>
    <w:rsid w:val="00FD7829"/>
    <w:rsid w:val="00FE233A"/>
    <w:rsid w:val="00FE33F6"/>
    <w:rsid w:val="00FE7AC8"/>
    <w:rsid w:val="74D701BA"/>
    <w:rsid w:val="7F481F80"/>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279F9063-C916-450A-9508-C3E5B4A88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ro-RO"/>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2"/>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2"/>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2"/>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D04BC"/>
    <w:pPr>
      <w:spacing w:before="100" w:beforeAutospacing="1" w:after="100" w:afterAutospacing="1"/>
      <w:jc w:val="left"/>
    </w:pPr>
    <w:rPr>
      <w:rFonts w:eastAsia="Times New Roman"/>
      <w:szCs w:val="24"/>
      <w:lang w:eastAsia="en-IE"/>
    </w:rPr>
  </w:style>
  <w:style w:type="character" w:customStyle="1" w:styleId="normaltextrun">
    <w:name w:val="normaltextrun"/>
    <w:basedOn w:val="DefaultParagraphFont"/>
    <w:rsid w:val="00CD04BC"/>
  </w:style>
  <w:style w:type="character" w:customStyle="1" w:styleId="eop">
    <w:name w:val="eop"/>
    <w:basedOn w:val="DefaultParagraphFont"/>
    <w:rsid w:val="00CD04BC"/>
  </w:style>
  <w:style w:type="paragraph" w:styleId="Revision">
    <w:name w:val="Revision"/>
    <w:hidden/>
    <w:uiPriority w:val="99"/>
    <w:semiHidden/>
    <w:rsid w:val="00BD08B5"/>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BD08B5"/>
    <w:rPr>
      <w:sz w:val="16"/>
      <w:szCs w:val="16"/>
    </w:rPr>
  </w:style>
  <w:style w:type="paragraph" w:styleId="CommentText">
    <w:name w:val="annotation text"/>
    <w:basedOn w:val="Normal"/>
    <w:link w:val="CommentTextChar"/>
    <w:uiPriority w:val="99"/>
    <w:unhideWhenUsed/>
    <w:rsid w:val="00BD08B5"/>
    <w:rPr>
      <w:sz w:val="20"/>
      <w:szCs w:val="20"/>
    </w:rPr>
  </w:style>
  <w:style w:type="character" w:customStyle="1" w:styleId="CommentTextChar">
    <w:name w:val="Comment Text Char"/>
    <w:basedOn w:val="DefaultParagraphFont"/>
    <w:link w:val="CommentText"/>
    <w:uiPriority w:val="99"/>
    <w:rsid w:val="00BD08B5"/>
    <w:rPr>
      <w:rFonts w:ascii="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BD08B5"/>
    <w:rPr>
      <w:b/>
      <w:bCs/>
    </w:rPr>
  </w:style>
  <w:style w:type="character" w:customStyle="1" w:styleId="CommentSubjectChar">
    <w:name w:val="Comment Subject Char"/>
    <w:basedOn w:val="CommentTextChar"/>
    <w:link w:val="CommentSubject"/>
    <w:uiPriority w:val="99"/>
    <w:semiHidden/>
    <w:rsid w:val="00BD08B5"/>
    <w:rPr>
      <w:rFonts w:ascii="Times New Roman" w:hAnsi="Times New Roman" w:cs="Times New Roman"/>
      <w:b/>
      <w:bCs/>
      <w:sz w:val="20"/>
      <w:szCs w:val="20"/>
      <w:lang w:val="ro-RO"/>
    </w:rPr>
  </w:style>
  <w:style w:type="paragraph" w:styleId="ListBullet">
    <w:name w:val="List Bullet"/>
    <w:basedOn w:val="Normal"/>
    <w:uiPriority w:val="99"/>
    <w:semiHidden/>
    <w:unhideWhenUsed/>
    <w:rsid w:val="00D72133"/>
    <w:pPr>
      <w:numPr>
        <w:numId w:val="1"/>
      </w:numPr>
      <w:contextualSpacing/>
    </w:pPr>
  </w:style>
  <w:style w:type="paragraph" w:styleId="ListBullet2">
    <w:name w:val="List Bullet 2"/>
    <w:basedOn w:val="Normal"/>
    <w:uiPriority w:val="99"/>
    <w:semiHidden/>
    <w:unhideWhenUsed/>
    <w:rsid w:val="00D72133"/>
    <w:pPr>
      <w:numPr>
        <w:numId w:val="2"/>
      </w:numPr>
      <w:contextualSpacing/>
    </w:pPr>
  </w:style>
  <w:style w:type="paragraph" w:styleId="ListBullet3">
    <w:name w:val="List Bullet 3"/>
    <w:basedOn w:val="Normal"/>
    <w:uiPriority w:val="99"/>
    <w:semiHidden/>
    <w:unhideWhenUsed/>
    <w:rsid w:val="00D72133"/>
    <w:pPr>
      <w:numPr>
        <w:numId w:val="3"/>
      </w:numPr>
      <w:contextualSpacing/>
    </w:pPr>
  </w:style>
  <w:style w:type="paragraph" w:styleId="ListBullet4">
    <w:name w:val="List Bullet 4"/>
    <w:basedOn w:val="Normal"/>
    <w:uiPriority w:val="99"/>
    <w:semiHidden/>
    <w:unhideWhenUsed/>
    <w:rsid w:val="00D72133"/>
    <w:pPr>
      <w:numPr>
        <w:numId w:val="4"/>
      </w:numPr>
      <w:contextualSpacing/>
    </w:pPr>
  </w:style>
  <w:style w:type="paragraph" w:styleId="Caption">
    <w:name w:val="caption"/>
    <w:basedOn w:val="Normal"/>
    <w:next w:val="Normal"/>
    <w:uiPriority w:val="35"/>
    <w:semiHidden/>
    <w:unhideWhenUsed/>
    <w:qFormat/>
    <w:rsid w:val="001F1196"/>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1F1196"/>
    <w:pPr>
      <w:spacing w:after="0"/>
    </w:pPr>
  </w:style>
  <w:style w:type="paragraph" w:styleId="ListNumber">
    <w:name w:val="List Number"/>
    <w:basedOn w:val="Normal"/>
    <w:uiPriority w:val="99"/>
    <w:semiHidden/>
    <w:unhideWhenUsed/>
    <w:rsid w:val="001F1196"/>
    <w:pPr>
      <w:numPr>
        <w:numId w:val="5"/>
      </w:numPr>
      <w:contextualSpacing/>
    </w:pPr>
  </w:style>
  <w:style w:type="paragraph" w:styleId="ListNumber2">
    <w:name w:val="List Number 2"/>
    <w:basedOn w:val="Normal"/>
    <w:uiPriority w:val="99"/>
    <w:semiHidden/>
    <w:unhideWhenUsed/>
    <w:rsid w:val="001F1196"/>
    <w:pPr>
      <w:numPr>
        <w:numId w:val="6"/>
      </w:numPr>
      <w:contextualSpacing/>
    </w:pPr>
  </w:style>
  <w:style w:type="paragraph" w:styleId="ListNumber3">
    <w:name w:val="List Number 3"/>
    <w:basedOn w:val="Normal"/>
    <w:uiPriority w:val="99"/>
    <w:semiHidden/>
    <w:unhideWhenUsed/>
    <w:rsid w:val="001F1196"/>
    <w:pPr>
      <w:numPr>
        <w:numId w:val="7"/>
      </w:numPr>
      <w:contextualSpacing/>
    </w:pPr>
  </w:style>
  <w:style w:type="paragraph" w:styleId="ListNumber4">
    <w:name w:val="List Number 4"/>
    <w:basedOn w:val="Normal"/>
    <w:uiPriority w:val="99"/>
    <w:semiHidden/>
    <w:unhideWhenUsed/>
    <w:rsid w:val="001F1196"/>
    <w:pPr>
      <w:numPr>
        <w:numId w:val="8"/>
      </w:numPr>
      <w:contextualSpacing/>
    </w:pPr>
  </w:style>
  <w:style w:type="character" w:styleId="Hyperlink">
    <w:name w:val="Hyperlink"/>
    <w:basedOn w:val="DefaultParagraphFont"/>
    <w:uiPriority w:val="99"/>
    <w:unhideWhenUsed/>
    <w:rsid w:val="004C3EBC"/>
    <w:rPr>
      <w:color w:val="0000FF" w:themeColor="hyperlink"/>
      <w:u w:val="single"/>
    </w:rPr>
  </w:style>
  <w:style w:type="character" w:customStyle="1" w:styleId="UnresolvedMention">
    <w:name w:val="Unresolved Mention"/>
    <w:basedOn w:val="DefaultParagraphFont"/>
    <w:uiPriority w:val="99"/>
    <w:semiHidden/>
    <w:unhideWhenUsed/>
    <w:rsid w:val="004C3EBC"/>
    <w:rPr>
      <w:color w:val="605E5C"/>
      <w:shd w:val="clear" w:color="auto" w:fill="E1DFDD"/>
    </w:rPr>
  </w:style>
  <w:style w:type="character" w:styleId="FollowedHyperlink">
    <w:name w:val="FollowedHyperlink"/>
    <w:basedOn w:val="DefaultParagraphFont"/>
    <w:uiPriority w:val="99"/>
    <w:semiHidden/>
    <w:unhideWhenUsed/>
    <w:rsid w:val="00B8504D"/>
    <w:rPr>
      <w:color w:val="800080" w:themeColor="followedHyperlink"/>
      <w:u w:val="single"/>
    </w:rPr>
  </w:style>
  <w:style w:type="character" w:customStyle="1" w:styleId="HeaderChar">
    <w:name w:val="Header Char"/>
    <w:basedOn w:val="DefaultParagraphFont"/>
    <w:link w:val="Header"/>
    <w:uiPriority w:val="99"/>
    <w:rsid w:val="00575C0C"/>
    <w:rPr>
      <w:rFonts w:ascii="Times New Roman" w:hAnsi="Times New Roman" w:cs="Times New Roman"/>
      <w:sz w:val="24"/>
      <w:lang w:val="ro-RO"/>
    </w:rPr>
  </w:style>
  <w:style w:type="character" w:customStyle="1" w:styleId="FooterChar">
    <w:name w:val="Footer Char"/>
    <w:basedOn w:val="DefaultParagraphFont"/>
    <w:link w:val="Footer"/>
    <w:uiPriority w:val="99"/>
    <w:rsid w:val="00575C0C"/>
    <w:rPr>
      <w:rFonts w:ascii="Times New Roman" w:hAnsi="Times New Roman" w:cs="Times New Roman"/>
      <w:sz w:val="24"/>
      <w:lang w:val="ro-RO"/>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575C0C"/>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575C0C"/>
    <w:pPr>
      <w:spacing w:before="0"/>
      <w:jc w:val="right"/>
    </w:pPr>
    <w:rPr>
      <w:sz w:val="28"/>
    </w:rPr>
  </w:style>
  <w:style w:type="paragraph" w:customStyle="1" w:styleId="FooterSensitivity">
    <w:name w:val="Footer Sensitivity"/>
    <w:basedOn w:val="Normal"/>
    <w:rsid w:val="00575C0C"/>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5"/>
      </w:numPr>
    </w:pPr>
  </w:style>
  <w:style w:type="paragraph" w:customStyle="1" w:styleId="Tiret1">
    <w:name w:val="Tiret 1"/>
    <w:basedOn w:val="Point1"/>
    <w:pPr>
      <w:numPr>
        <w:numId w:val="26"/>
      </w:numPr>
    </w:pPr>
  </w:style>
  <w:style w:type="paragraph" w:customStyle="1" w:styleId="Tiret2">
    <w:name w:val="Tiret 2"/>
    <w:basedOn w:val="Point2"/>
    <w:pPr>
      <w:numPr>
        <w:numId w:val="27"/>
      </w:numPr>
    </w:pPr>
  </w:style>
  <w:style w:type="paragraph" w:customStyle="1" w:styleId="Tiret3">
    <w:name w:val="Tiret 3"/>
    <w:basedOn w:val="Point3"/>
    <w:pPr>
      <w:numPr>
        <w:numId w:val="28"/>
      </w:numPr>
    </w:pPr>
  </w:style>
  <w:style w:type="paragraph" w:customStyle="1" w:styleId="Tiret4">
    <w:name w:val="Tiret 4"/>
    <w:basedOn w:val="Point4"/>
    <w:pPr>
      <w:numPr>
        <w:numId w:val="29"/>
      </w:numPr>
    </w:pPr>
  </w:style>
  <w:style w:type="paragraph" w:customStyle="1" w:styleId="Tiret5">
    <w:name w:val="Tiret 5"/>
    <w:basedOn w:val="Point5"/>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NumPar5">
    <w:name w:val="NumPar 5"/>
    <w:basedOn w:val="Normal"/>
    <w:next w:val="Text2"/>
    <w:pPr>
      <w:numPr>
        <w:ilvl w:val="4"/>
        <w:numId w:val="31"/>
      </w:numPr>
    </w:pPr>
  </w:style>
  <w:style w:type="paragraph" w:customStyle="1" w:styleId="NumPar6">
    <w:name w:val="NumPar 6"/>
    <w:basedOn w:val="Normal"/>
    <w:next w:val="Text2"/>
    <w:pPr>
      <w:numPr>
        <w:ilvl w:val="5"/>
        <w:numId w:val="31"/>
      </w:numPr>
    </w:pPr>
  </w:style>
  <w:style w:type="paragraph" w:customStyle="1" w:styleId="NumPar7">
    <w:name w:val="NumPar 7"/>
    <w:basedOn w:val="Normal"/>
    <w:next w:val="Text2"/>
    <w:pPr>
      <w:numPr>
        <w:ilvl w:val="6"/>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 w:type="paragraph" w:styleId="Header">
    <w:name w:val="header"/>
    <w:basedOn w:val="Normal"/>
    <w:link w:val="HeaderChar"/>
    <w:uiPriority w:val="99"/>
    <w:unhideWhenUsed/>
    <w:rsid w:val="00575C0C"/>
    <w:pPr>
      <w:tabs>
        <w:tab w:val="center" w:pos="4535"/>
        <w:tab w:val="right" w:pos="9071"/>
      </w:tabs>
      <w:spacing w:before="0"/>
    </w:pPr>
  </w:style>
  <w:style w:type="paragraph" w:customStyle="1" w:styleId="HeaderLandscape">
    <w:name w:val="HeaderLandscape"/>
    <w:basedOn w:val="Normal"/>
    <w:rsid w:val="00575C0C"/>
    <w:pPr>
      <w:tabs>
        <w:tab w:val="center" w:pos="7285"/>
        <w:tab w:val="right" w:pos="14003"/>
      </w:tabs>
      <w:spacing w:before="0"/>
    </w:pPr>
  </w:style>
  <w:style w:type="paragraph" w:styleId="Footer">
    <w:name w:val="footer"/>
    <w:basedOn w:val="Normal"/>
    <w:link w:val="FooterChar"/>
    <w:uiPriority w:val="99"/>
    <w:unhideWhenUsed/>
    <w:rsid w:val="00575C0C"/>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575C0C"/>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dec_impl/2025/1458/oj" TargetMode="External"/><Relationship Id="rId1" Type="http://schemas.openxmlformats.org/officeDocument/2006/relationships/hyperlink" Target="http://data.europa.eu/eli/reg/2025/38/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Reference xmlns="144c03d0-0f03-451f-9d46-5279004462a4" xsi:nil="true"/>
    <EC_Collab_Status xmlns="144c03d0-0f03-451f-9d46-5279004462a4">Not Started</EC_Collab_Status>
    <_Status xmlns="http://schemas.microsoft.com/sharepoint/v3/fields">Not Started</_Status>
    <EC_Collab_DocumentLanguage xmlns="144c03d0-0f03-451f-9d46-5279004462a4">EN</EC_Collab_DocumentLanguage>
    <lcf76f155ced4ddcb4097134ff3c332f xmlns="f7bb8512-91eb-4bfd-be42-d6f021407e9a">
      <Terms xmlns="http://schemas.microsoft.com/office/infopath/2007/PartnerControls"/>
    </lcf76f155ced4ddcb4097134ff3c332f>
    <TaxCatchAll xmlns="144c03d0-0f03-451f-9d46-5279004462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BAD999D84E12C74482EA5120F5227F6F00217DECAAC21D6B43958DFE68658C192E" ma:contentTypeVersion="27" ma:contentTypeDescription="Create a new document in this library." ma:contentTypeScope="" ma:versionID="2102d427686cd96e870a3273dd72c152">
  <xsd:schema xmlns:xsd="http://www.w3.org/2001/XMLSchema" xmlns:xs="http://www.w3.org/2001/XMLSchema" xmlns:p="http://schemas.microsoft.com/office/2006/metadata/properties" xmlns:ns2="http://schemas.microsoft.com/sharepoint/v3/fields" xmlns:ns3="144c03d0-0f03-451f-9d46-5279004462a4" xmlns:ns4="f7bb8512-91eb-4bfd-be42-d6f021407e9a" targetNamespace="http://schemas.microsoft.com/office/2006/metadata/properties" ma:root="true" ma:fieldsID="492130a08d5ae8bb7a6f79abd30fb763" ns2:_="" ns3:_="" ns4:_="">
    <xsd:import namespace="http://schemas.microsoft.com/sharepoint/v3/fields"/>
    <xsd:import namespace="144c03d0-0f03-451f-9d46-5279004462a4"/>
    <xsd:import namespace="f7bb8512-91eb-4bfd-be42-d6f021407e9a"/>
    <xsd:element name="properties">
      <xsd:complexType>
        <xsd:sequence>
          <xsd:element name="documentManagement">
            <xsd:complexType>
              <xsd:all>
                <xsd:element ref="ns3:EC_Collab_Reference" minOccurs="0"/>
                <xsd:element ref="ns2:_Status" minOccurs="0"/>
                <xsd:element ref="ns3:EC_Collab_DocumentLanguage"/>
                <xsd:element ref="ns3:SharedWithUsers" minOccurs="0"/>
                <xsd:element ref="ns3:SharedWithDetails" minOccurs="0"/>
                <xsd:element ref="ns3:EC_Collab_Status" minOccurs="0"/>
                <xsd:element ref="ns4:MediaServiceSearchProperties" minOccurs="0"/>
                <xsd:element ref="ns4:lcf76f155ced4ddcb4097134ff3c332f" minOccurs="0"/>
                <xsd:element ref="ns3:TaxCatchAll"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État" ma:default="Non commencé" ma:hidden="true" ma:internalName="_Status" ma:readOnly="false">
      <xsd:simpleType>
        <xsd:union memberTypes="dms:Text">
          <xsd:simpleType>
            <xsd:restriction base="dms:Choice">
              <xsd:enumeration value="Non commencé"/>
              <xsd:enumeration value="Brouillon"/>
              <xsd:enumeration value="Révisé"/>
              <xsd:enumeration value="Planifié"/>
              <xsd:enumeration value="Publié"/>
              <xsd:enumeration value="Final"/>
              <xsd:enumeration value="Date d'expir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44c03d0-0f03-451f-9d46-5279004462a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ma:readOnly="false">
      <xsd:simpleType>
        <xsd:restriction base="dms:Text"/>
      </xsd:simpleType>
    </xsd:element>
    <xsd:element name="EC_Collab_DocumentLanguage" ma:index="14" ma:displayName="Language" ma:default="EN" ma:format="Dropdow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EC_Collab_Status" ma:index="17" nillable="true" ma:displayName="EC Status" ma:default="Not Started" ma:format="Dropdown" ma:internalName="EC_Collab_Status" ma:readOnly="false">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TaxCatchAll" ma:index="21" nillable="true" ma:displayName="Taxonomy Catch All Column" ma:hidden="true" ma:list="{51513471-611d-4aba-ae12-e8d0e877eea6}" ma:internalName="TaxCatchAll" ma:showField="CatchAllData" ma:web="144c03d0-0f03-451f-9d46-5279004462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bb8512-91eb-4bfd-be42-d6f021407e9a" elementFormDefault="qualified">
    <xsd:import namespace="http://schemas.microsoft.com/office/2006/documentManagement/types"/>
    <xsd:import namespace="http://schemas.microsoft.com/office/infopath/2007/PartnerControls"/>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Type de contenu"/>
        <xsd:element ref="dc:title" minOccurs="0" maxOccurs="1" ma:index="7" ma:displayName="Titr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État"/>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C4F8D-CF11-43D6-8ABA-4023AC3922B7}">
  <ds:schemaRefs>
    <ds:schemaRef ds:uri="http://schemas.microsoft.com/office/2006/metadata/properties"/>
    <ds:schemaRef ds:uri="http://schemas.microsoft.com/office/infopath/2007/PartnerControls"/>
    <ds:schemaRef ds:uri="144c03d0-0f03-451f-9d46-5279004462a4"/>
    <ds:schemaRef ds:uri="http://schemas.microsoft.com/sharepoint/v3/fields"/>
    <ds:schemaRef ds:uri="f7bb8512-91eb-4bfd-be42-d6f021407e9a"/>
  </ds:schemaRefs>
</ds:datastoreItem>
</file>

<file path=customXml/itemProps2.xml><?xml version="1.0" encoding="utf-8"?>
<ds:datastoreItem xmlns:ds="http://schemas.openxmlformats.org/officeDocument/2006/customXml" ds:itemID="{82FFA608-D945-427B-837F-807519A9B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44c03d0-0f03-451f-9d46-5279004462a4"/>
    <ds:schemaRef ds:uri="f7bb8512-91eb-4bfd-be42-d6f021407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4794E1-8702-4DC4-BD9D-D06308755CCD}">
  <ds:schemaRefs>
    <ds:schemaRef ds:uri="http://schemas.microsoft.com/sharepoint/v3/contenttype/forms"/>
  </ds:schemaRefs>
</ds:datastoreItem>
</file>

<file path=customXml/itemProps4.xml><?xml version="1.0" encoding="utf-8"?>
<ds:datastoreItem xmlns:ds="http://schemas.openxmlformats.org/officeDocument/2006/customXml" ds:itemID="{672E5AFB-1819-4EFE-9860-2EEEA4964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39</TotalTime>
  <Pages>4</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60</cp:revision>
  <dcterms:created xsi:type="dcterms:W3CDTF">2026-05-19T06:48:00Z</dcterms:created>
  <dcterms:modified xsi:type="dcterms:W3CDTF">2026-06-09T07:17:00Z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9.2, Build 20250828</vt:lpwstr>
  </property>
  <property fmtid="{D5CDD505-2E9C-101B-9397-08002B2CF9AE}" pid="5" name="Created using">
    <vt:lpwstr>LW 9.2, Build 20250828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SJ-021</vt:lpwstr>
  </property>
  <property fmtid="{D5CDD505-2E9C-101B-9397-08002B2CF9AE}" pid="10" name="MSIP_Label_6bd9ddd1-4d20-43f6-abfa-fc3c07406f94_Enabled">
    <vt:lpwstr>true</vt:lpwstr>
  </property>
  <property fmtid="{D5CDD505-2E9C-101B-9397-08002B2CF9AE}" pid="11" name="MSIP_Label_6bd9ddd1-4d20-43f6-abfa-fc3c07406f94_SetDate">
    <vt:lpwstr>2026-04-30T14:03:35Z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4998c542-3653-48cd-88ed-ea697ffec252</vt:lpwstr>
  </property>
  <property fmtid="{D5CDD505-2E9C-101B-9397-08002B2CF9AE}" pid="16" name="MSIP_Label_6bd9ddd1-4d20-43f6-abfa-fc3c07406f94_ContentBits">
    <vt:lpwstr>0</vt:lpwstr>
  </property>
  <property fmtid="{D5CDD505-2E9C-101B-9397-08002B2CF9AE}" pid="17" name="MSIP_Label_6bd9ddd1-4d20-43f6-abfa-fc3c07406f94_Tag">
    <vt:lpwstr>10, 3, 0, 1</vt:lpwstr>
  </property>
  <property fmtid="{D5CDD505-2E9C-101B-9397-08002B2CF9AE}" pid="18" name="ContentTypeId">
    <vt:lpwstr>0x010100BAD999D84E12C74482EA5120F5227F6F00217DECAAC21D6B43958DFE68658C192E</vt:lpwstr>
  </property>
  <property fmtid="{D5CDD505-2E9C-101B-9397-08002B2CF9AE}" pid="19" name="MediaServiceImageTags">
    <vt:lpwstr/>
  </property>
  <property fmtid="{D5CDD505-2E9C-101B-9397-08002B2CF9AE}" pid="20" name="DQCStatus">
    <vt:lpwstr>Green (DQC version 03)</vt:lpwstr>
  </property>
  <property name="OP_sanitized" fmtid="{D5CDD505-2E9C-101B-9397-08002B2CF9AE}" pid="21">
    <vt:lpwstr>True</vt:lpwstr>
  </property>
</Properties>
</file>