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D6679" w14:textId="58C91B4A" w:rsidR="0029533F" w:rsidRPr="00FC0123" w:rsidRDefault="00EF0C72" w:rsidP="00EF0C72">
      <w:pPr>
        <w:pStyle w:val="Pagedecouverture"/>
        <w:rPr>
          <w:noProof/>
        </w:rPr>
      </w:pPr>
      <w:r>
        <w:rPr>
          <w:noProof/>
        </w:rPr>
        <w:pict w14:anchorId="207A0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E75BEA5-E822-457B-B623-9C2212C3A981" style="width:455.25pt;height:422.25pt">
            <v:imagedata r:id="rId11" o:title=""/>
          </v:shape>
        </w:pict>
      </w:r>
    </w:p>
    <w:p w14:paraId="38F0F38B" w14:textId="77777777" w:rsidR="00C30257" w:rsidRPr="00FC0123" w:rsidRDefault="00C30257">
      <w:pPr>
        <w:rPr>
          <w:noProof/>
        </w:rPr>
        <w:sectPr w:rsidR="00C30257" w:rsidRPr="00FC0123" w:rsidSect="00EF0C72">
          <w:footerReference w:type="even" r:id="rId12"/>
          <w:footerReference w:type="default" r:id="rId13"/>
          <w:pgSz w:w="11907" w:h="16839"/>
          <w:pgMar w:top="1134" w:right="1417" w:bottom="1134" w:left="1417" w:header="709" w:footer="709" w:gutter="0"/>
          <w:pgNumType w:start="0"/>
          <w:cols w:space="720"/>
          <w:docGrid w:linePitch="360"/>
        </w:sectPr>
      </w:pPr>
    </w:p>
    <w:p w14:paraId="73546804" w14:textId="70954FF3" w:rsidR="00477354" w:rsidRPr="00FC0123" w:rsidRDefault="000679B8" w:rsidP="000679B8">
      <w:pPr>
        <w:pStyle w:val="Rfrenceinterinstitutionnelle"/>
        <w:rPr>
          <w:noProof/>
        </w:rPr>
      </w:pPr>
      <w:bookmarkStart w:id="0" w:name="_GoBack"/>
      <w:bookmarkEnd w:id="0"/>
      <w:r>
        <w:rPr>
          <w:noProof/>
        </w:rPr>
        <w:lastRenderedPageBreak/>
        <w:t>2023/0115 (COD)</w:t>
      </w:r>
    </w:p>
    <w:p w14:paraId="0EBBEF32" w14:textId="602668DD" w:rsidR="00C30257" w:rsidRPr="00FC0123" w:rsidRDefault="000679B8" w:rsidP="000679B8">
      <w:pPr>
        <w:pStyle w:val="Typedudocument"/>
        <w:rPr>
          <w:noProof/>
        </w:rPr>
      </w:pPr>
      <w:r w:rsidRPr="000679B8">
        <w:rPr>
          <w:noProof/>
        </w:rPr>
        <w:t>COMUNICARE A COMISIEI CĂTRE PARLAMENTUL EUROPEAN</w:t>
      </w:r>
      <w:r w:rsidRPr="000679B8">
        <w:rPr>
          <w:noProof/>
        </w:rPr>
        <w:br/>
      </w:r>
      <w:r w:rsidRPr="000679B8">
        <w:rPr>
          <w:noProof/>
        </w:rPr>
        <w:br/>
        <w:t>în conformitate cu articolul 294 alineatul (6) din Tratatul privind funcționarea Uniunii Europene</w:t>
      </w:r>
      <w:r w:rsidRPr="000679B8">
        <w:rPr>
          <w:noProof/>
        </w:rPr>
        <w:br/>
      </w:r>
      <w:r w:rsidRPr="000679B8">
        <w:rPr>
          <w:noProof/>
        </w:rPr>
        <w:br/>
        <w:t>privind</w:t>
      </w:r>
    </w:p>
    <w:p w14:paraId="5AD40084" w14:textId="72B1C971" w:rsidR="00C30257" w:rsidRPr="00FC0123" w:rsidRDefault="000679B8" w:rsidP="000679B8">
      <w:pPr>
        <w:pStyle w:val="Titreobjet"/>
        <w:rPr>
          <w:noProof/>
        </w:rPr>
      </w:pPr>
      <w:r w:rsidRPr="000679B8">
        <w:rPr>
          <w:noProof/>
        </w:rPr>
        <w:t>poziția Consiliului referitoare la adoptarea Directivei Parlamentului European și a Consiliului de modificare a Directivei 2014/49/UE în ceea ce privește domeniul de aplicare al protecției depozitelor, utilizarea fondurilor schemelor de garantare a depozitelor, cooperarea transfrontalieră și transparența</w:t>
      </w:r>
    </w:p>
    <w:p w14:paraId="1224C05E" w14:textId="29BD3232" w:rsidR="00C30257" w:rsidRPr="00FC0123" w:rsidRDefault="000679B8" w:rsidP="000679B8">
      <w:pPr>
        <w:pStyle w:val="IntrtEEE"/>
        <w:rPr>
          <w:noProof/>
        </w:rPr>
      </w:pPr>
      <w:r w:rsidRPr="000679B8">
        <w:rPr>
          <w:noProof/>
        </w:rPr>
        <w:t>(Text cu relevanță pentru SEE)</w:t>
      </w:r>
    </w:p>
    <w:p w14:paraId="26F485A8" w14:textId="77777777" w:rsidR="00C30257" w:rsidRPr="00FC0123" w:rsidRDefault="00C30257" w:rsidP="001704B9">
      <w:pPr>
        <w:pStyle w:val="ManualHeading1"/>
        <w:rPr>
          <w:noProof/>
          <w:sz w:val="22"/>
        </w:rPr>
      </w:pPr>
      <w:r w:rsidRPr="00FC0123">
        <w:rPr>
          <w:noProof/>
        </w:rPr>
        <w:t>1.</w:t>
      </w:r>
      <w:r w:rsidRPr="00FC0123">
        <w:rPr>
          <w:noProof/>
        </w:rPr>
        <w:tab/>
        <w:t>Istoricul dosarului</w:t>
      </w:r>
    </w:p>
    <w:tbl>
      <w:tblPr>
        <w:tblW w:w="0" w:type="auto"/>
        <w:tblLayout w:type="fixed"/>
        <w:tblLook w:val="0000" w:firstRow="0" w:lastRow="0" w:firstColumn="0" w:lastColumn="0" w:noHBand="0" w:noVBand="0"/>
      </w:tblPr>
      <w:tblGrid>
        <w:gridCol w:w="6804"/>
        <w:gridCol w:w="2483"/>
      </w:tblGrid>
      <w:tr w:rsidR="00C30257" w:rsidRPr="00FC0123" w14:paraId="648C50FA" w14:textId="77777777" w:rsidTr="00FC48CE">
        <w:tc>
          <w:tcPr>
            <w:tcW w:w="6804" w:type="dxa"/>
          </w:tcPr>
          <w:p w14:paraId="0DB837A8" w14:textId="039ADC5B" w:rsidR="00C30257" w:rsidRPr="00FC0123" w:rsidRDefault="00C30257" w:rsidP="00FC48CE">
            <w:pPr>
              <w:jc w:val="left"/>
              <w:rPr>
                <w:noProof/>
              </w:rPr>
            </w:pPr>
            <w:r w:rsidRPr="00FC0123">
              <w:rPr>
                <w:noProof/>
              </w:rPr>
              <w:t xml:space="preserve">Data transmiterii propunerii către Parlamentul European și Consiliu </w:t>
            </w:r>
            <w:r w:rsidRPr="00FC0123">
              <w:rPr>
                <w:noProof/>
              </w:rPr>
              <w:br/>
              <w:t>[documentul COM(2023) 228 final – 2023/0115 COD]:</w:t>
            </w:r>
          </w:p>
        </w:tc>
        <w:tc>
          <w:tcPr>
            <w:tcW w:w="2483" w:type="dxa"/>
          </w:tcPr>
          <w:p w14:paraId="6F3BCF4B" w14:textId="77777777" w:rsidR="00C30257" w:rsidRPr="00FC0123" w:rsidRDefault="009F5CDB" w:rsidP="00FC48CE">
            <w:pPr>
              <w:jc w:val="left"/>
              <w:rPr>
                <w:noProof/>
              </w:rPr>
            </w:pPr>
            <w:r w:rsidRPr="00FC0123">
              <w:rPr>
                <w:noProof/>
              </w:rPr>
              <w:t>19 aprilie 2023.</w:t>
            </w:r>
          </w:p>
        </w:tc>
      </w:tr>
      <w:tr w:rsidR="00C30257" w:rsidRPr="00FC0123" w14:paraId="1CA11ABA" w14:textId="77777777" w:rsidTr="00FC48CE">
        <w:tc>
          <w:tcPr>
            <w:tcW w:w="6804" w:type="dxa"/>
          </w:tcPr>
          <w:p w14:paraId="760B73D7" w14:textId="77777777" w:rsidR="00C30257" w:rsidRPr="00FC0123" w:rsidRDefault="00C30257" w:rsidP="00FC48CE">
            <w:pPr>
              <w:rPr>
                <w:noProof/>
              </w:rPr>
            </w:pPr>
            <w:r w:rsidRPr="00FC0123">
              <w:rPr>
                <w:noProof/>
              </w:rPr>
              <w:t>Data avizului Comitetului Economic și Social European:</w:t>
            </w:r>
          </w:p>
        </w:tc>
        <w:tc>
          <w:tcPr>
            <w:tcW w:w="2483" w:type="dxa"/>
          </w:tcPr>
          <w:p w14:paraId="3067E3F6" w14:textId="77777777" w:rsidR="00C30257" w:rsidRPr="00FC0123" w:rsidRDefault="007C2F1C" w:rsidP="00FC48CE">
            <w:pPr>
              <w:jc w:val="left"/>
              <w:rPr>
                <w:noProof/>
              </w:rPr>
            </w:pPr>
            <w:r w:rsidRPr="00FC0123">
              <w:rPr>
                <w:noProof/>
              </w:rPr>
              <w:t>13 iulie 2023.</w:t>
            </w:r>
          </w:p>
        </w:tc>
      </w:tr>
      <w:tr w:rsidR="00C30257" w:rsidRPr="00FC0123" w14:paraId="099A15FF" w14:textId="77777777" w:rsidTr="00FC48CE">
        <w:tc>
          <w:tcPr>
            <w:tcW w:w="6804" w:type="dxa"/>
          </w:tcPr>
          <w:p w14:paraId="6B8B1A8C" w14:textId="77777777" w:rsidR="00C30257" w:rsidRPr="00FC0123" w:rsidRDefault="00C30257" w:rsidP="00FC48CE">
            <w:pPr>
              <w:rPr>
                <w:noProof/>
              </w:rPr>
            </w:pPr>
            <w:r w:rsidRPr="00FC0123">
              <w:rPr>
                <w:noProof/>
              </w:rPr>
              <w:t>Data poziției Parlamentului European în primă lectură:</w:t>
            </w:r>
          </w:p>
        </w:tc>
        <w:tc>
          <w:tcPr>
            <w:tcW w:w="2483" w:type="dxa"/>
          </w:tcPr>
          <w:p w14:paraId="528669EA" w14:textId="77777777" w:rsidR="00C30257" w:rsidRPr="00FC0123" w:rsidRDefault="007C2F1C" w:rsidP="00FC48CE">
            <w:pPr>
              <w:jc w:val="left"/>
              <w:rPr>
                <w:noProof/>
              </w:rPr>
            </w:pPr>
            <w:r w:rsidRPr="00FC0123">
              <w:rPr>
                <w:noProof/>
              </w:rPr>
              <w:t>24 aprilie 2024.</w:t>
            </w:r>
          </w:p>
        </w:tc>
      </w:tr>
      <w:tr w:rsidR="00C30257" w:rsidRPr="00FC0123" w14:paraId="2CDDC38B" w14:textId="77777777" w:rsidTr="00FC48CE">
        <w:tc>
          <w:tcPr>
            <w:tcW w:w="6804" w:type="dxa"/>
          </w:tcPr>
          <w:p w14:paraId="774A7EE5" w14:textId="77777777" w:rsidR="00C30257" w:rsidRPr="00FC0123" w:rsidRDefault="00C30257" w:rsidP="00FC48CE">
            <w:pPr>
              <w:rPr>
                <w:noProof/>
              </w:rPr>
            </w:pPr>
            <w:r w:rsidRPr="00FC0123">
              <w:rPr>
                <w:noProof/>
              </w:rPr>
              <w:t>Data transmiterii propunerii modificate:</w:t>
            </w:r>
          </w:p>
        </w:tc>
        <w:tc>
          <w:tcPr>
            <w:tcW w:w="2483" w:type="dxa"/>
          </w:tcPr>
          <w:p w14:paraId="7FF31E49" w14:textId="77777777" w:rsidR="00C30257" w:rsidRPr="00FC0123" w:rsidRDefault="007C2F1C" w:rsidP="00FC48CE">
            <w:pPr>
              <w:jc w:val="left"/>
              <w:rPr>
                <w:noProof/>
              </w:rPr>
            </w:pPr>
            <w:r w:rsidRPr="00FC0123">
              <w:rPr>
                <w:noProof/>
              </w:rPr>
              <w:t>nu se aplică.</w:t>
            </w:r>
          </w:p>
        </w:tc>
      </w:tr>
      <w:tr w:rsidR="00C30257" w:rsidRPr="00FC0123" w14:paraId="4EB42B32" w14:textId="77777777" w:rsidTr="00FC48CE">
        <w:tc>
          <w:tcPr>
            <w:tcW w:w="6804" w:type="dxa"/>
          </w:tcPr>
          <w:p w14:paraId="52A36A0F" w14:textId="77777777" w:rsidR="00C30257" w:rsidRPr="00FC0123" w:rsidRDefault="00C30257" w:rsidP="00FC48CE">
            <w:pPr>
              <w:rPr>
                <w:noProof/>
              </w:rPr>
            </w:pPr>
            <w:r w:rsidRPr="00FC0123">
              <w:rPr>
                <w:noProof/>
              </w:rPr>
              <w:t>Data adoptării poziției Consiliului:</w:t>
            </w:r>
          </w:p>
        </w:tc>
        <w:tc>
          <w:tcPr>
            <w:tcW w:w="2483" w:type="dxa"/>
          </w:tcPr>
          <w:p w14:paraId="6228B4FD" w14:textId="67AD87A2" w:rsidR="00C30257" w:rsidRPr="00FC0123" w:rsidRDefault="004130F8" w:rsidP="00FC48CE">
            <w:pPr>
              <w:jc w:val="left"/>
              <w:rPr>
                <w:noProof/>
              </w:rPr>
            </w:pPr>
            <w:r w:rsidRPr="00FC0123">
              <w:rPr>
                <w:noProof/>
              </w:rPr>
              <w:t>5 martie 2026.</w:t>
            </w:r>
          </w:p>
        </w:tc>
      </w:tr>
    </w:tbl>
    <w:p w14:paraId="70E9FC78" w14:textId="77777777" w:rsidR="00C30257" w:rsidRPr="00FC0123" w:rsidRDefault="00C30257" w:rsidP="001704B9">
      <w:pPr>
        <w:pStyle w:val="ManualHeading1"/>
        <w:rPr>
          <w:noProof/>
        </w:rPr>
      </w:pPr>
      <w:r w:rsidRPr="00FC0123">
        <w:rPr>
          <w:noProof/>
        </w:rPr>
        <w:t>2.</w:t>
      </w:r>
      <w:r w:rsidRPr="00FC0123">
        <w:rPr>
          <w:noProof/>
        </w:rPr>
        <w:tab/>
        <w:t>Obiectul propunerii Comisiei</w:t>
      </w:r>
    </w:p>
    <w:p w14:paraId="5B878998" w14:textId="2DCC5F7F" w:rsidR="00E61FA7" w:rsidRPr="00FC0123" w:rsidRDefault="00E61FA7" w:rsidP="001704B9">
      <w:pPr>
        <w:rPr>
          <w:rFonts w:eastAsia="Times New Roman"/>
          <w:noProof/>
          <w:szCs w:val="20"/>
        </w:rPr>
      </w:pPr>
      <w:bookmarkStart w:id="1" w:name="_Hlk221536680"/>
      <w:r w:rsidRPr="00FC0123">
        <w:rPr>
          <w:noProof/>
        </w:rPr>
        <w:t>Pentru a reforma cadrul de gestionare a crizelor și de asigurare a depozitelor (CMDI), Comisia a propus un pachet de patru acte legislative de modificare. Modificările propuse la Directiva 2014/59/UE în ceea ce privește anumite aspecte ale cerinței minime de fonduri proprii și datorii eligibile (COM/2023/229 final) au fost adoptate separat de colegiuitori în forma Directivei (UE) 2024/1174. Celelalte trei acte legislative au propus modificări ale Directivei 2014/59/UE, ale Regulamentului (UE) nr. 806/2014 și, respectiv, ale Directivei</w:t>
      </w:r>
      <w:r w:rsidR="005369B9">
        <w:rPr>
          <w:noProof/>
        </w:rPr>
        <w:t> </w:t>
      </w:r>
      <w:r w:rsidRPr="00FC0123">
        <w:rPr>
          <w:noProof/>
        </w:rPr>
        <w:t>2014/49/UE</w:t>
      </w:r>
      <w:bookmarkEnd w:id="1"/>
      <w:r w:rsidRPr="00FC0123">
        <w:rPr>
          <w:noProof/>
        </w:rPr>
        <w:t xml:space="preserve">. </w:t>
      </w:r>
    </w:p>
    <w:p w14:paraId="79B66BC0" w14:textId="77777777" w:rsidR="00C30257" w:rsidRPr="00FC0123" w:rsidRDefault="00E61FA7" w:rsidP="00037473">
      <w:pPr>
        <w:rPr>
          <w:noProof/>
        </w:rPr>
      </w:pPr>
      <w:bookmarkStart w:id="2" w:name="_Hlk221536766"/>
      <w:r w:rsidRPr="00FC0123">
        <w:rPr>
          <w:noProof/>
        </w:rPr>
        <w:t>Obiectivele generale ale propunerii referitoare la CMDI constau în protejarea mai bună a stabilității financiare și a banilor contribuabililor, în protejarea economiei reale de impactul intrării în dificultate a băncilor și în consolidarea ulterioară a protecției deponenților. Propunerea vizează atingerea obiectivelor menționate anterior prin consolidarea instrumentelor de gestionare a crizelor care sunt utilizate pentru a gestiona intrarea în dificultate a băncilor mici și mijlocii. Principalul instrument pentru atingerea acestui obiectiv este posibilitatea utilizării de către autoritățile de rezoluție a fondurilor din schemele de garantare a depozitelor pentru a finanța punerea în aplicare a unei strategii de transfer atunci când capacitatea internă de absorbție a pierderilor a unor astfel de bănci nu este suficientă pentru a accesa fondul de rezoluție.</w:t>
      </w:r>
      <w:bookmarkEnd w:id="2"/>
    </w:p>
    <w:p w14:paraId="6650954A" w14:textId="77777777" w:rsidR="00C30257" w:rsidRPr="00FC0123" w:rsidRDefault="00C30257" w:rsidP="001704B9">
      <w:pPr>
        <w:pStyle w:val="ManualHeading1"/>
        <w:rPr>
          <w:noProof/>
        </w:rPr>
      </w:pPr>
      <w:r w:rsidRPr="00FC0123">
        <w:rPr>
          <w:noProof/>
        </w:rPr>
        <w:lastRenderedPageBreak/>
        <w:t>3.</w:t>
      </w:r>
      <w:r w:rsidRPr="00FC0123">
        <w:rPr>
          <w:noProof/>
        </w:rPr>
        <w:tab/>
        <w:t>Observații privind poziția Consiliului</w:t>
      </w:r>
    </w:p>
    <w:p w14:paraId="3C7C317E" w14:textId="6A1CD89C" w:rsidR="00C30257" w:rsidRPr="00FC0123" w:rsidRDefault="00037473" w:rsidP="001704B9">
      <w:pPr>
        <w:widowControl w:val="0"/>
        <w:rPr>
          <w:noProof/>
        </w:rPr>
      </w:pPr>
      <w:bookmarkStart w:id="3" w:name="_Hlk221530109"/>
      <w:r w:rsidRPr="00FC0123">
        <w:rPr>
          <w:noProof/>
        </w:rPr>
        <w:t>Poziția Consiliului cu privire la modificările propuse la Directiva 2014/49/UE, astfel cum a fost adoptată în primă lectură, reflectă pe deplin acordul politic la care au ajuns Parlamentul</w:t>
      </w:r>
      <w:r w:rsidR="005369B9">
        <w:rPr>
          <w:noProof/>
        </w:rPr>
        <w:t> </w:t>
      </w:r>
      <w:r w:rsidRPr="00FC0123">
        <w:rPr>
          <w:noProof/>
        </w:rPr>
        <w:t>European și Consiliul la 25 iunie 2025. Comisia sprijină acest acord. Principalele puncte ale acestui acord cu privire la Directiva 2014/49/UE sunt următoarele</w:t>
      </w:r>
      <w:bookmarkEnd w:id="3"/>
      <w:r w:rsidRPr="00FC0123">
        <w:rPr>
          <w:noProof/>
        </w:rPr>
        <w:t>:</w:t>
      </w:r>
    </w:p>
    <w:p w14:paraId="0383810C" w14:textId="77777777" w:rsidR="004D31EA" w:rsidRPr="00FC0123" w:rsidRDefault="00790858" w:rsidP="00D647A9">
      <w:pPr>
        <w:pStyle w:val="Bullet0"/>
        <w:numPr>
          <w:ilvl w:val="0"/>
          <w:numId w:val="9"/>
        </w:numPr>
        <w:rPr>
          <w:noProof/>
        </w:rPr>
      </w:pPr>
      <w:r w:rsidRPr="00FC0123">
        <w:rPr>
          <w:noProof/>
        </w:rPr>
        <w:t xml:space="preserve">modificările convenite încadrează mai bine utilizarea fondurilor schemelor de garantare a depozitelor (SGD) în afara procedurii de rezoluție. Utilizarea fondurilor SGD pentru măsuri preventive rămâne facultativă pentru statele membre, însă utilizarea acestor fonduri este supusă unor condiții și garanții suplimentare, în special testul celui mai mic cost, care este identic cu cel aplicabil în cazul utilizării fondurilor SGD în cadrul procedurii de rezoluție, și anume plafonarea intervenției la cuantumul brut al depozitelor acoperite; </w:t>
      </w:r>
    </w:p>
    <w:p w14:paraId="66FA6DC4" w14:textId="77777777" w:rsidR="00790858" w:rsidRPr="00FC0123" w:rsidRDefault="004D31EA" w:rsidP="001B345F">
      <w:pPr>
        <w:pStyle w:val="Bullet0"/>
        <w:rPr>
          <w:noProof/>
        </w:rPr>
      </w:pPr>
      <w:r w:rsidRPr="00FC0123">
        <w:rPr>
          <w:noProof/>
        </w:rPr>
        <w:t>în mod similar, utilizarea fondurilor SGD pentru măsuri alternative în caz de insolvență este supusă aceluiași test al celui mai mic cost și unor norme suplimentare care reglementează tipurile de transferuri de la banca în dificultate care pot fi finanțate prin SGD ca parte a măsurilor respective;</w:t>
      </w:r>
    </w:p>
    <w:p w14:paraId="3051F230" w14:textId="497125CD" w:rsidR="00790858" w:rsidRPr="00FC0123" w:rsidRDefault="00793054" w:rsidP="001B345F">
      <w:pPr>
        <w:pStyle w:val="Bullet0"/>
        <w:rPr>
          <w:noProof/>
        </w:rPr>
      </w:pPr>
      <w:r w:rsidRPr="00FC0123">
        <w:rPr>
          <w:noProof/>
        </w:rPr>
        <w:t xml:space="preserve">sistemele instituționale de protecție (SIP) recunoscute ca SGD trebuie să mențină un nivel-țintă </w:t>
      </w:r>
      <w:r w:rsidRPr="00FC0123">
        <w:rPr>
          <w:i/>
          <w:iCs/>
          <w:noProof/>
        </w:rPr>
        <w:t>ex ante</w:t>
      </w:r>
      <w:r w:rsidRPr="00FC0123">
        <w:rPr>
          <w:noProof/>
        </w:rPr>
        <w:t xml:space="preserve"> de 0,8 % din depozitele acoperite. Aceste sisteme pot să transfere temporar fonduri în scopul de a susține lichiditatea și solvabilitatea instituțiilor afiliate până la o anumită limită și sub rezerva unor garanții. Fondurile respective ar trebui rambursate în termen de 7 zile lucrătoare în cazul unei compensații sau al unei contribuții la rezoluția unei instituții de credit afiliate la un sistem instituțional de protecție recunoscut ca SGD.</w:t>
      </w:r>
    </w:p>
    <w:p w14:paraId="52C4EA30" w14:textId="77777777" w:rsidR="00C30257" w:rsidRPr="00FC0123" w:rsidRDefault="00C30257" w:rsidP="001704B9">
      <w:pPr>
        <w:pStyle w:val="ManualHeading1"/>
        <w:rPr>
          <w:noProof/>
        </w:rPr>
      </w:pPr>
      <w:r w:rsidRPr="00FC0123">
        <w:rPr>
          <w:noProof/>
        </w:rPr>
        <w:t>4.</w:t>
      </w:r>
      <w:r w:rsidRPr="00FC0123">
        <w:rPr>
          <w:noProof/>
        </w:rPr>
        <w:tab/>
        <w:t>Concluzii</w:t>
      </w:r>
    </w:p>
    <w:p w14:paraId="6FE76266" w14:textId="77777777" w:rsidR="00345CE9" w:rsidRDefault="00A92C7D" w:rsidP="001704B9">
      <w:pPr>
        <w:rPr>
          <w:noProof/>
        </w:rPr>
      </w:pPr>
      <w:r w:rsidRPr="00FC0123">
        <w:rPr>
          <w:noProof/>
        </w:rPr>
        <w:t>Comisia susține rezultatele negocierilor interinstituționale și, prin urmare, poate să accepte poziția adoptată de Consiliu în primă lectură.</w:t>
      </w:r>
    </w:p>
    <w:p w14:paraId="6759099A" w14:textId="6835B82C" w:rsidR="00C30257" w:rsidRPr="00FC0123" w:rsidRDefault="00C30257" w:rsidP="001704B9">
      <w:pPr>
        <w:rPr>
          <w:noProof/>
        </w:rPr>
      </w:pPr>
    </w:p>
    <w:sectPr w:rsidR="00C30257" w:rsidRPr="00FC0123" w:rsidSect="00EF0C72">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F2CEF" w14:textId="77777777" w:rsidR="00C30257" w:rsidRDefault="00C30257" w:rsidP="00C30257">
      <w:pPr>
        <w:spacing w:before="0" w:after="0"/>
      </w:pPr>
      <w:r>
        <w:separator/>
      </w:r>
    </w:p>
  </w:endnote>
  <w:endnote w:type="continuationSeparator" w:id="0">
    <w:p w14:paraId="2063062E" w14:textId="77777777" w:rsidR="00C30257" w:rsidRDefault="00C30257" w:rsidP="00C302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22BEF" w14:textId="12A4E550" w:rsidR="00EF0C72" w:rsidRPr="00EF0C72" w:rsidRDefault="00EF0C72" w:rsidP="00EF0C72">
    <w:pPr>
      <w:pStyle w:val="Footer"/>
      <w:rPr>
        <w:rFonts w:ascii="Arial" w:hAnsi="Arial" w:cs="Arial"/>
        <w:b/>
        <w:sz w:val="48"/>
      </w:rPr>
    </w:pPr>
    <w:r w:rsidRPr="00EF0C72">
      <w:rPr>
        <w:rFonts w:ascii="Arial" w:hAnsi="Arial" w:cs="Arial"/>
        <w:b/>
        <w:sz w:val="48"/>
      </w:rPr>
      <w:t>RO</w:t>
    </w:r>
    <w:r w:rsidRPr="00EF0C72">
      <w:rPr>
        <w:rFonts w:ascii="Arial" w:hAnsi="Arial" w:cs="Arial"/>
        <w:b/>
        <w:sz w:val="48"/>
      </w:rPr>
      <w:tab/>
    </w:r>
    <w:r w:rsidRPr="00EF0C72">
      <w:rPr>
        <w:rFonts w:ascii="Arial" w:hAnsi="Arial" w:cs="Arial"/>
        <w:b/>
        <w:sz w:val="48"/>
      </w:rPr>
      <w:tab/>
    </w:r>
    <w:r w:rsidRPr="00EF0C72">
      <w:tab/>
    </w:r>
    <w:r w:rsidRPr="00EF0C72">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CC5F8" w14:textId="02F9C6A5" w:rsidR="00EF0C72" w:rsidRPr="00EF0C72" w:rsidRDefault="00EF0C72" w:rsidP="00EF0C72">
    <w:pPr>
      <w:pStyle w:val="Footer"/>
      <w:rPr>
        <w:rFonts w:ascii="Arial" w:hAnsi="Arial" w:cs="Arial"/>
        <w:b/>
        <w:sz w:val="48"/>
      </w:rPr>
    </w:pPr>
    <w:r w:rsidRPr="00EF0C72">
      <w:rPr>
        <w:rFonts w:ascii="Arial" w:hAnsi="Arial" w:cs="Arial"/>
        <w:b/>
        <w:sz w:val="48"/>
      </w:rPr>
      <w:t>RO</w:t>
    </w:r>
    <w:r w:rsidRPr="00EF0C72">
      <w:rPr>
        <w:rFonts w:ascii="Arial" w:hAnsi="Arial" w:cs="Arial"/>
        <w:b/>
        <w:sz w:val="48"/>
      </w:rPr>
      <w:tab/>
    </w:r>
    <w:r w:rsidRPr="00EF0C72">
      <w:rPr>
        <w:rFonts w:ascii="Arial" w:hAnsi="Arial" w:cs="Arial"/>
        <w:b/>
        <w:sz w:val="48"/>
      </w:rPr>
      <w:tab/>
    </w:r>
    <w:r w:rsidRPr="00EF0C72">
      <w:tab/>
    </w:r>
    <w:r w:rsidRPr="00EF0C72">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A065" w14:textId="77777777" w:rsidR="00EF0C72" w:rsidRDefault="00EF0C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55361" w14:textId="6A4E7362" w:rsidR="00EF0C72" w:rsidRPr="00EF0C72" w:rsidRDefault="00EF0C72" w:rsidP="00EF0C72">
    <w:pPr>
      <w:pStyle w:val="Footer"/>
      <w:rPr>
        <w:rFonts w:ascii="Arial" w:hAnsi="Arial" w:cs="Arial"/>
        <w:b/>
        <w:sz w:val="48"/>
      </w:rPr>
    </w:pPr>
    <w:r w:rsidRPr="00EF0C72">
      <w:rPr>
        <w:rFonts w:ascii="Arial" w:hAnsi="Arial" w:cs="Arial"/>
        <w:b/>
        <w:sz w:val="48"/>
      </w:rPr>
      <w:t>RO</w:t>
    </w:r>
    <w:r w:rsidRPr="00EF0C72">
      <w:rPr>
        <w:rFonts w:ascii="Arial" w:hAnsi="Arial" w:cs="Arial"/>
        <w:b/>
        <w:sz w:val="48"/>
      </w:rPr>
      <w:tab/>
    </w:r>
    <w:r>
      <w:fldChar w:fldCharType="begin"/>
    </w:r>
    <w:r>
      <w:instrText xml:space="preserve"> PAGE  \* MERGEFORMAT </w:instrText>
    </w:r>
    <w:r>
      <w:fldChar w:fldCharType="separate"/>
    </w:r>
    <w:r w:rsidR="00345CE9">
      <w:rPr>
        <w:noProof/>
      </w:rPr>
      <w:t>2</w:t>
    </w:r>
    <w:r>
      <w:fldChar w:fldCharType="end"/>
    </w:r>
    <w:r>
      <w:tab/>
    </w:r>
    <w:r w:rsidRPr="00EF0C72">
      <w:tab/>
    </w:r>
    <w:r w:rsidRPr="00EF0C72">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5445F" w14:textId="77777777" w:rsidR="00EF0C72" w:rsidRDefault="00EF0C72" w:rsidP="00EF0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0DF87" w14:textId="77777777" w:rsidR="00C30257" w:rsidRDefault="00C30257" w:rsidP="00C30257">
      <w:pPr>
        <w:spacing w:before="0" w:after="0"/>
      </w:pPr>
      <w:r>
        <w:separator/>
      </w:r>
    </w:p>
  </w:footnote>
  <w:footnote w:type="continuationSeparator" w:id="0">
    <w:p w14:paraId="1C52EFE0" w14:textId="77777777" w:rsidR="00C30257" w:rsidRDefault="00C30257" w:rsidP="00C3025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C41A" w14:textId="77777777" w:rsidR="00EF0C72" w:rsidRDefault="00EF0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576A5" w14:textId="77777777" w:rsidR="00EF0C72" w:rsidRDefault="00EF0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BD292D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594E6D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16CF56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20A51A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96A01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912C6E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4A0A63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E004D3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5"/>
    <w:lvlOverride w:ilvl="0">
      <w:startOverride w:val="1"/>
    </w:lvlOverride>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3-04 16:22:3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E75BEA5-E822-457B-B623-9C2212C3A981"/>
    <w:docVar w:name="LW_COVERPAGE_TYPE" w:val="1"/>
    <w:docVar w:name="LW_CreatedUtc" w:val="2026-01-27T15:46:50.8574932Z"/>
    <w:docVar w:name="LW_CROSSREFERENCE" w:val="&lt;UNUSED&gt;"/>
    <w:docVar w:name="LW_DocType" w:val="COM"/>
    <w:docVar w:name="LW_EMISSION" w:val="6.3.2026"/>
    <w:docVar w:name="LW_EMISSION_ISODATE" w:val="2026-03-06"/>
    <w:docVar w:name="LW_EMISSION_LOCATION" w:val="BRX"/>
    <w:docVar w:name="LW_EMISSION_PREFIX" w:val="Bruxelles, "/>
    <w:docVar w:name="LW_EMISSION_SUFFIX" w:val=" "/>
    <w:docVar w:name="LW_ID_DOCMODEL" w:val="SJ-028"/>
    <w:docVar w:name="LW_ID_DOCSTRUCTURE" w:val="COM/PL/CODEC"/>
    <w:docVar w:name="LW_ID_DOCTYPE" w:val="SJ-028"/>
    <w:docVar w:name="LW_INTERETEEE.CP" w:val="(Text cu relevan\u539?\u259?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115"/>
    <w:docVar w:name="LW_REF.II.NEW.CP_YEAR" w:val="2023"/>
    <w:docVar w:name="LW_REF.INST.NEW" w:val="COM"/>
    <w:docVar w:name="LW_REF.INST.NEW_ADOPTED" w:val="final"/>
    <w:docVar w:name="LW_REF.INST.NEW_TEXT" w:val="(2026) 12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zi\u539?ia Consiliului referitoare la adoptarea Directivei Parlamentului European \u537?i a Consiliului de modificare a Directivei 2014/49/UE în ceea ce prive\u537?te domeniul de aplicare al protec\u539?iei depozitelor, utilizarea fondurilor schemelor de garantare a depozitelor, cooperarea transfrontalier\u259? \u537?i transparen\u539?a"/>
    <w:docVar w:name="LW_TYPE.DOC.CP" w:val="COMUNICARE A COMISIEI C\u258?TRE PARLAMENTUL EUROPEAN_x000b__x000b_în conformitate cu articolul 294 alineatul (6) din Tratatul privind func\u539?ionarea Uniunii Europene_x000b__x000b_privind"/>
    <w:docVar w:name="LwApiVersions" w:val="LW4CoDe 1.24.5.0; LW 9.2, Build 20251112"/>
  </w:docVars>
  <w:rsids>
    <w:rsidRoot w:val="00C30257"/>
    <w:rsid w:val="00025259"/>
    <w:rsid w:val="00037473"/>
    <w:rsid w:val="00042DF1"/>
    <w:rsid w:val="000679B8"/>
    <w:rsid w:val="00093ECA"/>
    <w:rsid w:val="001065F5"/>
    <w:rsid w:val="001238EF"/>
    <w:rsid w:val="00197613"/>
    <w:rsid w:val="001A03CA"/>
    <w:rsid w:val="001B345F"/>
    <w:rsid w:val="00213397"/>
    <w:rsid w:val="00233DC7"/>
    <w:rsid w:val="00235538"/>
    <w:rsid w:val="00247779"/>
    <w:rsid w:val="00263632"/>
    <w:rsid w:val="00285BEE"/>
    <w:rsid w:val="00291B01"/>
    <w:rsid w:val="0029533F"/>
    <w:rsid w:val="002B30AF"/>
    <w:rsid w:val="002C2109"/>
    <w:rsid w:val="002C69EA"/>
    <w:rsid w:val="002E397D"/>
    <w:rsid w:val="0033344A"/>
    <w:rsid w:val="00336560"/>
    <w:rsid w:val="00345CE9"/>
    <w:rsid w:val="00346277"/>
    <w:rsid w:val="00365A84"/>
    <w:rsid w:val="00383378"/>
    <w:rsid w:val="00403E46"/>
    <w:rsid w:val="004130F8"/>
    <w:rsid w:val="0042648E"/>
    <w:rsid w:val="00455751"/>
    <w:rsid w:val="00477354"/>
    <w:rsid w:val="00487808"/>
    <w:rsid w:val="004936D2"/>
    <w:rsid w:val="004D31EA"/>
    <w:rsid w:val="004E68B1"/>
    <w:rsid w:val="00502C28"/>
    <w:rsid w:val="005369B9"/>
    <w:rsid w:val="005600D5"/>
    <w:rsid w:val="00573B01"/>
    <w:rsid w:val="005A1C43"/>
    <w:rsid w:val="005B1EB6"/>
    <w:rsid w:val="005D1F90"/>
    <w:rsid w:val="005E704F"/>
    <w:rsid w:val="006005E1"/>
    <w:rsid w:val="0060746B"/>
    <w:rsid w:val="0065363A"/>
    <w:rsid w:val="00667C9E"/>
    <w:rsid w:val="00687767"/>
    <w:rsid w:val="006E3EB0"/>
    <w:rsid w:val="006F2AB7"/>
    <w:rsid w:val="00701D4B"/>
    <w:rsid w:val="0076493E"/>
    <w:rsid w:val="00773331"/>
    <w:rsid w:val="00790858"/>
    <w:rsid w:val="00793054"/>
    <w:rsid w:val="007932EF"/>
    <w:rsid w:val="007A6946"/>
    <w:rsid w:val="007B5BDF"/>
    <w:rsid w:val="007C2F1C"/>
    <w:rsid w:val="007D04B6"/>
    <w:rsid w:val="007E05B0"/>
    <w:rsid w:val="007E1A34"/>
    <w:rsid w:val="007F2600"/>
    <w:rsid w:val="00826E19"/>
    <w:rsid w:val="00863862"/>
    <w:rsid w:val="00867ABC"/>
    <w:rsid w:val="00874D22"/>
    <w:rsid w:val="008825CF"/>
    <w:rsid w:val="008A2914"/>
    <w:rsid w:val="008E4D8E"/>
    <w:rsid w:val="0093482F"/>
    <w:rsid w:val="00972EE5"/>
    <w:rsid w:val="009B1F61"/>
    <w:rsid w:val="009C1731"/>
    <w:rsid w:val="009F5CDB"/>
    <w:rsid w:val="00A565F1"/>
    <w:rsid w:val="00A813B0"/>
    <w:rsid w:val="00A92C7D"/>
    <w:rsid w:val="00B157ED"/>
    <w:rsid w:val="00B231FF"/>
    <w:rsid w:val="00B46F72"/>
    <w:rsid w:val="00BB2513"/>
    <w:rsid w:val="00C12301"/>
    <w:rsid w:val="00C30257"/>
    <w:rsid w:val="00C37C41"/>
    <w:rsid w:val="00C40A44"/>
    <w:rsid w:val="00C6362A"/>
    <w:rsid w:val="00CB2725"/>
    <w:rsid w:val="00D20381"/>
    <w:rsid w:val="00D30031"/>
    <w:rsid w:val="00D4094D"/>
    <w:rsid w:val="00D647A9"/>
    <w:rsid w:val="00DD434E"/>
    <w:rsid w:val="00DE34D4"/>
    <w:rsid w:val="00E21CD2"/>
    <w:rsid w:val="00E27794"/>
    <w:rsid w:val="00E301C1"/>
    <w:rsid w:val="00E40494"/>
    <w:rsid w:val="00E616BA"/>
    <w:rsid w:val="00E61FA7"/>
    <w:rsid w:val="00E664ED"/>
    <w:rsid w:val="00E81950"/>
    <w:rsid w:val="00E84CA5"/>
    <w:rsid w:val="00EF0C72"/>
    <w:rsid w:val="00EF20D4"/>
    <w:rsid w:val="00F12307"/>
    <w:rsid w:val="00F524E2"/>
    <w:rsid w:val="00F775E8"/>
    <w:rsid w:val="00FC0123"/>
    <w:rsid w:val="00FC38F8"/>
    <w:rsid w:val="00FC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ED66C7E"/>
  <w15:docId w15:val="{F273538B-68EC-4972-8370-171A772E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9F5CDB"/>
    <w:pPr>
      <w:numPr>
        <w:numId w:val="1"/>
      </w:numPr>
      <w:contextualSpacing/>
    </w:pPr>
  </w:style>
  <w:style w:type="paragraph" w:styleId="ListBullet2">
    <w:name w:val="List Bullet 2"/>
    <w:basedOn w:val="Normal"/>
    <w:uiPriority w:val="99"/>
    <w:semiHidden/>
    <w:unhideWhenUsed/>
    <w:rsid w:val="009F5CDB"/>
    <w:pPr>
      <w:numPr>
        <w:numId w:val="2"/>
      </w:numPr>
      <w:contextualSpacing/>
    </w:pPr>
  </w:style>
  <w:style w:type="paragraph" w:styleId="ListBullet3">
    <w:name w:val="List Bullet 3"/>
    <w:basedOn w:val="Normal"/>
    <w:uiPriority w:val="99"/>
    <w:semiHidden/>
    <w:unhideWhenUsed/>
    <w:rsid w:val="009F5CDB"/>
    <w:pPr>
      <w:numPr>
        <w:numId w:val="3"/>
      </w:numPr>
      <w:contextualSpacing/>
    </w:pPr>
  </w:style>
  <w:style w:type="paragraph" w:styleId="ListBullet4">
    <w:name w:val="List Bullet 4"/>
    <w:basedOn w:val="Normal"/>
    <w:uiPriority w:val="99"/>
    <w:semiHidden/>
    <w:unhideWhenUsed/>
    <w:rsid w:val="009F5CDB"/>
    <w:pPr>
      <w:numPr>
        <w:numId w:val="4"/>
      </w:numPr>
      <w:contextualSpacing/>
    </w:pPr>
  </w:style>
  <w:style w:type="paragraph" w:styleId="ListParagraph">
    <w:name w:val="List Paragraph"/>
    <w:basedOn w:val="Normal"/>
    <w:uiPriority w:val="34"/>
    <w:qFormat/>
    <w:rsid w:val="00A565F1"/>
    <w:pPr>
      <w:ind w:left="720"/>
      <w:contextualSpacing/>
    </w:pPr>
  </w:style>
  <w:style w:type="paragraph" w:styleId="Caption">
    <w:name w:val="caption"/>
    <w:basedOn w:val="Normal"/>
    <w:next w:val="Normal"/>
    <w:uiPriority w:val="35"/>
    <w:semiHidden/>
    <w:unhideWhenUsed/>
    <w:qFormat/>
    <w:rsid w:val="00B46F7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46F72"/>
    <w:pPr>
      <w:spacing w:after="0"/>
    </w:pPr>
  </w:style>
  <w:style w:type="paragraph" w:styleId="ListNumber">
    <w:name w:val="List Number"/>
    <w:basedOn w:val="Normal"/>
    <w:uiPriority w:val="99"/>
    <w:semiHidden/>
    <w:unhideWhenUsed/>
    <w:rsid w:val="00B46F72"/>
    <w:pPr>
      <w:numPr>
        <w:numId w:val="5"/>
      </w:numPr>
      <w:contextualSpacing/>
    </w:pPr>
  </w:style>
  <w:style w:type="paragraph" w:styleId="ListNumber2">
    <w:name w:val="List Number 2"/>
    <w:basedOn w:val="Normal"/>
    <w:uiPriority w:val="99"/>
    <w:semiHidden/>
    <w:unhideWhenUsed/>
    <w:rsid w:val="00B46F72"/>
    <w:pPr>
      <w:numPr>
        <w:numId w:val="6"/>
      </w:numPr>
      <w:contextualSpacing/>
    </w:pPr>
  </w:style>
  <w:style w:type="paragraph" w:styleId="ListNumber3">
    <w:name w:val="List Number 3"/>
    <w:basedOn w:val="Normal"/>
    <w:uiPriority w:val="99"/>
    <w:semiHidden/>
    <w:unhideWhenUsed/>
    <w:rsid w:val="00B46F72"/>
    <w:pPr>
      <w:numPr>
        <w:numId w:val="7"/>
      </w:numPr>
      <w:contextualSpacing/>
    </w:pPr>
  </w:style>
  <w:style w:type="paragraph" w:styleId="ListNumber4">
    <w:name w:val="List Number 4"/>
    <w:basedOn w:val="Normal"/>
    <w:uiPriority w:val="99"/>
    <w:semiHidden/>
    <w:unhideWhenUsed/>
    <w:rsid w:val="00B46F72"/>
    <w:pPr>
      <w:numPr>
        <w:numId w:val="8"/>
      </w:numPr>
      <w:contextualSpacing/>
    </w:pPr>
  </w:style>
  <w:style w:type="character" w:styleId="Hyperlink">
    <w:name w:val="Hyperlink"/>
    <w:basedOn w:val="DefaultParagraphFont"/>
    <w:uiPriority w:val="99"/>
    <w:unhideWhenUsed/>
    <w:rsid w:val="00667C9E"/>
    <w:rPr>
      <w:color w:val="0000FF" w:themeColor="hyperlink"/>
      <w:u w:val="single"/>
    </w:rPr>
  </w:style>
  <w:style w:type="character" w:styleId="CommentReference">
    <w:name w:val="annotation reference"/>
    <w:basedOn w:val="DefaultParagraphFont"/>
    <w:uiPriority w:val="99"/>
    <w:semiHidden/>
    <w:unhideWhenUsed/>
    <w:rsid w:val="00667C9E"/>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42DF1"/>
    <w:rPr>
      <w:b/>
      <w:bCs/>
    </w:rPr>
  </w:style>
  <w:style w:type="character" w:customStyle="1" w:styleId="CommentSubjectChar">
    <w:name w:val="Comment Subject Char"/>
    <w:basedOn w:val="CommentTextChar"/>
    <w:link w:val="CommentSubject"/>
    <w:uiPriority w:val="99"/>
    <w:semiHidden/>
    <w:rsid w:val="00042DF1"/>
    <w:rPr>
      <w:rFonts w:ascii="Times New Roman" w:hAnsi="Times New Roman" w:cs="Times New Roman"/>
      <w:b/>
      <w:bCs/>
      <w:sz w:val="20"/>
      <w:szCs w:val="20"/>
      <w:lang w:val="ro-RO"/>
    </w:rPr>
  </w:style>
  <w:style w:type="character" w:customStyle="1" w:styleId="UnresolvedMention">
    <w:name w:val="Unresolved Mention"/>
    <w:basedOn w:val="DefaultParagraphFont"/>
    <w:uiPriority w:val="99"/>
    <w:semiHidden/>
    <w:unhideWhenUsed/>
    <w:rsid w:val="00042DF1"/>
    <w:rPr>
      <w:color w:val="605E5C"/>
      <w:shd w:val="clear" w:color="auto" w:fill="E1DFDD"/>
    </w:rPr>
  </w:style>
  <w:style w:type="character" w:customStyle="1" w:styleId="HeaderChar">
    <w:name w:val="Header Char"/>
    <w:basedOn w:val="DefaultParagraphFont"/>
    <w:link w:val="Header"/>
    <w:uiPriority w:val="99"/>
    <w:rsid w:val="00EF0C72"/>
    <w:rPr>
      <w:rFonts w:ascii="Times New Roman" w:hAnsi="Times New Roman" w:cs="Times New Roman"/>
      <w:sz w:val="24"/>
      <w:lang w:val="ro-RO"/>
    </w:rPr>
  </w:style>
  <w:style w:type="character" w:customStyle="1" w:styleId="FooterChar">
    <w:name w:val="Footer Char"/>
    <w:basedOn w:val="DefaultParagraphFont"/>
    <w:link w:val="Footer"/>
    <w:uiPriority w:val="99"/>
    <w:rsid w:val="00EF0C72"/>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F0C7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F0C72"/>
    <w:pPr>
      <w:spacing w:before="0"/>
      <w:jc w:val="right"/>
    </w:pPr>
    <w:rPr>
      <w:sz w:val="28"/>
    </w:rPr>
  </w:style>
  <w:style w:type="paragraph" w:customStyle="1" w:styleId="FooterSensitivity">
    <w:name w:val="Footer Sensitivity"/>
    <w:basedOn w:val="Normal"/>
    <w:rsid w:val="00EF0C7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EF0C72"/>
    <w:pPr>
      <w:tabs>
        <w:tab w:val="center" w:pos="4535"/>
        <w:tab w:val="right" w:pos="9071"/>
      </w:tabs>
      <w:spacing w:before="0"/>
    </w:pPr>
  </w:style>
  <w:style w:type="paragraph" w:customStyle="1" w:styleId="HeaderLandscape">
    <w:name w:val="HeaderLandscape"/>
    <w:basedOn w:val="Normal"/>
    <w:rsid w:val="00EF0C72"/>
    <w:pPr>
      <w:tabs>
        <w:tab w:val="center" w:pos="7285"/>
        <w:tab w:val="right" w:pos="14003"/>
      </w:tabs>
      <w:spacing w:before="0"/>
    </w:pPr>
  </w:style>
  <w:style w:type="paragraph" w:styleId="Footer">
    <w:name w:val="footer"/>
    <w:basedOn w:val="Normal"/>
    <w:link w:val="FooterChar"/>
    <w:uiPriority w:val="99"/>
    <w:unhideWhenUsed/>
    <w:rsid w:val="00EF0C72"/>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F0C72"/>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5" ma:contentTypeDescription="Create a new document." ma:contentTypeScope="" ma:versionID="905ffd3218702aec8470642c758b8ec0">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928f83e650fb23223a23e4dac499116d" ns2:_="" ns3:_="">
    <xsd:import namespace="9a9637e9-1c11-4ee9-91b8-f060e3608fb2"/>
    <xsd:import namespace="4af8c89d-4332-4d32-84a3-abf4120a8008"/>
    <xsd:element name="properties">
      <xsd:complexType>
        <xsd:sequence>
          <xsd:element name="documentManagement">
            <xsd:complexType>
              <xsd:all>
                <xsd:element ref="ns2:Docstatu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Dateandtime" minOccurs="0"/>
                <xsd:element ref="ns2:MediaServiceSearchProperties" minOccurs="0"/>
                <xsd:element ref="ns2:_Flow_SignoffStatu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Docstatus" ma:index="8" nillable="true" ma:displayName="Doc status" ma:format="Dropdown" ma:indexed="true" ma:internalName="Docstatus">
      <xsd:simpleType>
        <xsd:restriction base="dms:Choice">
          <xsd:enumeration value="Draft"/>
          <xsd:enumeration value="Final"/>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ateandtime" ma:index="14" nillable="true" ma:displayName="Date and time" ma:format="DateTime" ma:internalName="Dateandtime">
      <xsd:simpleType>
        <xsd:restriction base="dms:DateTim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Flow_SignoffStatus" ma:index="16" nillable="true" ma:displayName="Sign-off status" ma:internalName="Sign_x002d_off_x0020_status">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82fb10d-7e3e-4655-ba20-a1b338523f72}"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ateandtime xmlns="9a9637e9-1c11-4ee9-91b8-f060e3608fb2" xsi:nil="true"/>
    <Docstatus xmlns="9a9637e9-1c11-4ee9-91b8-f060e3608fb2" xsi:nil="true"/>
    <_Flow_SignoffStatus xmlns="9a9637e9-1c11-4ee9-91b8-f060e3608fb2" xsi:nil="true"/>
    <TaxCatchAll xmlns="4af8c89d-4332-4d32-84a3-abf4120a80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B4C6-BE83-42B8-AB7F-D9EEC997B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7C9F8-8FDB-4483-AAFF-A1F9696AFCC1}">
  <ds:schemaRefs>
    <ds:schemaRef ds:uri="http://schemas.microsoft.com/sharepoint/v3/contenttype/forms"/>
  </ds:schemaRefs>
</ds:datastoreItem>
</file>

<file path=customXml/itemProps3.xml><?xml version="1.0" encoding="utf-8"?>
<ds:datastoreItem xmlns:ds="http://schemas.openxmlformats.org/officeDocument/2006/customXml" ds:itemID="{A0639EC7-B83B-4BC7-B6D6-0D99B8568480}">
  <ds:schemaRefs>
    <ds:schemaRef ds:uri="http://schemas.microsoft.com/office/2006/metadata/properties"/>
    <ds:schemaRef ds:uri="http://schemas.microsoft.com/office/infopath/2007/PartnerControls"/>
    <ds:schemaRef ds:uri="9a9637e9-1c11-4ee9-91b8-f060e3608fb2"/>
    <ds:schemaRef ds:uri="4af8c89d-4332-4d32-84a3-abf4120a8008"/>
  </ds:schemaRefs>
</ds:datastoreItem>
</file>

<file path=customXml/itemProps4.xml><?xml version="1.0" encoding="utf-8"?>
<ds:datastoreItem xmlns:ds="http://schemas.openxmlformats.org/officeDocument/2006/customXml" ds:itemID="{119F8024-B4FE-4BEB-B5E1-7EE22E806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103</TotalTime>
  <Pages>3</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49</cp:revision>
  <dcterms:created xsi:type="dcterms:W3CDTF">2026-02-09T11:02:00Z</dcterms:created>
  <dcterms:modified xsi:type="dcterms:W3CDTF">2026-03-04T15:22:00Z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9.2, Build 20250828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SJ-028</vt:lpwstr>
  </property>
  <property fmtid="{D5CDD505-2E9C-101B-9397-08002B2CF9AE}" pid="10" name="MSIP_Label_6bd9ddd1-4d20-43f6-abfa-fc3c07406f94_Enabled">
    <vt:lpwstr>true</vt:lpwstr>
  </property>
  <property fmtid="{D5CDD505-2E9C-101B-9397-08002B2CF9AE}" pid="11" name="MSIP_Label_6bd9ddd1-4d20-43f6-abfa-fc3c07406f94_SetDate">
    <vt:lpwstr>2026-01-27T15:47:36Z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9d55ec9c-e51e-4e32-a18a-207774231536</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ContentTypeId">
    <vt:lpwstr>0x0101007697B7BFF882854783B2AFEB81A9CCE9</vt:lpwstr>
  </property>
  <property fmtid="{D5CDD505-2E9C-101B-9397-08002B2CF9AE}" pid="19" name="DQCStatus">
    <vt:lpwstr>Green (DQC version 03)</vt:lpwstr>
  </property>
  <property name="OP_sanitized" fmtid="{D5CDD505-2E9C-101B-9397-08002B2CF9AE}" pid="20">
    <vt:lpwstr>True</vt:lpwstr>
  </property>
</Properties>
</file>