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410" w:rsidRPr="002D50C1" w:rsidRDefault="004678C3" w:rsidP="004678C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0E8C63D-D456-4517-99F8-C61762632EA9" style="width:455.25pt;height:355.5pt">
            <v:imagedata r:id="rId8" o:title=""/>
          </v:shape>
        </w:pict>
      </w:r>
    </w:p>
    <w:p w:rsidR="00B53410" w:rsidRPr="002D50C1" w:rsidRDefault="00B53410" w:rsidP="00B53410">
      <w:pPr>
        <w:rPr>
          <w:noProof/>
        </w:rPr>
        <w:sectPr w:rsidR="00B53410" w:rsidRPr="002D50C1" w:rsidSect="004678C3">
          <w:footerReference w:type="even" r:id="rId9"/>
          <w:footerReference w:type="default" r:id="rId10"/>
          <w:pgSz w:w="11907" w:h="16839"/>
          <w:pgMar w:top="1134" w:right="1417" w:bottom="1134" w:left="1417" w:header="709" w:footer="709" w:gutter="0"/>
          <w:pgNumType w:start="0"/>
          <w:cols w:space="720"/>
          <w:docGrid w:linePitch="360"/>
        </w:sectPr>
      </w:pPr>
    </w:p>
    <w:p w:rsidR="00B53410" w:rsidRPr="002D50C1" w:rsidRDefault="00B53410" w:rsidP="00BB6B30">
      <w:pPr>
        <w:pStyle w:val="Exposdesmotifstitre"/>
        <w:rPr>
          <w:noProof/>
        </w:rPr>
      </w:pPr>
      <w:bookmarkStart w:id="0" w:name="_GoBack"/>
      <w:bookmarkEnd w:id="0"/>
      <w:r w:rsidRPr="002D50C1">
        <w:rPr>
          <w:noProof/>
        </w:rPr>
        <w:lastRenderedPageBreak/>
        <w:t>EXPUNERE DE MOTIVE</w:t>
      </w:r>
    </w:p>
    <w:p w:rsidR="00B53410" w:rsidRPr="002D50C1" w:rsidRDefault="0027520C" w:rsidP="0027520C">
      <w:pPr>
        <w:pStyle w:val="ManualHeading1"/>
        <w:rPr>
          <w:rFonts w:eastAsia="Arial Unicode MS"/>
          <w:noProof/>
        </w:rPr>
      </w:pPr>
      <w:r w:rsidRPr="0027520C">
        <w:rPr>
          <w:noProof/>
        </w:rPr>
        <w:t>1.</w:t>
      </w:r>
      <w:r w:rsidRPr="0027520C">
        <w:rPr>
          <w:noProof/>
        </w:rPr>
        <w:tab/>
      </w:r>
      <w:r w:rsidR="00B53410" w:rsidRPr="002D50C1">
        <w:rPr>
          <w:noProof/>
        </w:rPr>
        <w:t>Obiectul propunerii</w:t>
      </w:r>
    </w:p>
    <w:p w:rsidR="00B53410" w:rsidRPr="002D50C1" w:rsidRDefault="00B53410" w:rsidP="00736AA9">
      <w:pPr>
        <w:rPr>
          <w:rFonts w:eastAsia="Arial Unicode MS"/>
          <w:noProof/>
        </w:rPr>
      </w:pPr>
      <w:r w:rsidRPr="002D50C1">
        <w:rPr>
          <w:noProof/>
        </w:rPr>
        <w:t>Prezenta propunere se referă la decizia de stabilire a poziției care trebuie adoptată în numele Uniunii cu ocazia celei de a 34-a sesiuni a Adunării Organizației Maritime Internaționale (A</w:t>
      </w:r>
      <w:r w:rsidR="002D50C1" w:rsidRPr="002D50C1">
        <w:rPr>
          <w:noProof/>
        </w:rPr>
        <w:t> </w:t>
      </w:r>
      <w:r w:rsidRPr="002D50C1">
        <w:rPr>
          <w:noProof/>
        </w:rPr>
        <w:t>34), care se va desfășura</w:t>
      </w:r>
      <w:bookmarkStart w:id="1" w:name="_Hlk210033434"/>
      <w:r w:rsidRPr="002D50C1">
        <w:rPr>
          <w:noProof/>
        </w:rPr>
        <w:t xml:space="preserve"> în perioada 24 noiembrie-3 decembrie 2025.</w:t>
      </w:r>
    </w:p>
    <w:p w:rsidR="00B53410" w:rsidRPr="002D50C1" w:rsidRDefault="00B53410" w:rsidP="00736AA9">
      <w:pPr>
        <w:rPr>
          <w:rFonts w:eastAsia="Arial Unicode MS"/>
          <w:noProof/>
        </w:rPr>
      </w:pPr>
      <w:r w:rsidRPr="002D50C1">
        <w:rPr>
          <w:noProof/>
        </w:rPr>
        <w:t>În cursul celei de-a 34-a sesiuni, Adunarea urmează să adopte modificări ale:</w:t>
      </w:r>
    </w:p>
    <w:p w:rsidR="002F5549" w:rsidRPr="002D50C1" w:rsidRDefault="0027520C" w:rsidP="0027520C">
      <w:pPr>
        <w:pStyle w:val="Point1"/>
        <w:rPr>
          <w:noProof/>
        </w:rPr>
      </w:pPr>
      <w:r w:rsidRPr="0027520C">
        <w:rPr>
          <w:noProof/>
        </w:rPr>
        <w:t>(a)</w:t>
      </w:r>
      <w:r w:rsidRPr="0027520C">
        <w:rPr>
          <w:noProof/>
        </w:rPr>
        <w:tab/>
      </w:r>
      <w:r w:rsidR="00B2280D" w:rsidRPr="002D50C1">
        <w:rPr>
          <w:noProof/>
        </w:rPr>
        <w:t>Codului privind alertele și indicatorii, 2025,</w:t>
      </w:r>
    </w:p>
    <w:p w:rsidR="002F5549" w:rsidRPr="002D50C1" w:rsidRDefault="0027520C" w:rsidP="0027520C">
      <w:pPr>
        <w:pStyle w:val="Point1"/>
        <w:rPr>
          <w:noProof/>
        </w:rPr>
      </w:pPr>
      <w:r w:rsidRPr="0027520C">
        <w:rPr>
          <w:noProof/>
        </w:rPr>
        <w:t>(b)</w:t>
      </w:r>
      <w:r w:rsidRPr="0027520C">
        <w:rPr>
          <w:noProof/>
        </w:rPr>
        <w:tab/>
      </w:r>
      <w:r w:rsidR="00B2280D" w:rsidRPr="002D50C1">
        <w:rPr>
          <w:noProof/>
        </w:rPr>
        <w:t>Procedurilor de control al statului de port, 2025</w:t>
      </w:r>
    </w:p>
    <w:p w:rsidR="002F5549" w:rsidRPr="002D50C1" w:rsidRDefault="0027520C" w:rsidP="0027520C">
      <w:pPr>
        <w:pStyle w:val="Point1"/>
        <w:rPr>
          <w:noProof/>
        </w:rPr>
      </w:pPr>
      <w:r w:rsidRPr="0027520C">
        <w:rPr>
          <w:noProof/>
        </w:rPr>
        <w:t>(c)</w:t>
      </w:r>
      <w:r w:rsidRPr="0027520C">
        <w:rPr>
          <w:noProof/>
        </w:rPr>
        <w:tab/>
      </w:r>
      <w:r w:rsidR="00B2280D" w:rsidRPr="002D50C1">
        <w:rPr>
          <w:noProof/>
        </w:rPr>
        <w:t>Orientărilor pentru controale în temeiul Sistemului armonizat de control și certificare (HSSC), 2025</w:t>
      </w:r>
    </w:p>
    <w:p w:rsidR="002F5549" w:rsidRPr="002D50C1" w:rsidRDefault="0027520C" w:rsidP="0027520C">
      <w:pPr>
        <w:pStyle w:val="Point1"/>
        <w:rPr>
          <w:noProof/>
        </w:rPr>
      </w:pPr>
      <w:r w:rsidRPr="0027520C">
        <w:rPr>
          <w:noProof/>
        </w:rPr>
        <w:t>(d)</w:t>
      </w:r>
      <w:r w:rsidRPr="0027520C">
        <w:rPr>
          <w:noProof/>
        </w:rPr>
        <w:tab/>
      </w:r>
      <w:r w:rsidR="00B2280D" w:rsidRPr="002D50C1">
        <w:rPr>
          <w:noProof/>
        </w:rPr>
        <w:t>Listei neexhaustive din 2025 a obligațiilor care decurg din instrumentele relevante pentru Codul de punere în aplicare a instrumentelor OMI (Codul III).</w:t>
      </w:r>
    </w:p>
    <w:p w:rsidR="002F5549" w:rsidRPr="002D50C1" w:rsidRDefault="0027520C" w:rsidP="0027520C">
      <w:pPr>
        <w:pStyle w:val="Point1"/>
        <w:rPr>
          <w:noProof/>
        </w:rPr>
      </w:pPr>
      <w:r w:rsidRPr="0027520C">
        <w:rPr>
          <w:noProof/>
        </w:rPr>
        <w:t>(e)</w:t>
      </w:r>
      <w:r w:rsidRPr="0027520C">
        <w:rPr>
          <w:noProof/>
        </w:rPr>
        <w:tab/>
      </w:r>
      <w:r w:rsidR="00B2280D" w:rsidRPr="002D50C1">
        <w:rPr>
          <w:noProof/>
        </w:rPr>
        <w:t>Cadrului și procedurilor pentru sistemul OMI de audit al statelor membre (IMSAS).</w:t>
      </w:r>
      <w:bookmarkEnd w:id="1"/>
    </w:p>
    <w:p w:rsidR="00B53410" w:rsidRPr="002D50C1" w:rsidRDefault="0027520C" w:rsidP="0027520C">
      <w:pPr>
        <w:pStyle w:val="ManualHeading1"/>
        <w:rPr>
          <w:noProof/>
        </w:rPr>
      </w:pPr>
      <w:r w:rsidRPr="0027520C">
        <w:rPr>
          <w:noProof/>
        </w:rPr>
        <w:t>2.</w:t>
      </w:r>
      <w:r w:rsidRPr="0027520C">
        <w:rPr>
          <w:noProof/>
        </w:rPr>
        <w:tab/>
      </w:r>
      <w:r w:rsidR="00B53410" w:rsidRPr="002D50C1">
        <w:rPr>
          <w:noProof/>
        </w:rPr>
        <w:t>Contextul propunerii</w:t>
      </w:r>
    </w:p>
    <w:p w:rsidR="00B53410" w:rsidRPr="002D50C1" w:rsidRDefault="0027520C" w:rsidP="0027520C">
      <w:pPr>
        <w:pStyle w:val="ManualHeading2"/>
        <w:rPr>
          <w:noProof/>
        </w:rPr>
      </w:pPr>
      <w:r w:rsidRPr="0027520C">
        <w:rPr>
          <w:noProof/>
        </w:rPr>
        <w:t>2.1.</w:t>
      </w:r>
      <w:r w:rsidRPr="0027520C">
        <w:rPr>
          <w:noProof/>
        </w:rPr>
        <w:tab/>
      </w:r>
      <w:r w:rsidR="00B53410" w:rsidRPr="002D50C1">
        <w:rPr>
          <w:noProof/>
        </w:rPr>
        <w:t xml:space="preserve">Convenția privind Organizația Maritimă Internațională </w:t>
      </w:r>
    </w:p>
    <w:p w:rsidR="002F5549" w:rsidRPr="002D50C1" w:rsidRDefault="002F5549" w:rsidP="002F5549">
      <w:pPr>
        <w:rPr>
          <w:rFonts w:eastAsia="Arial Unicode MS"/>
          <w:noProof/>
        </w:rPr>
      </w:pPr>
      <w:r w:rsidRPr="002D50C1">
        <w:rPr>
          <w:noProof/>
        </w:rPr>
        <w:t>Convenția privind Organizația Maritimă Internațională (OMI) instituie OMI. Scopul OMI este de a oferi un forum de cooperare în domeniul reglementărilor și al practicilor referitoare la aspectele tehnice de toate tipurile care afectează transportul maritim în cadrul comerțului internațional. De asemenea, OMI urmărește să încurajeze adoptarea generală a celor mai înalte standarde posibile în materie de siguranță maritimă, de eficiență a navigației și de prevenire și control al poluării marine cauzate de nave, promovând condiții de concurență echitabile. Totodată, organizația abordează aspecte administrative și juridice conexe.</w:t>
      </w:r>
    </w:p>
    <w:p w:rsidR="002F5549" w:rsidRPr="002D50C1" w:rsidRDefault="002F5549" w:rsidP="002F5549">
      <w:pPr>
        <w:rPr>
          <w:rFonts w:eastAsia="Arial Unicode MS"/>
          <w:noProof/>
        </w:rPr>
      </w:pPr>
      <w:r w:rsidRPr="002D50C1">
        <w:rPr>
          <w:noProof/>
        </w:rPr>
        <w:t>Convenția a intrat în vigoare la 17 martie 1958.</w:t>
      </w:r>
    </w:p>
    <w:p w:rsidR="002F5549" w:rsidRPr="002D50C1" w:rsidRDefault="002F5549" w:rsidP="002F5549">
      <w:pPr>
        <w:rPr>
          <w:rFonts w:eastAsia="Arial Unicode MS"/>
          <w:noProof/>
        </w:rPr>
      </w:pPr>
      <w:r w:rsidRPr="002D50C1">
        <w:rPr>
          <w:noProof/>
        </w:rPr>
        <w:t>Toate statele membre sunt părți la convenție. Uniunea nu este parte la Convenție.</w:t>
      </w:r>
    </w:p>
    <w:p w:rsidR="00B53410" w:rsidRPr="002D50C1" w:rsidRDefault="0027520C" w:rsidP="0027520C">
      <w:pPr>
        <w:pStyle w:val="ManualHeading2"/>
        <w:rPr>
          <w:noProof/>
        </w:rPr>
      </w:pPr>
      <w:r w:rsidRPr="0027520C">
        <w:rPr>
          <w:noProof/>
        </w:rPr>
        <w:t>2.2.</w:t>
      </w:r>
      <w:r w:rsidRPr="0027520C">
        <w:rPr>
          <w:noProof/>
        </w:rPr>
        <w:tab/>
      </w:r>
      <w:r w:rsidR="00B53410" w:rsidRPr="002D50C1">
        <w:rPr>
          <w:noProof/>
        </w:rPr>
        <w:t>Organizația Maritimă Internațională</w:t>
      </w:r>
    </w:p>
    <w:p w:rsidR="002F5549" w:rsidRPr="002D50C1" w:rsidRDefault="002F5549" w:rsidP="002F5549">
      <w:pPr>
        <w:rPr>
          <w:rFonts w:eastAsia="Arial Unicode MS"/>
          <w:noProof/>
        </w:rPr>
      </w:pPr>
      <w:r w:rsidRPr="002D50C1">
        <w:rPr>
          <w:noProof/>
        </w:rPr>
        <w:t xml:space="preserve">Organizația Maritimă Internațională (OMI) este agenția specializată a Organizației Națiunilor Unite, responsabilă cu siguranța și securitatea transportului maritim și cu prevenirea poluării marine de către nave. Aceasta este autoritatea care stabilește standardele la nivel mondial în ceea ce privește siguranța, securitatea și performanța de mediu a transportului maritim internațional. Rolul său principal este crearea unui cadru de reglementare echitabil și eficace pentru industria transportului maritim, care să fie adoptat și implementat la nivel mondial. </w:t>
      </w:r>
    </w:p>
    <w:p w:rsidR="00B53410" w:rsidRPr="002D50C1" w:rsidRDefault="002F5549" w:rsidP="00736AA9">
      <w:pPr>
        <w:rPr>
          <w:rFonts w:eastAsia="Arial Unicode MS"/>
          <w:noProof/>
        </w:rPr>
      </w:pPr>
      <w:r w:rsidRPr="002D50C1">
        <w:rPr>
          <w:noProof/>
        </w:rPr>
        <w:t>Doar statele pot fi membre ale OMI. Relațiile Comisiei Europene cu OMI se bazează astăzi pe Rezoluția A.1168 (32) a OMI, care stabilește procedurile și condițiile pentru cooperarea dintre OMI și organizațiile interguvernamentale. Pe baza acestei rezoluții a OMI și a altor dispoziții adoptate începând din 1974, Comisia Europeană participă în calitate de observator la toate reuniunile comitetelor și subcomitetelor OMI.</w:t>
      </w:r>
    </w:p>
    <w:p w:rsidR="002F5549" w:rsidRPr="002D50C1" w:rsidRDefault="002F5549" w:rsidP="00736AA9">
      <w:pPr>
        <w:rPr>
          <w:rFonts w:eastAsia="Arial Unicode MS"/>
          <w:noProof/>
        </w:rPr>
      </w:pPr>
      <w:r w:rsidRPr="002D50C1">
        <w:rPr>
          <w:noProof/>
        </w:rPr>
        <w:t>Adunarea OMI este organul de conducere al organizației. Adunarea constă din toate statele membre ale OMI, are loc o dată la doi ani și poate adopta măsuri convenite în toate cele cinci comitete principale ale OMI. Printre aceste cinci comitete se numără Comitetul pentru siguranță maritimă (MSC) și Comitetul pentru protecția mediului marin (MEPC).</w:t>
      </w:r>
    </w:p>
    <w:p w:rsidR="00B53410" w:rsidRPr="002D50C1" w:rsidRDefault="0027520C" w:rsidP="0027520C">
      <w:pPr>
        <w:pStyle w:val="ManualHeading2"/>
        <w:rPr>
          <w:noProof/>
        </w:rPr>
      </w:pPr>
      <w:r w:rsidRPr="0027520C">
        <w:rPr>
          <w:noProof/>
        </w:rPr>
        <w:t>2.3.</w:t>
      </w:r>
      <w:r w:rsidRPr="0027520C">
        <w:rPr>
          <w:noProof/>
        </w:rPr>
        <w:tab/>
      </w:r>
      <w:r w:rsidR="00B53410" w:rsidRPr="002D50C1">
        <w:rPr>
          <w:noProof/>
        </w:rPr>
        <w:t>Actul avut în vedere al Adunării OMI</w:t>
      </w:r>
    </w:p>
    <w:p w:rsidR="00C01748" w:rsidRPr="002D50C1" w:rsidRDefault="00442244" w:rsidP="00736AA9">
      <w:pPr>
        <w:rPr>
          <w:rFonts w:eastAsia="Arial Unicode MS"/>
          <w:noProof/>
        </w:rPr>
      </w:pPr>
      <w:r w:rsidRPr="002D50C1">
        <w:rPr>
          <w:noProof/>
        </w:rPr>
        <w:t>Între 24 noiembrie și 3 decembrie 2025, în cursul celei de a 34-a sesiuni, Adunarea va adopta modificări ale:</w:t>
      </w:r>
    </w:p>
    <w:p w:rsidR="00B2280D" w:rsidRPr="002D50C1" w:rsidRDefault="0027520C" w:rsidP="0027520C">
      <w:pPr>
        <w:pStyle w:val="Point1"/>
        <w:rPr>
          <w:noProof/>
        </w:rPr>
      </w:pPr>
      <w:r w:rsidRPr="0027520C">
        <w:rPr>
          <w:noProof/>
        </w:rPr>
        <w:t>(a)</w:t>
      </w:r>
      <w:r w:rsidRPr="0027520C">
        <w:rPr>
          <w:noProof/>
        </w:rPr>
        <w:tab/>
      </w:r>
      <w:r w:rsidR="00B2280D" w:rsidRPr="002D50C1">
        <w:rPr>
          <w:noProof/>
        </w:rPr>
        <w:t>Codului privind alertele și indicatorii, 2025,</w:t>
      </w:r>
    </w:p>
    <w:p w:rsidR="00B2280D" w:rsidRPr="002D50C1" w:rsidRDefault="0027520C" w:rsidP="0027520C">
      <w:pPr>
        <w:pStyle w:val="Point1"/>
        <w:rPr>
          <w:noProof/>
        </w:rPr>
      </w:pPr>
      <w:r w:rsidRPr="0027520C">
        <w:rPr>
          <w:noProof/>
        </w:rPr>
        <w:t>(b)</w:t>
      </w:r>
      <w:r w:rsidRPr="0027520C">
        <w:rPr>
          <w:noProof/>
        </w:rPr>
        <w:tab/>
      </w:r>
      <w:r w:rsidR="00B2280D" w:rsidRPr="002D50C1">
        <w:rPr>
          <w:noProof/>
        </w:rPr>
        <w:t>Procedurilor de control al statului de port, 2025</w:t>
      </w:r>
    </w:p>
    <w:p w:rsidR="00B2280D" w:rsidRPr="002D50C1" w:rsidRDefault="0027520C" w:rsidP="0027520C">
      <w:pPr>
        <w:pStyle w:val="Point1"/>
        <w:rPr>
          <w:noProof/>
        </w:rPr>
      </w:pPr>
      <w:r w:rsidRPr="0027520C">
        <w:rPr>
          <w:noProof/>
        </w:rPr>
        <w:t>(c)</w:t>
      </w:r>
      <w:r w:rsidRPr="0027520C">
        <w:rPr>
          <w:noProof/>
        </w:rPr>
        <w:tab/>
      </w:r>
      <w:r w:rsidR="00B2280D" w:rsidRPr="002D50C1">
        <w:rPr>
          <w:noProof/>
        </w:rPr>
        <w:t>Orientărilor pentru controale în temeiul Sistemului armonizat de control și certificare (Orientările HSSC privind controalele), 2025</w:t>
      </w:r>
    </w:p>
    <w:p w:rsidR="00B2280D" w:rsidRPr="002D50C1" w:rsidRDefault="0027520C" w:rsidP="0027520C">
      <w:pPr>
        <w:pStyle w:val="Point1"/>
        <w:rPr>
          <w:noProof/>
        </w:rPr>
      </w:pPr>
      <w:r w:rsidRPr="0027520C">
        <w:rPr>
          <w:noProof/>
        </w:rPr>
        <w:t>(d)</w:t>
      </w:r>
      <w:r w:rsidRPr="0027520C">
        <w:rPr>
          <w:noProof/>
        </w:rPr>
        <w:tab/>
      </w:r>
      <w:r w:rsidR="00B2280D" w:rsidRPr="002D50C1">
        <w:rPr>
          <w:noProof/>
        </w:rPr>
        <w:t>Listei neexhaustive din 2025 a obligațiilor care decurg din instrumentele relevante pentru Codul de punere în aplicare a instrumentelor OMI (Codul III).</w:t>
      </w:r>
    </w:p>
    <w:p w:rsidR="00B2280D" w:rsidRPr="002D50C1" w:rsidRDefault="0027520C" w:rsidP="0027520C">
      <w:pPr>
        <w:pStyle w:val="Point1"/>
        <w:rPr>
          <w:noProof/>
        </w:rPr>
      </w:pPr>
      <w:bookmarkStart w:id="2" w:name="_Hlk209793800"/>
      <w:r w:rsidRPr="0027520C">
        <w:rPr>
          <w:noProof/>
        </w:rPr>
        <w:t>(e)</w:t>
      </w:r>
      <w:r w:rsidRPr="0027520C">
        <w:rPr>
          <w:noProof/>
        </w:rPr>
        <w:tab/>
      </w:r>
      <w:r w:rsidR="00B2280D" w:rsidRPr="002D50C1">
        <w:rPr>
          <w:noProof/>
        </w:rPr>
        <w:t>Sistemului OMI de audit al statelor membre (IMSAS).</w:t>
      </w:r>
    </w:p>
    <w:bookmarkEnd w:id="2"/>
    <w:p w:rsidR="00185D25" w:rsidRPr="002D50C1" w:rsidRDefault="00185D25" w:rsidP="00A86C32">
      <w:pPr>
        <w:rPr>
          <w:rFonts w:eastAsia="Arial Unicode MS"/>
          <w:noProof/>
        </w:rPr>
      </w:pPr>
      <w:r w:rsidRPr="002D50C1">
        <w:rPr>
          <w:noProof/>
        </w:rPr>
        <w:t xml:space="preserve">În conformitate cu Convenția OMI [articolul 15 litera (j)], Adunarea poate adopta reglementări și orientări adresate membrilor în ceea ce privește siguranța maritimă, prevenirea și controlul poluării marine provenite de la nave și alte aspecte privind efectul transportului maritim asupra mediului marin, atribuite Organizației prin intermediul sau în temeiul unor instrumente internaționale, sau modificări ale unor astfel de reglementări și orientări care i-au fost prezentate, sub formă de rezoluții. </w:t>
      </w:r>
    </w:p>
    <w:p w:rsidR="00185D25" w:rsidRPr="002D50C1" w:rsidRDefault="00185D25" w:rsidP="00A86C32">
      <w:pPr>
        <w:rPr>
          <w:rFonts w:eastAsia="Arial Unicode MS"/>
          <w:noProof/>
        </w:rPr>
      </w:pPr>
      <w:r w:rsidRPr="002D50C1">
        <w:rPr>
          <w:noProof/>
        </w:rPr>
        <w:t xml:space="preserve">Rezoluțiile sus-menționate care urmează să fie adoptate completează și sprijină convențiile OMI, au vocația de a influența în mod decisiv conținutul legislației UE și mai multe dintre acestea sunt încorporate în legislația UE. </w:t>
      </w:r>
    </w:p>
    <w:p w:rsidR="00813512" w:rsidRPr="002D50C1" w:rsidRDefault="00185D25" w:rsidP="00A86C32">
      <w:pPr>
        <w:rPr>
          <w:rFonts w:eastAsia="Arial Unicode MS"/>
          <w:noProof/>
        </w:rPr>
      </w:pPr>
      <w:r w:rsidRPr="002D50C1">
        <w:rPr>
          <w:noProof/>
        </w:rPr>
        <w:t>Scopul lor general este de a promova siguranța maritimă, protecția mediului și punerea în aplicare coerentă la nivel mondial a standardelor OMI prin armonizarea cerințelor tehnice, a procedurilor de inspecție și control și a supravegherii conformității statelor membre. Acestea sunt revizuite și actualizate periodic pentru a încorpora noile tehnologii, evoluțiile în materie de reglementare și experiența dobândită în urma aplicării lor practice, asigurând relevanța și eficacitatea lor continuă.</w:t>
      </w:r>
    </w:p>
    <w:p w:rsidR="00185D25" w:rsidRPr="002D50C1" w:rsidRDefault="00813512" w:rsidP="00A86C32">
      <w:pPr>
        <w:rPr>
          <w:rFonts w:eastAsia="Arial Unicode MS"/>
          <w:noProof/>
        </w:rPr>
      </w:pPr>
      <w:r w:rsidRPr="002D50C1">
        <w:rPr>
          <w:noProof/>
        </w:rPr>
        <w:t xml:space="preserve">Mai precis: </w:t>
      </w:r>
    </w:p>
    <w:p w:rsidR="00B2280D" w:rsidRPr="002D50C1" w:rsidRDefault="0027520C" w:rsidP="0027520C">
      <w:pPr>
        <w:pStyle w:val="Point1"/>
        <w:rPr>
          <w:noProof/>
        </w:rPr>
      </w:pPr>
      <w:r w:rsidRPr="0027520C">
        <w:rPr>
          <w:noProof/>
        </w:rPr>
        <w:t>(a)</w:t>
      </w:r>
      <w:r w:rsidRPr="0027520C">
        <w:rPr>
          <w:noProof/>
        </w:rPr>
        <w:tab/>
      </w:r>
      <w:r w:rsidR="00A86C32" w:rsidRPr="002D50C1">
        <w:rPr>
          <w:noProof/>
        </w:rPr>
        <w:t>Scopul modificărilor avute în vedere la Codul privind alertele și indicatorii este de a actualiza în continuare dispozițiile codului, asigurând astfel conformitatea cu cerințele instrumentelor OMI care au fost adoptate și/sau modificate de la adoptarea codului și, prin urmare, de a elimina contradicțiile, ambiguitățile și redundanțele inutile.</w:t>
      </w:r>
    </w:p>
    <w:p w:rsidR="00A86C32" w:rsidRPr="002D50C1" w:rsidRDefault="0027520C" w:rsidP="0027520C">
      <w:pPr>
        <w:pStyle w:val="Point1"/>
        <w:rPr>
          <w:noProof/>
        </w:rPr>
      </w:pPr>
      <w:r w:rsidRPr="0027520C">
        <w:rPr>
          <w:noProof/>
        </w:rPr>
        <w:t>(b)</w:t>
      </w:r>
      <w:r w:rsidRPr="0027520C">
        <w:rPr>
          <w:noProof/>
        </w:rPr>
        <w:tab/>
      </w:r>
      <w:r w:rsidR="00A86C32" w:rsidRPr="002D50C1">
        <w:rPr>
          <w:noProof/>
        </w:rPr>
        <w:t>Scopul modificărilor avute în vedere la procedurile de control al statului de port este de a spori siguranța și securitatea maritimă, de a preveni poluarea marină și de a actualiza procedurile pentru a ține seama de modificările aduse instrumentelor OMI care au intrat în vigoare sau au produs efecte din 2023, când Adunarea OMI 33 a adoptat Rezoluția A.1185(33) privind procedurile de control al statului de port, 2023.</w:t>
      </w:r>
    </w:p>
    <w:p w:rsidR="00456CD7" w:rsidRPr="002D50C1" w:rsidRDefault="0027520C" w:rsidP="0027520C">
      <w:pPr>
        <w:pStyle w:val="Point1"/>
        <w:rPr>
          <w:noProof/>
        </w:rPr>
      </w:pPr>
      <w:r w:rsidRPr="0027520C">
        <w:rPr>
          <w:noProof/>
        </w:rPr>
        <w:t>(c)</w:t>
      </w:r>
      <w:r w:rsidRPr="0027520C">
        <w:rPr>
          <w:noProof/>
        </w:rPr>
        <w:tab/>
      </w:r>
      <w:r w:rsidR="00B53410" w:rsidRPr="002D50C1">
        <w:rPr>
          <w:noProof/>
        </w:rPr>
        <w:t xml:space="preserve">Scopul </w:t>
      </w:r>
      <w:bookmarkStart w:id="3" w:name="_Hlk145513864"/>
      <w:r w:rsidR="00B53410" w:rsidRPr="002D50C1">
        <w:rPr>
          <w:noProof/>
        </w:rPr>
        <w:t>modificărilor avute în vedere la Orientările în temeiul Sistemului armonizat de control și certificare este de a le revizui în continuare pentru a ține seama de modificările aduse instrumentelor OMI care au intrat în vigoare sau au produs efecte din 2023, când Adunarea OMI 33 a adoptat Rezoluția A.1186(33) privind orientările pentru controale în temeiul Sistemului armonizat de control și certificare (HSSC), 2023.</w:t>
      </w:r>
    </w:p>
    <w:bookmarkEnd w:id="3"/>
    <w:p w:rsidR="00571614" w:rsidRPr="002D50C1" w:rsidRDefault="0027520C" w:rsidP="0027520C">
      <w:pPr>
        <w:pStyle w:val="Point1"/>
        <w:rPr>
          <w:noProof/>
        </w:rPr>
      </w:pPr>
      <w:r w:rsidRPr="0027520C">
        <w:rPr>
          <w:noProof/>
        </w:rPr>
        <w:t>(d)</w:t>
      </w:r>
      <w:r w:rsidRPr="0027520C">
        <w:rPr>
          <w:noProof/>
        </w:rPr>
        <w:tab/>
      </w:r>
      <w:r w:rsidR="00B2280D" w:rsidRPr="002D50C1">
        <w:rPr>
          <w:noProof/>
        </w:rPr>
        <w:t>Scopul modificărilor avute în vedere la Lista neexhaustivă din 2025 de obligații în temeiul instrumentelor relevante pentru Codul III este de a le revizui în continuare pentru a ține seama de modificările aduse instrumentelor OMI relevante pentru Codul III care au intrat în vigoare sau au produs efecte din 2023, când Adunarea OMI din 33 a adoptat Rezoluția A.1187(33) privind Lista neexhaustivă din 2023 a obligațiilor care decurg din instrumentele relevante pentru Codul III.</w:t>
      </w:r>
    </w:p>
    <w:p w:rsidR="00571614" w:rsidRPr="002D50C1" w:rsidRDefault="0027520C" w:rsidP="0027520C">
      <w:pPr>
        <w:pStyle w:val="Point1"/>
        <w:rPr>
          <w:noProof/>
        </w:rPr>
      </w:pPr>
      <w:r w:rsidRPr="0027520C">
        <w:rPr>
          <w:noProof/>
        </w:rPr>
        <w:t>(e)</w:t>
      </w:r>
      <w:r w:rsidRPr="0027520C">
        <w:rPr>
          <w:noProof/>
        </w:rPr>
        <w:tab/>
      </w:r>
      <w:r w:rsidR="00571614" w:rsidRPr="002D50C1">
        <w:rPr>
          <w:noProof/>
        </w:rPr>
        <w:t>Scopul modificărilor avute în vedere ale Cadrului și procedurilor pentru sistemul OMI de audit al statelor membre (IMSAS) este de a îmbunătăți capacitatea statelor membre de a-și îndeplini obligațiile care le revin în temeiul instrumentelor obligatorii ale OMI la care sunt parte și de a promova o mai mare transparență, responsabilitate și cooperare între statele membre.</w:t>
      </w:r>
    </w:p>
    <w:p w:rsidR="00F6165C" w:rsidRPr="002D50C1" w:rsidRDefault="0027520C" w:rsidP="0027520C">
      <w:pPr>
        <w:pStyle w:val="ManualHeading1"/>
        <w:rPr>
          <w:rFonts w:eastAsia="Arial Unicode MS"/>
          <w:noProof/>
        </w:rPr>
      </w:pPr>
      <w:r w:rsidRPr="0027520C">
        <w:rPr>
          <w:noProof/>
        </w:rPr>
        <w:t>3.</w:t>
      </w:r>
      <w:r w:rsidRPr="0027520C">
        <w:rPr>
          <w:noProof/>
        </w:rPr>
        <w:tab/>
      </w:r>
      <w:r w:rsidR="00B53410" w:rsidRPr="002D50C1">
        <w:rPr>
          <w:noProof/>
        </w:rPr>
        <w:t>Poziția care urmează să fie adoptată în numele Uniunii</w:t>
      </w:r>
    </w:p>
    <w:p w:rsidR="00F6165C" w:rsidRPr="002D50C1" w:rsidRDefault="0027520C" w:rsidP="0027520C">
      <w:pPr>
        <w:pStyle w:val="ManualHeading2"/>
        <w:rPr>
          <w:noProof/>
        </w:rPr>
      </w:pPr>
      <w:r w:rsidRPr="0027520C">
        <w:rPr>
          <w:noProof/>
        </w:rPr>
        <w:t>3.1.</w:t>
      </w:r>
      <w:r w:rsidRPr="0027520C">
        <w:rPr>
          <w:noProof/>
        </w:rPr>
        <w:tab/>
      </w:r>
      <w:r w:rsidR="0034166C" w:rsidRPr="002D50C1">
        <w:rPr>
          <w:noProof/>
        </w:rPr>
        <w:t xml:space="preserve">Adoptarea proiectului de Cod privind alertele și indicatorii, 2025, </w:t>
      </w:r>
      <w:bookmarkStart w:id="4" w:name="_Hlk209773205"/>
      <w:r w:rsidR="0034166C" w:rsidRPr="002D50C1">
        <w:rPr>
          <w:noProof/>
        </w:rPr>
        <w:t>și a proiectului asociat de rezoluție</w:t>
      </w:r>
      <w:bookmarkEnd w:id="4"/>
      <w:r w:rsidR="0034166C" w:rsidRPr="002D50C1">
        <w:rPr>
          <w:noProof/>
        </w:rPr>
        <w:t xml:space="preserve"> a Adunării și revocarea Rezoluției existente A.1021(26) referitoare la Codul privind alertele și indicatorii, 2009</w:t>
      </w:r>
    </w:p>
    <w:p w:rsidR="00813512" w:rsidRPr="002D50C1" w:rsidRDefault="00813512" w:rsidP="004F332E">
      <w:pPr>
        <w:rPr>
          <w:noProof/>
        </w:rPr>
      </w:pPr>
      <w:r w:rsidRPr="002D50C1">
        <w:rPr>
          <w:noProof/>
        </w:rPr>
        <w:t>Codul privind alertele și indicatorii, 2009, este menit să ofere orientări generale de proiectare și să promoveze uniformitatea tipului, a amplasării și a priorității pentru alertele și indicatorii prevăzuți de Convenția SOLAS, care se aplică navelor de pasageri angajate în curse interne prin Directiva 2009/45/CE privind normele și standardele de siguranță pentru navele de pasageri.</w:t>
      </w:r>
    </w:p>
    <w:p w:rsidR="0099319D" w:rsidRPr="002D50C1" w:rsidRDefault="0034166C" w:rsidP="004F332E">
      <w:pPr>
        <w:rPr>
          <w:noProof/>
        </w:rPr>
      </w:pPr>
      <w:r w:rsidRPr="002D50C1">
        <w:rPr>
          <w:noProof/>
        </w:rPr>
        <w:t xml:space="preserve">Comitetul pentru siguranță maritimă al OMI, în cadrul celei de a 108-a sesiuni (MSC 108), a alocat Subcomitetului pentru proiectarea și construcția navelor (SDC) sarcina de a întreprinde lucrările privind „Revizuirea Codului din 2009 privind alertele și indicatorii”. </w:t>
      </w:r>
    </w:p>
    <w:p w:rsidR="00EF47B2" w:rsidRPr="002D50C1" w:rsidRDefault="0099319D" w:rsidP="004F332E">
      <w:pPr>
        <w:rPr>
          <w:noProof/>
        </w:rPr>
      </w:pPr>
      <w:r w:rsidRPr="002D50C1">
        <w:rPr>
          <w:noProof/>
        </w:rPr>
        <w:t xml:space="preserve">SDC 11 a remarcat importanța asigurării faptului că modificările la Codul privind alertele și indicatorii sunt coerente și armonizate cu cele mai recente versiuni ale convențiilor, codurilor și rezoluțiilor, care au stabilit cerințe pentru alertele vizuale și auditive pentru a garanta siguranța operațiunilor la bord. SDC 11 a instituit Grupul de lucru pentru revizuirea Codului din 2009 privind alertele și indicatorii și i-a încredințat sarcina de a dezvolta în continuare proiectele de </w:t>
      </w:r>
      <w:r w:rsidR="00CC044E" w:rsidRPr="002D50C1">
        <w:rPr>
          <w:noProof/>
        </w:rPr>
        <w:t>modificări</w:t>
      </w:r>
      <w:r w:rsidRPr="002D50C1">
        <w:rPr>
          <w:noProof/>
        </w:rPr>
        <w:t xml:space="preserve"> la Codul din 2009 privind alertele și indicatorii, în vederea finalizării, împreună cu proiectul asociat de rezoluție a Adunării. </w:t>
      </w:r>
    </w:p>
    <w:p w:rsidR="0099319D" w:rsidRPr="002D50C1" w:rsidRDefault="00EF47B2" w:rsidP="004F332E">
      <w:pPr>
        <w:rPr>
          <w:noProof/>
        </w:rPr>
      </w:pPr>
      <w:r w:rsidRPr="002D50C1">
        <w:rPr>
          <w:noProof/>
        </w:rPr>
        <w:t>SDC 11 a aprobat raportul Grupului de lucru pentru revizuirea Codului din 2009 privind alertele și indicatorii și a aprobat proiectul de Cod din 2025 privind alertele și indicatorii, precum și proiectul de rezoluție asociat al Adunării, în vederea aprobării concomitente de către MEPC 83 și MSC 110 și a adoptării ulterioare de către A 34. Poziția Uniunii în cadrul SDC 11 a fost de a sprijini faptul că proiectele de modificări la Codul din 2009 privind alertele și indicatorii ar trebui luate în considerare în cadrul unui grup de lucru.</w:t>
      </w:r>
    </w:p>
    <w:p w:rsidR="00EF47B2" w:rsidRPr="002D50C1" w:rsidRDefault="00EF47B2" w:rsidP="004F332E">
      <w:pPr>
        <w:rPr>
          <w:noProof/>
        </w:rPr>
      </w:pPr>
      <w:r w:rsidRPr="002D50C1">
        <w:rPr>
          <w:noProof/>
        </w:rPr>
        <w:t>În cadrul celei de a 83-a sesiuni, Comitetul pentru protecția mediului marin (MEPC) a aprobat, sub rezerva unei decizii concomitente a MSC 110, proiectul de cod privind alertele și indicatorii din 2025 și proiectul de rezoluție a Adunării aferent, astfel cum figurează în anexa 14, în vederea adoptării de către A 34. Poziția Uniunii în cadrul MEPC 83 a fost de a sprijini aprobarea proiectului de Cod privind alertele și indicatorii din 2025 și a proiectului de rezoluție aferent al Adunării.</w:t>
      </w:r>
    </w:p>
    <w:p w:rsidR="00EF47B2" w:rsidRPr="002D50C1" w:rsidRDefault="00EF47B2" w:rsidP="004F332E">
      <w:pPr>
        <w:rPr>
          <w:noProof/>
        </w:rPr>
      </w:pPr>
      <w:r w:rsidRPr="002D50C1">
        <w:rPr>
          <w:noProof/>
        </w:rPr>
        <w:t>MSC 110 a fost de acord cu decizia MEPC 83 de aprobare a proiectului de Cod privind alertele și indicatorii, 2025 în vederea adoptării de către A 34. La aprobarea proiectului de cod, Comitetul a invitat Adunarea să revoce Rezoluția existentă A.1021(26) referitoare la Codul privind alertele și indicatorii, 2009. Poziția Uniunii în cadrul MSC 110 a fost de a sprijini aprobarea proiectului de Cod privind alertele și indicatorii din 2025 și a proiectului de rezoluție aferent al Adunării.</w:t>
      </w:r>
    </w:p>
    <w:p w:rsidR="00AE70F5" w:rsidRPr="002D50C1" w:rsidRDefault="00AE70F5" w:rsidP="004F332E">
      <w:pPr>
        <w:rPr>
          <w:noProof/>
        </w:rPr>
      </w:pPr>
      <w:r w:rsidRPr="002D50C1">
        <w:rPr>
          <w:noProof/>
        </w:rPr>
        <w:t xml:space="preserve">Proiectul de Cod privind alertele și indicatorii, 2025 și proiectul de Rezoluție a Adunării aferent acestuia au fost aprobate de MSC 110 în vederea adoptării de către A34, în conformitate cu raportul MSC – A34 (documentul A 34/12 al OMI din 1 septembrie 2025). </w:t>
      </w:r>
    </w:p>
    <w:p w:rsidR="00EF47B2" w:rsidRPr="002D50C1" w:rsidRDefault="00EF47B2" w:rsidP="004F332E">
      <w:pPr>
        <w:rPr>
          <w:noProof/>
        </w:rPr>
      </w:pPr>
      <w:r w:rsidRPr="002D50C1">
        <w:rPr>
          <w:noProof/>
        </w:rPr>
        <w:t>Prin urmare, poziția Uniunii ar trebui să fie aceea de a sprijini proiectul de Cod privind alertele și indicatorii, 2025, și proiectul de rezoluție asociat al Adunării, întrucât această revizuire va asigura conformitatea cu cerințele instrumentelor OMI care au fost adoptate și/sau modificate de la adoptarea codului și, prin urmare, va elimina contradicțiile, ambiguitățile și redundanțele inutile.</w:t>
      </w:r>
    </w:p>
    <w:p w:rsidR="00480AA7" w:rsidRPr="002D50C1" w:rsidRDefault="0027520C" w:rsidP="0027520C">
      <w:pPr>
        <w:pStyle w:val="ManualHeading2"/>
        <w:rPr>
          <w:noProof/>
        </w:rPr>
      </w:pPr>
      <w:bookmarkStart w:id="5" w:name="_Hlk209775072"/>
      <w:r w:rsidRPr="0027520C">
        <w:rPr>
          <w:noProof/>
        </w:rPr>
        <w:t>3.2.</w:t>
      </w:r>
      <w:r w:rsidRPr="0027520C">
        <w:rPr>
          <w:noProof/>
        </w:rPr>
        <w:tab/>
      </w:r>
      <w:r w:rsidR="00480AA7" w:rsidRPr="002D50C1">
        <w:rPr>
          <w:noProof/>
        </w:rPr>
        <w:t>Adoptarea procedurilor de control al statului de port, 2025 și proiectul aferent de rezoluție a Adunării</w:t>
      </w:r>
      <w:bookmarkEnd w:id="5"/>
    </w:p>
    <w:p w:rsidR="00813512" w:rsidRPr="002D50C1" w:rsidRDefault="00813512" w:rsidP="004F332E">
      <w:pPr>
        <w:rPr>
          <w:noProof/>
        </w:rPr>
      </w:pPr>
      <w:r w:rsidRPr="002D50C1">
        <w:rPr>
          <w:noProof/>
        </w:rPr>
        <w:t>Procedurile de control al statelor de port sunt menite să ofere orientări de bază cu privire la desfășurarea inspecțiilor în cadrul controlului statului de port în sprijinul dispozițiilor privind controlul din convențiile relevante și părți din Codul de punere în aplicare a instrumentelor OMI (Codul III) și să asigure coerența în desfășurarea acestor inspecții, recunoașterea deficiențelor unei nave, ale echipamentelor sau ale echipajului acesteia, precum și aplicarea procedurilor de control.</w:t>
      </w:r>
    </w:p>
    <w:p w:rsidR="00480AA7" w:rsidRPr="002D50C1" w:rsidRDefault="00663962" w:rsidP="004F332E">
      <w:pPr>
        <w:rPr>
          <w:noProof/>
        </w:rPr>
      </w:pPr>
      <w:r w:rsidRPr="002D50C1">
        <w:rPr>
          <w:noProof/>
        </w:rPr>
        <w:t>În cadrul celei de a 10-a sesiuni, subcomitetul pentru punerea în aplicare a instrumentelor OMI (III), a convenit asupra proiectelor de modificări ale procedurilor pentru PSC din 2023, care urmează să fie finalizate la III 11, în vederea transmiterii acestora către A 34, spre adoptare. III 10 a instituit, de asemenea, Grupul de corespondență privind măsurile de armonizare a activităților și procedurilor de control al statului de port (PSC) la nivel mondial, sub coordonarea Comisiei Europene, pentru a continua lucrările de modificare a procedurilor pentru PSC, 2023. Poziția Uniunii la punctul III 10 a fost de a sprijini raportul Grupului de corespondență privind măsurile de armonizare la nivel mondial a activităților și procedurilor de control al statului de port (PSC) și de a sprijini înființarea grupului de lucru privind chestiunile legate de PSC pentru a analiza lucrările restante care decurg din acest din urmă raport.</w:t>
      </w:r>
    </w:p>
    <w:p w:rsidR="00AE70F5" w:rsidRPr="002D50C1" w:rsidRDefault="00AE70F5" w:rsidP="004F332E">
      <w:pPr>
        <w:rPr>
          <w:noProof/>
        </w:rPr>
      </w:pPr>
      <w:r w:rsidRPr="002D50C1">
        <w:rPr>
          <w:noProof/>
        </w:rPr>
        <w:t>III 11 a analizat, printre altele, raportul Grupului de corespondență și a instituit Grupul de lucru privind măsurile de armonizare a activităților și procedurilor de control ale statului de port la nivel mondial, în vederea examinării ulterioare a raportului, cu scopul de a finaliza, cu prioritate, proiectele de modificări propuse la procedurile pentru PSC din 2023, în vederea transmiterii, într-o formă consolidată, la A 34 spre adoptare. Poziția Uniunii la punctul III 11 a fost de a sprijini, în general, raportul Grupului de corespondență privind măsurile de armonizare la nivel mondial a activităților și procedurilor de control al statului de port (PSC).</w:t>
      </w:r>
    </w:p>
    <w:p w:rsidR="00C83043" w:rsidRPr="002D50C1" w:rsidRDefault="00C83043" w:rsidP="004F332E">
      <w:pPr>
        <w:rPr>
          <w:noProof/>
        </w:rPr>
      </w:pPr>
      <w:r w:rsidRPr="002D50C1">
        <w:rPr>
          <w:noProof/>
        </w:rPr>
        <w:t xml:space="preserve">III 11 a fost de acord cu proiectul de rezoluție a Adunării privind procedurile de control al statului de port, 2025, care urmează să fie adoptat până în A 34. </w:t>
      </w:r>
    </w:p>
    <w:p w:rsidR="003D58C3" w:rsidRPr="002D50C1" w:rsidRDefault="003D58C3" w:rsidP="004F332E">
      <w:pPr>
        <w:rPr>
          <w:noProof/>
        </w:rPr>
      </w:pPr>
      <w:r w:rsidRPr="002D50C1">
        <w:rPr>
          <w:noProof/>
        </w:rPr>
        <w:t>MSC 109 și MEPC 83 autorizaseră III 11 să raporteze rezultatele activității sale cu privire la chestiuni care ar necesita adoptarea proiectului de rezoluție a Adunării privind procedurile de control al statului de port, 2025 direct către A 34.</w:t>
      </w:r>
    </w:p>
    <w:p w:rsidR="003D58C3" w:rsidRPr="002D50C1" w:rsidRDefault="003D58C3" w:rsidP="004F332E">
      <w:pPr>
        <w:rPr>
          <w:noProof/>
        </w:rPr>
      </w:pPr>
      <w:r w:rsidRPr="002D50C1">
        <w:rPr>
          <w:noProof/>
        </w:rPr>
        <w:t>Proiectul de rezoluție a Adunării privind procedurile de control al statului de port din 2025 a fost prezentat spre adoptare de către A 34, în conformitate cu raportul MSC – A34 (documentul A 34/12 al OMI din 1 septembrie 2025).</w:t>
      </w:r>
    </w:p>
    <w:p w:rsidR="00AE70F5" w:rsidRPr="002D50C1" w:rsidRDefault="00AE70F5" w:rsidP="004F332E">
      <w:pPr>
        <w:rPr>
          <w:noProof/>
        </w:rPr>
      </w:pPr>
      <w:r w:rsidRPr="002D50C1">
        <w:rPr>
          <w:noProof/>
        </w:rPr>
        <w:t>Prin urmare, poziția Uniunii ar trebui să fie aceea de a sprijini adoptarea procedurilor de control al statului de port 2025 și a proiectului asociat de rezoluție a Adunării, deoarece ele vor spori siguranța și securitatea maritimă, precum și prevenirea poluării marine, iar actualizarea va ține seama de modificările aduse instrumentelor OMI care au intrat în vigoare sau au produs efecte din 2023.</w:t>
      </w:r>
    </w:p>
    <w:p w:rsidR="003D58C3" w:rsidRPr="002D50C1" w:rsidRDefault="0027520C" w:rsidP="0027520C">
      <w:pPr>
        <w:pStyle w:val="ManualHeading2"/>
        <w:rPr>
          <w:noProof/>
        </w:rPr>
      </w:pPr>
      <w:r w:rsidRPr="0027520C">
        <w:rPr>
          <w:noProof/>
        </w:rPr>
        <w:t>3.3.</w:t>
      </w:r>
      <w:r w:rsidRPr="0027520C">
        <w:rPr>
          <w:noProof/>
        </w:rPr>
        <w:tab/>
      </w:r>
      <w:r w:rsidR="003D58C3" w:rsidRPr="002D50C1">
        <w:rPr>
          <w:noProof/>
        </w:rPr>
        <w:t>Modificări aduse Orientărilor pentru controale în temeiul Sistemului armonizat de control și certificare (Orientările HSSC privind controalele), 2025</w:t>
      </w:r>
    </w:p>
    <w:p w:rsidR="00813512" w:rsidRPr="002D50C1" w:rsidRDefault="00A34590" w:rsidP="004F332E">
      <w:pPr>
        <w:rPr>
          <w:noProof/>
        </w:rPr>
      </w:pPr>
      <w:r w:rsidRPr="002D50C1">
        <w:rPr>
          <w:noProof/>
        </w:rPr>
        <w:t>Sistemul armonizat de control și certificare (Orientările HSSC privind controalele) este un sistem unificat pentru controalele și certificarea navelor în temeiul convențiilor OMI. Orientările HSSC privind controalele sunt cerințe obligatorii pe care organizațiile recunoscute le respectă atunci când efectuează controale și inspecții statutare.</w:t>
      </w:r>
    </w:p>
    <w:p w:rsidR="003D58C3" w:rsidRPr="002D50C1" w:rsidRDefault="003D58C3" w:rsidP="004F332E">
      <w:pPr>
        <w:rPr>
          <w:noProof/>
        </w:rPr>
      </w:pPr>
      <w:r w:rsidRPr="002D50C1">
        <w:rPr>
          <w:noProof/>
        </w:rPr>
        <w:t>Subcomitetul pentru punerea în aplicare de către statele de pavilion, predecesorul III, a fost de acord să revizuiască în mod continuu Orientările privind controalele. Prin urmare, orientările pentru controale sunt actualizate în cadrul fiecărei sesiuni a Adunării OMI.</w:t>
      </w:r>
    </w:p>
    <w:p w:rsidR="003D58C3" w:rsidRPr="002D50C1" w:rsidRDefault="00BB0E61" w:rsidP="004F332E">
      <w:pPr>
        <w:rPr>
          <w:noProof/>
        </w:rPr>
      </w:pPr>
      <w:r w:rsidRPr="002D50C1">
        <w:rPr>
          <w:noProof/>
        </w:rPr>
        <w:t xml:space="preserve">III 9 a instituit un grup de corespondență privind orientările pentru controale în cadrul HSSC, lista neexhaustivă de obligații și Orientările privind controalele la distanță, auditurile și verificările pentru a lua în considerare modificări suplimentare ale Orientărilor HSSC. </w:t>
      </w:r>
    </w:p>
    <w:p w:rsidR="00BB0E61" w:rsidRPr="002D50C1" w:rsidRDefault="00BB0E61" w:rsidP="004F332E">
      <w:pPr>
        <w:rPr>
          <w:noProof/>
        </w:rPr>
      </w:pPr>
      <w:r w:rsidRPr="002D50C1">
        <w:rPr>
          <w:noProof/>
        </w:rPr>
        <w:t>III 10 convenise că proiectele de modificări la orientările pentru controale trebuie să fie dezvoltate în continuare pentru a include cerințele care decurg din modificările aduse instrumentelor relevante ale OMI care intră în vigoare până la 31 decembrie 2025 inclusiv, ținând seama de rezultatele MSC 108, MEPC 81 și ale viitoarelor sesiuni ale MSC și MEPC, după caz, în vederea prezentării proiectelor de modificări la punctul III 11 spre finalizare, înainte de eventuala transmitere directă în forma consolidată la A 34 spre adoptare, sub rezerva aprobării de către comitete. Poziția Uniunii la punctul III 10 a fost de a sprijini faptul că proiectele de modificări ale Orientărilor HSSC din 2023, care decurg din modificările aduse instrumentelor obligatorii care urmează să intre în vigoare până la 31 decembrie 2025 inclusiv, sunt luate în considerare de Grupul de lucru privind orientările pentru controale în temeiul HSSC.</w:t>
      </w:r>
    </w:p>
    <w:p w:rsidR="00BB0E61" w:rsidRPr="002D50C1" w:rsidRDefault="00BB0E61" w:rsidP="004F332E">
      <w:pPr>
        <w:rPr>
          <w:noProof/>
        </w:rPr>
      </w:pPr>
      <w:r w:rsidRPr="002D50C1">
        <w:rPr>
          <w:noProof/>
        </w:rPr>
        <w:t xml:space="preserve">III 10 a reinstituit grupul de corespondență menționat anterior pentru a dezvolta în continuare modificările aduse orientărilor pentru controale, în vederea unei versiuni consolidate până în III 11. </w:t>
      </w:r>
    </w:p>
    <w:p w:rsidR="00C83043" w:rsidRPr="002D50C1" w:rsidRDefault="00C83043" w:rsidP="004F332E">
      <w:pPr>
        <w:rPr>
          <w:noProof/>
        </w:rPr>
      </w:pPr>
      <w:r w:rsidRPr="002D50C1">
        <w:rPr>
          <w:noProof/>
        </w:rPr>
        <w:t>III 11 a analizat, printre altele, raportul Grupului de corespondență și a instituit Grupul de lucru privind orientările pentru controale în cadrul HSSC, Lista neexhaustivă a obligațiilor și Orientările privind controalele la distanță, auditurile și verificările pentru a finaliza proiectele de modificări propuse la orientările pentru inspecții în temeiul HSSC din 2023, în vederea finalizării în cadrul acestei sesiuni, în vederea transmiterii, într-o formă consolidată, la A 34 spre adoptare. Poziția Uniunii din III 11 a fost de a sprijini trimiterea modificărilor propuse către grupul de lucru pentru revizuire și finalizare în cursul sesiunii.</w:t>
      </w:r>
    </w:p>
    <w:p w:rsidR="00C83043" w:rsidRPr="002D50C1" w:rsidRDefault="00C83043" w:rsidP="004F332E">
      <w:pPr>
        <w:rPr>
          <w:noProof/>
        </w:rPr>
      </w:pPr>
      <w:r w:rsidRPr="002D50C1">
        <w:rPr>
          <w:noProof/>
        </w:rPr>
        <w:t>III 11 a fost de acord cu proiectele de modificare a Orientărilor HSSC pentru controale care urmează să fie adoptate de A 34.</w:t>
      </w:r>
    </w:p>
    <w:p w:rsidR="003D58C3" w:rsidRPr="002D50C1" w:rsidRDefault="003D58C3" w:rsidP="004F332E">
      <w:pPr>
        <w:rPr>
          <w:noProof/>
        </w:rPr>
      </w:pPr>
      <w:r w:rsidRPr="002D50C1">
        <w:rPr>
          <w:noProof/>
        </w:rPr>
        <w:t>MSC 109 și MEPC 83 autorizaseră III 11 să raporteze rezultatele activității sale cu privire la aspecte care ar necesita adoptarea proiectului de rezoluție a Adunării referitoare la orientările HSSC pentru controale direct către A 34.</w:t>
      </w:r>
    </w:p>
    <w:p w:rsidR="003D58C3" w:rsidRPr="002D50C1" w:rsidRDefault="003D58C3" w:rsidP="004F332E">
      <w:pPr>
        <w:rPr>
          <w:noProof/>
        </w:rPr>
      </w:pPr>
      <w:r w:rsidRPr="002D50C1">
        <w:rPr>
          <w:noProof/>
        </w:rPr>
        <w:t xml:space="preserve">Proiectul de rezoluție a Adunării referitoare la orientările HSSC pentru controale a fost prezentat spre adoptare de către A 34, în conformitate cu raportul MSC – A34 (documentul A 34/12 al OMI din 1 septembrie 2025). </w:t>
      </w:r>
    </w:p>
    <w:p w:rsidR="003D58C3" w:rsidRPr="002D50C1" w:rsidRDefault="003D58C3" w:rsidP="004F332E">
      <w:pPr>
        <w:rPr>
          <w:noProof/>
        </w:rPr>
      </w:pPr>
      <w:r w:rsidRPr="002D50C1">
        <w:rPr>
          <w:noProof/>
        </w:rPr>
        <w:t>Prin urmare, poziția Uniunii ar trebui să fie aceea de a sprijini adoptarea modificărilor aduse Orientărilor HSSC pentru controale, deoarece actualizarea va ține seama de modificările aduse instrumentelor OMI care au intrat în vigoare sau au produs efecte din 2023.</w:t>
      </w:r>
    </w:p>
    <w:p w:rsidR="005F3050" w:rsidRPr="002D50C1" w:rsidRDefault="0027520C" w:rsidP="0027520C">
      <w:pPr>
        <w:pStyle w:val="ManualHeading2"/>
        <w:rPr>
          <w:noProof/>
        </w:rPr>
      </w:pPr>
      <w:r w:rsidRPr="0027520C">
        <w:rPr>
          <w:noProof/>
        </w:rPr>
        <w:t>3.4.</w:t>
      </w:r>
      <w:r w:rsidRPr="0027520C">
        <w:rPr>
          <w:noProof/>
        </w:rPr>
        <w:tab/>
      </w:r>
      <w:r w:rsidR="00C83043" w:rsidRPr="002D50C1">
        <w:rPr>
          <w:noProof/>
        </w:rPr>
        <w:t>Modificări aduse listei neexhaustive de obligații care decurg din instrumentele relevante pentru Codul de punere în aplicare a instrumentelor OMI (Codul III)</w:t>
      </w:r>
    </w:p>
    <w:p w:rsidR="00C83043" w:rsidRPr="002D50C1" w:rsidRDefault="00C83043" w:rsidP="004F332E">
      <w:pPr>
        <w:rPr>
          <w:noProof/>
        </w:rPr>
      </w:pPr>
      <w:r w:rsidRPr="002D50C1">
        <w:rPr>
          <w:noProof/>
        </w:rPr>
        <w:t>Ca orientări privind punerea în aplicare și asigurarea respectării instrumentelor OMI, în special în ceea ce privește identificarea domeniilor de auditat relevante pentru sistemul OMI de audit al statelor membre, OMI a elaborat o listă neexhaustivă de obligații care decurg din instrumentele relevante pentru Codul de punere în aplicare a instrumentelor OMI (Codul III). Cea mai recentă revizuire a acestei liste a avut loc în 2023 sub forma unei anexe la Rezoluția A.1187 (33) adoptată de A 33. De atunci, atât MSC, cât și MEPC au adoptat dispoziții legislative suplimentare.</w:t>
      </w:r>
    </w:p>
    <w:p w:rsidR="000844D1" w:rsidRPr="002D50C1" w:rsidRDefault="000844D1" w:rsidP="004F332E">
      <w:pPr>
        <w:rPr>
          <w:noProof/>
        </w:rPr>
      </w:pPr>
      <w:r w:rsidRPr="002D50C1">
        <w:rPr>
          <w:noProof/>
        </w:rPr>
        <w:t xml:space="preserve">III 9 a instituit Grupul de corespondență privind orientările pentru controale în temeiul HSSC, lista neexhaustivă a obligațiilor și Orientările privind controalele la distanță, auditurile și verificările, pentru a continua, printre altele, elaborarea proiectelor de modificări ale listei neexhaustive de obligații care decurg din aceste modificări ale instrumentelor relevante ale OMI care vor intra în vigoare până la 1 iulie 2026 inclusiv, în vederea prezentării proiectelor de modificări la Lista neexhaustivă, astfel cum a fost finalizată în formă consolidată, în vederea adoptării la A 34. </w:t>
      </w:r>
    </w:p>
    <w:p w:rsidR="00C83043" w:rsidRPr="002D50C1" w:rsidRDefault="00685D80" w:rsidP="004F332E">
      <w:pPr>
        <w:rPr>
          <w:noProof/>
        </w:rPr>
      </w:pPr>
      <w:r w:rsidRPr="002D50C1">
        <w:rPr>
          <w:noProof/>
        </w:rPr>
        <w:t>III 10, din cauza constrângerilor de timp, nu a fost în măsură să finalizeze actualizarea listei neexhaustive. Prin urmare, III 10 a convenit să continue activitatea în cadrul grupului de corespondență menționat anterior, în vederea finalizării actualizării listei neexhaustive. Poziția Uniunii în cursul celei de a 10-a sesiuni a subcomitetului III a fost de a sprijini raportul grupului de corespondență ca bază pentru actualizarea listei neexhaustive din 2023 de obligații care decurg din instrumentele relevante pentru Codul III.</w:t>
      </w:r>
    </w:p>
    <w:p w:rsidR="000844D1" w:rsidRPr="002D50C1" w:rsidRDefault="000844D1" w:rsidP="004F332E">
      <w:pPr>
        <w:rPr>
          <w:noProof/>
        </w:rPr>
      </w:pPr>
      <w:r w:rsidRPr="002D50C1">
        <w:rPr>
          <w:noProof/>
        </w:rPr>
        <w:t>III 11 a analizat, printre altele, raportul Grupului de corespondență și a transmis documentul Grupului de lucru privind orientările pentru controale din cadrul HSSC, Lista neexhaustivă a obligațiilor și Orientările privind controalele la distanță, auditurile și verificările pentru a finaliza proiectele de modificări propuse la lista neexhaustivă. Poziția Uniunii din III 11 a fost de a sprijini trimiterea modificărilor propuse către grupul de lucru pentru revizuire și finalizare în cursul sesiunii.</w:t>
      </w:r>
    </w:p>
    <w:p w:rsidR="000844D1" w:rsidRPr="002D50C1" w:rsidRDefault="000844D1" w:rsidP="004F332E">
      <w:pPr>
        <w:rPr>
          <w:noProof/>
        </w:rPr>
      </w:pPr>
      <w:r w:rsidRPr="002D50C1">
        <w:rPr>
          <w:noProof/>
        </w:rPr>
        <w:t>III 11 a fost de acord cu proiectele de modificare a Listei neexhaustive care urmează să fie adoptate de A 34.</w:t>
      </w:r>
    </w:p>
    <w:p w:rsidR="000844D1" w:rsidRPr="002D50C1" w:rsidRDefault="000844D1" w:rsidP="004F332E">
      <w:pPr>
        <w:rPr>
          <w:noProof/>
        </w:rPr>
      </w:pPr>
      <w:r w:rsidRPr="002D50C1">
        <w:rPr>
          <w:noProof/>
        </w:rPr>
        <w:t>MSC 109 și MEPC 83 autorizaseră III 11 să raporteze rezultatul activității sale cu privire la chestiuni care ar necesita adoptarea proiectului de rezoluție a Adunării privind lista neexhaustivă a obligațiilor care decurg din instrumentele relevante pentru Codul III direct către A 34.</w:t>
      </w:r>
    </w:p>
    <w:p w:rsidR="000844D1" w:rsidRPr="002D50C1" w:rsidRDefault="000844D1" w:rsidP="004F332E">
      <w:pPr>
        <w:rPr>
          <w:noProof/>
        </w:rPr>
      </w:pPr>
      <w:r w:rsidRPr="002D50C1">
        <w:rPr>
          <w:noProof/>
        </w:rPr>
        <w:t xml:space="preserve">Proiectul de rezoluție a Adunării privind lista neexhaustivă a obligațiilor care decurg din instrumentele relevante pentru Codul III a fost prezentat spre adoptare de către A 34, în conformitate cu raportul MSC – A34 (documentul OMI A 34/12 din 1 septembrie 2025). </w:t>
      </w:r>
    </w:p>
    <w:p w:rsidR="000844D1" w:rsidRPr="002D50C1" w:rsidRDefault="000844D1" w:rsidP="004F332E">
      <w:pPr>
        <w:rPr>
          <w:rFonts w:eastAsia="Arial Unicode MS"/>
          <w:noProof/>
        </w:rPr>
      </w:pPr>
      <w:r w:rsidRPr="002D50C1">
        <w:rPr>
          <w:noProof/>
        </w:rPr>
        <w:t>Poziția Uniunii ar trebui să fie aceea de a sprijini modificările aduse Listei neexhaustive de obligații în temeiul instrumentelor relevante pentru Codul III, deoarece actualizarea va ține seama de modificările aduse instrumentelor OMI relevante pentru Codul III care au intrat în vigoare sau au produs efecte din 2023.</w:t>
      </w:r>
    </w:p>
    <w:p w:rsidR="00D57DB6" w:rsidRPr="002D50C1" w:rsidRDefault="0027520C" w:rsidP="0027520C">
      <w:pPr>
        <w:pStyle w:val="ManualHeading2"/>
        <w:rPr>
          <w:noProof/>
        </w:rPr>
      </w:pPr>
      <w:r w:rsidRPr="0027520C">
        <w:rPr>
          <w:noProof/>
        </w:rPr>
        <w:t>3.5.</w:t>
      </w:r>
      <w:r w:rsidRPr="0027520C">
        <w:rPr>
          <w:noProof/>
        </w:rPr>
        <w:tab/>
      </w:r>
      <w:r w:rsidR="00D57DB6" w:rsidRPr="002D50C1">
        <w:rPr>
          <w:noProof/>
        </w:rPr>
        <w:t>Cadrul și procedurile pentru sistemul OMI de audit al statelor membre (IMSAS)</w:t>
      </w:r>
    </w:p>
    <w:p w:rsidR="00C83043" w:rsidRPr="002D50C1" w:rsidRDefault="00A34590" w:rsidP="004F332E">
      <w:pPr>
        <w:rPr>
          <w:noProof/>
        </w:rPr>
      </w:pPr>
      <w:r w:rsidRPr="002D50C1">
        <w:rPr>
          <w:noProof/>
        </w:rPr>
        <w:t>Cadrul și procedurile pentru sistemul OMI de audit al statelor membre evaluează măsura în care statele membre pun în aplicare pe deplin și integral obligațiile și responsabilitățile care le revin în cadrul instrumentelor OMI și au ca scop promovarea punerii în aplicare coerente și eficace a acestor instrumente. În cadrul celei de a 134-a sesiuni (C 134), Consiliul OMI a luat act de raportul de informare privind progresele înregistrate în punerea în aplicare a sistemului OMI de audit al statelor membre (IMSAS) și de raportul celei de a noua sesiuni a Grupului de lucru comun privind sistemul de audit al statelor membre (JWGMSA 9). Cel de al 134-lea Consiliu a aprobat acest raport și proiectul de rezoluție a Adunării privind cadrul și procedurile revizuite pentru sistemul OMI de audit al statelor membre și anexa la acesta, în vederea transmiterii spre adoptare către cea de a 34-a Adunare.</w:t>
      </w:r>
    </w:p>
    <w:p w:rsidR="00340FD5" w:rsidRPr="002D50C1" w:rsidRDefault="00340FD5" w:rsidP="004F332E">
      <w:pPr>
        <w:rPr>
          <w:noProof/>
        </w:rPr>
      </w:pPr>
      <w:r w:rsidRPr="002D50C1">
        <w:rPr>
          <w:noProof/>
        </w:rPr>
        <w:t>Poziția Uniunii ar trebui să fie sprijinirea Cadrului și a procedurilor revizuite pentru sistemul OMI de audit al statelor membre, deoarece va îmbunătăți capacitatea statelor membre de a-și îndeplini obligațiile care le revin în temeiul instrumentelor obligatorii ale OMI la care sunt parte și de a promova o mai mare transparență, responsabilitate și cooperare între statele membre.</w:t>
      </w:r>
    </w:p>
    <w:p w:rsidR="00966224" w:rsidRPr="002D50C1" w:rsidRDefault="0027520C" w:rsidP="0027520C">
      <w:pPr>
        <w:pStyle w:val="ManualHeading1"/>
        <w:rPr>
          <w:noProof/>
        </w:rPr>
      </w:pPr>
      <w:r w:rsidRPr="0027520C">
        <w:rPr>
          <w:noProof/>
        </w:rPr>
        <w:t>4.</w:t>
      </w:r>
      <w:r w:rsidRPr="0027520C">
        <w:rPr>
          <w:noProof/>
        </w:rPr>
        <w:tab/>
      </w:r>
      <w:r w:rsidR="00966224" w:rsidRPr="002D50C1">
        <w:rPr>
          <w:noProof/>
        </w:rPr>
        <w:t>Legislația și competența UE în domeniu</w:t>
      </w:r>
    </w:p>
    <w:p w:rsidR="00966224" w:rsidRPr="002D50C1" w:rsidRDefault="0027520C" w:rsidP="0027520C">
      <w:pPr>
        <w:pStyle w:val="ManualHeading2"/>
        <w:rPr>
          <w:noProof/>
        </w:rPr>
      </w:pPr>
      <w:r w:rsidRPr="0027520C">
        <w:rPr>
          <w:noProof/>
        </w:rPr>
        <w:t>4.1.</w:t>
      </w:r>
      <w:r w:rsidRPr="0027520C">
        <w:rPr>
          <w:noProof/>
        </w:rPr>
        <w:tab/>
      </w:r>
      <w:r w:rsidR="00966224" w:rsidRPr="002D50C1">
        <w:rPr>
          <w:noProof/>
        </w:rPr>
        <w:t>Legislația UE aplicabilă</w:t>
      </w:r>
    </w:p>
    <w:p w:rsidR="00966224" w:rsidRPr="002D50C1" w:rsidRDefault="0027520C" w:rsidP="0027520C">
      <w:pPr>
        <w:pStyle w:val="ManualHeading3"/>
        <w:rPr>
          <w:noProof/>
        </w:rPr>
      </w:pPr>
      <w:r w:rsidRPr="0027520C">
        <w:rPr>
          <w:noProof/>
        </w:rPr>
        <w:t>4.1.1.</w:t>
      </w:r>
      <w:r w:rsidRPr="0027520C">
        <w:rPr>
          <w:noProof/>
        </w:rPr>
        <w:tab/>
      </w:r>
      <w:r w:rsidR="00966224" w:rsidRPr="002D50C1">
        <w:rPr>
          <w:noProof/>
        </w:rPr>
        <w:t>Adoptarea proiectului de Cod privind alertele și indicatorii, 2025, și a proiectului asociat de rezoluție a Adunării și revocarea Rezoluției existente A.1021(26) referitoare la Codul privind alertele și indicatorii, 2009</w:t>
      </w:r>
    </w:p>
    <w:p w:rsidR="00AE7CFF" w:rsidRPr="002D50C1" w:rsidRDefault="00966224" w:rsidP="00966224">
      <w:pPr>
        <w:pStyle w:val="Text1"/>
        <w:ind w:left="0"/>
        <w:rPr>
          <w:noProof/>
        </w:rPr>
      </w:pPr>
      <w:r w:rsidRPr="002D50C1">
        <w:rPr>
          <w:noProof/>
        </w:rPr>
        <w:t>Codul privind alertele și indicatorii, 2009 [Rezoluția A.1021(26)], este menit să ofere orientări generale în materie de proiectare și să promoveze uniformitatea tipului, a amplasării și a priorității alertelor și indicatorilor prevăzuți de Convenția SOLAS. Articolul 6 alineatul (2) litera (a) punctul (i) din Directiva 2009/45/CE privind normele și standardele de siguranță pentru navele de pasageri</w:t>
      </w:r>
      <w:r w:rsidRPr="002D50C1">
        <w:rPr>
          <w:rStyle w:val="FootnoteReference"/>
          <w:noProof/>
        </w:rPr>
        <w:footnoteReference w:id="1"/>
      </w:r>
      <w:r w:rsidRPr="002D50C1">
        <w:rPr>
          <w:noProof/>
        </w:rPr>
        <w:t xml:space="preserve"> prevede aplicarea Convenției SOLAS, astfel cum a fost modificată, navelor de pasageri din clasa A. Prin urmare, modificările aduse codului vor afecta normele prevăzute în Directiva 2009/45/CE.</w:t>
      </w:r>
    </w:p>
    <w:p w:rsidR="003D58C3" w:rsidRPr="002D50C1" w:rsidRDefault="0027520C" w:rsidP="0027520C">
      <w:pPr>
        <w:pStyle w:val="ManualHeading3"/>
        <w:rPr>
          <w:noProof/>
        </w:rPr>
      </w:pPr>
      <w:r w:rsidRPr="0027520C">
        <w:rPr>
          <w:noProof/>
        </w:rPr>
        <w:t>4.1.2.</w:t>
      </w:r>
      <w:r w:rsidRPr="0027520C">
        <w:rPr>
          <w:noProof/>
        </w:rPr>
        <w:tab/>
      </w:r>
      <w:r w:rsidR="003D58C3" w:rsidRPr="002D50C1">
        <w:rPr>
          <w:noProof/>
        </w:rPr>
        <w:t>Adoptarea procedurilor de control al statului de port, 2025 și proiectul aferent de rezoluție a Adunării</w:t>
      </w:r>
    </w:p>
    <w:p w:rsidR="0058532F" w:rsidRPr="002D50C1" w:rsidRDefault="003D58C3" w:rsidP="00966224">
      <w:pPr>
        <w:pStyle w:val="Text1"/>
        <w:ind w:left="0"/>
        <w:rPr>
          <w:noProof/>
        </w:rPr>
      </w:pPr>
      <w:r w:rsidRPr="002D50C1">
        <w:rPr>
          <w:noProof/>
        </w:rPr>
        <w:t>Directiva 2009/16/CE privind controlul statului portului (PSC)</w:t>
      </w:r>
      <w:r w:rsidRPr="002D50C1">
        <w:rPr>
          <w:rStyle w:val="FootnoteReference"/>
          <w:noProof/>
        </w:rPr>
        <w:footnoteReference w:id="2"/>
      </w:r>
      <w:r w:rsidRPr="002D50C1">
        <w:rPr>
          <w:noProof/>
        </w:rPr>
        <w:t xml:space="preserve">, astfel cum a fost modificată, se referă la aplicarea standardelor internaționale privind siguranța navelor, prevenirea poluării și condițiile de viață și de muncă la bordul navelor în ceea ce privește navele care vizitează porturile UE și care navighează în apele aflate sub jurisdicția statelor membre. Obiectivul Directivei PSC este de a reduce transportul maritim care nu corespunde standardelor în apele aflate sub jurisdicția statelor membre ale UE, pe baza orientărilor aprobate de Memorandumul de înțelegere de la Paris. </w:t>
      </w:r>
    </w:p>
    <w:p w:rsidR="003D58C3" w:rsidRPr="002D50C1" w:rsidRDefault="003D58C3" w:rsidP="00966224">
      <w:pPr>
        <w:pStyle w:val="Text1"/>
        <w:ind w:left="0"/>
        <w:rPr>
          <w:noProof/>
        </w:rPr>
      </w:pPr>
      <w:r w:rsidRPr="002D50C1">
        <w:rPr>
          <w:noProof/>
        </w:rPr>
        <w:t>Prin urmare, elaborarea procedurilor PSC ale OMI ar trebui să fie coerentă cu cele aprobate de Memorandumul de înțelegere de la Paris, astfel încât acestea să le poată influența și, prin urmare, să poată afecta normele și punerea în aplicare a Directivei 2009/16/CE.</w:t>
      </w:r>
    </w:p>
    <w:p w:rsidR="003D58C3" w:rsidRPr="002D50C1" w:rsidRDefault="003D58C3" w:rsidP="00966224">
      <w:pPr>
        <w:pStyle w:val="Text1"/>
        <w:ind w:left="0"/>
        <w:rPr>
          <w:noProof/>
        </w:rPr>
      </w:pPr>
    </w:p>
    <w:p w:rsidR="003D58C3" w:rsidRPr="002D50C1" w:rsidRDefault="0027520C" w:rsidP="0027520C">
      <w:pPr>
        <w:pStyle w:val="ManualHeading3"/>
        <w:rPr>
          <w:noProof/>
        </w:rPr>
      </w:pPr>
      <w:r w:rsidRPr="0027520C">
        <w:rPr>
          <w:noProof/>
        </w:rPr>
        <w:t>4.1.3.</w:t>
      </w:r>
      <w:r w:rsidRPr="0027520C">
        <w:rPr>
          <w:noProof/>
        </w:rPr>
        <w:tab/>
      </w:r>
      <w:r w:rsidR="003D58C3" w:rsidRPr="002D50C1">
        <w:rPr>
          <w:noProof/>
        </w:rPr>
        <w:t>Modificări aduse Orientărilor pentru inspecții în conformitate cu Sistemul armonizat de inspecții și de certificare (HSSC), 2025</w:t>
      </w:r>
    </w:p>
    <w:p w:rsidR="00D57DB6" w:rsidRPr="002D50C1" w:rsidRDefault="00D57DB6" w:rsidP="00D57DB6">
      <w:pPr>
        <w:pStyle w:val="Text1"/>
        <w:ind w:left="0"/>
        <w:rPr>
          <w:noProof/>
        </w:rPr>
      </w:pPr>
      <w:r w:rsidRPr="002D50C1">
        <w:rPr>
          <w:noProof/>
        </w:rPr>
        <w:t>Regulamentul (CE) nr. 391/2009 privind normele și standardele comune pentru organizațiile cu rol de inspecție și control al navelor</w:t>
      </w:r>
      <w:r w:rsidRPr="002D50C1">
        <w:rPr>
          <w:rStyle w:val="FootnoteReference"/>
          <w:noProof/>
        </w:rPr>
        <w:footnoteReference w:id="3"/>
      </w:r>
      <w:r w:rsidRPr="002D50C1">
        <w:rPr>
          <w:noProof/>
        </w:rPr>
        <w:t>. Acesta creează un sistem de acordare de licențe (recunoaștere), care face obiectul unei serii de criterii și obligații pentru a se asigura că o organizație recunoscută aplică aceleași standarde pentru toate navele din registrul său, indiferent de pavilionul pe care îl arborează acestea.</w:t>
      </w:r>
    </w:p>
    <w:p w:rsidR="00D57DB6" w:rsidRPr="002D50C1" w:rsidRDefault="00D57DB6" w:rsidP="00D57DB6">
      <w:pPr>
        <w:pStyle w:val="Text1"/>
        <w:ind w:left="0"/>
        <w:rPr>
          <w:noProof/>
        </w:rPr>
      </w:pPr>
      <w:r w:rsidRPr="002D50C1">
        <w:rPr>
          <w:noProof/>
        </w:rPr>
        <w:t xml:space="preserve">Criteriul B7 litera (k) din anexa I la regulamentul menționat prevede: </w:t>
      </w:r>
    </w:p>
    <w:p w:rsidR="00D57DB6" w:rsidRPr="002D50C1" w:rsidRDefault="00D57DB6" w:rsidP="00D57DB6">
      <w:pPr>
        <w:pStyle w:val="Text1"/>
        <w:ind w:left="0"/>
        <w:rPr>
          <w:noProof/>
        </w:rPr>
      </w:pPr>
      <w:r w:rsidRPr="002D50C1">
        <w:rPr>
          <w:noProof/>
        </w:rPr>
        <w:t xml:space="preserve">„(7) Organizația recunoscută se asigură că: </w:t>
      </w:r>
    </w:p>
    <w:p w:rsidR="00D57DB6" w:rsidRPr="002D50C1" w:rsidRDefault="00D57DB6" w:rsidP="00D57DB6">
      <w:pPr>
        <w:pStyle w:val="Text1"/>
        <w:ind w:left="0"/>
        <w:rPr>
          <w:noProof/>
        </w:rPr>
      </w:pPr>
      <w:r w:rsidRPr="002D50C1">
        <w:rPr>
          <w:noProof/>
        </w:rPr>
        <w:t>(k) controalele și inspecțiile prevăzute de lege impuse de Sistemul armonizat de control și de certificare, pentru care organizația recunoscută este autorizată, sunt efectuate în conformitate cu prevederile din anexa și apendicele la Rezoluția A.948(23) a OMI privind liniile directoare în temeiul Sistemului armonizat de control și certificare.” (Aceasta trebuie interpretată ca fiind o trimitere la versiunea actualizată a Orientărilor privind controalele din cadrul HSSC.)</w:t>
      </w:r>
    </w:p>
    <w:p w:rsidR="00D57DB6" w:rsidRPr="002D50C1" w:rsidRDefault="00D57DB6" w:rsidP="00D57DB6">
      <w:pPr>
        <w:pStyle w:val="Text1"/>
        <w:ind w:left="0"/>
        <w:rPr>
          <w:noProof/>
        </w:rPr>
      </w:pPr>
      <w:r w:rsidRPr="002D50C1">
        <w:rPr>
          <w:noProof/>
        </w:rPr>
        <w:t>Prin urmare, revizuirea Orientărilor din 2021 privind controalele în temeiul Sistemului armonizat de control și de certificare va afecta cerințele aplicabile în temeiul Regulamentului (CE) nr. 391/2009.</w:t>
      </w:r>
    </w:p>
    <w:p w:rsidR="003D58C3" w:rsidRPr="002D50C1" w:rsidRDefault="003D58C3" w:rsidP="00966224">
      <w:pPr>
        <w:pStyle w:val="Text1"/>
        <w:ind w:left="0"/>
        <w:rPr>
          <w:noProof/>
        </w:rPr>
      </w:pPr>
    </w:p>
    <w:p w:rsidR="00C83043" w:rsidRPr="002D50C1" w:rsidRDefault="0027520C" w:rsidP="0027520C">
      <w:pPr>
        <w:pStyle w:val="ManualHeading3"/>
        <w:rPr>
          <w:noProof/>
        </w:rPr>
      </w:pPr>
      <w:r w:rsidRPr="0027520C">
        <w:rPr>
          <w:noProof/>
        </w:rPr>
        <w:t>4.1.4.</w:t>
      </w:r>
      <w:r w:rsidRPr="0027520C">
        <w:rPr>
          <w:noProof/>
        </w:rPr>
        <w:tab/>
      </w:r>
      <w:r w:rsidR="00C83043" w:rsidRPr="002D50C1">
        <w:rPr>
          <w:noProof/>
        </w:rPr>
        <w:t>Modificări aduse listei neexhaustive de obligații care decurg din instrumentele relevante pentru Codul de punere în aplicare a instrumentelor OMI (Codul III)</w:t>
      </w:r>
    </w:p>
    <w:p w:rsidR="00D57DB6" w:rsidRPr="002D50C1" w:rsidRDefault="00D57DB6" w:rsidP="00D57DB6">
      <w:pPr>
        <w:pStyle w:val="Text1"/>
        <w:ind w:left="0"/>
        <w:rPr>
          <w:noProof/>
        </w:rPr>
      </w:pPr>
      <w:r w:rsidRPr="002D50C1">
        <w:rPr>
          <w:noProof/>
        </w:rPr>
        <w:t>Directiva 2009/21/CE privind respectarea obligațiilor statelor de pavilion</w:t>
      </w:r>
      <w:r w:rsidRPr="002D50C1">
        <w:rPr>
          <w:rStyle w:val="FootnoteReference"/>
          <w:noProof/>
        </w:rPr>
        <w:footnoteReference w:id="4"/>
      </w:r>
      <w:r w:rsidRPr="002D50C1">
        <w:rPr>
          <w:noProof/>
        </w:rPr>
        <w:t xml:space="preserve"> urmărește să garanteze că statele membre ale UE își respectă obligațiile care le revin în calitate de state de pavilion și îndeplinesc cerințele care revin unui stat de pavilion în temeiul convențiilor internaționale la care sunt părți. În cadrul directivei, au fost instituite două mecanisme care vizează supravegherea performanței statului de pavilion: o procedură de audit condusă de OMI (articolul 7) și un sistem intern de management al calității (articolul 8). </w:t>
      </w:r>
    </w:p>
    <w:p w:rsidR="00D57DB6" w:rsidRPr="002D50C1" w:rsidRDefault="00D57DB6" w:rsidP="00D57DB6">
      <w:pPr>
        <w:pStyle w:val="Text1"/>
        <w:ind w:left="0"/>
        <w:rPr>
          <w:noProof/>
        </w:rPr>
      </w:pPr>
      <w:r w:rsidRPr="002D50C1">
        <w:rPr>
          <w:noProof/>
        </w:rPr>
        <w:t>În plus, Codul III este obligatoriu pentru statele membre ale UE în conformitate cu definiția „convențiilor internaționale” din Regulamentul (CE) nr. 391/2009, astfel cum a fost modificat.</w:t>
      </w:r>
    </w:p>
    <w:p w:rsidR="00D57DB6" w:rsidRPr="002D50C1" w:rsidRDefault="00D57DB6" w:rsidP="00D57DB6">
      <w:pPr>
        <w:pStyle w:val="Text1"/>
        <w:ind w:left="0"/>
        <w:rPr>
          <w:noProof/>
        </w:rPr>
      </w:pPr>
      <w:r w:rsidRPr="002D50C1">
        <w:rPr>
          <w:noProof/>
        </w:rPr>
        <w:t xml:space="preserve">Prin urmare, modificările aduse listei neexhaustive de obligații care decurg din instrumentele relevante pentru Codul III vor afecta cerințele aplicabile în temeiul </w:t>
      </w:r>
      <w:bookmarkStart w:id="7" w:name="_Hlk145337887"/>
      <w:r w:rsidRPr="002D50C1">
        <w:rPr>
          <w:noProof/>
        </w:rPr>
        <w:t>Directivei 2009/21/CE</w:t>
      </w:r>
      <w:bookmarkEnd w:id="7"/>
      <w:r w:rsidRPr="002D50C1">
        <w:rPr>
          <w:noProof/>
        </w:rPr>
        <w:t xml:space="preserve"> și al Regulamentului (CE) nr. 391/2009.</w:t>
      </w:r>
    </w:p>
    <w:p w:rsidR="003474E7" w:rsidRPr="002D50C1" w:rsidRDefault="0027520C" w:rsidP="0027520C">
      <w:pPr>
        <w:pStyle w:val="ManualHeading3"/>
        <w:rPr>
          <w:noProof/>
        </w:rPr>
      </w:pPr>
      <w:r w:rsidRPr="0027520C">
        <w:rPr>
          <w:noProof/>
        </w:rPr>
        <w:t>4.1.5.</w:t>
      </w:r>
      <w:r w:rsidRPr="0027520C">
        <w:rPr>
          <w:noProof/>
        </w:rPr>
        <w:tab/>
      </w:r>
      <w:r w:rsidR="00340FD5" w:rsidRPr="002D50C1">
        <w:rPr>
          <w:noProof/>
        </w:rPr>
        <w:t>Modificările Cadrului și procedurilor pentru sistemul OMI de audit al statelor membre (IMSAS)</w:t>
      </w:r>
    </w:p>
    <w:p w:rsidR="00340FD5" w:rsidRPr="002D50C1" w:rsidRDefault="007D32CA" w:rsidP="00966224">
      <w:pPr>
        <w:pStyle w:val="Text1"/>
        <w:ind w:left="0"/>
        <w:rPr>
          <w:noProof/>
        </w:rPr>
      </w:pPr>
      <w:r w:rsidRPr="002D50C1">
        <w:rPr>
          <w:noProof/>
        </w:rPr>
        <w:t>Directiva 2009/21/CE privind respectarea obligațiilor statelor de pavilion urmărește să garanteze că statele membre ale UE își respectă obligațiile care le revin în calitate de state de pavilion și îndeplinesc cerințele care revin unui stat de pavilion în temeiul convențiilor internaționale la care sunt părți. La articolul 7, directiva prevede că statele membre iau măsurile necesare pentru un audit OMI al administrației lor în conformitate cu ciclul adoptat de OMI. Prin urmare, modificările aduse cadrului și procedurilor pentru sistemul OMI de audit al statelor membre vor afecta cerințele aplicabile în temeiul Directivei 2009/21/CE.</w:t>
      </w:r>
    </w:p>
    <w:p w:rsidR="00B53410" w:rsidRPr="002D50C1" w:rsidRDefault="0027520C" w:rsidP="0027520C">
      <w:pPr>
        <w:pStyle w:val="ManualHeading1"/>
        <w:rPr>
          <w:noProof/>
        </w:rPr>
      </w:pPr>
      <w:r w:rsidRPr="0027520C">
        <w:rPr>
          <w:noProof/>
        </w:rPr>
        <w:t>5.</w:t>
      </w:r>
      <w:r w:rsidRPr="0027520C">
        <w:rPr>
          <w:noProof/>
        </w:rPr>
        <w:tab/>
      </w:r>
      <w:r w:rsidR="00B53410" w:rsidRPr="002D50C1">
        <w:rPr>
          <w:noProof/>
        </w:rPr>
        <w:t>Temei juridic</w:t>
      </w:r>
    </w:p>
    <w:p w:rsidR="00B53410" w:rsidRPr="002D50C1" w:rsidRDefault="0027520C" w:rsidP="0027520C">
      <w:pPr>
        <w:pStyle w:val="ManualHeading2"/>
        <w:rPr>
          <w:noProof/>
        </w:rPr>
      </w:pPr>
      <w:r w:rsidRPr="0027520C">
        <w:rPr>
          <w:noProof/>
        </w:rPr>
        <w:t>5.1.</w:t>
      </w:r>
      <w:r w:rsidRPr="0027520C">
        <w:rPr>
          <w:noProof/>
        </w:rPr>
        <w:tab/>
      </w:r>
      <w:r w:rsidR="00B53410" w:rsidRPr="002D50C1">
        <w:rPr>
          <w:noProof/>
        </w:rPr>
        <w:t>Temei juridic procedural</w:t>
      </w:r>
    </w:p>
    <w:p w:rsidR="00B53410" w:rsidRPr="002D50C1" w:rsidRDefault="0027520C" w:rsidP="0027520C">
      <w:pPr>
        <w:pStyle w:val="ManualHeading3"/>
        <w:rPr>
          <w:noProof/>
        </w:rPr>
      </w:pPr>
      <w:r w:rsidRPr="0027520C">
        <w:rPr>
          <w:noProof/>
        </w:rPr>
        <w:t>5.1.1.</w:t>
      </w:r>
      <w:r w:rsidRPr="0027520C">
        <w:rPr>
          <w:noProof/>
        </w:rPr>
        <w:tab/>
      </w:r>
      <w:r w:rsidR="00B53410" w:rsidRPr="002D50C1">
        <w:rPr>
          <w:noProof/>
        </w:rPr>
        <w:t>Principii</w:t>
      </w:r>
    </w:p>
    <w:p w:rsidR="00B53410" w:rsidRPr="002D50C1" w:rsidRDefault="00B53410" w:rsidP="00736AA9">
      <w:pPr>
        <w:rPr>
          <w:noProof/>
        </w:rPr>
      </w:pPr>
      <w:r w:rsidRPr="002D50C1">
        <w:rPr>
          <w:noProof/>
        </w:rPr>
        <w:t>Articolul 218 alineatul (9) din Tratatul privind funcționarea Uniunii Europene (TFUE) prevede posibilitatea adoptării unor decizii de stabilire „</w:t>
      </w:r>
      <w:r w:rsidRPr="002D50C1">
        <w:rPr>
          <w:i/>
          <w:noProof/>
        </w:rPr>
        <w:t>a 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2D50C1">
        <w:rPr>
          <w:noProof/>
        </w:rPr>
        <w:t>.”</w:t>
      </w:r>
    </w:p>
    <w:p w:rsidR="00B53410" w:rsidRPr="002D50C1" w:rsidRDefault="00B53410" w:rsidP="00736AA9">
      <w:pPr>
        <w:rPr>
          <w:noProof/>
        </w:rPr>
      </w:pPr>
      <w:r w:rsidRPr="002D50C1">
        <w:rPr>
          <w:noProof/>
        </w:rPr>
        <w:t>Articolul 218 alineatul (9) din TFUE se aplică indiferent dacă Uniunea este sau nu membră a organismului în cauză sau parte la acordul respectiv</w:t>
      </w:r>
      <w:r w:rsidRPr="002D50C1">
        <w:rPr>
          <w:rStyle w:val="FootnoteReference"/>
          <w:noProof/>
        </w:rPr>
        <w:footnoteReference w:id="5"/>
      </w:r>
      <w:r w:rsidRPr="002D50C1">
        <w:rPr>
          <w:noProof/>
        </w:rPr>
        <w:t>.</w:t>
      </w:r>
    </w:p>
    <w:p w:rsidR="00B53410" w:rsidRPr="002D50C1" w:rsidRDefault="00B53410" w:rsidP="00736AA9">
      <w:pPr>
        <w:rPr>
          <w:noProof/>
        </w:rPr>
      </w:pPr>
      <w:r w:rsidRPr="002D50C1">
        <w:rPr>
          <w:noProof/>
        </w:rPr>
        <w:t>Conceptul de „</w:t>
      </w:r>
      <w:r w:rsidRPr="002D50C1">
        <w:rPr>
          <w:i/>
          <w:noProof/>
        </w:rPr>
        <w:t>acte cu efecte juridice</w:t>
      </w:r>
      <w:r w:rsidRPr="002D50C1">
        <w:rPr>
          <w:noProof/>
        </w:rPr>
        <w:t>” include actele care au efecte juridice în temeiul normelor de drept internațional aplicabile organismului în cauză. Sunt, de asemenea, incluse instrumente care nu au efect obligatoriu în temeiul dreptului internațional, dar care „</w:t>
      </w:r>
      <w:r w:rsidRPr="002D50C1">
        <w:rPr>
          <w:i/>
          <w:noProof/>
        </w:rPr>
        <w:t>au vocația de a influența în mod decisiv conținutul reglementării adoptate de legiuitorul Uniunii</w:t>
      </w:r>
      <w:r w:rsidRPr="002D50C1">
        <w:rPr>
          <w:noProof/>
        </w:rPr>
        <w:t>”</w:t>
      </w:r>
      <w:r w:rsidRPr="002D50C1">
        <w:rPr>
          <w:rStyle w:val="FootnoteReference"/>
          <w:noProof/>
        </w:rPr>
        <w:footnoteReference w:id="6"/>
      </w:r>
      <w:r w:rsidRPr="002D50C1">
        <w:rPr>
          <w:noProof/>
        </w:rPr>
        <w:t>.</w:t>
      </w:r>
    </w:p>
    <w:p w:rsidR="00B53410" w:rsidRPr="002D50C1" w:rsidRDefault="0027520C" w:rsidP="0027520C">
      <w:pPr>
        <w:pStyle w:val="ManualHeading3"/>
        <w:rPr>
          <w:noProof/>
        </w:rPr>
      </w:pPr>
      <w:r w:rsidRPr="0027520C">
        <w:rPr>
          <w:noProof/>
        </w:rPr>
        <w:t>5.1.2.</w:t>
      </w:r>
      <w:r w:rsidRPr="0027520C">
        <w:rPr>
          <w:noProof/>
        </w:rPr>
        <w:tab/>
      </w:r>
      <w:r w:rsidR="00B53410" w:rsidRPr="002D50C1">
        <w:rPr>
          <w:noProof/>
        </w:rPr>
        <w:t>Aplicarea la cazul în discuție</w:t>
      </w:r>
    </w:p>
    <w:p w:rsidR="00AE7CFF" w:rsidRPr="002D50C1" w:rsidRDefault="00B53410" w:rsidP="00736AA9">
      <w:pPr>
        <w:rPr>
          <w:noProof/>
        </w:rPr>
      </w:pPr>
      <w:r w:rsidRPr="002D50C1">
        <w:rPr>
          <w:noProof/>
        </w:rPr>
        <w:t>Adunarea OMI este un organism creat printr-un acord, și anume prin Convenția privind Organizația Maritimă Internațională.</w:t>
      </w:r>
    </w:p>
    <w:p w:rsidR="00B53410" w:rsidRPr="002D50C1" w:rsidRDefault="00B53410" w:rsidP="00736AA9">
      <w:pPr>
        <w:rPr>
          <w:noProof/>
        </w:rPr>
      </w:pPr>
      <w:r w:rsidRPr="002D50C1">
        <w:rPr>
          <w:noProof/>
        </w:rPr>
        <w:t xml:space="preserve">Actele pe care cea de a 34-a Adunare este invitată să le adopte constituie acte cu efecte juridice, deoarece au vocația de a influența în mod decisiv conținutul legislației UE, și anume: </w:t>
      </w:r>
    </w:p>
    <w:p w:rsidR="00AE7CFF" w:rsidRPr="002D50C1" w:rsidRDefault="00AE7CFF" w:rsidP="00125E17">
      <w:pPr>
        <w:pStyle w:val="Tiret0"/>
        <w:numPr>
          <w:ilvl w:val="0"/>
          <w:numId w:val="6"/>
        </w:numPr>
        <w:rPr>
          <w:noProof/>
        </w:rPr>
      </w:pPr>
      <w:r w:rsidRPr="002D50C1">
        <w:rPr>
          <w:noProof/>
        </w:rPr>
        <w:t xml:space="preserve">Directiva 2009/45/CE privind normele și standardele de siguranță pentru navele de pasageri. Acest lucru se datorează faptului că articolul 6 alineatul (2) litera (a) punctul (i) din directivă se aplică Convenției SOLAS pentru navele de pasageri în curse interne, iar Codul privind alertele și indicatorii, 2009, are scopul de a oferi orientări generale de proiectare și de a promova uniformitatea tipului, a amplasării și a priorității pentru alertele și indicatorii prevăzuți de Convenția SOLAS. </w:t>
      </w:r>
    </w:p>
    <w:p w:rsidR="00AC77C3" w:rsidRPr="002D50C1" w:rsidRDefault="00AC77C3" w:rsidP="00125E17">
      <w:pPr>
        <w:pStyle w:val="Tiret0"/>
        <w:numPr>
          <w:ilvl w:val="0"/>
          <w:numId w:val="6"/>
        </w:numPr>
        <w:rPr>
          <w:noProof/>
        </w:rPr>
      </w:pPr>
      <w:r w:rsidRPr="002D50C1">
        <w:rPr>
          <w:noProof/>
        </w:rPr>
        <w:t>Directiva 2009/16/CE privind controlul statului portului (PSC). Acest lucru se datorează faptului că obiectivul Directivei PSC este de a reduce transportul maritim care nu corespunde standardelor în apele aflate sub jurisdicția statelor membre ale UE, pe baza orientărilor aprobate de Memorandumul de înțelegere de la Paris, iar elaborarea procedurilor PSC ale OMI ar trebui să fie coerentă cu cele aprobate de Memorandumul de înțelegere de la Paris.</w:t>
      </w:r>
    </w:p>
    <w:p w:rsidR="00AE7CFF" w:rsidRPr="002D50C1" w:rsidRDefault="00AE7CFF" w:rsidP="00125E17">
      <w:pPr>
        <w:pStyle w:val="Tiret0"/>
        <w:numPr>
          <w:ilvl w:val="0"/>
          <w:numId w:val="6"/>
        </w:numPr>
        <w:rPr>
          <w:noProof/>
        </w:rPr>
      </w:pPr>
      <w:r w:rsidRPr="002D50C1">
        <w:rPr>
          <w:noProof/>
        </w:rPr>
        <w:t>Regulamentul (CE) nr. 391/2009 privind normele și standardele comune pentru organizațiile cu rol de inspecție și control al navelor. Aceasta se datorează faptului că actul impune unei organizații recunoscute să se asigure că inspecțiile și controalele prevăzute de lege sunt efectuate în conformitate cu orientările privind controalele în temeiul Sistemului armonizat de control și certificare adoptat de OMI. Codul III este, de asemenea, obligatoriu pentru statele membre ale UE, în conformitate cu definiția „convențiilor internaționale”.</w:t>
      </w:r>
    </w:p>
    <w:p w:rsidR="00AE7CFF" w:rsidRPr="002D50C1" w:rsidRDefault="00AE7CFF" w:rsidP="00125E17">
      <w:pPr>
        <w:pStyle w:val="Tiret0"/>
        <w:numPr>
          <w:ilvl w:val="0"/>
          <w:numId w:val="6"/>
        </w:numPr>
        <w:rPr>
          <w:noProof/>
        </w:rPr>
      </w:pPr>
      <w:bookmarkStart w:id="8" w:name="_Hlk145338223"/>
      <w:r w:rsidRPr="002D50C1">
        <w:rPr>
          <w:noProof/>
        </w:rPr>
        <w:t>Directiva 2009/21/CE privind respectarea obligațiilor statelor de pavilion</w:t>
      </w:r>
      <w:bookmarkEnd w:id="8"/>
      <w:r w:rsidRPr="002D50C1">
        <w:rPr>
          <w:noProof/>
        </w:rPr>
        <w:t>. Acest lucru se datorează faptului că lista neexhaustivă este un instrument de sprijin pentru implementarea sistemului OIM de audit al statelor membre (</w:t>
      </w:r>
      <w:r w:rsidRPr="002D50C1">
        <w:rPr>
          <w:i/>
          <w:noProof/>
        </w:rPr>
        <w:t>IMO Member State Audit Scheme</w:t>
      </w:r>
      <w:r w:rsidRPr="002D50C1">
        <w:rPr>
          <w:noProof/>
        </w:rPr>
        <w:t xml:space="preserve"> – IMSAS), care este inclus în directiva respectivă. </w:t>
      </w:r>
    </w:p>
    <w:p w:rsidR="00B53410" w:rsidRPr="002D50C1" w:rsidRDefault="00B53410" w:rsidP="00736AA9">
      <w:pPr>
        <w:rPr>
          <w:noProof/>
        </w:rPr>
      </w:pPr>
      <w:r w:rsidRPr="002D50C1">
        <w:rPr>
          <w:noProof/>
        </w:rPr>
        <w:t>Actele avute în vedere nu completează și nu modifică cadrul instituțional al acordului.</w:t>
      </w:r>
    </w:p>
    <w:p w:rsidR="00B53410" w:rsidRPr="002D50C1" w:rsidRDefault="00B53410" w:rsidP="00736AA9">
      <w:pPr>
        <w:rPr>
          <w:noProof/>
        </w:rPr>
      </w:pPr>
      <w:r w:rsidRPr="002D50C1">
        <w:rPr>
          <w:noProof/>
        </w:rPr>
        <w:t>În consecință, temeiul juridic procedural al propunerii de decizie este articolul 218 alineatul</w:t>
      </w:r>
      <w:r w:rsidR="002D50C1" w:rsidRPr="002D50C1">
        <w:rPr>
          <w:noProof/>
        </w:rPr>
        <w:t> </w:t>
      </w:r>
      <w:r w:rsidRPr="002D50C1">
        <w:rPr>
          <w:noProof/>
        </w:rPr>
        <w:t>(9) din TFUE.</w:t>
      </w:r>
    </w:p>
    <w:p w:rsidR="00B53410" w:rsidRPr="002D50C1" w:rsidRDefault="0027520C" w:rsidP="0027520C">
      <w:pPr>
        <w:pStyle w:val="ManualHeading2"/>
        <w:rPr>
          <w:noProof/>
        </w:rPr>
      </w:pPr>
      <w:r w:rsidRPr="0027520C">
        <w:rPr>
          <w:noProof/>
        </w:rPr>
        <w:t>5.2.</w:t>
      </w:r>
      <w:r w:rsidRPr="0027520C">
        <w:rPr>
          <w:noProof/>
        </w:rPr>
        <w:tab/>
      </w:r>
      <w:r w:rsidR="00B53410" w:rsidRPr="002D50C1">
        <w:rPr>
          <w:noProof/>
        </w:rPr>
        <w:t>Temei juridic material</w:t>
      </w:r>
    </w:p>
    <w:p w:rsidR="00B53410" w:rsidRPr="002D50C1" w:rsidRDefault="0027520C" w:rsidP="0027520C">
      <w:pPr>
        <w:pStyle w:val="ManualHeading3"/>
        <w:rPr>
          <w:noProof/>
        </w:rPr>
      </w:pPr>
      <w:r w:rsidRPr="0027520C">
        <w:rPr>
          <w:noProof/>
        </w:rPr>
        <w:t>5.2.1.</w:t>
      </w:r>
      <w:r w:rsidRPr="0027520C">
        <w:rPr>
          <w:noProof/>
        </w:rPr>
        <w:tab/>
      </w:r>
      <w:r w:rsidR="00B53410" w:rsidRPr="002D50C1">
        <w:rPr>
          <w:noProof/>
        </w:rPr>
        <w:t>Principii</w:t>
      </w:r>
    </w:p>
    <w:p w:rsidR="00B53410" w:rsidRPr="002D50C1" w:rsidRDefault="00B53410" w:rsidP="00736AA9">
      <w:pPr>
        <w:rPr>
          <w:noProof/>
        </w:rPr>
      </w:pPr>
      <w:r w:rsidRPr="002D50C1">
        <w:rPr>
          <w:noProof/>
        </w:rPr>
        <w:t>Temeiul juridic material al unei decizii adoptate în temeiul articolului 218 alineatul (9) din TFUE depinde în primul rând de obiectivul și de conținutul actului avut în vedere față de care se adoptă o poziție în numele Uniunii. Dacă actul avut în vedere urmărește două obiective sau include două elemente, dintre care unul poate fi identificat ca fiind principal, iar celălalt ca având mai degrabă un caracter accesoriu, decizia adoptată în temeiul articolului 218 alineatul</w:t>
      </w:r>
      <w:r w:rsidR="002D50C1" w:rsidRPr="002D50C1">
        <w:rPr>
          <w:noProof/>
        </w:rPr>
        <w:t> </w:t>
      </w:r>
      <w:r w:rsidRPr="002D50C1">
        <w:rPr>
          <w:noProof/>
        </w:rPr>
        <w:t>(9) din TFUE trebuie să se întemeieze pe un singur temei juridic material, respectiv cel impus de obiectivul sau de elementul principal sau predominant.</w:t>
      </w:r>
    </w:p>
    <w:p w:rsidR="00B53410" w:rsidRPr="002D50C1" w:rsidRDefault="0027520C" w:rsidP="0027520C">
      <w:pPr>
        <w:pStyle w:val="ManualHeading3"/>
        <w:rPr>
          <w:noProof/>
        </w:rPr>
      </w:pPr>
      <w:r w:rsidRPr="0027520C">
        <w:rPr>
          <w:noProof/>
        </w:rPr>
        <w:t>5.2.2.</w:t>
      </w:r>
      <w:r w:rsidRPr="0027520C">
        <w:rPr>
          <w:noProof/>
        </w:rPr>
        <w:tab/>
      </w:r>
      <w:r w:rsidR="00B53410" w:rsidRPr="002D50C1">
        <w:rPr>
          <w:noProof/>
        </w:rPr>
        <w:t>Aplicarea la cazul în discuție</w:t>
      </w:r>
    </w:p>
    <w:p w:rsidR="00B53410" w:rsidRPr="002D50C1" w:rsidRDefault="0033498C" w:rsidP="00736AA9">
      <w:pPr>
        <w:rPr>
          <w:noProof/>
        </w:rPr>
      </w:pPr>
      <w:r w:rsidRPr="002D50C1">
        <w:rPr>
          <w:noProof/>
        </w:rPr>
        <w:t>Obiectivul principal și conținutul actului avut în vedere se referă la transportul maritim.</w:t>
      </w:r>
      <w:r w:rsidRPr="002D50C1">
        <w:rPr>
          <w:noProof/>
          <w:color w:val="000000"/>
        </w:rPr>
        <w:t xml:space="preserve"> </w:t>
      </w:r>
      <w:r w:rsidRPr="002D50C1">
        <w:rPr>
          <w:noProof/>
        </w:rPr>
        <w:t>Prin urmare, temeiul juridic material al propunerii de decizie este articolul 100 alineatul (2) din TFUE.</w:t>
      </w:r>
    </w:p>
    <w:p w:rsidR="00B53410" w:rsidRPr="002D50C1" w:rsidRDefault="0027520C" w:rsidP="0027520C">
      <w:pPr>
        <w:pStyle w:val="ManualHeading2"/>
        <w:rPr>
          <w:noProof/>
        </w:rPr>
      </w:pPr>
      <w:r w:rsidRPr="0027520C">
        <w:rPr>
          <w:noProof/>
        </w:rPr>
        <w:t>5.3.</w:t>
      </w:r>
      <w:r w:rsidRPr="0027520C">
        <w:rPr>
          <w:noProof/>
        </w:rPr>
        <w:tab/>
      </w:r>
      <w:r w:rsidR="00B53410" w:rsidRPr="002D50C1">
        <w:rPr>
          <w:noProof/>
        </w:rPr>
        <w:t>Concluzie</w:t>
      </w:r>
    </w:p>
    <w:p w:rsidR="00B53410" w:rsidRPr="002D50C1" w:rsidRDefault="00B53410" w:rsidP="00736AA9">
      <w:pPr>
        <w:rPr>
          <w:noProof/>
        </w:rPr>
      </w:pPr>
      <w:r w:rsidRPr="002D50C1">
        <w:rPr>
          <w:noProof/>
        </w:rPr>
        <w:t>Temeiul juridic al deciziei propuse trebuie să fie articolul 100 alineatul (2) din TFUE coroborat cu articolul 218 alineatul (9) din TFUE.</w:t>
      </w:r>
    </w:p>
    <w:p w:rsidR="00B53410" w:rsidRPr="002D50C1" w:rsidRDefault="00B53410" w:rsidP="00FD40BA">
      <w:pPr>
        <w:rPr>
          <w:noProof/>
        </w:rPr>
        <w:sectPr w:rsidR="00B53410" w:rsidRPr="002D50C1" w:rsidSect="004678C3">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316FEA" w:rsidRDefault="00E53C48">
      <w:pPr>
        <w:pStyle w:val="Rfrenceinterinstitutionnelle"/>
        <w:rPr>
          <w:noProof/>
        </w:rPr>
      </w:pPr>
      <w:r>
        <w:rPr>
          <w:noProof/>
        </w:rPr>
        <w:t>2025/0341 (NLE)</w:t>
      </w:r>
    </w:p>
    <w:p w:rsidR="00B53410" w:rsidRPr="002D50C1" w:rsidRDefault="00CC044E" w:rsidP="00CC044E">
      <w:pPr>
        <w:pStyle w:val="Statut"/>
        <w:rPr>
          <w:noProof/>
        </w:rPr>
      </w:pPr>
      <w:r w:rsidRPr="002D50C1">
        <w:rPr>
          <w:noProof/>
        </w:rPr>
        <w:t>Propunere de</w:t>
      </w:r>
    </w:p>
    <w:p w:rsidR="00B53410" w:rsidRPr="002D50C1" w:rsidRDefault="00CC044E" w:rsidP="00CC044E">
      <w:pPr>
        <w:pStyle w:val="Typedudocument"/>
        <w:rPr>
          <w:noProof/>
        </w:rPr>
      </w:pPr>
      <w:r w:rsidRPr="002D50C1">
        <w:rPr>
          <w:noProof/>
        </w:rPr>
        <w:t>DECIZIE A CONSILIULUI</w:t>
      </w:r>
    </w:p>
    <w:p w:rsidR="00B53410" w:rsidRPr="002D50C1" w:rsidRDefault="00CC044E" w:rsidP="00CC044E">
      <w:pPr>
        <w:pStyle w:val="Titreobjet"/>
        <w:rPr>
          <w:noProof/>
        </w:rPr>
      </w:pPr>
      <w:r w:rsidRPr="002D50C1">
        <w:rPr>
          <w:noProof/>
        </w:rPr>
        <w:t>privind poziția care trebuie să fie adoptată în numele Uniunii Europene în cadrul Organizației Maritime Internaționale cu ocazia celei de-a 34-a sesiuni a Adunării</w:t>
      </w:r>
    </w:p>
    <w:p w:rsidR="00B53410" w:rsidRPr="002D50C1" w:rsidRDefault="00B53410" w:rsidP="00BE7CB9">
      <w:pPr>
        <w:pStyle w:val="Institutionquiagit"/>
        <w:rPr>
          <w:noProof/>
        </w:rPr>
      </w:pPr>
      <w:r w:rsidRPr="002D50C1">
        <w:rPr>
          <w:noProof/>
        </w:rPr>
        <w:t>CONSILIUL UNIUNII EUROPENE,</w:t>
      </w:r>
    </w:p>
    <w:p w:rsidR="00B53410" w:rsidRPr="002D50C1" w:rsidRDefault="00B53410" w:rsidP="00BE7CB9">
      <w:pPr>
        <w:rPr>
          <w:noProof/>
        </w:rPr>
      </w:pPr>
      <w:r w:rsidRPr="002D50C1">
        <w:rPr>
          <w:noProof/>
        </w:rPr>
        <w:t>având în vedere Tratatul privind funcționarea Uniunii Europene, în special articolul 100 alineatul (2), coroborat cu articolul 218 alineatul (9),</w:t>
      </w:r>
    </w:p>
    <w:p w:rsidR="00B53410" w:rsidRPr="002D50C1" w:rsidRDefault="00B53410" w:rsidP="00BE7CB9">
      <w:pPr>
        <w:rPr>
          <w:noProof/>
        </w:rPr>
      </w:pPr>
      <w:r w:rsidRPr="002D50C1">
        <w:rPr>
          <w:noProof/>
        </w:rPr>
        <w:t>având în vedere propunerea Comisiei Europene,</w:t>
      </w:r>
    </w:p>
    <w:p w:rsidR="00B53410" w:rsidRPr="002D50C1" w:rsidRDefault="00B53410" w:rsidP="00BE7CB9">
      <w:pPr>
        <w:rPr>
          <w:noProof/>
        </w:rPr>
      </w:pPr>
      <w:r w:rsidRPr="002D50C1">
        <w:rPr>
          <w:noProof/>
        </w:rPr>
        <w:t>întrucât:</w:t>
      </w:r>
    </w:p>
    <w:p w:rsidR="0033498C" w:rsidRPr="002D50C1" w:rsidRDefault="0027520C" w:rsidP="0027520C">
      <w:pPr>
        <w:pStyle w:val="ManualConsidrant"/>
        <w:rPr>
          <w:noProof/>
        </w:rPr>
      </w:pPr>
      <w:r w:rsidRPr="0027520C">
        <w:rPr>
          <w:noProof/>
        </w:rPr>
        <w:t>(1)</w:t>
      </w:r>
      <w:r w:rsidRPr="0027520C">
        <w:rPr>
          <w:noProof/>
        </w:rPr>
        <w:tab/>
      </w:r>
      <w:r w:rsidR="0033498C" w:rsidRPr="002D50C1">
        <w:rPr>
          <w:noProof/>
        </w:rPr>
        <w:t xml:space="preserve">Convenția privind Organizația Maritimă Internațională („OMI”) a intrat în vigoare la 17 martie 1958. </w:t>
      </w:r>
    </w:p>
    <w:p w:rsidR="0033498C" w:rsidRPr="002D50C1" w:rsidRDefault="0027520C" w:rsidP="0027520C">
      <w:pPr>
        <w:pStyle w:val="ManualConsidrant"/>
        <w:rPr>
          <w:noProof/>
        </w:rPr>
      </w:pPr>
      <w:r w:rsidRPr="0027520C">
        <w:rPr>
          <w:noProof/>
        </w:rPr>
        <w:t>(2)</w:t>
      </w:r>
      <w:r w:rsidRPr="0027520C">
        <w:rPr>
          <w:noProof/>
        </w:rPr>
        <w:tab/>
      </w:r>
      <w:r w:rsidR="0033498C" w:rsidRPr="002D50C1">
        <w:rPr>
          <w:noProof/>
        </w:rPr>
        <w:t>OMI este o agenție specializată a Organizației Națiunilor Unite, responsabilă cu siguranța și securitatea transportului maritim și cu prevenirea poluării maritime și atmosferice de către nave. Toate statele membre ale Uniunii sunt membre ale OMI. Uniunea nu este membră a OMI.</w:t>
      </w:r>
    </w:p>
    <w:p w:rsidR="0033498C" w:rsidRPr="002D50C1" w:rsidRDefault="0027520C" w:rsidP="0027520C">
      <w:pPr>
        <w:pStyle w:val="ManualConsidrant"/>
        <w:rPr>
          <w:noProof/>
        </w:rPr>
      </w:pPr>
      <w:r w:rsidRPr="0027520C">
        <w:rPr>
          <w:noProof/>
        </w:rPr>
        <w:t>(3)</w:t>
      </w:r>
      <w:r w:rsidRPr="0027520C">
        <w:rPr>
          <w:noProof/>
        </w:rPr>
        <w:tab/>
      </w:r>
      <w:r w:rsidR="0033498C" w:rsidRPr="002D50C1">
        <w:rPr>
          <w:noProof/>
        </w:rPr>
        <w:t xml:space="preserve">În temeiul articolului 15 litera (j) din acord, </w:t>
      </w:r>
      <w:bookmarkStart w:id="9" w:name="_Hlk211429787"/>
      <w:r w:rsidR="0033498C" w:rsidRPr="002D50C1">
        <w:rPr>
          <w:noProof/>
        </w:rPr>
        <w:t>Adunarea poate adopta reglementări și orientări adresate membrilor în ceea ce privește siguranța maritimă, prevenirea și controlul poluării marine provenite de la nave și alte aspecte privind efectul transportului maritim asupra mediului marin, atribuite Organizației prin intermediul sau în temeiul unor instrumente internaționale, sau modificări ale unor astfel de reglementări și orientări care i-au fost prezentate</w:t>
      </w:r>
      <w:bookmarkEnd w:id="9"/>
      <w:r w:rsidR="0033498C" w:rsidRPr="002D50C1">
        <w:rPr>
          <w:noProof/>
        </w:rPr>
        <w:t xml:space="preserve">. </w:t>
      </w:r>
    </w:p>
    <w:p w:rsidR="0033498C" w:rsidRPr="002D50C1" w:rsidRDefault="0027520C" w:rsidP="0027520C">
      <w:pPr>
        <w:pStyle w:val="ManualConsidrant"/>
        <w:rPr>
          <w:noProof/>
        </w:rPr>
      </w:pPr>
      <w:r w:rsidRPr="0027520C">
        <w:rPr>
          <w:noProof/>
        </w:rPr>
        <w:t>(4)</w:t>
      </w:r>
      <w:r w:rsidRPr="0027520C">
        <w:rPr>
          <w:noProof/>
        </w:rPr>
        <w:tab/>
      </w:r>
      <w:r w:rsidR="00DD11FC" w:rsidRPr="002D50C1">
        <w:rPr>
          <w:noProof/>
        </w:rPr>
        <w:t xml:space="preserve">În cadrul celei de a 34-a sesiuni, care va avea loc între 24 noiembrie și 3 decembrie 2025, Adunarea OMI urmează să adopte modificări ale Codului privind alertele și indicatorii, ale procedurilor de control al statului de port, ale Orientărilor pentru controale în temeiul Sistemului armonizat de control și certificare (HSSC), ale listei neexhaustive de obligații în temeiul instrumentelor relevante pentru Codul de punere în aplicare a instrumentelor OMI (Codul III) și ale cadrului și procedurilor pentru sistemul OMI de audit al statelor membre (IMSAS). </w:t>
      </w:r>
    </w:p>
    <w:p w:rsidR="00DD11FC" w:rsidRPr="002D50C1" w:rsidRDefault="0027520C" w:rsidP="0027520C">
      <w:pPr>
        <w:pStyle w:val="ManualConsidrant"/>
        <w:rPr>
          <w:noProof/>
        </w:rPr>
      </w:pPr>
      <w:r w:rsidRPr="0027520C">
        <w:rPr>
          <w:noProof/>
        </w:rPr>
        <w:t>(5)</w:t>
      </w:r>
      <w:r w:rsidRPr="0027520C">
        <w:rPr>
          <w:noProof/>
        </w:rPr>
        <w:tab/>
      </w:r>
      <w:r w:rsidR="00DD11FC" w:rsidRPr="002D50C1">
        <w:rPr>
          <w:noProof/>
        </w:rPr>
        <w:t>Este oportun să se stabilească poziția care urmează să fie adoptată în numele Uniunii în cadrul celei de a 34-a sesiuni a Adunării OMI, deoarece modificările sus-menționate vor avea vocația de a influența în mod decisiv conținutul legislației Uniunii, și anume Directiva 2009/45/CE privind normele și standardele de siguranță pentru navele de pasageri</w:t>
      </w:r>
      <w:r w:rsidR="00DD11FC" w:rsidRPr="002D50C1">
        <w:rPr>
          <w:rStyle w:val="FootnoteReference"/>
          <w:noProof/>
        </w:rPr>
        <w:footnoteReference w:id="7"/>
      </w:r>
      <w:r w:rsidR="00DD11FC" w:rsidRPr="002D50C1">
        <w:rPr>
          <w:noProof/>
        </w:rPr>
        <w:t>, Directiva 2009/16/CE privind controlul statului portului (PSC)</w:t>
      </w:r>
      <w:r w:rsidR="00DD11FC" w:rsidRPr="002D50C1">
        <w:rPr>
          <w:rStyle w:val="FootnoteReference"/>
          <w:noProof/>
        </w:rPr>
        <w:footnoteReference w:id="8"/>
      </w:r>
      <w:r w:rsidR="00DD11FC" w:rsidRPr="002D50C1">
        <w:rPr>
          <w:noProof/>
        </w:rPr>
        <w:t>, Regulamentul (CE) nr. 391/2009 privind normele și standardele comune pentru organizațiile cu rol de inspecție și control al navelor</w:t>
      </w:r>
      <w:r w:rsidR="00DD11FC" w:rsidRPr="002D50C1">
        <w:rPr>
          <w:rStyle w:val="FootnoteReference"/>
          <w:noProof/>
        </w:rPr>
        <w:footnoteReference w:id="9"/>
      </w:r>
      <w:r w:rsidR="00DD11FC" w:rsidRPr="002D50C1">
        <w:rPr>
          <w:noProof/>
        </w:rPr>
        <w:t xml:space="preserve"> și Directiva 2009/21/CE privind respectarea obligațiilor statelor de pavilion</w:t>
      </w:r>
      <w:r w:rsidR="00DD11FC" w:rsidRPr="002D50C1">
        <w:rPr>
          <w:rStyle w:val="FootnoteReference"/>
          <w:noProof/>
        </w:rPr>
        <w:footnoteReference w:id="10"/>
      </w:r>
      <w:r w:rsidR="00DD11FC" w:rsidRPr="002D50C1">
        <w:rPr>
          <w:noProof/>
        </w:rPr>
        <w:t>.</w:t>
      </w:r>
    </w:p>
    <w:p w:rsidR="00DD11FC" w:rsidRPr="002D50C1" w:rsidRDefault="0027520C" w:rsidP="0027520C">
      <w:pPr>
        <w:pStyle w:val="ManualConsidrant"/>
        <w:rPr>
          <w:noProof/>
        </w:rPr>
      </w:pPr>
      <w:r w:rsidRPr="0027520C">
        <w:rPr>
          <w:noProof/>
        </w:rPr>
        <w:t>(6)</w:t>
      </w:r>
      <w:r w:rsidRPr="0027520C">
        <w:rPr>
          <w:noProof/>
        </w:rPr>
        <w:tab/>
      </w:r>
      <w:r w:rsidR="00DD11FC" w:rsidRPr="002D50C1">
        <w:rPr>
          <w:noProof/>
        </w:rPr>
        <w:t>Uniunea ar trebui să sprijine proiectul de Cod privind alertele și indicatorii, 2025 și proiectul aferent de rezoluție a Adunării, deoarece această revizuire va asigura conformitatea cu cerințele instrumentelor OMI care au fost adoptate și/sau modificate de la adoptarea codului și, prin urmare, de a elimina contradicțiile, ambiguitățile și redundanțele inutile.</w:t>
      </w:r>
    </w:p>
    <w:p w:rsidR="00DD11FC" w:rsidRPr="002D50C1" w:rsidRDefault="0027520C" w:rsidP="0027520C">
      <w:pPr>
        <w:pStyle w:val="ManualConsidrant"/>
        <w:rPr>
          <w:noProof/>
        </w:rPr>
      </w:pPr>
      <w:r w:rsidRPr="0027520C">
        <w:rPr>
          <w:noProof/>
        </w:rPr>
        <w:t>(7)</w:t>
      </w:r>
      <w:r w:rsidRPr="0027520C">
        <w:rPr>
          <w:noProof/>
        </w:rPr>
        <w:tab/>
      </w:r>
      <w:r w:rsidR="00DD11FC" w:rsidRPr="002D50C1">
        <w:rPr>
          <w:noProof/>
        </w:rPr>
        <w:t>Uniunea ar trebui să sprijine adoptarea procedurilor de control al statului de port 2025 și a proiectului asociat de rezoluție a Adunării, deoarece acesta va spori siguranța și securitatea maritimă, precum și prevenirea poluării marine, iar actualizarea va ține seama de modificările aduse instrumentelor OMI care au intrat în vigoare sau au produs efecte din 2023.</w:t>
      </w:r>
    </w:p>
    <w:p w:rsidR="00DD11FC" w:rsidRPr="002D50C1" w:rsidRDefault="0027520C" w:rsidP="0027520C">
      <w:pPr>
        <w:pStyle w:val="ManualConsidrant"/>
        <w:rPr>
          <w:noProof/>
        </w:rPr>
      </w:pPr>
      <w:r w:rsidRPr="0027520C">
        <w:rPr>
          <w:noProof/>
        </w:rPr>
        <w:t>(8)</w:t>
      </w:r>
      <w:r w:rsidRPr="0027520C">
        <w:rPr>
          <w:noProof/>
        </w:rPr>
        <w:tab/>
      </w:r>
      <w:r w:rsidR="00DD11FC" w:rsidRPr="002D50C1">
        <w:rPr>
          <w:noProof/>
        </w:rPr>
        <w:t>Poziția Uniunii ar trebui să fie aceea de a sprijini adoptarea modificărilor aduse Orientărilor HSSC pentru controale, deoarece actualizarea va ține seama de modificările aduse instrumentelor OMI care au intrat în vigoare sau au produs efecte din 2023.</w:t>
      </w:r>
    </w:p>
    <w:p w:rsidR="00DC313C" w:rsidRPr="002D50C1" w:rsidRDefault="0027520C" w:rsidP="0027520C">
      <w:pPr>
        <w:pStyle w:val="ManualConsidrant"/>
        <w:rPr>
          <w:noProof/>
        </w:rPr>
      </w:pPr>
      <w:r w:rsidRPr="0027520C">
        <w:rPr>
          <w:noProof/>
        </w:rPr>
        <w:t>(9)</w:t>
      </w:r>
      <w:r w:rsidRPr="0027520C">
        <w:rPr>
          <w:noProof/>
        </w:rPr>
        <w:tab/>
      </w:r>
      <w:r w:rsidR="00DD11FC" w:rsidRPr="002D50C1">
        <w:rPr>
          <w:noProof/>
        </w:rPr>
        <w:t>Poziția Uniunii ar trebui să fie aceea de a sprijini modificările aduse Listei neexhaustive de obligații în temeiul instrumentelor relevante pentru Codul III, deoarece actualizarea va ține seama de modificările aduse instrumentelor OMI relevante pentru Codul III care au intrat în vigoare sau au produs efecte din 2023.</w:t>
      </w:r>
    </w:p>
    <w:p w:rsidR="00DC313C" w:rsidRPr="002D50C1" w:rsidRDefault="0027520C" w:rsidP="0027520C">
      <w:pPr>
        <w:pStyle w:val="ManualConsidrant"/>
        <w:rPr>
          <w:noProof/>
        </w:rPr>
      </w:pPr>
      <w:r w:rsidRPr="0027520C">
        <w:rPr>
          <w:noProof/>
        </w:rPr>
        <w:t>(10)</w:t>
      </w:r>
      <w:r w:rsidRPr="0027520C">
        <w:rPr>
          <w:noProof/>
        </w:rPr>
        <w:tab/>
      </w:r>
      <w:r w:rsidR="00340FD5" w:rsidRPr="002D50C1">
        <w:rPr>
          <w:noProof/>
        </w:rPr>
        <w:t>Uniunea ar trebui să sprijine Cadrul și procedurile revizuite pentru sistemul OMI de audit al statelor membre, deoarece va îmbunătăți capacitatea statelor membre de a-și îndeplini obligațiile care le revin în temeiul instrumentelor obligatorii ale OMI la care sunt parte și de a promova o mai mare transparență, responsabilitate și cooperare între statele membre.</w:t>
      </w:r>
    </w:p>
    <w:p w:rsidR="00D74635" w:rsidRPr="002D50C1" w:rsidRDefault="0027520C" w:rsidP="0027520C">
      <w:pPr>
        <w:pStyle w:val="ManualConsidrant"/>
        <w:rPr>
          <w:noProof/>
        </w:rPr>
      </w:pPr>
      <w:r w:rsidRPr="0027520C">
        <w:rPr>
          <w:noProof/>
        </w:rPr>
        <w:t>(11)</w:t>
      </w:r>
      <w:r w:rsidRPr="0027520C">
        <w:rPr>
          <w:noProof/>
        </w:rPr>
        <w:tab/>
      </w:r>
      <w:r w:rsidR="00D74635" w:rsidRPr="002D50C1">
        <w:rPr>
          <w:noProof/>
        </w:rPr>
        <w:t>Poziția Uniunii urmează să fie exprimată de Comisie și de statele membre ale Uniunii în calitate de membre ale OMI, acționând împreună în interesul Uniunii</w:t>
      </w:r>
      <w:r w:rsidR="002D50C1" w:rsidRPr="002D50C1">
        <w:rPr>
          <w:noProof/>
        </w:rPr>
        <w:t>,</w:t>
      </w:r>
    </w:p>
    <w:p w:rsidR="00B53410" w:rsidRPr="002D50C1" w:rsidRDefault="00B53410" w:rsidP="00BE7CB9">
      <w:pPr>
        <w:pStyle w:val="Formuledadoption"/>
        <w:rPr>
          <w:noProof/>
        </w:rPr>
      </w:pPr>
      <w:r w:rsidRPr="002D50C1">
        <w:rPr>
          <w:noProof/>
        </w:rPr>
        <w:t>ADOPTĂ PREZENTA DECIZIE:</w:t>
      </w:r>
    </w:p>
    <w:p w:rsidR="00B53410" w:rsidRPr="002D50C1" w:rsidRDefault="00B53410" w:rsidP="00BE7CB9">
      <w:pPr>
        <w:pStyle w:val="Titrearticle"/>
        <w:rPr>
          <w:noProof/>
        </w:rPr>
      </w:pPr>
      <w:r w:rsidRPr="002D50C1">
        <w:rPr>
          <w:noProof/>
        </w:rPr>
        <w:t>Articolul 1</w:t>
      </w:r>
    </w:p>
    <w:p w:rsidR="00B53410" w:rsidRPr="002D50C1" w:rsidRDefault="00B53410" w:rsidP="00265539">
      <w:pPr>
        <w:rPr>
          <w:i/>
          <w:noProof/>
        </w:rPr>
      </w:pPr>
      <w:r w:rsidRPr="002D50C1">
        <w:rPr>
          <w:noProof/>
        </w:rPr>
        <w:t>Poziția care urmează să fie adoptată în numele Uniunii în cadrul celei de a 34-a sesiuni a Adunării Organizației Maritime Internaționale este de a aproba adoptarea unor modificări ale Codului privind alertele și indicatorii, ale procedurilor de control al statului de port, ale Orientărilor pentru controale în temeiul Sistemului armonizat de control și certificare (HSSC), ale listei neexhaustive de obligații în temeiul instrumentelor relevante pentru Codul de punere în aplicare a instrumentelor OMI (Codul III) și ale cadrului și procedurilor pentru sistemul OMI de audit al statelor membre (IMSAS).</w:t>
      </w:r>
    </w:p>
    <w:p w:rsidR="00B53410" w:rsidRPr="002D50C1" w:rsidRDefault="00B53410" w:rsidP="00BE7CB9">
      <w:pPr>
        <w:pStyle w:val="Titrearticle"/>
        <w:rPr>
          <w:noProof/>
        </w:rPr>
      </w:pPr>
      <w:r w:rsidRPr="002D50C1">
        <w:rPr>
          <w:noProof/>
        </w:rPr>
        <w:t>Articolul 2</w:t>
      </w:r>
    </w:p>
    <w:p w:rsidR="00265539" w:rsidRPr="002D50C1" w:rsidRDefault="00265539" w:rsidP="00BE7CB9">
      <w:pPr>
        <w:rPr>
          <w:noProof/>
        </w:rPr>
      </w:pPr>
      <w:r w:rsidRPr="002D50C1">
        <w:rPr>
          <w:noProof/>
        </w:rPr>
        <w:t>Poziția menționată la articolul 1 este exprimată de către Comisie și de către statele membre ale Uniunii care sunt membre ale Adunării OMI, acționând împreună în interesul Uniunii.</w:t>
      </w:r>
    </w:p>
    <w:p w:rsidR="00B53410" w:rsidRPr="002D50C1" w:rsidRDefault="00B53410" w:rsidP="00473862">
      <w:pPr>
        <w:pStyle w:val="Titrearticle"/>
        <w:rPr>
          <w:noProof/>
        </w:rPr>
      </w:pPr>
      <w:r w:rsidRPr="002D50C1">
        <w:rPr>
          <w:noProof/>
        </w:rPr>
        <w:t>Articolul 3</w:t>
      </w:r>
    </w:p>
    <w:p w:rsidR="00DC313C" w:rsidRPr="002D50C1" w:rsidRDefault="00DC313C" w:rsidP="00531BAA">
      <w:pPr>
        <w:rPr>
          <w:noProof/>
        </w:rPr>
      </w:pPr>
      <w:r w:rsidRPr="002D50C1">
        <w:rPr>
          <w:noProof/>
        </w:rPr>
        <w:t>Prezenta decizie se adresează Comisiei și statelor membre.</w:t>
      </w:r>
    </w:p>
    <w:p w:rsidR="00265539" w:rsidRPr="002D50C1" w:rsidRDefault="00CC044E" w:rsidP="00473862">
      <w:pPr>
        <w:pStyle w:val="Fait"/>
        <w:rPr>
          <w:noProof/>
        </w:rPr>
      </w:pPr>
      <w:r>
        <w:rPr>
          <w:noProof/>
        </w:rPr>
        <w:t>Adoptată la Bruxelles,</w:t>
      </w:r>
    </w:p>
    <w:p w:rsidR="00B53410" w:rsidRPr="002D50C1" w:rsidRDefault="00B53410" w:rsidP="00473862">
      <w:pPr>
        <w:pStyle w:val="Institutionquisigne"/>
        <w:rPr>
          <w:noProof/>
        </w:rPr>
      </w:pPr>
      <w:r w:rsidRPr="002D50C1">
        <w:rPr>
          <w:noProof/>
        </w:rPr>
        <w:tab/>
        <w:t>Pentru Consiliu</w:t>
      </w:r>
    </w:p>
    <w:p w:rsidR="00B53410" w:rsidRPr="002D50C1" w:rsidRDefault="00B53410" w:rsidP="00B53410">
      <w:pPr>
        <w:pStyle w:val="Personnequisigne"/>
        <w:rPr>
          <w:noProof/>
        </w:rPr>
      </w:pPr>
      <w:r w:rsidRPr="002D50C1">
        <w:rPr>
          <w:noProof/>
        </w:rPr>
        <w:tab/>
        <w:t>Președintele</w:t>
      </w:r>
    </w:p>
    <w:sectPr w:rsidR="00B53410" w:rsidRPr="002D50C1" w:rsidSect="004678C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410" w:rsidRDefault="00B53410" w:rsidP="00B53410">
      <w:pPr>
        <w:spacing w:before="0" w:after="0"/>
      </w:pPr>
      <w:r>
        <w:separator/>
      </w:r>
    </w:p>
  </w:endnote>
  <w:endnote w:type="continuationSeparator" w:id="0">
    <w:p w:rsidR="00B53410" w:rsidRDefault="00B53410" w:rsidP="00B5341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8C3" w:rsidRPr="004678C3" w:rsidRDefault="004678C3" w:rsidP="004678C3">
    <w:pPr>
      <w:pStyle w:val="Footer"/>
      <w:rPr>
        <w:rFonts w:ascii="Arial" w:hAnsi="Arial" w:cs="Arial"/>
        <w:b/>
        <w:sz w:val="48"/>
      </w:rPr>
    </w:pPr>
    <w:r w:rsidRPr="004678C3">
      <w:rPr>
        <w:rFonts w:ascii="Arial" w:hAnsi="Arial" w:cs="Arial"/>
        <w:b/>
        <w:sz w:val="48"/>
      </w:rPr>
      <w:t>RO</w:t>
    </w:r>
    <w:r w:rsidRPr="004678C3">
      <w:rPr>
        <w:rFonts w:ascii="Arial" w:hAnsi="Arial" w:cs="Arial"/>
        <w:b/>
        <w:sz w:val="48"/>
      </w:rPr>
      <w:tab/>
    </w:r>
    <w:r w:rsidRPr="004678C3">
      <w:rPr>
        <w:rFonts w:ascii="Arial" w:hAnsi="Arial" w:cs="Arial"/>
        <w:b/>
        <w:sz w:val="48"/>
      </w:rPr>
      <w:tab/>
    </w:r>
    <w:r w:rsidRPr="004678C3">
      <w:tab/>
    </w:r>
    <w:r w:rsidRPr="004678C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8C3" w:rsidRPr="004678C3" w:rsidRDefault="004678C3" w:rsidP="004678C3">
    <w:pPr>
      <w:pStyle w:val="Footer"/>
      <w:rPr>
        <w:rFonts w:ascii="Arial" w:hAnsi="Arial" w:cs="Arial"/>
        <w:b/>
        <w:sz w:val="48"/>
      </w:rPr>
    </w:pPr>
    <w:r w:rsidRPr="004678C3">
      <w:rPr>
        <w:rFonts w:ascii="Arial" w:hAnsi="Arial" w:cs="Arial"/>
        <w:b/>
        <w:sz w:val="48"/>
      </w:rPr>
      <w:t>RO</w:t>
    </w:r>
    <w:r w:rsidRPr="004678C3">
      <w:rPr>
        <w:rFonts w:ascii="Arial" w:hAnsi="Arial" w:cs="Arial"/>
        <w:b/>
        <w:sz w:val="48"/>
      </w:rPr>
      <w:tab/>
    </w:r>
    <w:r w:rsidRPr="004678C3">
      <w:rPr>
        <w:rFonts w:ascii="Arial" w:hAnsi="Arial" w:cs="Arial"/>
        <w:b/>
        <w:sz w:val="48"/>
      </w:rPr>
      <w:tab/>
    </w:r>
    <w:r w:rsidRPr="004678C3">
      <w:tab/>
    </w:r>
    <w:r w:rsidRPr="004678C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8C3" w:rsidRDefault="004678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8C3" w:rsidRPr="004678C3" w:rsidRDefault="004678C3" w:rsidP="004678C3">
    <w:pPr>
      <w:pStyle w:val="Footer"/>
      <w:rPr>
        <w:rFonts w:ascii="Arial" w:hAnsi="Arial" w:cs="Arial"/>
        <w:b/>
        <w:sz w:val="48"/>
      </w:rPr>
    </w:pPr>
    <w:r w:rsidRPr="004678C3">
      <w:rPr>
        <w:rFonts w:ascii="Arial" w:hAnsi="Arial" w:cs="Arial"/>
        <w:b/>
        <w:sz w:val="48"/>
      </w:rPr>
      <w:t>RO</w:t>
    </w:r>
    <w:r w:rsidRPr="004678C3">
      <w:rPr>
        <w:rFonts w:ascii="Arial" w:hAnsi="Arial" w:cs="Arial"/>
        <w:b/>
        <w:sz w:val="48"/>
      </w:rPr>
      <w:tab/>
    </w:r>
    <w:r>
      <w:fldChar w:fldCharType="begin"/>
    </w:r>
    <w:r>
      <w:instrText xml:space="preserve"> PAGE  \* MERGEFORMAT </w:instrText>
    </w:r>
    <w:r>
      <w:fldChar w:fldCharType="separate"/>
    </w:r>
    <w:r w:rsidR="00473862">
      <w:rPr>
        <w:noProof/>
      </w:rPr>
      <w:t>13</w:t>
    </w:r>
    <w:r>
      <w:fldChar w:fldCharType="end"/>
    </w:r>
    <w:r>
      <w:tab/>
    </w:r>
    <w:r w:rsidRPr="004678C3">
      <w:tab/>
    </w:r>
    <w:r w:rsidRPr="004678C3">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8C3" w:rsidRDefault="004678C3" w:rsidP="00467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410" w:rsidRDefault="00B53410" w:rsidP="00B53410">
      <w:pPr>
        <w:spacing w:before="0" w:after="0"/>
      </w:pPr>
      <w:r>
        <w:separator/>
      </w:r>
    </w:p>
  </w:footnote>
  <w:footnote w:type="continuationSeparator" w:id="0">
    <w:p w:rsidR="00B53410" w:rsidRDefault="00B53410" w:rsidP="00B53410">
      <w:pPr>
        <w:spacing w:before="0" w:after="0"/>
      </w:pPr>
      <w:r>
        <w:continuationSeparator/>
      </w:r>
    </w:p>
  </w:footnote>
  <w:footnote w:id="1">
    <w:p w:rsidR="00AE7CFF" w:rsidRPr="00AE7CFF" w:rsidRDefault="00AE7CFF">
      <w:pPr>
        <w:pStyle w:val="FootnoteText"/>
      </w:pPr>
      <w:r>
        <w:rPr>
          <w:rStyle w:val="FootnoteReference"/>
        </w:rPr>
        <w:footnoteRef/>
      </w:r>
      <w:r>
        <w:tab/>
        <w:t xml:space="preserve">JO L </w:t>
      </w:r>
      <w:r w:rsidRPr="002D50C1">
        <w:t>163</w:t>
      </w:r>
      <w:r>
        <w:t xml:space="preserve">, </w:t>
      </w:r>
      <w:r w:rsidRPr="002D50C1">
        <w:t>25</w:t>
      </w:r>
      <w:r>
        <w:t>.</w:t>
      </w:r>
      <w:r w:rsidRPr="002D50C1">
        <w:t>6</w:t>
      </w:r>
      <w:r>
        <w:t>.</w:t>
      </w:r>
      <w:r w:rsidRPr="002D50C1">
        <w:t>2009</w:t>
      </w:r>
      <w:r>
        <w:t xml:space="preserve">, p. </w:t>
      </w:r>
      <w:r w:rsidRPr="002D50C1">
        <w:t>1</w:t>
      </w:r>
      <w:r w:rsidR="002D50C1">
        <w:t>.</w:t>
      </w:r>
    </w:p>
  </w:footnote>
  <w:footnote w:id="2">
    <w:p w:rsidR="0058532F" w:rsidRPr="0058532F" w:rsidRDefault="0058532F">
      <w:pPr>
        <w:pStyle w:val="FootnoteText"/>
      </w:pPr>
      <w:r>
        <w:rPr>
          <w:rStyle w:val="FootnoteReference"/>
        </w:rPr>
        <w:footnoteRef/>
      </w:r>
      <w:r>
        <w:tab/>
        <w:t xml:space="preserve">JO L </w:t>
      </w:r>
      <w:r w:rsidRPr="002D50C1">
        <w:t>131</w:t>
      </w:r>
      <w:r>
        <w:t xml:space="preserve">, </w:t>
      </w:r>
      <w:r w:rsidRPr="002D50C1">
        <w:t>28</w:t>
      </w:r>
      <w:r>
        <w:t>.</w:t>
      </w:r>
      <w:r w:rsidRPr="002D50C1">
        <w:t>5</w:t>
      </w:r>
      <w:r>
        <w:t>.</w:t>
      </w:r>
      <w:r w:rsidRPr="002D50C1">
        <w:t>2009</w:t>
      </w:r>
      <w:r>
        <w:t xml:space="preserve">, p. </w:t>
      </w:r>
      <w:r w:rsidRPr="002D50C1">
        <w:t>57</w:t>
      </w:r>
      <w:r w:rsidR="002D50C1">
        <w:t>.</w:t>
      </w:r>
    </w:p>
  </w:footnote>
  <w:footnote w:id="3">
    <w:p w:rsidR="00D57DB6" w:rsidRPr="00616FC9" w:rsidRDefault="00D57DB6" w:rsidP="00D57DB6">
      <w:pPr>
        <w:pStyle w:val="FootnoteText"/>
      </w:pPr>
      <w:r>
        <w:rPr>
          <w:rStyle w:val="FootnoteReference"/>
        </w:rPr>
        <w:footnoteRef/>
      </w:r>
      <w:bookmarkStart w:id="6" w:name="_Hlk145338550"/>
      <w:r>
        <w:tab/>
        <w:t xml:space="preserve">JO L </w:t>
      </w:r>
      <w:r w:rsidRPr="002D50C1">
        <w:t>131</w:t>
      </w:r>
      <w:r>
        <w:t xml:space="preserve">, </w:t>
      </w:r>
      <w:r w:rsidRPr="002D50C1">
        <w:t>28</w:t>
      </w:r>
      <w:r>
        <w:t>.</w:t>
      </w:r>
      <w:r w:rsidRPr="002D50C1">
        <w:t>5</w:t>
      </w:r>
      <w:r>
        <w:t>.</w:t>
      </w:r>
      <w:r w:rsidRPr="002D50C1">
        <w:t>2009</w:t>
      </w:r>
      <w:r>
        <w:t xml:space="preserve">, p. </w:t>
      </w:r>
      <w:r w:rsidRPr="002D50C1">
        <w:t>11</w:t>
      </w:r>
      <w:r>
        <w:t>.</w:t>
      </w:r>
      <w:bookmarkEnd w:id="6"/>
    </w:p>
  </w:footnote>
  <w:footnote w:id="4">
    <w:p w:rsidR="00D57DB6" w:rsidRPr="00A4628E" w:rsidRDefault="00D57DB6" w:rsidP="00D57DB6">
      <w:pPr>
        <w:pStyle w:val="FootnoteText"/>
      </w:pPr>
      <w:r>
        <w:rPr>
          <w:rStyle w:val="FootnoteReference"/>
        </w:rPr>
        <w:footnoteRef/>
      </w:r>
      <w:r>
        <w:tab/>
        <w:t xml:space="preserve">JO L </w:t>
      </w:r>
      <w:r w:rsidRPr="002D50C1">
        <w:t>131</w:t>
      </w:r>
      <w:r>
        <w:t xml:space="preserve">, </w:t>
      </w:r>
      <w:r w:rsidRPr="002D50C1">
        <w:t>28</w:t>
      </w:r>
      <w:r>
        <w:t>.</w:t>
      </w:r>
      <w:r w:rsidRPr="002D50C1">
        <w:t>5</w:t>
      </w:r>
      <w:r>
        <w:t>.</w:t>
      </w:r>
      <w:r w:rsidRPr="002D50C1">
        <w:t>2009</w:t>
      </w:r>
      <w:r>
        <w:t xml:space="preserve">, p. </w:t>
      </w:r>
      <w:r w:rsidRPr="002D50C1">
        <w:t>132</w:t>
      </w:r>
      <w:r w:rsidR="002D50C1">
        <w:t>.</w:t>
      </w:r>
    </w:p>
  </w:footnote>
  <w:footnote w:id="5">
    <w:p w:rsidR="00B53410" w:rsidRPr="00B035F8" w:rsidRDefault="00B53410" w:rsidP="00736AA9">
      <w:pPr>
        <w:pStyle w:val="FootnoteText"/>
      </w:pPr>
      <w:r>
        <w:rPr>
          <w:rStyle w:val="FootnoteReference"/>
        </w:rPr>
        <w:footnoteRef/>
      </w:r>
      <w:r>
        <w:tab/>
        <w:t xml:space="preserve">Hotărârea Curții de Justiție din </w:t>
      </w:r>
      <w:r w:rsidRPr="002D50C1">
        <w:t>7</w:t>
      </w:r>
      <w:r>
        <w:t> octombrie </w:t>
      </w:r>
      <w:r w:rsidRPr="002D50C1">
        <w:t>2014</w:t>
      </w:r>
      <w:r>
        <w:t>, Germania/Consiliul, C-</w:t>
      </w:r>
      <w:r w:rsidRPr="002D50C1">
        <w:t>399</w:t>
      </w:r>
      <w:r>
        <w:t>/</w:t>
      </w:r>
      <w:r w:rsidRPr="002D50C1">
        <w:t>12</w:t>
      </w:r>
      <w:r>
        <w:t>, ECLI:EU:C:</w:t>
      </w:r>
      <w:r w:rsidRPr="002D50C1">
        <w:t>2014</w:t>
      </w:r>
      <w:r>
        <w:t>:</w:t>
      </w:r>
      <w:r w:rsidRPr="002D50C1">
        <w:t>2258</w:t>
      </w:r>
      <w:r>
        <w:t>, punctul </w:t>
      </w:r>
      <w:r w:rsidRPr="002D50C1">
        <w:t>64</w:t>
      </w:r>
      <w:r>
        <w:t xml:space="preserve">. </w:t>
      </w:r>
    </w:p>
  </w:footnote>
  <w:footnote w:id="6">
    <w:p w:rsidR="00B53410" w:rsidRPr="00B035F8" w:rsidRDefault="00B53410" w:rsidP="00736AA9">
      <w:pPr>
        <w:pStyle w:val="FootnoteText"/>
      </w:pPr>
      <w:r>
        <w:rPr>
          <w:rStyle w:val="FootnoteReference"/>
        </w:rPr>
        <w:footnoteRef/>
      </w:r>
      <w:r>
        <w:tab/>
        <w:t xml:space="preserve">Hotărârea Curții de Justiție din </w:t>
      </w:r>
      <w:r w:rsidRPr="002D50C1">
        <w:t>7</w:t>
      </w:r>
      <w:r>
        <w:t xml:space="preserve"> octombrie </w:t>
      </w:r>
      <w:r w:rsidRPr="002D50C1">
        <w:t>2014</w:t>
      </w:r>
      <w:r>
        <w:t>, Germania/Consiliul, C-</w:t>
      </w:r>
      <w:r w:rsidRPr="002D50C1">
        <w:t>399</w:t>
      </w:r>
      <w:r>
        <w:t>/</w:t>
      </w:r>
      <w:r w:rsidRPr="002D50C1">
        <w:t>12</w:t>
      </w:r>
      <w:r>
        <w:t>, ECLI:EU:C:</w:t>
      </w:r>
      <w:r w:rsidRPr="002D50C1">
        <w:t>2014</w:t>
      </w:r>
      <w:r>
        <w:t>:</w:t>
      </w:r>
      <w:r w:rsidRPr="002D50C1">
        <w:t>2258</w:t>
      </w:r>
      <w:r>
        <w:t xml:space="preserve">, punctele </w:t>
      </w:r>
      <w:r w:rsidRPr="002D50C1">
        <w:t>61</w:t>
      </w:r>
      <w:r>
        <w:t>-</w:t>
      </w:r>
      <w:r w:rsidRPr="002D50C1">
        <w:t>64</w:t>
      </w:r>
      <w:r>
        <w:t xml:space="preserve">. </w:t>
      </w:r>
    </w:p>
  </w:footnote>
  <w:footnote w:id="7">
    <w:p w:rsidR="00DD11FC" w:rsidRPr="00AE7CFF" w:rsidRDefault="00DD11FC" w:rsidP="00DD11FC">
      <w:pPr>
        <w:pStyle w:val="FootnoteText"/>
      </w:pPr>
      <w:r>
        <w:rPr>
          <w:rStyle w:val="FootnoteReference"/>
        </w:rPr>
        <w:footnoteRef/>
      </w:r>
      <w:r>
        <w:tab/>
        <w:t xml:space="preserve">JO L </w:t>
      </w:r>
      <w:r w:rsidRPr="002D50C1">
        <w:t>163</w:t>
      </w:r>
      <w:r>
        <w:t xml:space="preserve">, </w:t>
      </w:r>
      <w:r w:rsidRPr="002D50C1">
        <w:t>25</w:t>
      </w:r>
      <w:r>
        <w:t>.</w:t>
      </w:r>
      <w:r w:rsidRPr="002D50C1">
        <w:t>6</w:t>
      </w:r>
      <w:r>
        <w:t>.</w:t>
      </w:r>
      <w:r w:rsidRPr="002D50C1">
        <w:t>2009</w:t>
      </w:r>
      <w:r>
        <w:t xml:space="preserve">, p. </w:t>
      </w:r>
      <w:r w:rsidRPr="002D50C1">
        <w:t>1</w:t>
      </w:r>
      <w:r w:rsidR="002D50C1">
        <w:t>.</w:t>
      </w:r>
    </w:p>
  </w:footnote>
  <w:footnote w:id="8">
    <w:p w:rsidR="00DD11FC" w:rsidRPr="0058532F" w:rsidRDefault="00DD11FC" w:rsidP="00DD11FC">
      <w:pPr>
        <w:pStyle w:val="FootnoteText"/>
      </w:pPr>
      <w:r>
        <w:rPr>
          <w:rStyle w:val="FootnoteReference"/>
        </w:rPr>
        <w:footnoteRef/>
      </w:r>
      <w:r>
        <w:tab/>
        <w:t xml:space="preserve">JO L </w:t>
      </w:r>
      <w:r w:rsidRPr="002D50C1">
        <w:t>131</w:t>
      </w:r>
      <w:r>
        <w:t xml:space="preserve">, </w:t>
      </w:r>
      <w:r w:rsidRPr="002D50C1">
        <w:t>28</w:t>
      </w:r>
      <w:r>
        <w:t>.</w:t>
      </w:r>
      <w:r w:rsidRPr="002D50C1">
        <w:t>5</w:t>
      </w:r>
      <w:r>
        <w:t>.</w:t>
      </w:r>
      <w:r w:rsidRPr="002D50C1">
        <w:t>2009</w:t>
      </w:r>
      <w:r>
        <w:t xml:space="preserve">, p. </w:t>
      </w:r>
      <w:r w:rsidRPr="002D50C1">
        <w:t>57</w:t>
      </w:r>
      <w:r w:rsidR="002D50C1">
        <w:t>.</w:t>
      </w:r>
    </w:p>
  </w:footnote>
  <w:footnote w:id="9">
    <w:p w:rsidR="00DD11FC" w:rsidRPr="00616FC9" w:rsidRDefault="00DD11FC" w:rsidP="00DD11FC">
      <w:pPr>
        <w:pStyle w:val="FootnoteText"/>
      </w:pPr>
      <w:r>
        <w:rPr>
          <w:rStyle w:val="FootnoteReference"/>
        </w:rPr>
        <w:footnoteRef/>
      </w:r>
      <w:r>
        <w:tab/>
        <w:t xml:space="preserve">JO L </w:t>
      </w:r>
      <w:r w:rsidRPr="002D50C1">
        <w:t>131</w:t>
      </w:r>
      <w:r>
        <w:t xml:space="preserve">, </w:t>
      </w:r>
      <w:r w:rsidRPr="002D50C1">
        <w:t>28</w:t>
      </w:r>
      <w:r>
        <w:t>.</w:t>
      </w:r>
      <w:r w:rsidRPr="002D50C1">
        <w:t>5</w:t>
      </w:r>
      <w:r>
        <w:t>.</w:t>
      </w:r>
      <w:r w:rsidRPr="002D50C1">
        <w:t>2009</w:t>
      </w:r>
      <w:r>
        <w:t xml:space="preserve">, p. </w:t>
      </w:r>
      <w:r w:rsidRPr="002D50C1">
        <w:t>11</w:t>
      </w:r>
      <w:r w:rsidR="002D50C1">
        <w:t>.</w:t>
      </w:r>
    </w:p>
  </w:footnote>
  <w:footnote w:id="10">
    <w:p w:rsidR="00DD11FC" w:rsidRPr="00A4628E" w:rsidRDefault="00DD11FC" w:rsidP="00DD11FC">
      <w:pPr>
        <w:pStyle w:val="FootnoteText"/>
      </w:pPr>
      <w:r>
        <w:rPr>
          <w:rStyle w:val="FootnoteReference"/>
        </w:rPr>
        <w:footnoteRef/>
      </w:r>
      <w:r>
        <w:tab/>
        <w:t xml:space="preserve">JO L </w:t>
      </w:r>
      <w:r w:rsidRPr="002D50C1">
        <w:t>131</w:t>
      </w:r>
      <w:r>
        <w:t xml:space="preserve">, </w:t>
      </w:r>
      <w:r w:rsidRPr="002D50C1">
        <w:t>28</w:t>
      </w:r>
      <w:r>
        <w:t>.</w:t>
      </w:r>
      <w:r w:rsidRPr="002D50C1">
        <w:t>5</w:t>
      </w:r>
      <w:r>
        <w:t>.</w:t>
      </w:r>
      <w:r w:rsidRPr="002D50C1">
        <w:t>2009</w:t>
      </w:r>
      <w:r>
        <w:t xml:space="preserve">, p. </w:t>
      </w:r>
      <w:r w:rsidRPr="002D50C1">
        <w:t>132</w:t>
      </w:r>
      <w:r w:rsidR="002D50C1">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8C3" w:rsidRDefault="00467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8C3" w:rsidRDefault="004678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F5E8D1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3A49CE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10876F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D70740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lvlOverride w:ilvl="0">
      <w:startOverride w:val="1"/>
    </w:lvlOverride>
  </w:num>
  <w:num w:numId="2">
    <w:abstractNumId w:val="3"/>
  </w:num>
  <w:num w:numId="3">
    <w:abstractNumId w:val="2"/>
  </w:num>
  <w:num w:numId="4">
    <w:abstractNumId w:val="1"/>
  </w:num>
  <w:num w:numId="5">
    <w:abstractNumId w:val="0"/>
  </w:num>
  <w:num w:numId="6">
    <w:abstractNumId w:val="15"/>
    <w:lvlOverride w:ilvl="0">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8"/>
  </w:num>
  <w:num w:numId="13">
    <w:abstractNumId w:val="17"/>
  </w:num>
  <w:num w:numId="14">
    <w:abstractNumId w:val="7"/>
  </w:num>
  <w:num w:numId="15">
    <w:abstractNumId w:val="9"/>
  </w:num>
  <w:num w:numId="16">
    <w:abstractNumId w:val="10"/>
  </w:num>
  <w:num w:numId="17">
    <w:abstractNumId w:val="5"/>
  </w:num>
  <w:num w:numId="18">
    <w:abstractNumId w:val="16"/>
  </w:num>
  <w:num w:numId="19">
    <w:abstractNumId w:val="4"/>
  </w:num>
  <w:num w:numId="20">
    <w:abstractNumId w:val="11"/>
  </w:num>
  <w:num w:numId="21">
    <w:abstractNumId w:val="13"/>
  </w:num>
  <w:num w:numId="22">
    <w:abstractNumId w:val="14"/>
  </w:num>
  <w:num w:numId="23">
    <w:abstractNumId w:val="6"/>
  </w:num>
  <w:num w:numId="24">
    <w:abstractNumId w:val="12"/>
  </w:num>
  <w:num w:numId="25">
    <w:abstractNumId w:val="18"/>
  </w:num>
  <w:num w:numId="26">
    <w:abstractNumId w:val="15"/>
  </w:num>
  <w:num w:numId="27">
    <w:abstractNumId w:val="8"/>
  </w:num>
  <w:num w:numId="28">
    <w:abstractNumId w:val="17"/>
  </w:num>
  <w:num w:numId="29">
    <w:abstractNumId w:val="7"/>
  </w:num>
  <w:num w:numId="30">
    <w:abstractNumId w:val="9"/>
  </w:num>
  <w:num w:numId="31">
    <w:abstractNumId w:val="10"/>
  </w:num>
  <w:num w:numId="32">
    <w:abstractNumId w:val="5"/>
  </w:num>
  <w:num w:numId="33">
    <w:abstractNumId w:val="16"/>
  </w:num>
  <w:num w:numId="34">
    <w:abstractNumId w:val="4"/>
  </w:num>
  <w:num w:numId="35">
    <w:abstractNumId w:val="11"/>
  </w:num>
  <w:num w:numId="36">
    <w:abstractNumId w:val="13"/>
  </w:num>
  <w:num w:numId="37">
    <w:abstractNumId w:val="14"/>
  </w:num>
  <w:num w:numId="38">
    <w:abstractNumId w:val="6"/>
  </w:num>
  <w:num w:numId="39">
    <w:abstractNumId w:val="12"/>
  </w:num>
  <w:num w:numId="40">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5-11-11 09:37: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0E8C63D-D456-4517-99F8-C61762632EA9"/>
    <w:docVar w:name="LW_COVERPAGE_TYPE" w:val="1"/>
    <w:docVar w:name="LW_CreatedUtc" w:val="2025-09-25T12:09:01.4786551Z"/>
    <w:docVar w:name="LW_CROSSREFERENCE" w:val="&lt;UNUSED&gt;"/>
    <w:docVar w:name="LW_DocType" w:val="COM"/>
    <w:docVar w:name="LW_EMISSION" w:val="11.11.2025"/>
    <w:docVar w:name="LW_EMISSION_ISODATE" w:val="2025-11-11"/>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341"/>
    <w:docVar w:name="LW_REF.II.NEW.CP_YEAR" w:val="2025"/>
    <w:docVar w:name="LW_REF.INST.NEW" w:val="COM"/>
    <w:docVar w:name="LW_REF.INST.NEW_ADOPTED" w:val="final"/>
    <w:docVar w:name="LW_REF.INST.NEW_TEXT" w:val="(2025) 6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trebuie s\u259? fie adoptat\u259? în numele Uniunii Europene în cadrul Organiza\u539?iei Maritime Interna\u539?ionale cu ocazia celei de-a 34-a sesiuni a Adun\u259?rii"/>
    <w:docVar w:name="LW_TYPE.DOC.CP" w:val="DECIZIE A CONSILIULUI"/>
    <w:docVar w:name="LwApiVersions" w:val="LW4CoDe 1.24.5.0; LW 9.0, Build 20240221"/>
  </w:docVars>
  <w:rsids>
    <w:rsidRoot w:val="00B53410"/>
    <w:rsid w:val="00025107"/>
    <w:rsid w:val="00066C3D"/>
    <w:rsid w:val="00070AAE"/>
    <w:rsid w:val="00077E9A"/>
    <w:rsid w:val="000844D1"/>
    <w:rsid w:val="000A1FF9"/>
    <w:rsid w:val="000B430D"/>
    <w:rsid w:val="000C2E77"/>
    <w:rsid w:val="000D0C7F"/>
    <w:rsid w:val="000E34D0"/>
    <w:rsid w:val="000E57DD"/>
    <w:rsid w:val="001065F5"/>
    <w:rsid w:val="00116324"/>
    <w:rsid w:val="001238EF"/>
    <w:rsid w:val="00125E17"/>
    <w:rsid w:val="00152B24"/>
    <w:rsid w:val="00162C71"/>
    <w:rsid w:val="00166B0C"/>
    <w:rsid w:val="00171B68"/>
    <w:rsid w:val="00185D25"/>
    <w:rsid w:val="00186DFE"/>
    <w:rsid w:val="00191CB7"/>
    <w:rsid w:val="00197613"/>
    <w:rsid w:val="001B1DE1"/>
    <w:rsid w:val="001B2170"/>
    <w:rsid w:val="001C21EF"/>
    <w:rsid w:val="00202100"/>
    <w:rsid w:val="002268A4"/>
    <w:rsid w:val="00233DC7"/>
    <w:rsid w:val="00247779"/>
    <w:rsid w:val="00265539"/>
    <w:rsid w:val="00265921"/>
    <w:rsid w:val="0027520C"/>
    <w:rsid w:val="00285BEE"/>
    <w:rsid w:val="0029533F"/>
    <w:rsid w:val="002B30AF"/>
    <w:rsid w:val="002B60B3"/>
    <w:rsid w:val="002D50C1"/>
    <w:rsid w:val="002F5549"/>
    <w:rsid w:val="002F7069"/>
    <w:rsid w:val="003103DE"/>
    <w:rsid w:val="00316FEA"/>
    <w:rsid w:val="00332742"/>
    <w:rsid w:val="0033344A"/>
    <w:rsid w:val="00333C1E"/>
    <w:rsid w:val="0033498C"/>
    <w:rsid w:val="00340FD5"/>
    <w:rsid w:val="0034166C"/>
    <w:rsid w:val="003474E7"/>
    <w:rsid w:val="0035073B"/>
    <w:rsid w:val="0038515E"/>
    <w:rsid w:val="003C6208"/>
    <w:rsid w:val="003D58C3"/>
    <w:rsid w:val="00404D0A"/>
    <w:rsid w:val="00425985"/>
    <w:rsid w:val="0042648E"/>
    <w:rsid w:val="00442244"/>
    <w:rsid w:val="0044628C"/>
    <w:rsid w:val="00452123"/>
    <w:rsid w:val="00456CD7"/>
    <w:rsid w:val="004678C3"/>
    <w:rsid w:val="00472ECF"/>
    <w:rsid w:val="00473862"/>
    <w:rsid w:val="00480AA7"/>
    <w:rsid w:val="004936D2"/>
    <w:rsid w:val="004A5A93"/>
    <w:rsid w:val="004B6D18"/>
    <w:rsid w:val="004D2A94"/>
    <w:rsid w:val="004E7B18"/>
    <w:rsid w:val="004F332E"/>
    <w:rsid w:val="00505246"/>
    <w:rsid w:val="00531BAA"/>
    <w:rsid w:val="00571614"/>
    <w:rsid w:val="00572FD2"/>
    <w:rsid w:val="0058532F"/>
    <w:rsid w:val="005B1EB6"/>
    <w:rsid w:val="005E342D"/>
    <w:rsid w:val="005E57F0"/>
    <w:rsid w:val="005F3050"/>
    <w:rsid w:val="00663962"/>
    <w:rsid w:val="006726FB"/>
    <w:rsid w:val="00676BD6"/>
    <w:rsid w:val="00685D80"/>
    <w:rsid w:val="00690C7A"/>
    <w:rsid w:val="006C4020"/>
    <w:rsid w:val="0070791B"/>
    <w:rsid w:val="00722D8C"/>
    <w:rsid w:val="00726EAE"/>
    <w:rsid w:val="0076469C"/>
    <w:rsid w:val="00773331"/>
    <w:rsid w:val="00792A86"/>
    <w:rsid w:val="007932EF"/>
    <w:rsid w:val="007C185D"/>
    <w:rsid w:val="007D32CA"/>
    <w:rsid w:val="007E05B0"/>
    <w:rsid w:val="00802140"/>
    <w:rsid w:val="00813512"/>
    <w:rsid w:val="0081576C"/>
    <w:rsid w:val="00874D22"/>
    <w:rsid w:val="00877552"/>
    <w:rsid w:val="008816B3"/>
    <w:rsid w:val="00886721"/>
    <w:rsid w:val="00886B8E"/>
    <w:rsid w:val="008A2914"/>
    <w:rsid w:val="008B63B3"/>
    <w:rsid w:val="008E4D8E"/>
    <w:rsid w:val="00966224"/>
    <w:rsid w:val="0099319D"/>
    <w:rsid w:val="0099710E"/>
    <w:rsid w:val="0099751A"/>
    <w:rsid w:val="009A731D"/>
    <w:rsid w:val="009A7420"/>
    <w:rsid w:val="009B4CF7"/>
    <w:rsid w:val="009B563F"/>
    <w:rsid w:val="00A04D26"/>
    <w:rsid w:val="00A261DE"/>
    <w:rsid w:val="00A34590"/>
    <w:rsid w:val="00A37F91"/>
    <w:rsid w:val="00A60E42"/>
    <w:rsid w:val="00A86C32"/>
    <w:rsid w:val="00A92141"/>
    <w:rsid w:val="00AA13DF"/>
    <w:rsid w:val="00AC77C3"/>
    <w:rsid w:val="00AD010B"/>
    <w:rsid w:val="00AE70F5"/>
    <w:rsid w:val="00AE7CFF"/>
    <w:rsid w:val="00B16439"/>
    <w:rsid w:val="00B2280D"/>
    <w:rsid w:val="00B50A2E"/>
    <w:rsid w:val="00B53410"/>
    <w:rsid w:val="00B57281"/>
    <w:rsid w:val="00BA4CBF"/>
    <w:rsid w:val="00BB0E61"/>
    <w:rsid w:val="00BB31E0"/>
    <w:rsid w:val="00BE198A"/>
    <w:rsid w:val="00C01748"/>
    <w:rsid w:val="00C12301"/>
    <w:rsid w:val="00C2132B"/>
    <w:rsid w:val="00C2327D"/>
    <w:rsid w:val="00C413E2"/>
    <w:rsid w:val="00C83043"/>
    <w:rsid w:val="00C97D41"/>
    <w:rsid w:val="00CC044E"/>
    <w:rsid w:val="00CC1612"/>
    <w:rsid w:val="00CE72D0"/>
    <w:rsid w:val="00D11B4A"/>
    <w:rsid w:val="00D15F77"/>
    <w:rsid w:val="00D20381"/>
    <w:rsid w:val="00D219FC"/>
    <w:rsid w:val="00D57DB6"/>
    <w:rsid w:val="00D61A1B"/>
    <w:rsid w:val="00D74635"/>
    <w:rsid w:val="00D854F2"/>
    <w:rsid w:val="00DA060C"/>
    <w:rsid w:val="00DC313C"/>
    <w:rsid w:val="00DD11FC"/>
    <w:rsid w:val="00DD37F4"/>
    <w:rsid w:val="00DD6480"/>
    <w:rsid w:val="00DE14A2"/>
    <w:rsid w:val="00DE61AE"/>
    <w:rsid w:val="00E145DF"/>
    <w:rsid w:val="00E43798"/>
    <w:rsid w:val="00E54763"/>
    <w:rsid w:val="00E578BA"/>
    <w:rsid w:val="00E57B81"/>
    <w:rsid w:val="00E70DCE"/>
    <w:rsid w:val="00E86C6F"/>
    <w:rsid w:val="00ED133E"/>
    <w:rsid w:val="00EF47B2"/>
    <w:rsid w:val="00F0200A"/>
    <w:rsid w:val="00F11E88"/>
    <w:rsid w:val="00F52329"/>
    <w:rsid w:val="00F6165C"/>
    <w:rsid w:val="00FC38F8"/>
    <w:rsid w:val="00FC5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5:docId w15:val="{685C9031-C5F7-44F9-B944-511C990E6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3410"/>
    <w:pPr>
      <w:ind w:left="720"/>
      <w:contextualSpacing/>
    </w:pPr>
  </w:style>
  <w:style w:type="paragraph" w:styleId="ListBullet">
    <w:name w:val="List Bullet"/>
    <w:basedOn w:val="Normal"/>
    <w:uiPriority w:val="99"/>
    <w:semiHidden/>
    <w:unhideWhenUsed/>
    <w:rsid w:val="00480AA7"/>
    <w:pPr>
      <w:numPr>
        <w:numId w:val="2"/>
      </w:numPr>
      <w:contextualSpacing/>
    </w:pPr>
  </w:style>
  <w:style w:type="paragraph" w:styleId="ListBullet2">
    <w:name w:val="List Bullet 2"/>
    <w:basedOn w:val="Normal"/>
    <w:uiPriority w:val="99"/>
    <w:semiHidden/>
    <w:unhideWhenUsed/>
    <w:rsid w:val="00480AA7"/>
    <w:pPr>
      <w:numPr>
        <w:numId w:val="3"/>
      </w:numPr>
      <w:contextualSpacing/>
    </w:pPr>
  </w:style>
  <w:style w:type="paragraph" w:styleId="ListBullet3">
    <w:name w:val="List Bullet 3"/>
    <w:basedOn w:val="Normal"/>
    <w:uiPriority w:val="99"/>
    <w:semiHidden/>
    <w:unhideWhenUsed/>
    <w:rsid w:val="00480AA7"/>
    <w:pPr>
      <w:numPr>
        <w:numId w:val="4"/>
      </w:numPr>
      <w:contextualSpacing/>
    </w:pPr>
  </w:style>
  <w:style w:type="paragraph" w:styleId="ListBullet4">
    <w:name w:val="List Bullet 4"/>
    <w:basedOn w:val="Normal"/>
    <w:uiPriority w:val="99"/>
    <w:semiHidden/>
    <w:unhideWhenUsed/>
    <w:rsid w:val="00480AA7"/>
    <w:pPr>
      <w:numPr>
        <w:numId w:val="5"/>
      </w:numPr>
      <w:contextualSpacing/>
    </w:pPr>
  </w:style>
  <w:style w:type="paragraph" w:styleId="Revision">
    <w:name w:val="Revision"/>
    <w:hidden/>
    <w:uiPriority w:val="99"/>
    <w:semiHidden/>
    <w:rsid w:val="00442244"/>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452123"/>
    <w:rPr>
      <w:sz w:val="16"/>
      <w:szCs w:val="16"/>
    </w:rPr>
  </w:style>
  <w:style w:type="paragraph" w:styleId="CommentText">
    <w:name w:val="annotation text"/>
    <w:basedOn w:val="Normal"/>
    <w:link w:val="CommentTextChar"/>
    <w:uiPriority w:val="99"/>
    <w:unhideWhenUsed/>
    <w:rsid w:val="00452123"/>
    <w:rPr>
      <w:sz w:val="20"/>
      <w:szCs w:val="20"/>
    </w:rPr>
  </w:style>
  <w:style w:type="character" w:customStyle="1" w:styleId="CommentTextChar">
    <w:name w:val="Comment Text Char"/>
    <w:basedOn w:val="DefaultParagraphFont"/>
    <w:link w:val="CommentText"/>
    <w:uiPriority w:val="99"/>
    <w:rsid w:val="00452123"/>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452123"/>
    <w:rPr>
      <w:b/>
      <w:bCs/>
    </w:rPr>
  </w:style>
  <w:style w:type="character" w:customStyle="1" w:styleId="CommentSubjectChar">
    <w:name w:val="Comment Subject Char"/>
    <w:basedOn w:val="CommentTextChar"/>
    <w:link w:val="CommentSubject"/>
    <w:uiPriority w:val="99"/>
    <w:semiHidden/>
    <w:rsid w:val="00452123"/>
    <w:rPr>
      <w:rFonts w:ascii="Times New Roman" w:hAnsi="Times New Roman" w:cs="Times New Roman"/>
      <w:b/>
      <w:bCs/>
      <w:sz w:val="20"/>
      <w:szCs w:val="20"/>
      <w:lang w:val="ro-RO"/>
    </w:rPr>
  </w:style>
  <w:style w:type="character" w:styleId="Hyperlink">
    <w:name w:val="Hyperlink"/>
    <w:basedOn w:val="DefaultParagraphFont"/>
    <w:uiPriority w:val="99"/>
    <w:unhideWhenUsed/>
    <w:rsid w:val="009A731D"/>
    <w:rPr>
      <w:color w:val="0000FF" w:themeColor="hyperlink"/>
      <w:u w:val="single"/>
    </w:rPr>
  </w:style>
  <w:style w:type="character" w:customStyle="1" w:styleId="UnresolvedMention">
    <w:name w:val="Unresolved Mention"/>
    <w:basedOn w:val="DefaultParagraphFont"/>
    <w:uiPriority w:val="99"/>
    <w:semiHidden/>
    <w:unhideWhenUsed/>
    <w:rsid w:val="0099710E"/>
    <w:rPr>
      <w:color w:val="605E5C"/>
      <w:shd w:val="clear" w:color="auto" w:fill="E1DFDD"/>
    </w:rPr>
  </w:style>
  <w:style w:type="character" w:customStyle="1" w:styleId="HeaderChar">
    <w:name w:val="Header Char"/>
    <w:basedOn w:val="DefaultParagraphFont"/>
    <w:link w:val="Header"/>
    <w:uiPriority w:val="99"/>
    <w:rsid w:val="004678C3"/>
    <w:rPr>
      <w:rFonts w:ascii="Times New Roman" w:hAnsi="Times New Roman" w:cs="Times New Roman"/>
      <w:sz w:val="24"/>
      <w:lang w:val="ro-RO"/>
    </w:rPr>
  </w:style>
  <w:style w:type="character" w:customStyle="1" w:styleId="FooterChar">
    <w:name w:val="Footer Char"/>
    <w:basedOn w:val="DefaultParagraphFont"/>
    <w:link w:val="Footer"/>
    <w:uiPriority w:val="99"/>
    <w:rsid w:val="004678C3"/>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678C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678C3"/>
    <w:pPr>
      <w:spacing w:before="0"/>
      <w:jc w:val="right"/>
    </w:pPr>
    <w:rPr>
      <w:sz w:val="28"/>
    </w:rPr>
  </w:style>
  <w:style w:type="paragraph" w:customStyle="1" w:styleId="FooterSensitivity">
    <w:name w:val="Footer Sensitivity"/>
    <w:basedOn w:val="Normal"/>
    <w:rsid w:val="004678C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4678C3"/>
    <w:pPr>
      <w:tabs>
        <w:tab w:val="center" w:pos="4535"/>
        <w:tab w:val="right" w:pos="9071"/>
      </w:tabs>
      <w:spacing w:before="0"/>
    </w:pPr>
  </w:style>
  <w:style w:type="paragraph" w:customStyle="1" w:styleId="HeaderLandscape">
    <w:name w:val="HeaderLandscape"/>
    <w:basedOn w:val="Normal"/>
    <w:rsid w:val="004678C3"/>
    <w:pPr>
      <w:tabs>
        <w:tab w:val="center" w:pos="7285"/>
        <w:tab w:val="right" w:pos="14003"/>
      </w:tabs>
      <w:spacing w:before="0"/>
    </w:pPr>
  </w:style>
  <w:style w:type="paragraph" w:styleId="Footer">
    <w:name w:val="footer"/>
    <w:basedOn w:val="Normal"/>
    <w:link w:val="FooterChar"/>
    <w:uiPriority w:val="99"/>
    <w:unhideWhenUsed/>
    <w:rsid w:val="004678C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678C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7210663">
      <w:bodyDiv w:val="1"/>
      <w:marLeft w:val="0"/>
      <w:marRight w:val="0"/>
      <w:marTop w:val="0"/>
      <w:marBottom w:val="0"/>
      <w:divBdr>
        <w:top w:val="none" w:sz="0" w:space="0" w:color="auto"/>
        <w:left w:val="none" w:sz="0" w:space="0" w:color="auto"/>
        <w:bottom w:val="none" w:sz="0" w:space="0" w:color="auto"/>
        <w:right w:val="none" w:sz="0" w:space="0" w:color="auto"/>
      </w:divBdr>
    </w:div>
    <w:div w:id="863325149">
      <w:bodyDiv w:val="1"/>
      <w:marLeft w:val="0"/>
      <w:marRight w:val="0"/>
      <w:marTop w:val="0"/>
      <w:marBottom w:val="0"/>
      <w:divBdr>
        <w:top w:val="none" w:sz="0" w:space="0" w:color="auto"/>
        <w:left w:val="none" w:sz="0" w:space="0" w:color="auto"/>
        <w:bottom w:val="none" w:sz="0" w:space="0" w:color="auto"/>
        <w:right w:val="none" w:sz="0" w:space="0" w:color="auto"/>
      </w:divBdr>
    </w:div>
    <w:div w:id="1554345266">
      <w:bodyDiv w:val="1"/>
      <w:marLeft w:val="0"/>
      <w:marRight w:val="0"/>
      <w:marTop w:val="0"/>
      <w:marBottom w:val="0"/>
      <w:divBdr>
        <w:top w:val="none" w:sz="0" w:space="0" w:color="auto"/>
        <w:left w:val="none" w:sz="0" w:space="0" w:color="auto"/>
        <w:bottom w:val="none" w:sz="0" w:space="0" w:color="auto"/>
        <w:right w:val="none" w:sz="0" w:space="0" w:color="auto"/>
      </w:divBdr>
    </w:div>
    <w:div w:id="1634677637">
      <w:bodyDiv w:val="1"/>
      <w:marLeft w:val="0"/>
      <w:marRight w:val="0"/>
      <w:marTop w:val="0"/>
      <w:marBottom w:val="0"/>
      <w:divBdr>
        <w:top w:val="none" w:sz="0" w:space="0" w:color="auto"/>
        <w:left w:val="none" w:sz="0" w:space="0" w:color="auto"/>
        <w:bottom w:val="none" w:sz="0" w:space="0" w:color="auto"/>
        <w:right w:val="none" w:sz="0" w:space="0" w:color="auto"/>
      </w:divBdr>
    </w:div>
    <w:div w:id="205746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E5126-65C8-43D9-9E06-2E75CDDB3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TotalTime>
  <Pages>14</Pages>
  <Words>5547</Words>
  <Characters>31621</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25</cp:revision>
  <dcterms:created xsi:type="dcterms:W3CDTF">2025-10-27T16:31:00Z</dcterms:created>
  <dcterms:modified xsi:type="dcterms:W3CDTF">2025-11-11T08:37:00Z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9.1, Build 20240808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2025-09-25T13:57:15Z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5e7bfc94-2fce-44c6-b938-4c53976ccb6e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