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8AF83" w14:textId="127E4B03" w:rsidR="007D7BB7" w:rsidRDefault="00636FCC" w:rsidP="00636FCC">
      <w:pPr>
        <w:pStyle w:val="Pagedecouverture"/>
        <w:rPr>
          <w:noProof/>
        </w:rPr>
      </w:pPr>
      <w:bookmarkStart w:id="0" w:name="_Hlk200035187"/>
      <w:bookmarkStart w:id="1" w:name="LW_BM_COVERPAGE"/>
      <w:r>
        <w:rPr>
          <w:noProof/>
        </w:rPr>
        <w:pict w14:anchorId="650F5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44520C-FDA6-4ADE-BF7B-76E3701284BA" style="width:455.25pt;height:340.5pt">
            <v:imagedata r:id="rId11" o:title=""/>
          </v:shape>
        </w:pict>
      </w:r>
    </w:p>
    <w:bookmarkEnd w:id="1"/>
    <w:p w14:paraId="2ED85EF4" w14:textId="77777777" w:rsidR="007D7BB7" w:rsidRDefault="007D7BB7" w:rsidP="007D7BB7">
      <w:pPr>
        <w:rPr>
          <w:noProof/>
        </w:rPr>
        <w:sectPr w:rsidR="007D7BB7" w:rsidSect="00636FC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6C599A" w14:textId="75AA94CB" w:rsidR="00D859DA" w:rsidRPr="00610CE3" w:rsidRDefault="00D859DA" w:rsidP="79D4E448">
      <w:pPr>
        <w:pBdr>
          <w:bottom w:val="single" w:sz="4" w:space="4" w:color="000000"/>
        </w:pBdr>
        <w:spacing w:after="160" w:line="240" w:lineRule="auto"/>
        <w:jc w:val="both"/>
        <w:rPr>
          <w:rFonts w:ascii="Times New Roman" w:hAnsi="Times New Roman" w:cs="Times New Roman"/>
          <w:b/>
          <w:bCs/>
          <w:noProof/>
          <w:sz w:val="24"/>
          <w:szCs w:val="24"/>
        </w:rPr>
      </w:pPr>
      <w:bookmarkStart w:id="2" w:name="_GoBack"/>
      <w:bookmarkEnd w:id="2"/>
      <w:r w:rsidRPr="00DA3B61">
        <w:rPr>
          <w:rFonts w:ascii="Times New Roman" w:hAnsi="Times New Roman"/>
          <w:b/>
          <w:noProof/>
          <w:sz w:val="24"/>
        </w:rPr>
        <w:lastRenderedPageBreak/>
        <w:t>1</w:t>
      </w:r>
      <w:r>
        <w:rPr>
          <w:rFonts w:ascii="Times New Roman" w:hAnsi="Times New Roman"/>
          <w:b/>
          <w:noProof/>
          <w:sz w:val="24"/>
        </w:rPr>
        <w:t>. Introducere</w:t>
      </w:r>
    </w:p>
    <w:p w14:paraId="0813BEA0" w14:textId="7353EFB2" w:rsidR="009711D9" w:rsidRPr="00610CE3" w:rsidRDefault="0CABF452" w:rsidP="00CC0E0E">
      <w:pPr>
        <w:spacing w:after="160" w:line="240" w:lineRule="auto"/>
        <w:jc w:val="both"/>
        <w:rPr>
          <w:rFonts w:ascii="Times New Roman" w:hAnsi="Times New Roman" w:cs="Times New Roman"/>
          <w:noProof/>
          <w:sz w:val="24"/>
          <w:szCs w:val="24"/>
        </w:rPr>
      </w:pPr>
      <w:r>
        <w:rPr>
          <w:rFonts w:ascii="Times New Roman" w:hAnsi="Times New Roman"/>
          <w:b/>
          <w:noProof/>
          <w:sz w:val="24"/>
        </w:rPr>
        <w:t>Mecanismul pentru Ucraina</w:t>
      </w:r>
      <w:r>
        <w:rPr>
          <w:rFonts w:ascii="Times New Roman" w:hAnsi="Times New Roman"/>
          <w:noProof/>
          <w:sz w:val="24"/>
        </w:rPr>
        <w:t xml:space="preserve"> (denumit în continuare „mecanismul”), instituit prin Regulamentul (UE) </w:t>
      </w:r>
      <w:r w:rsidRPr="00DA3B61">
        <w:rPr>
          <w:rFonts w:ascii="Times New Roman" w:hAnsi="Times New Roman"/>
          <w:noProof/>
          <w:sz w:val="24"/>
        </w:rPr>
        <w:t>2024</w:t>
      </w:r>
      <w:r>
        <w:rPr>
          <w:rFonts w:ascii="Times New Roman" w:hAnsi="Times New Roman"/>
          <w:noProof/>
          <w:sz w:val="24"/>
        </w:rPr>
        <w:t>/</w:t>
      </w:r>
      <w:r w:rsidRPr="00DA3B61">
        <w:rPr>
          <w:rFonts w:ascii="Times New Roman" w:hAnsi="Times New Roman"/>
          <w:noProof/>
          <w:sz w:val="24"/>
        </w:rPr>
        <w:t>792</w:t>
      </w:r>
      <w:r>
        <w:rPr>
          <w:rFonts w:ascii="Times New Roman" w:hAnsi="Times New Roman"/>
          <w:noProof/>
          <w:sz w:val="24"/>
        </w:rPr>
        <w:t xml:space="preserve">, este un instrument-cheie al strategiei Uniunii Europene de abordare a amplorii și a complexității provocărilor cu care se confruntă Ucraina ca urmare a continuării războiului de agresiune al Rusiei. Prin punerea în comun a sprijinului bugetar al UE pentru Ucraina într-un mecanism unic de sprijin, mecanismul urmărește să ofere Ucrainei o finanțare coerentă, previzibilă și flexibilă în valoare de </w:t>
      </w:r>
      <w:r w:rsidRPr="00DA3B61">
        <w:rPr>
          <w:rFonts w:ascii="Times New Roman" w:hAnsi="Times New Roman"/>
          <w:noProof/>
          <w:sz w:val="24"/>
        </w:rPr>
        <w:t>50</w:t>
      </w:r>
      <w:r>
        <w:rPr>
          <w:rFonts w:ascii="Times New Roman" w:hAnsi="Times New Roman"/>
          <w:noProof/>
          <w:sz w:val="24"/>
        </w:rPr>
        <w:t xml:space="preserve"> de miliarde EUR în perioada</w:t>
      </w:r>
      <w:r w:rsidR="00B90F51">
        <w:rPr>
          <w:rFonts w:ascii="Times New Roman" w:hAnsi="Times New Roman"/>
          <w:noProof/>
          <w:sz w:val="24"/>
        </w:rPr>
        <w:t> </w:t>
      </w:r>
      <w:r w:rsidRPr="00DA3B61">
        <w:rPr>
          <w:rFonts w:ascii="Times New Roman" w:hAnsi="Times New Roman"/>
          <w:noProof/>
          <w:sz w:val="24"/>
        </w:rPr>
        <w:t>2024</w:t>
      </w:r>
      <w:r>
        <w:rPr>
          <w:rFonts w:ascii="Times New Roman" w:hAnsi="Times New Roman"/>
          <w:noProof/>
          <w:sz w:val="24"/>
        </w:rPr>
        <w:t>-</w:t>
      </w:r>
      <w:r w:rsidRPr="00DA3B61">
        <w:rPr>
          <w:rFonts w:ascii="Times New Roman" w:hAnsi="Times New Roman"/>
          <w:noProof/>
          <w:sz w:val="24"/>
        </w:rPr>
        <w:t>2027</w:t>
      </w:r>
      <w:r>
        <w:rPr>
          <w:rFonts w:ascii="Times New Roman" w:hAnsi="Times New Roman"/>
          <w:noProof/>
          <w:sz w:val="24"/>
        </w:rPr>
        <w:t>. Principalele obiective ale mecanismului includ sprijinirea nevoilor de finanțare și a reconstrucției Ucrainei, mobilizarea investițiilor și promovarea reformelor necesare pentru aderarea Ucrainei la UE.</w:t>
      </w:r>
    </w:p>
    <w:p w14:paraId="30DBE6A8" w14:textId="1C2B327D" w:rsidR="009711D9" w:rsidRPr="00610CE3" w:rsidRDefault="1768F924"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Mecanismul reprezintă un angajament profund al UE de a consolida reziliența și capacitatea Ucrainei pentru a face față amenințărilor externe, de a promova redresarea acesteia și a-i facilita parcursul către dezvoltarea durabilă și către aderarea la UE. Mecanismul este, de asemenea, o investiție strategică într-o Ucraină puternică și viabilă din punct de vedere economic, care este esențială pentru stabilitatea UE și pentru contracararea influenței destabilizatoare a Rusiei.</w:t>
      </w:r>
    </w:p>
    <w:p w14:paraId="046AAF15" w14:textId="41641057" w:rsidR="009711D9" w:rsidRPr="00610CE3" w:rsidRDefault="1768F924"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Mecanismul este un </w:t>
      </w:r>
      <w:r>
        <w:rPr>
          <w:rFonts w:ascii="Times New Roman" w:hAnsi="Times New Roman"/>
          <w:b/>
          <w:noProof/>
          <w:sz w:val="24"/>
        </w:rPr>
        <w:t>instrument care include trei piloni principali.</w:t>
      </w:r>
    </w:p>
    <w:p w14:paraId="7149745B" w14:textId="2EA4D9FD" w:rsidR="009711D9" w:rsidRPr="00610CE3" w:rsidRDefault="59A4967E" w:rsidP="7679E0CF">
      <w:pPr>
        <w:pStyle w:val="ListParagraph"/>
        <w:numPr>
          <w:ilvl w:val="0"/>
          <w:numId w:val="1"/>
        </w:numPr>
        <w:spacing w:after="160" w:line="240" w:lineRule="auto"/>
        <w:jc w:val="both"/>
        <w:rPr>
          <w:rFonts w:ascii="Times New Roman" w:hAnsi="Times New Roman" w:cs="Times New Roman"/>
          <w:noProof/>
          <w:sz w:val="24"/>
          <w:szCs w:val="24"/>
        </w:rPr>
      </w:pPr>
      <w:r>
        <w:rPr>
          <w:rFonts w:ascii="Times New Roman" w:hAnsi="Times New Roman"/>
          <w:b/>
          <w:noProof/>
          <w:sz w:val="24"/>
        </w:rPr>
        <w:t xml:space="preserve">Pilonul I: </w:t>
      </w:r>
      <w:r>
        <w:rPr>
          <w:rFonts w:ascii="Times New Roman" w:hAnsi="Times New Roman"/>
          <w:noProof/>
          <w:sz w:val="24"/>
        </w:rPr>
        <w:t>planul pentru Ucraina stabilește viziunea Ucrainei pentru redresarea, reconstrucția și modernizarea sa, precum și reformele planificate ca parte a procesului</w:t>
      </w:r>
      <w:r w:rsidR="00B90F51">
        <w:rPr>
          <w:rFonts w:ascii="Times New Roman" w:hAnsi="Times New Roman"/>
          <w:noProof/>
          <w:sz w:val="24"/>
        </w:rPr>
        <w:t> </w:t>
      </w:r>
      <w:r>
        <w:rPr>
          <w:rFonts w:ascii="Times New Roman" w:hAnsi="Times New Roman"/>
          <w:noProof/>
          <w:sz w:val="24"/>
        </w:rPr>
        <w:t xml:space="preserve">său de aderare la UE în perioada </w:t>
      </w:r>
      <w:r w:rsidRPr="00DA3B61">
        <w:rPr>
          <w:rFonts w:ascii="Times New Roman" w:hAnsi="Times New Roman"/>
          <w:noProof/>
          <w:sz w:val="24"/>
        </w:rPr>
        <w:t>2024</w:t>
      </w:r>
      <w:r>
        <w:rPr>
          <w:rFonts w:ascii="Times New Roman" w:hAnsi="Times New Roman"/>
          <w:noProof/>
          <w:sz w:val="24"/>
        </w:rPr>
        <w:t>-</w:t>
      </w:r>
      <w:r w:rsidRPr="00DA3B61">
        <w:rPr>
          <w:rFonts w:ascii="Times New Roman" w:hAnsi="Times New Roman"/>
          <w:noProof/>
          <w:sz w:val="24"/>
        </w:rPr>
        <w:t>2027</w:t>
      </w:r>
      <w:r>
        <w:rPr>
          <w:rFonts w:ascii="Times New Roman" w:hAnsi="Times New Roman"/>
          <w:noProof/>
          <w:sz w:val="24"/>
        </w:rPr>
        <w:t xml:space="preserve">. În cadrul planului, până la </w:t>
      </w:r>
      <w:r w:rsidRPr="00DA3B61">
        <w:rPr>
          <w:rFonts w:ascii="Times New Roman" w:hAnsi="Times New Roman"/>
          <w:b/>
          <w:noProof/>
          <w:sz w:val="24"/>
        </w:rPr>
        <w:t>38</w:t>
      </w:r>
      <w:r>
        <w:rPr>
          <w:rFonts w:ascii="Times New Roman" w:hAnsi="Times New Roman"/>
          <w:b/>
          <w:noProof/>
          <w:sz w:val="24"/>
        </w:rPr>
        <w:t>,</w:t>
      </w:r>
      <w:r w:rsidRPr="00DA3B61">
        <w:rPr>
          <w:rFonts w:ascii="Times New Roman" w:hAnsi="Times New Roman"/>
          <w:b/>
          <w:noProof/>
          <w:sz w:val="24"/>
        </w:rPr>
        <w:t>3</w:t>
      </w:r>
      <w:r>
        <w:rPr>
          <w:rFonts w:ascii="Times New Roman" w:hAnsi="Times New Roman"/>
          <w:b/>
          <w:noProof/>
          <w:sz w:val="24"/>
        </w:rPr>
        <w:t xml:space="preserve"> miliarde EUR</w:t>
      </w:r>
      <w:r>
        <w:rPr>
          <w:rFonts w:ascii="Times New Roman" w:hAnsi="Times New Roman"/>
          <w:noProof/>
          <w:sz w:val="24"/>
        </w:rPr>
        <w:t xml:space="preserve"> sub formă de împrumuturi și granturi urmează să fie puse la dispoziția Ucrainei după ce aceasta va îndeplini condițiile convenite între UE și Ucraina.</w:t>
      </w:r>
    </w:p>
    <w:p w14:paraId="1F059195" w14:textId="114433BD" w:rsidR="009711D9" w:rsidRPr="00610CE3" w:rsidRDefault="009711D9" w:rsidP="00CC0E0E">
      <w:pPr>
        <w:pStyle w:val="ListParagraph"/>
        <w:spacing w:after="160" w:line="240" w:lineRule="auto"/>
        <w:jc w:val="both"/>
        <w:rPr>
          <w:rFonts w:ascii="Times New Roman" w:hAnsi="Times New Roman" w:cs="Times New Roman"/>
          <w:noProof/>
        </w:rPr>
      </w:pPr>
    </w:p>
    <w:p w14:paraId="7755D095" w14:textId="6E8ACBE2" w:rsidR="009711D9" w:rsidRPr="00610CE3" w:rsidRDefault="59A4967E" w:rsidP="00CC0E0E">
      <w:pPr>
        <w:pStyle w:val="ListParagraph"/>
        <w:numPr>
          <w:ilvl w:val="0"/>
          <w:numId w:val="1"/>
        </w:numPr>
        <w:spacing w:after="160" w:line="240" w:lineRule="auto"/>
        <w:jc w:val="both"/>
        <w:rPr>
          <w:rFonts w:ascii="Times New Roman" w:hAnsi="Times New Roman" w:cs="Times New Roman"/>
          <w:noProof/>
        </w:rPr>
      </w:pPr>
      <w:r>
        <w:rPr>
          <w:rFonts w:ascii="Times New Roman" w:hAnsi="Times New Roman"/>
          <w:b/>
          <w:noProof/>
          <w:sz w:val="24"/>
        </w:rPr>
        <w:t xml:space="preserve">Pilonul II: </w:t>
      </w:r>
      <w:r>
        <w:rPr>
          <w:rFonts w:ascii="Times New Roman" w:hAnsi="Times New Roman"/>
          <w:noProof/>
          <w:sz w:val="24"/>
        </w:rPr>
        <w:t>cadrul de investiții pentru Ucraina (UIF) sprijină investițiile publice, operațiunile directe din sectorul privat și operațiunile de capital intermediate. Acesta permite întreprinderilor private cu sediul în UE să joace un rol central în investițiile în reconstrucția infrastructurii, a sectorului energetic și a industriilor-cheie ale Ucrainei. Aceste investiții vor ajuta Ucraina să reconstruiască o economie modernă și rezilientă, generând în același timp beneficii economice pentru întreprinderile din UE.</w:t>
      </w:r>
    </w:p>
    <w:p w14:paraId="6216C764" w14:textId="137C34C7" w:rsidR="009711D9" w:rsidRPr="00610CE3" w:rsidRDefault="009711D9" w:rsidP="00CC0E0E">
      <w:pPr>
        <w:pStyle w:val="ListParagraph"/>
        <w:spacing w:after="160" w:line="240" w:lineRule="auto"/>
        <w:jc w:val="both"/>
        <w:rPr>
          <w:rFonts w:ascii="Times New Roman" w:hAnsi="Times New Roman" w:cs="Times New Roman"/>
          <w:noProof/>
        </w:rPr>
      </w:pPr>
    </w:p>
    <w:p w14:paraId="50BADF1F" w14:textId="05DF0F3E" w:rsidR="009711D9" w:rsidRPr="00610CE3" w:rsidRDefault="59A4967E" w:rsidP="7679E0CF">
      <w:pPr>
        <w:pStyle w:val="ListParagraph"/>
        <w:numPr>
          <w:ilvl w:val="0"/>
          <w:numId w:val="1"/>
        </w:numPr>
        <w:spacing w:after="160" w:line="240" w:lineRule="auto"/>
        <w:jc w:val="both"/>
        <w:rPr>
          <w:rFonts w:ascii="Times New Roman" w:hAnsi="Times New Roman" w:cs="Times New Roman"/>
          <w:noProof/>
          <w:sz w:val="24"/>
          <w:szCs w:val="24"/>
        </w:rPr>
      </w:pPr>
      <w:r>
        <w:rPr>
          <w:rFonts w:ascii="Times New Roman" w:hAnsi="Times New Roman"/>
          <w:b/>
          <w:noProof/>
          <w:sz w:val="24"/>
        </w:rPr>
        <w:t xml:space="preserve">Pilonul III: </w:t>
      </w:r>
      <w:r>
        <w:rPr>
          <w:rFonts w:ascii="Times New Roman" w:hAnsi="Times New Roman"/>
          <w:noProof/>
          <w:sz w:val="24"/>
        </w:rPr>
        <w:t>pilonul III se axează pe furnizarea de asistență tehnică și pe măsuri de sprijin pentru a facilita alinierea Ucrainei la actele cu putere de lege și normele administrative ale UE. Printre acestea se numără inițiativele de consolidare a capacităților (inclusiv societatea civilă și organizațiile, autoritățile locale și regionale) și asistența acordată Ucrainei pentru punerea în aplicare a reformelor necesare pentru aderarea la UE.</w:t>
      </w:r>
    </w:p>
    <w:p w14:paraId="6268EF02" w14:textId="6A34C830" w:rsidR="009711D9" w:rsidRPr="00610CE3" w:rsidRDefault="47B46887"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La un an de la punerea în aplicare a mecanismului, </w:t>
      </w:r>
      <w:r>
        <w:rPr>
          <w:rFonts w:ascii="Times New Roman" w:hAnsi="Times New Roman"/>
          <w:b/>
          <w:noProof/>
          <w:sz w:val="24"/>
        </w:rPr>
        <w:t xml:space="preserve">prezentul raport evaluează în detaliu progresele înregistrate cu privire la fiecare dintre cei trei piloni. </w:t>
      </w:r>
      <w:r>
        <w:rPr>
          <w:rFonts w:ascii="Times New Roman" w:hAnsi="Times New Roman"/>
          <w:noProof/>
          <w:sz w:val="24"/>
        </w:rPr>
        <w:t>Raportul prezintă progresele înregistrate în atingerea obiectivelor incluse în Regulamentul de instituire a Mecanismului pentru Ucraina și oferă exemple de realizări importante. Acesta descrie, de asemenea, sistemul de gestionare și control instituit de Ucraina și măsurile de asigurare a protecției intereselor financiare ale UE, precum și primul dialog privind Mecanismul pentru Ucraina, organizat cu Parlamentul European.</w:t>
      </w:r>
    </w:p>
    <w:p w14:paraId="69A0DA42" w14:textId="7F39EF87" w:rsidR="009711D9" w:rsidRPr="00610CE3" w:rsidRDefault="47B46887" w:rsidP="00CC0E0E">
      <w:pPr>
        <w:spacing w:after="160" w:line="240" w:lineRule="auto"/>
        <w:jc w:val="both"/>
        <w:rPr>
          <w:noProof/>
        </w:rPr>
      </w:pPr>
      <w:r>
        <w:rPr>
          <w:rFonts w:ascii="Times New Roman" w:hAnsi="Times New Roman"/>
          <w:noProof/>
          <w:sz w:val="24"/>
        </w:rPr>
        <w:t xml:space="preserve">Deși se află încă într-un stadiu incipient al punerii sale în aplicare, mecanismul și-a demonstrat deja capacitatea de a oferi un sprijin esențial Ucrainei, promovând în același timp reformele și investițiile care vor contribui la redresarea, reconstrucția și modernizarea Ucrainei. Acesta rămâne principalul instrument prin care UE poate oferi sprijin pe termen mediu țării și poate contribui la reconstrucția economică și la alinierea la UE, care se consolidează reciproc. Punerea în aplicare cu succes în </w:t>
      </w:r>
      <w:r w:rsidRPr="00DA3B61">
        <w:rPr>
          <w:rFonts w:ascii="Times New Roman" w:hAnsi="Times New Roman"/>
          <w:noProof/>
          <w:sz w:val="24"/>
        </w:rPr>
        <w:t>2024</w:t>
      </w:r>
      <w:r>
        <w:rPr>
          <w:rFonts w:ascii="Times New Roman" w:hAnsi="Times New Roman"/>
          <w:noProof/>
          <w:sz w:val="24"/>
        </w:rPr>
        <w:t xml:space="preserve"> confirmă angajamentul UE și al Ucrainei față de această cale.</w:t>
      </w:r>
    </w:p>
    <w:p w14:paraId="41E4E9F5" w14:textId="38577E24" w:rsidR="00C65C17" w:rsidRPr="00610CE3" w:rsidRDefault="38234E5B" w:rsidP="7679E0CF">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În primul său an de punere în aplicare, mecanismul a mobilizat </w:t>
      </w:r>
      <w:r w:rsidRPr="00DA3B61">
        <w:rPr>
          <w:rFonts w:ascii="Times New Roman" w:hAnsi="Times New Roman"/>
          <w:noProof/>
          <w:sz w:val="24"/>
        </w:rPr>
        <w:t>19</w:t>
      </w:r>
      <w:r>
        <w:rPr>
          <w:rFonts w:ascii="Times New Roman" w:hAnsi="Times New Roman"/>
          <w:noProof/>
          <w:sz w:val="24"/>
        </w:rPr>
        <w:t>,</w:t>
      </w:r>
      <w:r w:rsidRPr="00DA3B61">
        <w:rPr>
          <w:rFonts w:ascii="Times New Roman" w:hAnsi="Times New Roman"/>
          <w:noProof/>
          <w:sz w:val="24"/>
        </w:rPr>
        <w:t>6</w:t>
      </w:r>
      <w:r>
        <w:rPr>
          <w:rFonts w:ascii="Times New Roman" w:hAnsi="Times New Roman"/>
          <w:noProof/>
          <w:sz w:val="24"/>
        </w:rPr>
        <w:t xml:space="preserve"> miliarde EUR sub formă de sprijin din partea UE pentru Ucraina, din care </w:t>
      </w:r>
      <w:r w:rsidRPr="00DA3B61">
        <w:rPr>
          <w:rFonts w:ascii="Times New Roman" w:hAnsi="Times New Roman"/>
          <w:noProof/>
          <w:sz w:val="24"/>
        </w:rPr>
        <w:t>16</w:t>
      </w:r>
      <w:r>
        <w:rPr>
          <w:rFonts w:ascii="Times New Roman" w:hAnsi="Times New Roman"/>
          <w:noProof/>
          <w:sz w:val="24"/>
        </w:rPr>
        <w:t>,</w:t>
      </w:r>
      <w:r w:rsidRPr="00DA3B61">
        <w:rPr>
          <w:rFonts w:ascii="Times New Roman" w:hAnsi="Times New Roman"/>
          <w:noProof/>
          <w:sz w:val="24"/>
        </w:rPr>
        <w:t>1</w:t>
      </w:r>
      <w:r>
        <w:rPr>
          <w:rFonts w:ascii="Times New Roman" w:hAnsi="Times New Roman"/>
          <w:noProof/>
          <w:sz w:val="24"/>
        </w:rPr>
        <w:t xml:space="preserve"> miliarde EUR în cadrul Planului pentru Ucraina. Mecanismul a contribuit, de asemenea, la una dintre cele mai mari investiții străine în Ucraina de la proclamarea independenței sa, care vizează modernizarea și extinderea infrastructurii de telecomunicații a Ucrainei.</w:t>
      </w:r>
    </w:p>
    <w:p w14:paraId="676AC31C" w14:textId="7C8E7F1C" w:rsidR="00383348" w:rsidRPr="00610CE3" w:rsidRDefault="59A4967E" w:rsidP="7679E0CF">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Punerea în aplicare a </w:t>
      </w:r>
      <w:r>
        <w:rPr>
          <w:rFonts w:ascii="Times New Roman" w:hAnsi="Times New Roman"/>
          <w:b/>
          <w:noProof/>
          <w:sz w:val="24"/>
        </w:rPr>
        <w:t>cadrului de investiții pentru Ucraina</w:t>
      </w:r>
      <w:r>
        <w:rPr>
          <w:rFonts w:ascii="Times New Roman" w:hAnsi="Times New Roman"/>
          <w:noProof/>
          <w:sz w:val="24"/>
        </w:rPr>
        <w:t xml:space="preserve"> avansează, de asemenea, într-un ritm accelerat. Comisia a anunțat semnarea unor contribuții în valoare de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4</w:t>
      </w:r>
      <w:r>
        <w:rPr>
          <w:rFonts w:ascii="Times New Roman" w:hAnsi="Times New Roman"/>
          <w:noProof/>
          <w:sz w:val="24"/>
        </w:rPr>
        <w:t xml:space="preserve"> miliarde EUR sub formă de garanții și granturi ale UE cu instituțiile financiare partenere, care au potențialul de a debloca investiții în valoare de </w:t>
      </w:r>
      <w:r w:rsidRPr="00DA3B61">
        <w:rPr>
          <w:rFonts w:ascii="Times New Roman" w:hAnsi="Times New Roman"/>
          <w:noProof/>
          <w:sz w:val="24"/>
        </w:rPr>
        <w:t>6</w:t>
      </w:r>
      <w:r>
        <w:rPr>
          <w:rFonts w:ascii="Times New Roman" w:hAnsi="Times New Roman"/>
          <w:noProof/>
          <w:sz w:val="24"/>
        </w:rPr>
        <w:t xml:space="preserve"> miliarde EUR în domeniile reconstrucției și modernizării, cum ar fi energia și infrastructura municipală. Mai multe operațiuni s-au materializat deja în Ucraina de la încheierea acestor acorduri. În cadrul </w:t>
      </w:r>
      <w:r>
        <w:rPr>
          <w:rFonts w:ascii="Times New Roman" w:hAnsi="Times New Roman"/>
          <w:b/>
          <w:noProof/>
          <w:sz w:val="24"/>
        </w:rPr>
        <w:t>pilonului III</w:t>
      </w:r>
      <w:r>
        <w:rPr>
          <w:rFonts w:ascii="Times New Roman" w:hAnsi="Times New Roman"/>
          <w:noProof/>
          <w:sz w:val="24"/>
        </w:rPr>
        <w:t xml:space="preserve">, Mecanismul de cooperare tehnică pentru Ucraina </w:t>
      </w:r>
      <w:r w:rsidRPr="00DA3B61">
        <w:rPr>
          <w:rFonts w:ascii="Times New Roman" w:hAnsi="Times New Roman"/>
          <w:noProof/>
          <w:sz w:val="24"/>
        </w:rPr>
        <w:t>2024</w:t>
      </w:r>
      <w:r>
        <w:rPr>
          <w:rFonts w:ascii="Times New Roman" w:hAnsi="Times New Roman"/>
          <w:noProof/>
          <w:sz w:val="24"/>
        </w:rPr>
        <w:t xml:space="preserve"> a fost instituit și pus în aplicare fără probleme.</w:t>
      </w:r>
    </w:p>
    <w:p w14:paraId="4D2C99C7" w14:textId="77777777" w:rsidR="00583CDC" w:rsidRPr="00610CE3" w:rsidRDefault="00583CDC" w:rsidP="7679E0CF">
      <w:pPr>
        <w:spacing w:after="160" w:line="240" w:lineRule="auto"/>
        <w:jc w:val="both"/>
        <w:rPr>
          <w:rFonts w:ascii="Times New Roman" w:hAnsi="Times New Roman" w:cs="Times New Roman"/>
          <w:noProof/>
          <w:sz w:val="24"/>
          <w:szCs w:val="24"/>
        </w:rPr>
      </w:pPr>
    </w:p>
    <w:p w14:paraId="692FEB9C" w14:textId="3CBBE905" w:rsidR="00D859DA" w:rsidRPr="00610CE3" w:rsidRDefault="00D859DA" w:rsidP="79D4E448">
      <w:pPr>
        <w:pBdr>
          <w:bottom w:val="single" w:sz="4" w:space="4" w:color="000000"/>
        </w:pBdr>
        <w:spacing w:after="160" w:line="240" w:lineRule="auto"/>
        <w:jc w:val="both"/>
        <w:rPr>
          <w:rFonts w:ascii="Times New Roman" w:hAnsi="Times New Roman" w:cs="Times New Roman"/>
          <w:b/>
          <w:bCs/>
          <w:noProof/>
          <w:sz w:val="24"/>
          <w:szCs w:val="24"/>
        </w:rPr>
      </w:pPr>
      <w:r w:rsidRPr="00DA3B61">
        <w:rPr>
          <w:rFonts w:ascii="Times New Roman" w:hAnsi="Times New Roman"/>
          <w:b/>
          <w:noProof/>
          <w:sz w:val="24"/>
        </w:rPr>
        <w:t>2</w:t>
      </w:r>
      <w:r>
        <w:rPr>
          <w:rFonts w:ascii="Times New Roman" w:hAnsi="Times New Roman"/>
          <w:b/>
          <w:noProof/>
          <w:sz w:val="24"/>
        </w:rPr>
        <w:t>. Situația actuală în ceea ce privește implementarea mecanismului</w:t>
      </w:r>
    </w:p>
    <w:p w14:paraId="2BBB72C4" w14:textId="0FE74987" w:rsidR="221850A5" w:rsidRPr="00610CE3" w:rsidRDefault="66DFB117" w:rsidP="3B40B0ED">
      <w:pPr>
        <w:spacing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2</w:t>
      </w:r>
      <w:r>
        <w:rPr>
          <w:rFonts w:ascii="Times New Roman" w:hAnsi="Times New Roman"/>
          <w:b/>
          <w:i/>
          <w:noProof/>
          <w:sz w:val="24"/>
        </w:rPr>
        <w:t>.a. Pilonul I – Planul pentru Ucraina</w:t>
      </w:r>
    </w:p>
    <w:p w14:paraId="718E1A53" w14:textId="7D618920" w:rsidR="00131918" w:rsidRPr="00610CE3" w:rsidRDefault="17B6A92A"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Planul pentru Ucraina,</w:t>
      </w:r>
      <w:r>
        <w:rPr>
          <w:rFonts w:ascii="Times New Roman" w:hAnsi="Times New Roman"/>
          <w:b/>
          <w:i/>
          <w:noProof/>
          <w:sz w:val="24"/>
        </w:rPr>
        <w:t xml:space="preserve"> </w:t>
      </w:r>
      <w:r>
        <w:rPr>
          <w:rFonts w:ascii="Times New Roman" w:hAnsi="Times New Roman"/>
          <w:noProof/>
          <w:sz w:val="24"/>
        </w:rPr>
        <w:t xml:space="preserve">în cadrul primului pilon al mecanismului, stabilește </w:t>
      </w:r>
      <w:r>
        <w:rPr>
          <w:rFonts w:ascii="Times New Roman" w:hAnsi="Times New Roman"/>
          <w:b/>
          <w:noProof/>
          <w:sz w:val="24"/>
        </w:rPr>
        <w:t xml:space="preserve">strategia de reformă și de investiții pentru această țară în perioada </w:t>
      </w:r>
      <w:r w:rsidRPr="00DA3B61">
        <w:rPr>
          <w:rFonts w:ascii="Times New Roman" w:hAnsi="Times New Roman"/>
          <w:b/>
          <w:noProof/>
          <w:sz w:val="24"/>
        </w:rPr>
        <w:t>2024</w:t>
      </w:r>
      <w:r>
        <w:rPr>
          <w:rFonts w:ascii="Times New Roman" w:hAnsi="Times New Roman"/>
          <w:b/>
          <w:noProof/>
          <w:sz w:val="24"/>
        </w:rPr>
        <w:t>-</w:t>
      </w:r>
      <w:r w:rsidRPr="00DA3B61">
        <w:rPr>
          <w:rFonts w:ascii="Times New Roman" w:hAnsi="Times New Roman"/>
          <w:b/>
          <w:noProof/>
          <w:sz w:val="24"/>
        </w:rPr>
        <w:t>2027</w:t>
      </w:r>
      <w:r>
        <w:rPr>
          <w:rFonts w:ascii="Times New Roman" w:hAnsi="Times New Roman"/>
          <w:noProof/>
          <w:sz w:val="24"/>
        </w:rPr>
        <w:t xml:space="preserve">. Planul prezintă viziunea guvernului pentru reconstrucție, modernizare și reforme, în sectoarele cu cel mai mare potențial de creștere, ca parte a procesului său de aderare la UE. Planul a fost elaborat de Guvernul Ucrainei, în urma consultării cu Parlamentul Ucrainei, cu Rada Supremă și cu societatea civilă ucraineană și a fost prezentat Comisiei la </w:t>
      </w:r>
      <w:r w:rsidRPr="00DA3B61">
        <w:rPr>
          <w:rFonts w:ascii="Times New Roman" w:hAnsi="Times New Roman"/>
          <w:noProof/>
          <w:sz w:val="24"/>
        </w:rPr>
        <w:t>20</w:t>
      </w:r>
      <w:r>
        <w:rPr>
          <w:rFonts w:ascii="Times New Roman" w:hAnsi="Times New Roman"/>
          <w:noProof/>
          <w:sz w:val="24"/>
        </w:rPr>
        <w:t xml:space="preserve"> martie </w:t>
      </w:r>
      <w:r w:rsidRPr="00DA3B61">
        <w:rPr>
          <w:rFonts w:ascii="Times New Roman" w:hAnsi="Times New Roman"/>
          <w:noProof/>
          <w:sz w:val="24"/>
        </w:rPr>
        <w:t>2024</w:t>
      </w:r>
      <w:r>
        <w:rPr>
          <w:rFonts w:ascii="Times New Roman" w:hAnsi="Times New Roman"/>
          <w:noProof/>
          <w:sz w:val="24"/>
        </w:rPr>
        <w:t>. În urma unei evaluări pozitive din partea Comisiei</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xml:space="preserve">, Consiliul a adoptat o decizie de punere în aplicare la </w:t>
      </w:r>
      <w:r w:rsidRPr="00DA3B61">
        <w:rPr>
          <w:rFonts w:ascii="Times New Roman" w:hAnsi="Times New Roman"/>
          <w:noProof/>
          <w:sz w:val="24"/>
        </w:rPr>
        <w:t>14</w:t>
      </w:r>
      <w:r>
        <w:rPr>
          <w:rFonts w:ascii="Times New Roman" w:hAnsi="Times New Roman"/>
          <w:noProof/>
          <w:sz w:val="24"/>
        </w:rPr>
        <w:t xml:space="preserve"> mai </w:t>
      </w:r>
      <w:r w:rsidRPr="00DA3B61">
        <w:rPr>
          <w:rFonts w:ascii="Times New Roman" w:hAnsi="Times New Roman"/>
          <w:noProof/>
          <w:sz w:val="24"/>
        </w:rPr>
        <w:t>2024</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w:t>
      </w:r>
    </w:p>
    <w:p w14:paraId="57F4169F" w14:textId="5E23B9BD" w:rsidR="221850A5" w:rsidRPr="00610CE3" w:rsidRDefault="00131918"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abordează îmbunătățirile din administrația publică, punând accentul pe buna guvernanță, tranziția verde, respectarea statului de drept și combaterea corupției și a fraudei. Reformele propuse în cadrul planului vizează </w:t>
      </w:r>
      <w:r w:rsidRPr="00DA3B61">
        <w:rPr>
          <w:rFonts w:ascii="Times New Roman" w:hAnsi="Times New Roman"/>
          <w:noProof/>
          <w:sz w:val="24"/>
        </w:rPr>
        <w:t>15</w:t>
      </w:r>
      <w:r>
        <w:rPr>
          <w:rFonts w:ascii="Times New Roman" w:hAnsi="Times New Roman"/>
          <w:noProof/>
          <w:sz w:val="24"/>
        </w:rPr>
        <w:t xml:space="preserve"> domenii, inclusiv energia, agricultura, transporturile, tranziția verde și digitală, capitalul uman, precum și întreprinderile deținute de stat, mediul de afaceri, finanțele publice și descentralizarea.</w:t>
      </w:r>
    </w:p>
    <w:p w14:paraId="3DEB06E1" w14:textId="34D62E0E" w:rsidR="004E2370" w:rsidRPr="00610CE3" w:rsidRDefault="004E2370" w:rsidP="00B90F51">
      <w:pPr>
        <w:keepNext/>
        <w:spacing w:after="16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Figura </w:t>
      </w:r>
      <w:r w:rsidRPr="00DA3B61">
        <w:rPr>
          <w:rFonts w:ascii="Times New Roman" w:hAnsi="Times New Roman"/>
          <w:b/>
          <w:noProof/>
          <w:sz w:val="24"/>
        </w:rPr>
        <w:t>1</w:t>
      </w:r>
      <w:r>
        <w:rPr>
          <w:rFonts w:ascii="Times New Roman" w:hAnsi="Times New Roman"/>
          <w:b/>
          <w:noProof/>
          <w:sz w:val="24"/>
        </w:rPr>
        <w:t>: Capitolele Planului pentru Ucraina</w:t>
      </w:r>
    </w:p>
    <w:p w14:paraId="6C138023" w14:textId="3C9FF607" w:rsidR="0044594C" w:rsidRPr="00610CE3" w:rsidRDefault="00B90F51" w:rsidP="0044594C">
      <w:pPr>
        <w:jc w:val="both"/>
        <w:rPr>
          <w:rFonts w:ascii="Times New Roman" w:eastAsia="Times New Roman" w:hAnsi="Times New Roman" w:cs="Times New Roman"/>
          <w:noProof/>
          <w:sz w:val="24"/>
          <w:szCs w:val="24"/>
        </w:rPr>
      </w:pPr>
      <w:r>
        <w:rPr>
          <w:noProof/>
          <w:lang w:val="en-GB" w:eastAsia="en-GB"/>
        </w:rPr>
        <w:drawing>
          <wp:inline distT="0" distB="0" distL="0" distR="0" wp14:anchorId="5FAE4B93" wp14:editId="3A3ECF41">
            <wp:extent cx="5760720" cy="2292350"/>
            <wp:effectExtent l="0" t="0" r="0" b="0"/>
            <wp:docPr id="179757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70562" name=""/>
                    <pic:cNvPicPr/>
                  </pic:nvPicPr>
                  <pic:blipFill>
                    <a:blip r:embed="rId18"/>
                    <a:stretch>
                      <a:fillRect/>
                    </a:stretch>
                  </pic:blipFill>
                  <pic:spPr>
                    <a:xfrm>
                      <a:off x="0" y="0"/>
                      <a:ext cx="5760720" cy="2292350"/>
                    </a:xfrm>
                    <a:prstGeom prst="rect">
                      <a:avLst/>
                    </a:prstGeom>
                  </pic:spPr>
                </pic:pic>
              </a:graphicData>
            </a:graphic>
          </wp:inline>
        </w:drawing>
      </w:r>
    </w:p>
    <w:p w14:paraId="5E8D8096" w14:textId="72DFB384" w:rsidR="00923FFF" w:rsidRPr="00610CE3" w:rsidRDefault="00923FFF" w:rsidP="004260FC">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Decizia de punere în aplicare a Consiliului de aprobare a evaluării pozitive de către Comisie a Planului pentru Ucraina a stabilit un calendar cu condiții (și anume indicatori calitativi și cantitativi) care trebuie îndeplinite de Ucraina pentru fiecare trimestru, până în T</w:t>
      </w:r>
      <w:r w:rsidRPr="00DA3B61">
        <w:rPr>
          <w:rFonts w:ascii="Times New Roman" w:hAnsi="Times New Roman"/>
          <w:noProof/>
          <w:sz w:val="24"/>
        </w:rPr>
        <w:t>4</w:t>
      </w:r>
      <w:r>
        <w:rPr>
          <w:rFonts w:ascii="Times New Roman" w:hAnsi="Times New Roman"/>
          <w:noProof/>
          <w:sz w:val="24"/>
        </w:rPr>
        <w:t> </w:t>
      </w:r>
      <w:r w:rsidRPr="00DA3B61">
        <w:rPr>
          <w:rFonts w:ascii="Times New Roman" w:hAnsi="Times New Roman"/>
          <w:noProof/>
          <w:sz w:val="24"/>
        </w:rPr>
        <w:t>2027</w:t>
      </w:r>
      <w:r>
        <w:rPr>
          <w:rFonts w:ascii="Times New Roman" w:hAnsi="Times New Roman"/>
          <w:noProof/>
          <w:sz w:val="24"/>
        </w:rPr>
        <w:t>. Aceste condiții reflectă progresele înregistrate în ceea ce privește investițiile și reformele propuse de Ucraina în plan.</w:t>
      </w:r>
    </w:p>
    <w:p w14:paraId="120C9BBA" w14:textId="2170158B" w:rsidR="221850A5" w:rsidRPr="00610CE3" w:rsidRDefault="4E6113DA" w:rsidP="0044594C">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a evaluat că </w:t>
      </w:r>
      <w:r>
        <w:rPr>
          <w:rFonts w:ascii="Times New Roman" w:hAnsi="Times New Roman"/>
          <w:b/>
          <w:noProof/>
          <w:sz w:val="24"/>
        </w:rPr>
        <w:t>reformele și investițiile din Planul pentru Ucraina au un potențial semnificativ de a stimula creșterea, de a susține stabilitatea macroeconomică, de a îmbunătăți situația bugetară și de a consolida procesul de aderare a Ucrainei la UE</w:t>
      </w:r>
      <w:r>
        <w:rPr>
          <w:rFonts w:ascii="Times New Roman" w:hAnsi="Times New Roman"/>
          <w:noProof/>
          <w:sz w:val="24"/>
        </w:rPr>
        <w:t xml:space="preserve">. Atunci când planul a fost evaluat în aprilie </w:t>
      </w:r>
      <w:r w:rsidRPr="00DA3B61">
        <w:rPr>
          <w:rFonts w:ascii="Times New Roman" w:hAnsi="Times New Roman"/>
          <w:noProof/>
          <w:sz w:val="24"/>
        </w:rPr>
        <w:t>2024</w:t>
      </w:r>
      <w:r>
        <w:rPr>
          <w:rFonts w:ascii="Times New Roman" w:hAnsi="Times New Roman"/>
          <w:noProof/>
          <w:sz w:val="24"/>
        </w:rPr>
        <w:t xml:space="preserve">, s-a estimat că PIB-ul Ucrainei va crește cu </w:t>
      </w:r>
      <w:r w:rsidRPr="00DA3B61">
        <w:rPr>
          <w:rFonts w:ascii="Times New Roman" w:hAnsi="Times New Roman"/>
          <w:noProof/>
          <w:sz w:val="24"/>
        </w:rPr>
        <w:t>6</w:t>
      </w:r>
      <w:r>
        <w:rPr>
          <w:rFonts w:ascii="Times New Roman" w:hAnsi="Times New Roman"/>
          <w:noProof/>
          <w:sz w:val="24"/>
        </w:rPr>
        <w:t>,</w:t>
      </w:r>
      <w:r w:rsidRPr="00DA3B61">
        <w:rPr>
          <w:rFonts w:ascii="Times New Roman" w:hAnsi="Times New Roman"/>
          <w:noProof/>
          <w:sz w:val="24"/>
        </w:rPr>
        <w:t>2</w:t>
      </w:r>
      <w:r>
        <w:rPr>
          <w:rFonts w:ascii="Times New Roman" w:hAnsi="Times New Roman"/>
          <w:noProof/>
          <w:sz w:val="24"/>
        </w:rPr>
        <w:t xml:space="preserve"> % până în </w:t>
      </w:r>
      <w:r w:rsidRPr="00DA3B61">
        <w:rPr>
          <w:rFonts w:ascii="Times New Roman" w:hAnsi="Times New Roman"/>
          <w:noProof/>
          <w:sz w:val="24"/>
        </w:rPr>
        <w:t>2027</w:t>
      </w:r>
      <w:r>
        <w:rPr>
          <w:rFonts w:ascii="Times New Roman" w:hAnsi="Times New Roman"/>
          <w:noProof/>
          <w:sz w:val="24"/>
        </w:rPr>
        <w:t xml:space="preserve"> și cu </w:t>
      </w:r>
      <w:r w:rsidRPr="00DA3B61">
        <w:rPr>
          <w:rFonts w:ascii="Times New Roman" w:hAnsi="Times New Roman"/>
          <w:noProof/>
          <w:sz w:val="24"/>
        </w:rPr>
        <w:t>14</w:t>
      </w:r>
      <w:r>
        <w:rPr>
          <w:rFonts w:ascii="Times New Roman" w:hAnsi="Times New Roman"/>
          <w:noProof/>
          <w:sz w:val="24"/>
        </w:rPr>
        <w:t>,</w:t>
      </w:r>
      <w:r w:rsidRPr="00DA3B61">
        <w:rPr>
          <w:rFonts w:ascii="Times New Roman" w:hAnsi="Times New Roman"/>
          <w:noProof/>
          <w:sz w:val="24"/>
        </w:rPr>
        <w:t>2</w:t>
      </w:r>
      <w:r>
        <w:rPr>
          <w:rFonts w:ascii="Times New Roman" w:hAnsi="Times New Roman"/>
          <w:noProof/>
          <w:sz w:val="24"/>
        </w:rPr>
        <w:t xml:space="preserve"> % până în </w:t>
      </w:r>
      <w:r w:rsidRPr="00DA3B61">
        <w:rPr>
          <w:rFonts w:ascii="Times New Roman" w:hAnsi="Times New Roman"/>
          <w:noProof/>
          <w:sz w:val="24"/>
        </w:rPr>
        <w:t>2040</w:t>
      </w:r>
      <w:r>
        <w:rPr>
          <w:rFonts w:ascii="Times New Roman" w:hAnsi="Times New Roman"/>
          <w:noProof/>
          <w:sz w:val="24"/>
        </w:rPr>
        <w:t xml:space="preserve">, dacă toate reformele și investițiile propuse ar fi puse în aplicare pe deplin. Punerea în aplicare a planului ar putea conduce, de asemenea, la o reducere a datoriei cu aproximativ </w:t>
      </w:r>
      <w:r w:rsidRPr="00DA3B61">
        <w:rPr>
          <w:rFonts w:ascii="Times New Roman" w:hAnsi="Times New Roman"/>
          <w:noProof/>
          <w:sz w:val="24"/>
        </w:rPr>
        <w:t>10</w:t>
      </w:r>
      <w:r>
        <w:rPr>
          <w:rFonts w:ascii="Times New Roman" w:hAnsi="Times New Roman"/>
          <w:noProof/>
          <w:sz w:val="24"/>
        </w:rPr>
        <w:t xml:space="preserve"> puncte procentuale din PIB până în </w:t>
      </w:r>
      <w:r w:rsidRPr="00DA3B61">
        <w:rPr>
          <w:rFonts w:ascii="Times New Roman" w:hAnsi="Times New Roman"/>
          <w:noProof/>
          <w:sz w:val="24"/>
        </w:rPr>
        <w:t>2033</w:t>
      </w:r>
      <w:r>
        <w:rPr>
          <w:rFonts w:ascii="Times New Roman" w:hAnsi="Times New Roman"/>
          <w:noProof/>
          <w:sz w:val="24"/>
        </w:rPr>
        <w:t>, comparativ cu un scenariu alternativ în absența mecanismului.</w:t>
      </w:r>
    </w:p>
    <w:p w14:paraId="42BCE1E5" w14:textId="6660AAD2" w:rsidR="221850A5" w:rsidRPr="00610CE3" w:rsidDel="006C1301" w:rsidRDefault="00001EB2" w:rsidP="7679E0CF">
      <w:pPr>
        <w:spacing w:after="160" w:line="240" w:lineRule="auto"/>
        <w:jc w:val="both"/>
        <w:rPr>
          <w:noProof/>
        </w:rPr>
      </w:pPr>
      <w:r>
        <w:rPr>
          <w:rFonts w:ascii="Times New Roman" w:hAnsi="Times New Roman"/>
          <w:noProof/>
          <w:sz w:val="24"/>
        </w:rPr>
        <w:t xml:space="preserve">Până la </w:t>
      </w:r>
      <w:r w:rsidRPr="00DA3B61">
        <w:rPr>
          <w:rFonts w:ascii="Times New Roman" w:hAnsi="Times New Roman"/>
          <w:b/>
          <w:noProof/>
          <w:sz w:val="24"/>
        </w:rPr>
        <w:t>38</w:t>
      </w:r>
      <w:r>
        <w:rPr>
          <w:rFonts w:ascii="Times New Roman" w:hAnsi="Times New Roman"/>
          <w:b/>
          <w:noProof/>
          <w:sz w:val="24"/>
        </w:rPr>
        <w:t>,</w:t>
      </w:r>
      <w:r w:rsidRPr="00DA3B61">
        <w:rPr>
          <w:rFonts w:ascii="Times New Roman" w:hAnsi="Times New Roman"/>
          <w:b/>
          <w:noProof/>
          <w:sz w:val="24"/>
        </w:rPr>
        <w:t>3</w:t>
      </w:r>
      <w:r>
        <w:rPr>
          <w:rFonts w:ascii="Times New Roman" w:hAnsi="Times New Roman"/>
          <w:b/>
          <w:noProof/>
          <w:sz w:val="24"/>
        </w:rPr>
        <w:t xml:space="preserve"> miliarde EUR</w:t>
      </w:r>
      <w:r>
        <w:rPr>
          <w:rFonts w:ascii="Times New Roman" w:hAnsi="Times New Roman"/>
          <w:noProof/>
          <w:sz w:val="24"/>
        </w:rPr>
        <w:t xml:space="preserve"> sub formă de împrumuturi și granturi sunt alocate în cadrul pilonului I al mecanismului (astfel cum se arată în figura </w:t>
      </w:r>
      <w:r w:rsidRPr="00DA3B61">
        <w:rPr>
          <w:rFonts w:ascii="Times New Roman" w:hAnsi="Times New Roman"/>
          <w:noProof/>
          <w:sz w:val="24"/>
        </w:rPr>
        <w:t>2</w:t>
      </w:r>
      <w:r>
        <w:rPr>
          <w:rFonts w:ascii="Times New Roman" w:hAnsi="Times New Roman"/>
          <w:noProof/>
          <w:sz w:val="24"/>
        </w:rPr>
        <w:t xml:space="preserve"> de mai jos) pentru a ajuta Ucraina să elimine decalajul între veniturile și cheltuielile bugetului și să sprijine punerea în aplicare a reformelor și a investițiilor.</w:t>
      </w:r>
      <w:bookmarkStart w:id="3" w:name="_Hlk197664934"/>
    </w:p>
    <w:p w14:paraId="20948AC9" w14:textId="0CBDC9C6" w:rsidR="4C0D3260" w:rsidRPr="00610CE3" w:rsidRDefault="000444A9" w:rsidP="00CC0E0E">
      <w:pPr>
        <w:spacing w:after="160" w:line="240" w:lineRule="auto"/>
        <w:jc w:val="both"/>
        <w:rPr>
          <w:rFonts w:ascii="Times New Roman" w:eastAsia="Times New Roman" w:hAnsi="Times New Roman" w:cs="Times New Roman"/>
          <w:b/>
          <w:noProof/>
          <w:sz w:val="24"/>
          <w:szCs w:val="24"/>
        </w:rPr>
      </w:pPr>
      <w:r>
        <w:rPr>
          <w:rFonts w:ascii="Times New Roman" w:hAnsi="Times New Roman"/>
          <w:noProof/>
          <w:sz w:val="24"/>
        </w:rPr>
        <w:t>Toate plățile din cadrul mecanismului sunt condiționate de menținerea și respectarea în continuare de către Ucraina a mecanismelor democratice eficace, inclusiv a unui sistem parlamentar pluripartit și a statului de drept, și de garantarea respectării drepturilor omului, inclusiv a drepturilor persoanelor care aparțin minorităților.</w:t>
      </w:r>
    </w:p>
    <w:bookmarkEnd w:id="3"/>
    <w:p w14:paraId="0E2AA973" w14:textId="4E144AD9" w:rsidR="0D68B424" w:rsidRPr="00610CE3" w:rsidRDefault="21910482" w:rsidP="00B90F51">
      <w:pPr>
        <w:keepNext/>
        <w:spacing w:after="16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Figura </w:t>
      </w:r>
      <w:r w:rsidRPr="00DA3B61">
        <w:rPr>
          <w:rFonts w:ascii="Times New Roman" w:hAnsi="Times New Roman"/>
          <w:b/>
          <w:noProof/>
          <w:sz w:val="24"/>
        </w:rPr>
        <w:t>2</w:t>
      </w:r>
      <w:r>
        <w:rPr>
          <w:rFonts w:ascii="Times New Roman" w:hAnsi="Times New Roman"/>
          <w:b/>
          <w:noProof/>
          <w:sz w:val="24"/>
        </w:rPr>
        <w:t>: Pilonul I al Mecanismului pentru Ucraina – Angajamente indicative pe an, în miliarde EUR</w:t>
      </w:r>
    </w:p>
    <w:p w14:paraId="7259B44D" w14:textId="5C45B9AB" w:rsidR="00D859DA" w:rsidRPr="00610CE3" w:rsidRDefault="003107A1" w:rsidP="0044594C">
      <w:pPr>
        <w:jc w:val="both"/>
        <w:rPr>
          <w:rFonts w:ascii="Times New Roman" w:hAnsi="Times New Roman" w:cs="Times New Roman"/>
          <w:noProof/>
          <w:sz w:val="24"/>
          <w:szCs w:val="24"/>
        </w:rPr>
      </w:pPr>
      <w:r w:rsidRPr="003107A1">
        <w:rPr>
          <w:noProof/>
          <w:lang w:val="en-GB" w:eastAsia="en-GB"/>
        </w:rPr>
        <w:drawing>
          <wp:inline distT="0" distB="0" distL="0" distR="0" wp14:anchorId="03E7A8E4" wp14:editId="187F1A77">
            <wp:extent cx="4587903" cy="3497154"/>
            <wp:effectExtent l="0" t="0" r="3175" b="8255"/>
            <wp:docPr id="800689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12783" cy="3516119"/>
                    </a:xfrm>
                    <a:prstGeom prst="rect">
                      <a:avLst/>
                    </a:prstGeom>
                    <a:noFill/>
                    <a:ln>
                      <a:noFill/>
                    </a:ln>
                  </pic:spPr>
                </pic:pic>
              </a:graphicData>
            </a:graphic>
          </wp:inline>
        </w:drawing>
      </w:r>
    </w:p>
    <w:p w14:paraId="21E145ED" w14:textId="760D7152" w:rsidR="00D859DA" w:rsidRPr="00610CE3" w:rsidRDefault="4DF121B5" w:rsidP="7679E0CF">
      <w:pPr>
        <w:spacing w:after="160" w:line="240" w:lineRule="auto"/>
        <w:jc w:val="both"/>
        <w:rPr>
          <w:rFonts w:ascii="Times New Roman" w:hAnsi="Times New Roman" w:cs="Times New Roman"/>
          <w:b/>
          <w:bCs/>
          <w:noProof/>
          <w:sz w:val="24"/>
          <w:szCs w:val="24"/>
        </w:rPr>
      </w:pPr>
      <w:r>
        <w:rPr>
          <w:rFonts w:ascii="Times New Roman" w:hAnsi="Times New Roman"/>
          <w:b/>
          <w:noProof/>
          <w:sz w:val="24"/>
        </w:rPr>
        <w:t>Plăți în cadrul pilonului I al mecanismului</w:t>
      </w:r>
    </w:p>
    <w:p w14:paraId="5254C675" w14:textId="1C001064" w:rsidR="41946BBD" w:rsidRPr="00610CE3" w:rsidRDefault="50FF4C51"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pentru Ucraina identifică </w:t>
      </w:r>
      <w:r w:rsidRPr="00DA3B61">
        <w:rPr>
          <w:rFonts w:ascii="Times New Roman" w:hAnsi="Times New Roman"/>
          <w:noProof/>
          <w:sz w:val="24"/>
        </w:rPr>
        <w:t>69</w:t>
      </w:r>
      <w:r>
        <w:rPr>
          <w:rFonts w:ascii="Times New Roman" w:hAnsi="Times New Roman"/>
          <w:noProof/>
          <w:sz w:val="24"/>
        </w:rPr>
        <w:t xml:space="preserve"> de reforme și </w:t>
      </w:r>
      <w:r w:rsidRPr="00DA3B61">
        <w:rPr>
          <w:rFonts w:ascii="Times New Roman" w:hAnsi="Times New Roman"/>
          <w:noProof/>
          <w:sz w:val="24"/>
        </w:rPr>
        <w:t>10</w:t>
      </w:r>
      <w:r>
        <w:rPr>
          <w:rFonts w:ascii="Times New Roman" w:hAnsi="Times New Roman"/>
          <w:noProof/>
          <w:sz w:val="24"/>
        </w:rPr>
        <w:t xml:space="preserve"> etape de investiții sau indicatori, defalcați în </w:t>
      </w:r>
      <w:r w:rsidRPr="00DA3B61">
        <w:rPr>
          <w:rFonts w:ascii="Times New Roman" w:hAnsi="Times New Roman"/>
          <w:noProof/>
          <w:sz w:val="24"/>
        </w:rPr>
        <w:t>146</w:t>
      </w:r>
      <w:r>
        <w:rPr>
          <w:rFonts w:ascii="Times New Roman" w:hAnsi="Times New Roman"/>
          <w:noProof/>
          <w:sz w:val="24"/>
        </w:rPr>
        <w:t xml:space="preserve"> de etape calitative și cantitative (diviziunea reformelor pe an este ilustrată în figura </w:t>
      </w:r>
      <w:r w:rsidRPr="00DA3B61">
        <w:rPr>
          <w:rFonts w:ascii="Times New Roman" w:hAnsi="Times New Roman"/>
          <w:noProof/>
          <w:sz w:val="24"/>
        </w:rPr>
        <w:t>3</w:t>
      </w:r>
      <w:r>
        <w:rPr>
          <w:rFonts w:ascii="Times New Roman" w:hAnsi="Times New Roman"/>
          <w:noProof/>
          <w:sz w:val="24"/>
        </w:rPr>
        <w:t>). Având în vedere situația macroeconomică și sustenabilitatea datoriei Ucrainei, finanțarea Planului pentru Ucraina este concentrată la începutul perioadei în primul și al doilea an de punere în aplicare. Această concentrare la începutul perioadei se reflectă, de asemenea, în numărul de reforme care trebuie finalizate.</w:t>
      </w:r>
    </w:p>
    <w:p w14:paraId="517202C2" w14:textId="77777777" w:rsidR="00B44772" w:rsidRDefault="00B44772" w:rsidP="7679E0CF">
      <w:pPr>
        <w:spacing w:after="160" w:line="240" w:lineRule="auto"/>
        <w:jc w:val="both"/>
        <w:rPr>
          <w:rFonts w:ascii="Times New Roman" w:hAnsi="Times New Roman"/>
          <w:b/>
          <w:noProof/>
          <w:sz w:val="24"/>
        </w:rPr>
      </w:pPr>
    </w:p>
    <w:p w14:paraId="477DB379" w14:textId="7101143B" w:rsidR="4C0D3260" w:rsidRPr="00610CE3" w:rsidRDefault="41946BBD" w:rsidP="00BC4174">
      <w:pPr>
        <w:keepNext/>
        <w:spacing w:after="16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Figura </w:t>
      </w:r>
      <w:r w:rsidRPr="00DA3B61">
        <w:rPr>
          <w:rFonts w:ascii="Times New Roman" w:hAnsi="Times New Roman"/>
          <w:b/>
          <w:noProof/>
          <w:sz w:val="24"/>
        </w:rPr>
        <w:t>3</w:t>
      </w:r>
      <w:r>
        <w:rPr>
          <w:rFonts w:ascii="Times New Roman" w:hAnsi="Times New Roman"/>
          <w:b/>
          <w:noProof/>
          <w:sz w:val="24"/>
        </w:rPr>
        <w:t xml:space="preserve">: </w:t>
      </w:r>
      <w:r w:rsidR="00F53AA3">
        <w:rPr>
          <w:rFonts w:ascii="Times New Roman" w:hAnsi="Times New Roman"/>
          <w:b/>
          <w:noProof/>
          <w:sz w:val="24"/>
        </w:rPr>
        <w:t>P</w:t>
      </w:r>
      <w:r>
        <w:rPr>
          <w:rFonts w:ascii="Times New Roman" w:hAnsi="Times New Roman"/>
          <w:b/>
          <w:noProof/>
          <w:sz w:val="24"/>
        </w:rPr>
        <w:t>rofilul de plată</w:t>
      </w:r>
      <w:r w:rsidR="00F53AA3">
        <w:rPr>
          <w:rFonts w:ascii="Times New Roman" w:hAnsi="Times New Roman"/>
          <w:b/>
          <w:noProof/>
          <w:sz w:val="24"/>
        </w:rPr>
        <w:t xml:space="preserve"> – </w:t>
      </w:r>
      <w:r>
        <w:rPr>
          <w:rFonts w:ascii="Times New Roman" w:hAnsi="Times New Roman"/>
          <w:b/>
          <w:noProof/>
          <w:sz w:val="24"/>
        </w:rPr>
        <w:t>Reforme și investiții în timp</w:t>
      </w:r>
    </w:p>
    <w:p w14:paraId="5CD1D6F9" w14:textId="36C4C157" w:rsidR="41946BBD" w:rsidRPr="00610CE3" w:rsidRDefault="00BC4174" w:rsidP="009B480E">
      <w:pPr>
        <w:spacing w:after="160" w:line="259" w:lineRule="auto"/>
        <w:jc w:val="both"/>
        <w:rPr>
          <w:rFonts w:ascii="Times New Roman" w:hAnsi="Times New Roman" w:cs="Times New Roman"/>
          <w:noProof/>
          <w:sz w:val="24"/>
          <w:szCs w:val="24"/>
        </w:rPr>
      </w:pPr>
      <w:r>
        <w:rPr>
          <w:noProof/>
          <w:lang w:val="en-GB" w:eastAsia="en-GB"/>
        </w:rPr>
        <w:drawing>
          <wp:inline distT="0" distB="0" distL="0" distR="0" wp14:anchorId="3539EED6" wp14:editId="380B88ED">
            <wp:extent cx="5760117" cy="3538330"/>
            <wp:effectExtent l="0" t="0" r="0" b="5080"/>
            <wp:docPr id="1976087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87950" name=""/>
                    <pic:cNvPicPr/>
                  </pic:nvPicPr>
                  <pic:blipFill>
                    <a:blip r:embed="rId20"/>
                    <a:stretch>
                      <a:fillRect/>
                    </a:stretch>
                  </pic:blipFill>
                  <pic:spPr>
                    <a:xfrm>
                      <a:off x="0" y="0"/>
                      <a:ext cx="5770077" cy="3544448"/>
                    </a:xfrm>
                    <a:prstGeom prst="rect">
                      <a:avLst/>
                    </a:prstGeom>
                  </pic:spPr>
                </pic:pic>
              </a:graphicData>
            </a:graphic>
          </wp:inline>
        </w:drawing>
      </w:r>
    </w:p>
    <w:p w14:paraId="56F601A1" w14:textId="1B2B4DD3" w:rsidR="3269BFC5" w:rsidRPr="00610CE3" w:rsidRDefault="3269BFC5"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sidRPr="00DA3B61">
        <w:rPr>
          <w:rFonts w:ascii="Times New Roman" w:hAnsi="Times New Roman"/>
          <w:noProof/>
          <w:sz w:val="24"/>
        </w:rPr>
        <w:t>20</w:t>
      </w:r>
      <w:r>
        <w:rPr>
          <w:rFonts w:ascii="Times New Roman" w:hAnsi="Times New Roman"/>
          <w:noProof/>
          <w:sz w:val="24"/>
        </w:rPr>
        <w:t xml:space="preserve"> martie </w:t>
      </w:r>
      <w:r w:rsidRPr="00DA3B61">
        <w:rPr>
          <w:rFonts w:ascii="Times New Roman" w:hAnsi="Times New Roman"/>
          <w:noProof/>
          <w:sz w:val="24"/>
        </w:rPr>
        <w:t>2024</w:t>
      </w:r>
      <w:r>
        <w:rPr>
          <w:rFonts w:ascii="Times New Roman" w:hAnsi="Times New Roman"/>
          <w:noProof/>
          <w:sz w:val="24"/>
        </w:rPr>
        <w:t xml:space="preserve">, Comisia a plătit primele </w:t>
      </w:r>
      <w:r w:rsidRPr="00DA3B61">
        <w:rPr>
          <w:rFonts w:ascii="Times New Roman" w:hAnsi="Times New Roman"/>
          <w:noProof/>
          <w:sz w:val="24"/>
        </w:rPr>
        <w:t>4</w:t>
      </w:r>
      <w:r>
        <w:rPr>
          <w:rFonts w:ascii="Times New Roman" w:hAnsi="Times New Roman"/>
          <w:noProof/>
          <w:sz w:val="24"/>
        </w:rPr>
        <w:t>,</w:t>
      </w:r>
      <w:r w:rsidRPr="00DA3B61">
        <w:rPr>
          <w:rFonts w:ascii="Times New Roman" w:hAnsi="Times New Roman"/>
          <w:noProof/>
          <w:sz w:val="24"/>
        </w:rPr>
        <w:t>5</w:t>
      </w:r>
      <w:r>
        <w:rPr>
          <w:rFonts w:ascii="Times New Roman" w:hAnsi="Times New Roman"/>
          <w:noProof/>
          <w:sz w:val="24"/>
        </w:rPr>
        <w:t xml:space="preserve"> miliarde EUR sub formă de finanțare-punte excepțională pentru a furniza Ucrainei lichiditățile atât de necesare. O a doua tranșă în valoare de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5</w:t>
      </w:r>
      <w:r>
        <w:rPr>
          <w:rFonts w:ascii="Times New Roman" w:hAnsi="Times New Roman"/>
          <w:noProof/>
          <w:sz w:val="24"/>
        </w:rPr>
        <w:t xml:space="preserve"> miliarde EUR în cadrul finanțării-punte excepționale a fost plătită la </w:t>
      </w:r>
      <w:r w:rsidRPr="00DA3B61">
        <w:rPr>
          <w:rFonts w:ascii="Times New Roman" w:hAnsi="Times New Roman"/>
          <w:noProof/>
          <w:sz w:val="24"/>
        </w:rPr>
        <w:t>24</w:t>
      </w:r>
      <w:r>
        <w:rPr>
          <w:rFonts w:ascii="Times New Roman" w:hAnsi="Times New Roman"/>
          <w:noProof/>
          <w:sz w:val="24"/>
        </w:rPr>
        <w:t xml:space="preserve"> aprilie. Aceasta a urmat evaluării pozitive a Comisiei potrivit căreia au fost îndeplinite condițiile de politică prevăzute într-un memorandum de înțelegere (MoU) semnat de Ucraina și de Comisie la </w:t>
      </w:r>
      <w:r w:rsidRPr="00DA3B61">
        <w:rPr>
          <w:rFonts w:ascii="Times New Roman" w:hAnsi="Times New Roman"/>
          <w:noProof/>
          <w:sz w:val="24"/>
        </w:rPr>
        <w:t>13</w:t>
      </w:r>
      <w:r w:rsidR="00BC4174">
        <w:rPr>
          <w:rFonts w:ascii="Times New Roman" w:hAnsi="Times New Roman"/>
          <w:noProof/>
          <w:sz w:val="24"/>
        </w:rPr>
        <w:t> </w:t>
      </w:r>
      <w:r>
        <w:rPr>
          <w:rFonts w:ascii="Times New Roman" w:hAnsi="Times New Roman"/>
          <w:noProof/>
          <w:sz w:val="24"/>
        </w:rPr>
        <w:t>martie. De asemenea, Comisia a făcut o evaluare pozitivă cu privire la condiția prealabilă pentru menținerea unor mecanisme democratice eficace. Finanțarea-punte a acoperit cinci condiții de politică stabilite de comun acord în memorandumul de înțelegere și a fost inclusă, de asemenea, în Planul pentru Ucraina, astfel cum a fost prezentat de Ucraina Comisiei.</w:t>
      </w:r>
    </w:p>
    <w:p w14:paraId="2B77C5DA" w14:textId="6A7C1F56" w:rsidR="3269BFC5" w:rsidRPr="00610CE3" w:rsidRDefault="3269BFC5" w:rsidP="008F471E">
      <w:pPr>
        <w:pStyle w:val="ListParagraph"/>
        <w:numPr>
          <w:ilvl w:val="0"/>
          <w:numId w:val="4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Înființarea unei comisii de selecție pentru organizarea concursului pentru funcția de inspector disciplinar în cadrul Înaltului Consiliu al Justiției.</w:t>
      </w:r>
    </w:p>
    <w:p w14:paraId="1DF3FC26" w14:textId="36CB0421" w:rsidR="3269BFC5" w:rsidRPr="00610CE3" w:rsidRDefault="3269BFC5" w:rsidP="008F471E">
      <w:pPr>
        <w:pStyle w:val="ListParagraph"/>
        <w:numPr>
          <w:ilvl w:val="0"/>
          <w:numId w:val="4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Adoptarea unui plan de acțiune care să abordeze riscurile identificate în evaluarea națională a riscurilor.</w:t>
      </w:r>
    </w:p>
    <w:p w14:paraId="0275B6E3" w14:textId="256A3052" w:rsidR="3269BFC5" w:rsidRPr="00610CE3" w:rsidRDefault="3269BFC5" w:rsidP="008F471E">
      <w:pPr>
        <w:pStyle w:val="ListParagraph"/>
        <w:numPr>
          <w:ilvl w:val="0"/>
          <w:numId w:val="4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Adoptarea unei strategii naționale privind veniturile pentru perioada </w:t>
      </w:r>
      <w:r w:rsidRPr="00DA3B61">
        <w:rPr>
          <w:rFonts w:ascii="Times New Roman" w:hAnsi="Times New Roman"/>
          <w:noProof/>
          <w:sz w:val="24"/>
        </w:rPr>
        <w:t>2024</w:t>
      </w:r>
      <w:r>
        <w:rPr>
          <w:rFonts w:ascii="Times New Roman" w:hAnsi="Times New Roman"/>
          <w:noProof/>
          <w:sz w:val="24"/>
        </w:rPr>
        <w:t>-</w:t>
      </w:r>
      <w:r w:rsidRPr="00DA3B61">
        <w:rPr>
          <w:rFonts w:ascii="Times New Roman" w:hAnsi="Times New Roman"/>
          <w:noProof/>
          <w:sz w:val="24"/>
        </w:rPr>
        <w:t>2030</w:t>
      </w:r>
      <w:r>
        <w:rPr>
          <w:rFonts w:ascii="Times New Roman" w:hAnsi="Times New Roman"/>
          <w:noProof/>
          <w:sz w:val="24"/>
        </w:rPr>
        <w:t>.</w:t>
      </w:r>
    </w:p>
    <w:p w14:paraId="62086805" w14:textId="75CC7474" w:rsidR="3269BFC5" w:rsidRPr="00610CE3" w:rsidRDefault="3269BFC5" w:rsidP="008F471E">
      <w:pPr>
        <w:pStyle w:val="ListParagraph"/>
        <w:numPr>
          <w:ilvl w:val="0"/>
          <w:numId w:val="4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Adoptarea procedurilor de alocare a bugetului de stat pentru crearea de parcuri industriale.</w:t>
      </w:r>
    </w:p>
    <w:p w14:paraId="7A6E7AEB" w14:textId="742540EA" w:rsidR="4C0D3260" w:rsidRPr="00610CE3" w:rsidRDefault="3269BFC5" w:rsidP="008F471E">
      <w:pPr>
        <w:pStyle w:val="ListParagraph"/>
        <w:numPr>
          <w:ilvl w:val="0"/>
          <w:numId w:val="4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Punerea în aplicare a transferului automat de date între cadastrul funciar de stat și Registrul de stat al drepturilor de proprietate asupra bunurilor imobile.</w:t>
      </w:r>
    </w:p>
    <w:p w14:paraId="7B5A0993" w14:textId="0FB8543A" w:rsidR="3269BFC5" w:rsidRPr="00610CE3" w:rsidRDefault="00915175"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sidRPr="00DA3B61">
        <w:rPr>
          <w:rFonts w:ascii="Times New Roman" w:hAnsi="Times New Roman"/>
          <w:noProof/>
          <w:sz w:val="24"/>
        </w:rPr>
        <w:t>27</w:t>
      </w:r>
      <w:r>
        <w:rPr>
          <w:rFonts w:ascii="Times New Roman" w:hAnsi="Times New Roman"/>
          <w:noProof/>
          <w:sz w:val="24"/>
        </w:rPr>
        <w:t xml:space="preserve"> iunie, Comisia a plătit o </w:t>
      </w:r>
      <w:r>
        <w:rPr>
          <w:rFonts w:ascii="Times New Roman" w:hAnsi="Times New Roman"/>
          <w:b/>
          <w:noProof/>
          <w:sz w:val="24"/>
        </w:rPr>
        <w:t>prefinanțare</w:t>
      </w:r>
      <w:r>
        <w:rPr>
          <w:rFonts w:ascii="Times New Roman" w:hAnsi="Times New Roman"/>
          <w:noProof/>
          <w:sz w:val="24"/>
        </w:rPr>
        <w:t xml:space="preserve"> în valoare de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9</w:t>
      </w:r>
      <w:r>
        <w:rPr>
          <w:rFonts w:ascii="Times New Roman" w:hAnsi="Times New Roman"/>
          <w:noProof/>
          <w:sz w:val="24"/>
        </w:rPr>
        <w:t xml:space="preserve"> miliarde EUR, care corespundea unui procent de </w:t>
      </w:r>
      <w:r w:rsidRPr="00DA3B61">
        <w:rPr>
          <w:rFonts w:ascii="Times New Roman" w:hAnsi="Times New Roman"/>
          <w:noProof/>
          <w:sz w:val="24"/>
        </w:rPr>
        <w:t>7</w:t>
      </w:r>
      <w:r>
        <w:rPr>
          <w:rFonts w:ascii="Times New Roman" w:hAnsi="Times New Roman"/>
          <w:noProof/>
          <w:sz w:val="24"/>
        </w:rPr>
        <w:t xml:space="preserve"> % din sprijinul sub formă de împrumut pe care Ucraina era eligibilă să îl primească, pentru a sprijini punerea în aplicare a planului. Pentru prefinanțarea care urmează să fie plătită, un acord-cadru a fost ratificat de Rada Supremă la </w:t>
      </w:r>
      <w:r w:rsidRPr="00DA3B61">
        <w:rPr>
          <w:rFonts w:ascii="Times New Roman" w:hAnsi="Times New Roman"/>
          <w:noProof/>
          <w:sz w:val="24"/>
        </w:rPr>
        <w:t>6</w:t>
      </w:r>
      <w:r>
        <w:rPr>
          <w:rFonts w:ascii="Times New Roman" w:hAnsi="Times New Roman"/>
          <w:noProof/>
          <w:sz w:val="24"/>
        </w:rPr>
        <w:t xml:space="preserve"> iunie și semnat de președintele Ucrainei la </w:t>
      </w:r>
      <w:r w:rsidRPr="00DA3B61">
        <w:rPr>
          <w:rFonts w:ascii="Times New Roman" w:hAnsi="Times New Roman"/>
          <w:noProof/>
          <w:sz w:val="24"/>
        </w:rPr>
        <w:t>19</w:t>
      </w:r>
      <w:r>
        <w:rPr>
          <w:rFonts w:ascii="Times New Roman" w:hAnsi="Times New Roman"/>
          <w:noProof/>
          <w:sz w:val="24"/>
        </w:rPr>
        <w:t xml:space="preserve"> iunie, iar la </w:t>
      </w:r>
      <w:r w:rsidRPr="00DA3B61">
        <w:rPr>
          <w:rFonts w:ascii="Times New Roman" w:hAnsi="Times New Roman"/>
          <w:noProof/>
          <w:sz w:val="24"/>
        </w:rPr>
        <w:t>24</w:t>
      </w:r>
      <w:r>
        <w:rPr>
          <w:rFonts w:ascii="Times New Roman" w:hAnsi="Times New Roman"/>
          <w:noProof/>
          <w:sz w:val="24"/>
        </w:rPr>
        <w:t xml:space="preserve"> iunie a fost semnat un acord de împrumut.</w:t>
      </w:r>
    </w:p>
    <w:p w14:paraId="77BA2A7F" w14:textId="4326897D" w:rsidR="00DC345C" w:rsidRPr="00610CE3" w:rsidRDefault="008018D8"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urma cererii de plată din partea Ucrainei din </w:t>
      </w:r>
      <w:r w:rsidRPr="00DA3B61">
        <w:rPr>
          <w:rFonts w:ascii="Times New Roman" w:hAnsi="Times New Roman"/>
          <w:noProof/>
          <w:sz w:val="24"/>
        </w:rPr>
        <w:t>9</w:t>
      </w:r>
      <w:r>
        <w:rPr>
          <w:rFonts w:ascii="Times New Roman" w:hAnsi="Times New Roman"/>
          <w:noProof/>
          <w:sz w:val="24"/>
        </w:rPr>
        <w:t xml:space="preserve"> iulie și a unei evaluări pozitive din partea Comisiei la </w:t>
      </w:r>
      <w:r w:rsidRPr="00DA3B61">
        <w:rPr>
          <w:rFonts w:ascii="Times New Roman" w:hAnsi="Times New Roman"/>
          <w:noProof/>
          <w:sz w:val="24"/>
        </w:rPr>
        <w:t>18</w:t>
      </w:r>
      <w:r>
        <w:rPr>
          <w:rFonts w:ascii="Times New Roman" w:hAnsi="Times New Roman"/>
          <w:noProof/>
          <w:sz w:val="24"/>
        </w:rPr>
        <w:t xml:space="preserve"> iulie, precum și a aprobării de către Consiliu la </w:t>
      </w:r>
      <w:r w:rsidRPr="00DA3B61">
        <w:rPr>
          <w:rFonts w:ascii="Times New Roman" w:hAnsi="Times New Roman"/>
          <w:noProof/>
          <w:sz w:val="24"/>
        </w:rPr>
        <w:t>6</w:t>
      </w:r>
      <w:r>
        <w:rPr>
          <w:rFonts w:ascii="Times New Roman" w:hAnsi="Times New Roman"/>
          <w:noProof/>
          <w:sz w:val="24"/>
        </w:rPr>
        <w:t xml:space="preserve"> august, </w:t>
      </w:r>
      <w:r>
        <w:rPr>
          <w:rFonts w:ascii="Times New Roman" w:hAnsi="Times New Roman"/>
          <w:b/>
          <w:noProof/>
          <w:sz w:val="24"/>
        </w:rPr>
        <w:t>prima plată din cadrul Planului pentru Ucraina, în valoare</w:t>
      </w:r>
      <w:r>
        <w:rPr>
          <w:rFonts w:ascii="Times New Roman" w:hAnsi="Times New Roman"/>
          <w:noProof/>
          <w:sz w:val="24"/>
        </w:rPr>
        <w:t xml:space="preserve"> </w:t>
      </w:r>
      <w:r>
        <w:rPr>
          <w:rFonts w:ascii="Times New Roman" w:hAnsi="Times New Roman"/>
          <w:b/>
          <w:noProof/>
          <w:sz w:val="24"/>
        </w:rPr>
        <w:t xml:space="preserve">de aproape </w:t>
      </w:r>
      <w:r w:rsidRPr="00DA3B61">
        <w:rPr>
          <w:rFonts w:ascii="Times New Roman" w:hAnsi="Times New Roman"/>
          <w:b/>
          <w:noProof/>
          <w:sz w:val="24"/>
        </w:rPr>
        <w:t>4</w:t>
      </w:r>
      <w:r>
        <w:rPr>
          <w:rFonts w:ascii="Times New Roman" w:hAnsi="Times New Roman"/>
          <w:b/>
          <w:noProof/>
          <w:sz w:val="24"/>
        </w:rPr>
        <w:t>,</w:t>
      </w:r>
      <w:r w:rsidRPr="00DA3B61">
        <w:rPr>
          <w:rFonts w:ascii="Times New Roman" w:hAnsi="Times New Roman"/>
          <w:b/>
          <w:noProof/>
          <w:sz w:val="24"/>
        </w:rPr>
        <w:t>2</w:t>
      </w:r>
      <w:r>
        <w:rPr>
          <w:rFonts w:ascii="Times New Roman" w:hAnsi="Times New Roman"/>
          <w:b/>
          <w:noProof/>
          <w:sz w:val="24"/>
        </w:rPr>
        <w:t xml:space="preserve"> miliarde EUR</w:t>
      </w:r>
      <w:r>
        <w:rPr>
          <w:rFonts w:ascii="Times New Roman" w:hAnsi="Times New Roman"/>
          <w:noProof/>
          <w:sz w:val="24"/>
        </w:rPr>
        <w:t xml:space="preserve">, a fost plătită la </w:t>
      </w:r>
      <w:r w:rsidRPr="00DA3B61">
        <w:rPr>
          <w:rFonts w:ascii="Times New Roman" w:hAnsi="Times New Roman"/>
          <w:noProof/>
          <w:sz w:val="24"/>
        </w:rPr>
        <w:t>13</w:t>
      </w:r>
      <w:r>
        <w:rPr>
          <w:rFonts w:ascii="Times New Roman" w:hAnsi="Times New Roman"/>
          <w:noProof/>
          <w:sz w:val="24"/>
        </w:rPr>
        <w:t xml:space="preserve"> august. Din suma totală,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5</w:t>
      </w:r>
      <w:r>
        <w:rPr>
          <w:rFonts w:ascii="Times New Roman" w:hAnsi="Times New Roman"/>
          <w:noProof/>
          <w:sz w:val="24"/>
        </w:rPr>
        <w:t xml:space="preserve"> miliarde EUR au fost furnizate sub formă de sprijin financiar nerambursabil și peste </w:t>
      </w:r>
      <w:r w:rsidRPr="00DA3B61">
        <w:rPr>
          <w:rFonts w:ascii="Times New Roman" w:hAnsi="Times New Roman"/>
          <w:noProof/>
          <w:sz w:val="24"/>
        </w:rPr>
        <w:t>2</w:t>
      </w:r>
      <w:r>
        <w:rPr>
          <w:rFonts w:ascii="Times New Roman" w:hAnsi="Times New Roman"/>
          <w:noProof/>
          <w:sz w:val="24"/>
        </w:rPr>
        <w:t>,</w:t>
      </w:r>
      <w:r w:rsidRPr="00DA3B61">
        <w:rPr>
          <w:rFonts w:ascii="Times New Roman" w:hAnsi="Times New Roman"/>
          <w:noProof/>
          <w:sz w:val="24"/>
        </w:rPr>
        <w:t>6</w:t>
      </w:r>
      <w:r>
        <w:rPr>
          <w:rFonts w:ascii="Times New Roman" w:hAnsi="Times New Roman"/>
          <w:noProof/>
          <w:sz w:val="24"/>
        </w:rPr>
        <w:t xml:space="preserve"> miliarde EUR au fost plătite sub formă de împrumuturi. Comisia a evaluat că guvernul a îndeplinit în mod satisfăcător cei nouă indicatori de reformă sau măsuri legate de prima plată periodică din plan</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w:t>
      </w:r>
    </w:p>
    <w:p w14:paraId="1798C67D" w14:textId="033D476F" w:rsidR="3269BFC5" w:rsidRPr="00610CE3" w:rsidRDefault="006C1301"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Aceste </w:t>
      </w:r>
      <w:r>
        <w:rPr>
          <w:rFonts w:ascii="Times New Roman" w:hAnsi="Times New Roman"/>
          <w:b/>
          <w:noProof/>
          <w:sz w:val="24"/>
        </w:rPr>
        <w:t>nouă etape</w:t>
      </w:r>
      <w:r>
        <w:rPr>
          <w:rFonts w:ascii="Times New Roman" w:hAnsi="Times New Roman"/>
          <w:noProof/>
          <w:sz w:val="24"/>
        </w:rPr>
        <w:t xml:space="preserve"> au fost puse în aplicare în T</w:t>
      </w:r>
      <w:r w:rsidRPr="00DA3B61">
        <w:rPr>
          <w:rFonts w:ascii="Times New Roman" w:hAnsi="Times New Roman"/>
          <w:noProof/>
          <w:sz w:val="24"/>
        </w:rPr>
        <w:t>2</w:t>
      </w:r>
      <w:r>
        <w:rPr>
          <w:rFonts w:ascii="Times New Roman" w:hAnsi="Times New Roman"/>
          <w:noProof/>
          <w:sz w:val="24"/>
        </w:rPr>
        <w:t> </w:t>
      </w:r>
      <w:r w:rsidRPr="00DA3B61">
        <w:rPr>
          <w:rFonts w:ascii="Times New Roman" w:hAnsi="Times New Roman"/>
          <w:noProof/>
          <w:sz w:val="24"/>
        </w:rPr>
        <w:t>2024</w:t>
      </w:r>
      <w:r>
        <w:rPr>
          <w:rFonts w:ascii="Times New Roman" w:hAnsi="Times New Roman"/>
          <w:noProof/>
          <w:sz w:val="24"/>
        </w:rPr>
        <w:t>:</w:t>
      </w:r>
    </w:p>
    <w:p w14:paraId="34E9C20C" w14:textId="16103D3E" w:rsidR="00DC345C" w:rsidRPr="00610CE3" w:rsidRDefault="6D6BA575" w:rsidP="72998828">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Gestionarea finanțelor publice</w:t>
      </w:r>
      <w:r>
        <w:rPr>
          <w:rFonts w:ascii="Times New Roman" w:hAnsi="Times New Roman"/>
          <w:noProof/>
          <w:sz w:val="24"/>
        </w:rPr>
        <w:t xml:space="preserve"> </w:t>
      </w:r>
    </w:p>
    <w:p w14:paraId="3695A00F" w14:textId="51F3E154" w:rsidR="00DC345C" w:rsidRPr="00610CE3" w:rsidRDefault="2E789A5E"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Adoptarea planului de digitalizare a Administrației Vamale de Stat.</w:t>
      </w:r>
    </w:p>
    <w:p w14:paraId="31F2E8BC" w14:textId="0F5146E8" w:rsidR="00DC345C" w:rsidRPr="00610CE3" w:rsidRDefault="00843106"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Aprobarea Declarației bugetare pentru perioada </w:t>
      </w:r>
      <w:r w:rsidRPr="00DA3B61">
        <w:rPr>
          <w:rFonts w:ascii="Times New Roman" w:hAnsi="Times New Roman"/>
          <w:noProof/>
          <w:sz w:val="24"/>
        </w:rPr>
        <w:t>2025</w:t>
      </w:r>
      <w:r>
        <w:rPr>
          <w:rFonts w:ascii="Times New Roman" w:hAnsi="Times New Roman"/>
          <w:noProof/>
          <w:sz w:val="24"/>
        </w:rPr>
        <w:t>-</w:t>
      </w:r>
      <w:r w:rsidRPr="00DA3B61">
        <w:rPr>
          <w:rFonts w:ascii="Times New Roman" w:hAnsi="Times New Roman"/>
          <w:noProof/>
          <w:sz w:val="24"/>
        </w:rPr>
        <w:t>2027</w:t>
      </w:r>
      <w:r>
        <w:rPr>
          <w:rFonts w:ascii="Times New Roman" w:hAnsi="Times New Roman"/>
          <w:noProof/>
          <w:sz w:val="24"/>
        </w:rPr>
        <w:t>.</w:t>
      </w:r>
    </w:p>
    <w:p w14:paraId="5C3A3AE8" w14:textId="3AB8668C" w:rsidR="3269BFC5" w:rsidRPr="00610CE3" w:rsidRDefault="00843106"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Adoptarea Planului de acțiune privind punerea în aplicare a </w:t>
      </w:r>
      <w:bookmarkStart w:id="4" w:name="_Int_yr0dFKBG"/>
      <w:r>
        <w:rPr>
          <w:rFonts w:ascii="Times New Roman" w:hAnsi="Times New Roman"/>
          <w:noProof/>
          <w:sz w:val="24"/>
        </w:rPr>
        <w:t>foii de parcurs</w:t>
      </w:r>
      <w:bookmarkEnd w:id="4"/>
      <w:r>
        <w:rPr>
          <w:rFonts w:ascii="Times New Roman" w:hAnsi="Times New Roman"/>
          <w:noProof/>
          <w:sz w:val="24"/>
        </w:rPr>
        <w:t xml:space="preserve"> pentru reformarea gestionării investițiilor publice.</w:t>
      </w:r>
    </w:p>
    <w:p w14:paraId="570263CB" w14:textId="54E863CC" w:rsidR="00DC345C" w:rsidRPr="00610CE3" w:rsidRDefault="00DC345C" w:rsidP="72998828">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Combaterea corupției și a spălării banilor</w:t>
      </w:r>
    </w:p>
    <w:p w14:paraId="79D7FB5C" w14:textId="3A0E4999" w:rsidR="3269BFC5" w:rsidRPr="00610CE3" w:rsidRDefault="77B5C46A"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Numirea unui nou șef al Agenției Naționale pentru Prevenirea Corupției.</w:t>
      </w:r>
    </w:p>
    <w:p w14:paraId="13B0FE84" w14:textId="1E1E5808" w:rsidR="00DC345C" w:rsidRPr="00610CE3" w:rsidRDefault="00DC345C" w:rsidP="72998828">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Gestionarea activelor publice și a mediului de afaceri</w:t>
      </w:r>
    </w:p>
    <w:p w14:paraId="3BDB9D3A" w14:textId="6BEAD21B" w:rsidR="00DC345C" w:rsidRPr="00610CE3" w:rsidRDefault="3E7A93A7"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legislației de îmbunătățire a standardelor de guvernanță corporativă ale întreprinderilor deținute de stat, ținând seama de standardele internaționale.</w:t>
      </w:r>
    </w:p>
    <w:p w14:paraId="0F2A5185" w14:textId="451F3486" w:rsidR="3269BFC5" w:rsidRPr="00610CE3" w:rsidRDefault="00843106"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legii privind revizuirea temeiului juridic al Biroului pentru Securitate Economică al Ucrainei.</w:t>
      </w:r>
    </w:p>
    <w:p w14:paraId="72359CBF" w14:textId="3CD0B8B0" w:rsidR="00DC345C" w:rsidRPr="00610CE3" w:rsidRDefault="00DC345C" w:rsidP="72998828">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Sectorul energetic și agroalimentar</w:t>
      </w:r>
    </w:p>
    <w:p w14:paraId="35E1F98C" w14:textId="7A29578C" w:rsidR="00DC345C" w:rsidRPr="00610CE3" w:rsidRDefault="51988E6C"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Adoptarea Planului național integrat privind energia și clima.</w:t>
      </w:r>
    </w:p>
    <w:p w14:paraId="08086094" w14:textId="4CA327E2" w:rsidR="00DC345C" w:rsidRPr="00610CE3" w:rsidRDefault="00DC345C" w:rsidP="00CC0E0E">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Adoptarea Strategiei pentru modernizarea termică a clădirilor până în </w:t>
      </w:r>
      <w:r w:rsidRPr="00DA3B61">
        <w:rPr>
          <w:rFonts w:ascii="Times New Roman" w:hAnsi="Times New Roman"/>
          <w:noProof/>
          <w:sz w:val="24"/>
        </w:rPr>
        <w:t>2050</w:t>
      </w:r>
      <w:r>
        <w:rPr>
          <w:rFonts w:ascii="Times New Roman" w:hAnsi="Times New Roman"/>
          <w:noProof/>
          <w:sz w:val="24"/>
        </w:rPr>
        <w:t>.</w:t>
      </w:r>
    </w:p>
    <w:p w14:paraId="3E182C07" w14:textId="60EA157C" w:rsidR="00824ABF" w:rsidRPr="00610CE3" w:rsidRDefault="00DC345C" w:rsidP="7679E0CF">
      <w:pPr>
        <w:pStyle w:val="ListParagraph"/>
        <w:numPr>
          <w:ilvl w:val="0"/>
          <w:numId w:val="37"/>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de acțiune și adoptarea documentului strategic privind acțiunile împotriva minelor pentru perioada de până în </w:t>
      </w:r>
      <w:r w:rsidRPr="00DA3B61">
        <w:rPr>
          <w:rFonts w:ascii="Times New Roman" w:hAnsi="Times New Roman"/>
          <w:noProof/>
          <w:sz w:val="24"/>
        </w:rPr>
        <w:t>2033</w:t>
      </w:r>
      <w:r>
        <w:rPr>
          <w:rFonts w:ascii="Times New Roman" w:hAnsi="Times New Roman"/>
          <w:noProof/>
          <w:sz w:val="24"/>
        </w:rPr>
        <w:t>.</w:t>
      </w:r>
    </w:p>
    <w:p w14:paraId="699B54FE" w14:textId="55276C7F" w:rsidR="00D23441" w:rsidRPr="00610CE3" w:rsidRDefault="008018D8"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 urma evaluării pozitive de către Comisie</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xml:space="preserve"> a cererii de plată a Ucrainei din </w:t>
      </w:r>
      <w:r w:rsidRPr="00DA3B61">
        <w:rPr>
          <w:rFonts w:ascii="Times New Roman" w:hAnsi="Times New Roman"/>
          <w:noProof/>
          <w:sz w:val="24"/>
        </w:rPr>
        <w:t>10</w:t>
      </w:r>
      <w:r>
        <w:rPr>
          <w:rFonts w:ascii="Times New Roman" w:hAnsi="Times New Roman"/>
          <w:noProof/>
          <w:sz w:val="24"/>
        </w:rPr>
        <w:t xml:space="preserve"> octombrie și a aprobării de către Consiliu, a fost adoptată o decizie de punere în aplicare a Consiliului. Acest lucru a permis plata </w:t>
      </w:r>
      <w:r>
        <w:rPr>
          <w:rFonts w:ascii="Times New Roman" w:hAnsi="Times New Roman"/>
          <w:b/>
          <w:noProof/>
          <w:sz w:val="24"/>
        </w:rPr>
        <w:t xml:space="preserve">celei de a doua tranșe a Planului pentru Ucraina în valoare de aproape </w:t>
      </w:r>
      <w:r w:rsidRPr="00DA3B61">
        <w:rPr>
          <w:rFonts w:ascii="Times New Roman" w:hAnsi="Times New Roman"/>
          <w:b/>
          <w:noProof/>
          <w:sz w:val="24"/>
        </w:rPr>
        <w:t>4</w:t>
      </w:r>
      <w:r>
        <w:rPr>
          <w:rFonts w:ascii="Times New Roman" w:hAnsi="Times New Roman"/>
          <w:b/>
          <w:noProof/>
          <w:sz w:val="24"/>
        </w:rPr>
        <w:t>,</w:t>
      </w:r>
      <w:r w:rsidRPr="00DA3B61">
        <w:rPr>
          <w:rFonts w:ascii="Times New Roman" w:hAnsi="Times New Roman"/>
          <w:b/>
          <w:noProof/>
          <w:sz w:val="24"/>
        </w:rPr>
        <w:t>1</w:t>
      </w:r>
      <w:r>
        <w:rPr>
          <w:rFonts w:ascii="Times New Roman" w:hAnsi="Times New Roman"/>
          <w:b/>
          <w:noProof/>
          <w:sz w:val="24"/>
        </w:rPr>
        <w:t xml:space="preserve"> miliarde EUR</w:t>
      </w:r>
      <w:r>
        <w:rPr>
          <w:rFonts w:ascii="Times New Roman" w:hAnsi="Times New Roman"/>
          <w:noProof/>
          <w:sz w:val="24"/>
        </w:rPr>
        <w:t xml:space="preserve"> la </w:t>
      </w:r>
      <w:r w:rsidRPr="00DA3B61">
        <w:rPr>
          <w:rFonts w:ascii="Times New Roman" w:hAnsi="Times New Roman"/>
          <w:noProof/>
          <w:sz w:val="24"/>
        </w:rPr>
        <w:t>18</w:t>
      </w:r>
      <w:r>
        <w:rPr>
          <w:rFonts w:ascii="Times New Roman" w:hAnsi="Times New Roman"/>
          <w:noProof/>
          <w:sz w:val="24"/>
        </w:rPr>
        <w:t xml:space="preserve"> decembrie. Din această sumă totală,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5</w:t>
      </w:r>
      <w:r>
        <w:rPr>
          <w:rFonts w:ascii="Times New Roman" w:hAnsi="Times New Roman"/>
          <w:noProof/>
          <w:sz w:val="24"/>
        </w:rPr>
        <w:t xml:space="preserve"> miliarde EUR au fost acordate sub formă de sprijin financiar nerambursabil, iar peste </w:t>
      </w:r>
      <w:r w:rsidRPr="00DA3B61">
        <w:rPr>
          <w:rFonts w:ascii="Times New Roman" w:hAnsi="Times New Roman"/>
          <w:noProof/>
          <w:sz w:val="24"/>
        </w:rPr>
        <w:t>2</w:t>
      </w:r>
      <w:r>
        <w:rPr>
          <w:rFonts w:ascii="Times New Roman" w:hAnsi="Times New Roman"/>
          <w:noProof/>
          <w:sz w:val="24"/>
        </w:rPr>
        <w:t>,</w:t>
      </w:r>
      <w:r w:rsidRPr="00DA3B61">
        <w:rPr>
          <w:rFonts w:ascii="Times New Roman" w:hAnsi="Times New Roman"/>
          <w:noProof/>
          <w:sz w:val="24"/>
        </w:rPr>
        <w:t>5</w:t>
      </w:r>
      <w:r>
        <w:rPr>
          <w:rFonts w:ascii="Times New Roman" w:hAnsi="Times New Roman"/>
          <w:noProof/>
          <w:sz w:val="24"/>
        </w:rPr>
        <w:t xml:space="preserve"> miliarde EUR ca sprijin sub formă de împrumut.</w:t>
      </w:r>
    </w:p>
    <w:p w14:paraId="69341BA1" w14:textId="164C2576" w:rsidR="3269BFC5" w:rsidRPr="00610CE3" w:rsidRDefault="00DC345C"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Evaluarea pozitivă a Comisiei a fost rezultatul îndeplinirii de către Ucraina a celor nouă</w:t>
      </w:r>
      <w:r>
        <w:rPr>
          <w:rFonts w:ascii="Times New Roman" w:hAnsi="Times New Roman"/>
          <w:b/>
          <w:noProof/>
          <w:sz w:val="24"/>
        </w:rPr>
        <w:t xml:space="preserve"> etape necesare până </w:t>
      </w:r>
      <w:r>
        <w:rPr>
          <w:rFonts w:ascii="Times New Roman" w:hAnsi="Times New Roman"/>
          <w:noProof/>
          <w:sz w:val="24"/>
        </w:rPr>
        <w:t>în T</w:t>
      </w:r>
      <w:r w:rsidRPr="00DA3B61">
        <w:rPr>
          <w:rFonts w:ascii="Times New Roman" w:hAnsi="Times New Roman"/>
          <w:noProof/>
          <w:sz w:val="24"/>
        </w:rPr>
        <w:t>3</w:t>
      </w:r>
      <w:r>
        <w:rPr>
          <w:rFonts w:ascii="Times New Roman" w:hAnsi="Times New Roman"/>
          <w:noProof/>
          <w:sz w:val="24"/>
        </w:rPr>
        <w:t> </w:t>
      </w:r>
      <w:r w:rsidRPr="00DA3B61">
        <w:rPr>
          <w:rFonts w:ascii="Times New Roman" w:hAnsi="Times New Roman"/>
          <w:noProof/>
          <w:sz w:val="24"/>
        </w:rPr>
        <w:t>2024</w:t>
      </w:r>
      <w:r>
        <w:rPr>
          <w:rFonts w:ascii="Times New Roman" w:hAnsi="Times New Roman"/>
          <w:noProof/>
          <w:sz w:val="24"/>
        </w:rPr>
        <w:t>.</w:t>
      </w:r>
    </w:p>
    <w:p w14:paraId="6817FFAB" w14:textId="77777777" w:rsidR="00843106" w:rsidRPr="00610CE3" w:rsidRDefault="00843106" w:rsidP="6956C7C4">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Combaterea corupției și a spălării banilor</w:t>
      </w:r>
    </w:p>
    <w:p w14:paraId="75F49207" w14:textId="0245E46E" w:rsidR="00843106" w:rsidRPr="00610CE3" w:rsidRDefault="00843106"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Creșterea efectivelor de personal ale Parchetului Specializat Anticorupție (SAPO).</w:t>
      </w:r>
    </w:p>
    <w:p w14:paraId="14BB64D5" w14:textId="6C1D8129" w:rsidR="00843106" w:rsidRPr="00610CE3" w:rsidRDefault="00843106"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Modificarea Codului penal și a Codului de procedură penală.</w:t>
      </w:r>
    </w:p>
    <w:p w14:paraId="61138DB6" w14:textId="4E590B27" w:rsidR="3269BFC5" w:rsidRPr="00610CE3" w:rsidRDefault="00843106"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Adoptarea Planului de acțiune pentru punerea în aplicare a Strategiei de recuperare a activelor pentru perioada </w:t>
      </w:r>
      <w:r w:rsidRPr="00DA3B61">
        <w:rPr>
          <w:rFonts w:ascii="Times New Roman" w:hAnsi="Times New Roman"/>
          <w:noProof/>
          <w:sz w:val="24"/>
        </w:rPr>
        <w:t>2023</w:t>
      </w:r>
      <w:r>
        <w:rPr>
          <w:rFonts w:ascii="Times New Roman" w:hAnsi="Times New Roman"/>
          <w:noProof/>
          <w:sz w:val="24"/>
        </w:rPr>
        <w:t>-</w:t>
      </w:r>
      <w:r w:rsidRPr="00DA3B61">
        <w:rPr>
          <w:rFonts w:ascii="Times New Roman" w:hAnsi="Times New Roman"/>
          <w:noProof/>
          <w:sz w:val="24"/>
        </w:rPr>
        <w:t>2027</w:t>
      </w:r>
      <w:r>
        <w:rPr>
          <w:rFonts w:ascii="Times New Roman" w:hAnsi="Times New Roman"/>
          <w:noProof/>
          <w:sz w:val="24"/>
        </w:rPr>
        <w:t>.</w:t>
      </w:r>
    </w:p>
    <w:p w14:paraId="4C803BFA" w14:textId="267C5E0F" w:rsidR="00843106" w:rsidRPr="00610CE3" w:rsidRDefault="00843106" w:rsidP="009612FF">
      <w:pPr>
        <w:keepNext/>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Capitalul uman</w:t>
      </w:r>
    </w:p>
    <w:p w14:paraId="5269081E" w14:textId="09285567" w:rsidR="3269BFC5" w:rsidRPr="00610CE3" w:rsidRDefault="5C288DEC"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Adoptarea Strategiei demografice a Ucrainei pentru perioada până în </w:t>
      </w:r>
      <w:r w:rsidRPr="00DA3B61">
        <w:rPr>
          <w:rFonts w:ascii="Times New Roman" w:hAnsi="Times New Roman"/>
          <w:noProof/>
          <w:sz w:val="24"/>
        </w:rPr>
        <w:t>2040</w:t>
      </w:r>
      <w:r>
        <w:rPr>
          <w:rFonts w:ascii="Times New Roman" w:hAnsi="Times New Roman"/>
          <w:noProof/>
          <w:sz w:val="24"/>
        </w:rPr>
        <w:t>.</w:t>
      </w:r>
    </w:p>
    <w:p w14:paraId="2A0B7942" w14:textId="6E07C826" w:rsidR="00843106" w:rsidRPr="00610CE3" w:rsidRDefault="00843106" w:rsidP="6956C7C4">
      <w:pPr>
        <w:spacing w:after="160" w:line="240" w:lineRule="auto"/>
        <w:ind w:left="720"/>
        <w:jc w:val="both"/>
        <w:rPr>
          <w:rFonts w:ascii="Times New Roman" w:eastAsia="Times New Roman" w:hAnsi="Times New Roman" w:cs="Times New Roman"/>
          <w:noProof/>
          <w:sz w:val="24"/>
          <w:szCs w:val="24"/>
        </w:rPr>
      </w:pPr>
      <w:r>
        <w:rPr>
          <w:rFonts w:ascii="Times New Roman" w:hAnsi="Times New Roman"/>
          <w:b/>
          <w:noProof/>
          <w:sz w:val="24"/>
        </w:rPr>
        <w:t>Mediul de afaceri și politicile regionale</w:t>
      </w:r>
    </w:p>
    <w:p w14:paraId="36CF7A47" w14:textId="20137D4F" w:rsidR="00843106" w:rsidRPr="00610CE3" w:rsidRDefault="5A7CF269"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Adoptarea Planului de acțiune privind dereglementarea și îmbunătățirea climatului de afaceri.</w:t>
      </w:r>
    </w:p>
    <w:p w14:paraId="682E4291" w14:textId="16F73A0A" w:rsidR="3269BFC5" w:rsidRPr="00610CE3" w:rsidRDefault="00843106"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Modificarea Strategiei de stat pentru dezvoltare regională pentru perioada</w:t>
      </w:r>
      <w:r w:rsidR="009612FF">
        <w:rPr>
          <w:rFonts w:ascii="Times New Roman" w:hAnsi="Times New Roman"/>
          <w:noProof/>
          <w:sz w:val="24"/>
        </w:rPr>
        <w:t> </w:t>
      </w:r>
      <w:r w:rsidRPr="00DA3B61">
        <w:rPr>
          <w:rFonts w:ascii="Times New Roman" w:hAnsi="Times New Roman"/>
          <w:noProof/>
          <w:sz w:val="24"/>
        </w:rPr>
        <w:t>2021</w:t>
      </w:r>
      <w:r w:rsidR="009612FF">
        <w:rPr>
          <w:rFonts w:ascii="Times New Roman" w:hAnsi="Times New Roman" w:cs="Times New Roman"/>
          <w:noProof/>
          <w:sz w:val="24"/>
        </w:rPr>
        <w:t>­</w:t>
      </w:r>
      <w:r w:rsidRPr="00DA3B61">
        <w:rPr>
          <w:rFonts w:ascii="Times New Roman" w:hAnsi="Times New Roman"/>
          <w:noProof/>
          <w:sz w:val="24"/>
        </w:rPr>
        <w:t>2027</w:t>
      </w:r>
      <w:r>
        <w:rPr>
          <w:rFonts w:ascii="Times New Roman" w:hAnsi="Times New Roman"/>
          <w:noProof/>
          <w:sz w:val="24"/>
        </w:rPr>
        <w:t>.</w:t>
      </w:r>
    </w:p>
    <w:p w14:paraId="601F9C37" w14:textId="77777777" w:rsidR="00843106" w:rsidRPr="00610CE3" w:rsidRDefault="00843106" w:rsidP="6956C7C4">
      <w:pPr>
        <w:spacing w:after="160" w:line="240" w:lineRule="auto"/>
        <w:ind w:left="720"/>
        <w:jc w:val="both"/>
        <w:rPr>
          <w:rFonts w:ascii="Times New Roman" w:eastAsia="Times New Roman" w:hAnsi="Times New Roman" w:cs="Times New Roman"/>
          <w:b/>
          <w:bCs/>
          <w:noProof/>
          <w:sz w:val="24"/>
          <w:szCs w:val="24"/>
        </w:rPr>
      </w:pPr>
      <w:r>
        <w:rPr>
          <w:rFonts w:ascii="Times New Roman" w:hAnsi="Times New Roman"/>
          <w:b/>
          <w:noProof/>
          <w:sz w:val="24"/>
        </w:rPr>
        <w:t>Sectorul energetic și mediul</w:t>
      </w:r>
    </w:p>
    <w:p w14:paraId="15A27771" w14:textId="69230230" w:rsidR="00843106" w:rsidRPr="00610CE3" w:rsidRDefault="7A867A91"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legislației secundare a Regulamentului privind integritatea și transparența pieței angro de energie.</w:t>
      </w:r>
    </w:p>
    <w:p w14:paraId="23E65A46" w14:textId="1536865C" w:rsidR="00843106" w:rsidRPr="00610CE3" w:rsidRDefault="00843106" w:rsidP="00CC0E0E">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legislației privind prevenirea, reducerea și controlul poluării industriale.</w:t>
      </w:r>
    </w:p>
    <w:p w14:paraId="09AA61EB" w14:textId="57801353" w:rsidR="7679E0CF" w:rsidRPr="00610CE3" w:rsidRDefault="00843106" w:rsidP="00583CDC">
      <w:pPr>
        <w:pStyle w:val="ListParagraph"/>
        <w:numPr>
          <w:ilvl w:val="0"/>
          <w:numId w:val="44"/>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Elaborarea unei note conceptuale care să definească domeniul de aplicare al derogărilor de la normele privind evaluarea impactului asupra mediului și evaluarea strategică de mediu.</w:t>
      </w:r>
    </w:p>
    <w:p w14:paraId="6826004A" w14:textId="093D3651" w:rsidR="004815E6" w:rsidRPr="00610CE3" w:rsidRDefault="1460AA00" w:rsidP="7679E0CF">
      <w:pPr>
        <w:spacing w:before="160" w:after="160" w:line="240" w:lineRule="auto"/>
        <w:ind w:left="720"/>
        <w:jc w:val="both"/>
        <w:rPr>
          <w:rFonts w:ascii="Times New Roman" w:hAnsi="Times New Roman" w:cs="Times New Roman"/>
          <w:i/>
          <w:iCs/>
          <w:noProof/>
          <w:sz w:val="24"/>
          <w:szCs w:val="24"/>
          <w:u w:val="single"/>
        </w:rPr>
      </w:pPr>
      <w:r w:rsidRPr="00DA3B61">
        <w:rPr>
          <w:rFonts w:ascii="Times New Roman" w:hAnsi="Times New Roman"/>
          <w:i/>
          <w:noProof/>
          <w:sz w:val="24"/>
          <w:u w:val="single"/>
        </w:rPr>
        <w:t>2</w:t>
      </w:r>
      <w:r>
        <w:rPr>
          <w:rFonts w:ascii="Times New Roman" w:hAnsi="Times New Roman"/>
          <w:i/>
          <w:noProof/>
          <w:sz w:val="24"/>
          <w:u w:val="single"/>
        </w:rPr>
        <w:t>.a.i. Beneficiarii fondurilor din cadrul Planului pentru Ucraina</w:t>
      </w:r>
    </w:p>
    <w:p w14:paraId="349FFEB3" w14:textId="14FC474A" w:rsidR="07DE3A4D" w:rsidRPr="00610CE3" w:rsidRDefault="07DE3A4D"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Articolul </w:t>
      </w:r>
      <w:r w:rsidRPr="00DA3B61">
        <w:rPr>
          <w:rFonts w:ascii="Times New Roman" w:hAnsi="Times New Roman"/>
          <w:noProof/>
          <w:sz w:val="24"/>
        </w:rPr>
        <w:t>27</w:t>
      </w:r>
      <w:r>
        <w:rPr>
          <w:rFonts w:ascii="Times New Roman" w:hAnsi="Times New Roman"/>
          <w:noProof/>
          <w:sz w:val="24"/>
        </w:rPr>
        <w:t xml:space="preserve"> din Regulamentul de instituire a mecanismului pentru Ucraina prevede că Ucraina trebuie să publice </w:t>
      </w:r>
      <w:r>
        <w:rPr>
          <w:rFonts w:ascii="Times New Roman" w:hAnsi="Times New Roman"/>
          <w:b/>
          <w:noProof/>
          <w:sz w:val="24"/>
        </w:rPr>
        <w:t>date actualizate privind persoanele și entitățile</w:t>
      </w:r>
      <w:r>
        <w:rPr>
          <w:rFonts w:ascii="Times New Roman" w:hAnsi="Times New Roman"/>
          <w:noProof/>
          <w:sz w:val="24"/>
        </w:rPr>
        <w:t xml:space="preserve">, inclusiv contractanții, care primesc cuantumuri de finanțare ce depășesc echivalentul a </w:t>
      </w:r>
      <w:r w:rsidRPr="00DA3B61">
        <w:rPr>
          <w:rFonts w:ascii="Times New Roman" w:hAnsi="Times New Roman"/>
          <w:noProof/>
          <w:sz w:val="24"/>
        </w:rPr>
        <w:t>100</w:t>
      </w:r>
      <w:r>
        <w:rPr>
          <w:rFonts w:ascii="Times New Roman" w:hAnsi="Times New Roman"/>
          <w:noProof/>
          <w:sz w:val="24"/>
        </w:rPr>
        <w:t> </w:t>
      </w:r>
      <w:r w:rsidRPr="00DA3B61">
        <w:rPr>
          <w:rFonts w:ascii="Times New Roman" w:hAnsi="Times New Roman"/>
          <w:noProof/>
          <w:sz w:val="24"/>
        </w:rPr>
        <w:t>000</w:t>
      </w:r>
      <w:r>
        <w:rPr>
          <w:rFonts w:ascii="Times New Roman" w:hAnsi="Times New Roman"/>
          <w:noProof/>
          <w:sz w:val="24"/>
        </w:rPr>
        <w:t xml:space="preserve"> EUR, cumulate pe o perioadă de patru ani, pentru implementarea reformelor și a investițiilor specificate în Planul pentru Ucraina.</w:t>
      </w:r>
    </w:p>
    <w:p w14:paraId="06607980" w14:textId="2D4799EE" w:rsidR="07DE3A4D" w:rsidRPr="00610CE3" w:rsidRDefault="6EB36CCA"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Ucraina are obligația de a publica aceste informații într-un format prelucrabil automat pe o pagină web, în ordinea valorii totale a fondurilor primite, ținând seama în mod corespunzător de confidențialitate și securitate, în special de protecția datelor cu caracter personal. În cazul persoanelor juridice, aceste informații includ denumirea juridică completă și codul TVA sau de identificare fiscală sau un alt identificator unic stabilit la nivel național.</w:t>
      </w:r>
    </w:p>
    <w:p w14:paraId="4C783AB7" w14:textId="594622C4" w:rsidR="07DE3A4D" w:rsidRPr="00610CE3" w:rsidRDefault="6025C84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 cazul persoanelor fizice, se publică prenumele și numele destinatarului. În plus, pentru a asigura protecția intereselor financiare ale UE în conformitate cu articolul </w:t>
      </w:r>
      <w:r w:rsidRPr="00DA3B61">
        <w:rPr>
          <w:rFonts w:ascii="Times New Roman" w:hAnsi="Times New Roman"/>
          <w:noProof/>
          <w:sz w:val="24"/>
        </w:rPr>
        <w:t>35</w:t>
      </w:r>
      <w:r>
        <w:rPr>
          <w:rFonts w:ascii="Times New Roman" w:hAnsi="Times New Roman"/>
          <w:noProof/>
          <w:sz w:val="24"/>
        </w:rPr>
        <w:t xml:space="preserve"> din Regulamentul de instituire a Mecanismului pentru Ucraina, Ucraina trebuie, de asemenea, să asigure colectarea și accesul la date adecvate privind persoanele și entitățile care primesc finanțare, inclusiv informații privind beneficiarii reali. Acest lucru este în conformitate cu principiile UE privind protecția datelor și cu normele aplicabile în materie de protecție a datelor. În special, această cerință include, de asemenea, informații cu privire la (sub)contractanții relevanți și la beneficiarii reali ai acestora.</w:t>
      </w:r>
    </w:p>
    <w:p w14:paraId="3AD3009B" w14:textId="7DE927B9" w:rsidR="4C0D3260" w:rsidRPr="00610CE3" w:rsidRDefault="1495A14A"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Ucraina a înregistrat progrese semnificative în ceea ce privește activitatea privind transparența, punerea în aplicare a cerințelor de colectare a datelor în cadrul juridic național și implicarea tuturor autorităților relevante pentru a asigura colectarea cuprinzătoare a datelor privind destinatarii finali. Ucraina desfășoară activități pentru a pregăti aceste informații într-o bază de date consolidată. O listă a destinatarilor finali care primesc peste </w:t>
      </w:r>
      <w:r w:rsidRPr="00DA3B61">
        <w:rPr>
          <w:rFonts w:ascii="Times New Roman" w:hAnsi="Times New Roman"/>
          <w:noProof/>
          <w:sz w:val="24"/>
        </w:rPr>
        <w:t>100</w:t>
      </w:r>
      <w:r>
        <w:rPr>
          <w:rFonts w:ascii="Times New Roman" w:hAnsi="Times New Roman"/>
          <w:noProof/>
          <w:sz w:val="24"/>
        </w:rPr>
        <w:t> </w:t>
      </w:r>
      <w:r w:rsidRPr="00DA3B61">
        <w:rPr>
          <w:rFonts w:ascii="Times New Roman" w:hAnsi="Times New Roman"/>
          <w:noProof/>
          <w:sz w:val="24"/>
        </w:rPr>
        <w:t>000</w:t>
      </w:r>
      <w:r>
        <w:rPr>
          <w:rFonts w:ascii="Times New Roman" w:hAnsi="Times New Roman"/>
          <w:noProof/>
          <w:sz w:val="24"/>
        </w:rPr>
        <w:t> EUR a fost publicată pe pagina web a Ministerului Economiei din Ucraina</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w:t>
      </w:r>
    </w:p>
    <w:p w14:paraId="4129F5ED" w14:textId="6307F226" w:rsidR="4C0D3260" w:rsidRPr="00610CE3" w:rsidRDefault="1798A25E"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Ucraina trebuie să respecte articolul </w:t>
      </w:r>
      <w:r w:rsidRPr="00DA3B61">
        <w:rPr>
          <w:rFonts w:ascii="Times New Roman" w:hAnsi="Times New Roman"/>
          <w:noProof/>
          <w:sz w:val="24"/>
        </w:rPr>
        <w:t>11</w:t>
      </w:r>
      <w:r>
        <w:rPr>
          <w:rFonts w:ascii="Times New Roman" w:hAnsi="Times New Roman"/>
          <w:noProof/>
          <w:sz w:val="24"/>
        </w:rPr>
        <w:t xml:space="preserve"> din Regulamentul de instituire a Mecanismului pentru Ucraina în ceea ce privește eligibilitatea persoanelor și a entităților și originea aprovizionării și a materialelor atunci când efectuează achiziții publice în cadrul mecanismului. Aceste cerințe sunt integrate în Acordul-cadru dintre UE și Ucraina privind modalitățile specifice de punere în aplicare a finanțării din partea Uniunii în cadrul Mecanismului pentru Ucraina</w:t>
      </w:r>
      <w:r>
        <w:rPr>
          <w:rFonts w:ascii="Times New Roman" w:hAnsi="Times New Roman"/>
          <w:i/>
          <w:noProof/>
          <w:sz w:val="24"/>
        </w:rPr>
        <w:t xml:space="preserve">. </w:t>
      </w:r>
      <w:r>
        <w:rPr>
          <w:rFonts w:ascii="Times New Roman" w:hAnsi="Times New Roman"/>
          <w:noProof/>
          <w:sz w:val="24"/>
        </w:rPr>
        <w:t>În conformitate cu aceste cerințe, pentru investițiile din cadrul pilonului I, Ucraina instituie un sistem de monitorizare și control pentru a se asigura că cerințele sunt respectate și pentru a înregistra și a raporta orice achiziții publice care utilizează derogările prevăzute la articolul </w:t>
      </w:r>
      <w:r w:rsidRPr="00DA3B61">
        <w:rPr>
          <w:rFonts w:ascii="Times New Roman" w:hAnsi="Times New Roman"/>
          <w:noProof/>
          <w:sz w:val="24"/>
        </w:rPr>
        <w:t>11</w:t>
      </w:r>
      <w:r>
        <w:rPr>
          <w:rFonts w:ascii="Times New Roman" w:hAnsi="Times New Roman"/>
          <w:noProof/>
          <w:sz w:val="24"/>
        </w:rPr>
        <w:t xml:space="preserve"> din Regulamentul de instituire a Mecanismului pentru Ucraina. În </w:t>
      </w:r>
      <w:r w:rsidRPr="00DA3B61">
        <w:rPr>
          <w:rFonts w:ascii="Times New Roman" w:hAnsi="Times New Roman"/>
          <w:noProof/>
          <w:sz w:val="24"/>
        </w:rPr>
        <w:t>2024</w:t>
      </w:r>
      <w:r>
        <w:rPr>
          <w:rFonts w:ascii="Times New Roman" w:hAnsi="Times New Roman"/>
          <w:noProof/>
          <w:sz w:val="24"/>
        </w:rPr>
        <w:t>, Comisia nu a trebuit să evalueze nicio chestiune referitoare la achizițiile publice.</w:t>
      </w:r>
    </w:p>
    <w:p w14:paraId="431F2895" w14:textId="42E18F45" w:rsidR="00F71874" w:rsidRPr="00610CE3" w:rsidRDefault="214075AF"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2</w:t>
      </w:r>
      <w:r>
        <w:rPr>
          <w:rFonts w:ascii="Times New Roman" w:hAnsi="Times New Roman"/>
          <w:b/>
          <w:i/>
          <w:noProof/>
          <w:sz w:val="24"/>
        </w:rPr>
        <w:t>.b.</w:t>
      </w:r>
      <w:r>
        <w:rPr>
          <w:noProof/>
        </w:rPr>
        <w:tab/>
      </w:r>
      <w:r>
        <w:rPr>
          <w:rFonts w:ascii="Times New Roman" w:hAnsi="Times New Roman"/>
          <w:b/>
          <w:i/>
          <w:noProof/>
          <w:sz w:val="24"/>
        </w:rPr>
        <w:t>Pilonul II – Cadrul de investiții pentru Ucraina</w:t>
      </w:r>
    </w:p>
    <w:p w14:paraId="3DB81DB5" w14:textId="3FD4EA67" w:rsidR="00C72EBD" w:rsidRPr="00610CE3" w:rsidRDefault="00DA5480" w:rsidP="7679E0CF">
      <w:pPr>
        <w:pStyle w:val="Caption"/>
        <w:spacing w:before="0" w:after="160"/>
        <w:rPr>
          <w:i w:val="0"/>
          <w:noProof/>
          <w:sz w:val="24"/>
          <w:szCs w:val="24"/>
        </w:rPr>
      </w:pPr>
      <w:r>
        <w:rPr>
          <w:i w:val="0"/>
          <w:noProof/>
          <w:sz w:val="24"/>
        </w:rPr>
        <w:t xml:space="preserve">Cadrul de investiții pentru Ucraina (UIF) este instrumentul emblematic al UE menit să stimuleze redresarea, reconstrucția și modernizarea Ucrainei. Susținut de </w:t>
      </w:r>
      <w:r w:rsidRPr="00DA3B61">
        <w:rPr>
          <w:b/>
          <w:i w:val="0"/>
          <w:noProof/>
          <w:sz w:val="24"/>
        </w:rPr>
        <w:t>9</w:t>
      </w:r>
      <w:r>
        <w:rPr>
          <w:b/>
          <w:i w:val="0"/>
          <w:noProof/>
          <w:sz w:val="24"/>
        </w:rPr>
        <w:t>,</w:t>
      </w:r>
      <w:r w:rsidRPr="00DA3B61">
        <w:rPr>
          <w:b/>
          <w:i w:val="0"/>
          <w:noProof/>
          <w:sz w:val="24"/>
        </w:rPr>
        <w:t>3</w:t>
      </w:r>
      <w:r>
        <w:rPr>
          <w:b/>
          <w:i w:val="0"/>
          <w:noProof/>
          <w:sz w:val="24"/>
        </w:rPr>
        <w:t xml:space="preserve"> miliarde EUR</w:t>
      </w:r>
      <w:r>
        <w:rPr>
          <w:i w:val="0"/>
          <w:noProof/>
          <w:sz w:val="24"/>
        </w:rPr>
        <w:t xml:space="preserve">, inclusiv </w:t>
      </w:r>
      <w:r w:rsidRPr="00DA3B61">
        <w:rPr>
          <w:b/>
          <w:i w:val="0"/>
          <w:noProof/>
          <w:sz w:val="24"/>
        </w:rPr>
        <w:t>7</w:t>
      </w:r>
      <w:r>
        <w:rPr>
          <w:b/>
          <w:i w:val="0"/>
          <w:noProof/>
          <w:sz w:val="24"/>
        </w:rPr>
        <w:t>,</w:t>
      </w:r>
      <w:r w:rsidRPr="00DA3B61">
        <w:rPr>
          <w:b/>
          <w:i w:val="0"/>
          <w:noProof/>
          <w:sz w:val="24"/>
        </w:rPr>
        <w:t>8</w:t>
      </w:r>
      <w:r>
        <w:rPr>
          <w:b/>
          <w:i w:val="0"/>
          <w:noProof/>
          <w:sz w:val="24"/>
        </w:rPr>
        <w:t xml:space="preserve"> miliarde EUR sub formă de garanții</w:t>
      </w:r>
      <w:r>
        <w:rPr>
          <w:i w:val="0"/>
          <w:noProof/>
          <w:sz w:val="24"/>
        </w:rPr>
        <w:t xml:space="preserve"> și </w:t>
      </w:r>
      <w:r w:rsidRPr="00DA3B61">
        <w:rPr>
          <w:b/>
          <w:i w:val="0"/>
          <w:noProof/>
          <w:sz w:val="24"/>
        </w:rPr>
        <w:t>1</w:t>
      </w:r>
      <w:r>
        <w:rPr>
          <w:b/>
          <w:i w:val="0"/>
          <w:noProof/>
          <w:sz w:val="24"/>
        </w:rPr>
        <w:t>,</w:t>
      </w:r>
      <w:r w:rsidRPr="00DA3B61">
        <w:rPr>
          <w:b/>
          <w:i w:val="0"/>
          <w:noProof/>
          <w:sz w:val="24"/>
        </w:rPr>
        <w:t>5</w:t>
      </w:r>
      <w:r>
        <w:rPr>
          <w:b/>
          <w:i w:val="0"/>
          <w:noProof/>
          <w:sz w:val="24"/>
        </w:rPr>
        <w:t xml:space="preserve"> miliarde EUR sub formă de finanțare mixtă</w:t>
      </w:r>
      <w:r>
        <w:rPr>
          <w:i w:val="0"/>
          <w:noProof/>
          <w:sz w:val="24"/>
        </w:rPr>
        <w:t xml:space="preserve">, acesta urmărește să deblocheze </w:t>
      </w:r>
      <w:r>
        <w:rPr>
          <w:b/>
          <w:i w:val="0"/>
          <w:noProof/>
          <w:sz w:val="24"/>
        </w:rPr>
        <w:t xml:space="preserve">investiții în valoare de până la </w:t>
      </w:r>
      <w:r w:rsidRPr="00DA3B61">
        <w:rPr>
          <w:b/>
          <w:i w:val="0"/>
          <w:noProof/>
          <w:sz w:val="24"/>
        </w:rPr>
        <w:t>40</w:t>
      </w:r>
      <w:r>
        <w:rPr>
          <w:b/>
          <w:i w:val="0"/>
          <w:noProof/>
          <w:sz w:val="24"/>
        </w:rPr>
        <w:t xml:space="preserve"> de miliarde EUR</w:t>
      </w:r>
      <w:r>
        <w:rPr>
          <w:i w:val="0"/>
          <w:noProof/>
          <w:sz w:val="24"/>
        </w:rPr>
        <w:t>, plasând UE în centrul eforturilor internaționale de reconstrucție a Ucrainei.</w:t>
      </w:r>
    </w:p>
    <w:p w14:paraId="34BB0964" w14:textId="093C8FD3" w:rsidR="00C72EBD" w:rsidRPr="00610CE3" w:rsidRDefault="00C72EBD"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b/>
          <w:noProof/>
          <w:sz w:val="24"/>
        </w:rPr>
        <w:t>Garanțiile UE</w:t>
      </w:r>
      <w:r>
        <w:rPr>
          <w:rFonts w:ascii="Times New Roman" w:hAnsi="Times New Roman"/>
          <w:noProof/>
          <w:sz w:val="24"/>
        </w:rPr>
        <w:t xml:space="preserve"> joacă un rol esențial în reducerea investițiilor publice și private, ceea ce este esențial pentru </w:t>
      </w:r>
      <w:r>
        <w:rPr>
          <w:rFonts w:ascii="Times New Roman" w:hAnsi="Times New Roman"/>
          <w:b/>
          <w:noProof/>
          <w:sz w:val="24"/>
        </w:rPr>
        <w:t>redresarea cu succes</w:t>
      </w:r>
      <w:r>
        <w:rPr>
          <w:rFonts w:ascii="Times New Roman" w:hAnsi="Times New Roman"/>
          <w:noProof/>
          <w:sz w:val="24"/>
        </w:rPr>
        <w:t xml:space="preserve"> a Ucrainei. Prin atenuarea riscurilor financiare, aceste garanții încurajează o mai mare implicare din partea investitorilor din sectorul privat, a instituțiilor financiare și a partenerilor de dezvoltare, toate acestea fiind necesare pentru a reconstrui economia și infrastructura Ucrainei în urma războiului.</w:t>
      </w:r>
    </w:p>
    <w:p w14:paraId="577256D9" w14:textId="37006362" w:rsidR="00CA4FE1" w:rsidRPr="00610CE3" w:rsidRDefault="3C627F02" w:rsidP="00CC0E0E">
      <w:pPr>
        <w:spacing w:after="160" w:line="240" w:lineRule="auto"/>
        <w:jc w:val="both"/>
        <w:rPr>
          <w:rFonts w:ascii="Times New Roman" w:hAnsi="Times New Roman"/>
          <w:noProof/>
          <w:sz w:val="24"/>
          <w:szCs w:val="24"/>
        </w:rPr>
      </w:pPr>
      <w:r>
        <w:rPr>
          <w:rFonts w:ascii="Times New Roman" w:hAnsi="Times New Roman"/>
          <w:noProof/>
          <w:sz w:val="24"/>
        </w:rPr>
        <w:t xml:space="preserve">În mod similar, </w:t>
      </w:r>
      <w:r>
        <w:rPr>
          <w:rFonts w:ascii="Times New Roman" w:hAnsi="Times New Roman"/>
          <w:b/>
          <w:noProof/>
          <w:sz w:val="24"/>
        </w:rPr>
        <w:t>mecanismele de finanțare mixtă ale UE</w:t>
      </w:r>
      <w:r>
        <w:rPr>
          <w:rFonts w:ascii="Times New Roman" w:hAnsi="Times New Roman"/>
          <w:noProof/>
          <w:sz w:val="24"/>
        </w:rPr>
        <w:t xml:space="preserve"> combină </w:t>
      </w:r>
      <w:r>
        <w:rPr>
          <w:rFonts w:ascii="Times New Roman" w:hAnsi="Times New Roman"/>
          <w:b/>
          <w:noProof/>
          <w:sz w:val="24"/>
        </w:rPr>
        <w:t>granturi cu resurse care nu fac obiectul granturilor</w:t>
      </w:r>
      <w:r>
        <w:rPr>
          <w:rFonts w:ascii="Times New Roman" w:hAnsi="Times New Roman"/>
          <w:noProof/>
          <w:sz w:val="24"/>
        </w:rPr>
        <w:t xml:space="preserve">, cum ar fi </w:t>
      </w:r>
      <w:r>
        <w:rPr>
          <w:rFonts w:ascii="Times New Roman" w:hAnsi="Times New Roman"/>
          <w:b/>
          <w:noProof/>
          <w:sz w:val="24"/>
        </w:rPr>
        <w:t>împrumuturi</w:t>
      </w:r>
      <w:r>
        <w:rPr>
          <w:rFonts w:ascii="Times New Roman" w:hAnsi="Times New Roman"/>
          <w:noProof/>
          <w:sz w:val="24"/>
        </w:rPr>
        <w:t xml:space="preserve">, </w:t>
      </w:r>
      <w:r>
        <w:rPr>
          <w:rFonts w:ascii="Times New Roman" w:hAnsi="Times New Roman"/>
          <w:b/>
          <w:noProof/>
          <w:sz w:val="24"/>
        </w:rPr>
        <w:t>capitaluri proprii</w:t>
      </w:r>
      <w:r>
        <w:rPr>
          <w:rFonts w:ascii="Times New Roman" w:hAnsi="Times New Roman"/>
          <w:noProof/>
          <w:sz w:val="24"/>
        </w:rPr>
        <w:t xml:space="preserve"> și </w:t>
      </w:r>
      <w:r>
        <w:rPr>
          <w:rFonts w:ascii="Times New Roman" w:hAnsi="Times New Roman"/>
          <w:b/>
          <w:noProof/>
          <w:sz w:val="24"/>
        </w:rPr>
        <w:t>garanții</w:t>
      </w:r>
      <w:r>
        <w:rPr>
          <w:rFonts w:ascii="Times New Roman" w:hAnsi="Times New Roman"/>
          <w:noProof/>
          <w:sz w:val="24"/>
        </w:rPr>
        <w:t xml:space="preserve"> din partea instituțiilor financiare, precum și </w:t>
      </w:r>
      <w:r>
        <w:rPr>
          <w:rFonts w:ascii="Times New Roman" w:hAnsi="Times New Roman"/>
          <w:b/>
          <w:noProof/>
          <w:sz w:val="24"/>
        </w:rPr>
        <w:t>împrumuturi</w:t>
      </w:r>
      <w:r>
        <w:rPr>
          <w:rFonts w:ascii="Times New Roman" w:hAnsi="Times New Roman"/>
          <w:noProof/>
          <w:sz w:val="24"/>
        </w:rPr>
        <w:t xml:space="preserve"> și </w:t>
      </w:r>
      <w:r>
        <w:rPr>
          <w:rFonts w:ascii="Times New Roman" w:hAnsi="Times New Roman"/>
          <w:b/>
          <w:noProof/>
          <w:sz w:val="24"/>
        </w:rPr>
        <w:t>investiții comerciale</w:t>
      </w:r>
      <w:r>
        <w:rPr>
          <w:rFonts w:ascii="Times New Roman" w:hAnsi="Times New Roman"/>
          <w:noProof/>
          <w:sz w:val="24"/>
        </w:rPr>
        <w:t xml:space="preserve">. Această abordare inovatoare mobilizează fonduri publice pentru a debloca investiții suplimentare din sectorul privat, creând un </w:t>
      </w:r>
      <w:r>
        <w:rPr>
          <w:rFonts w:ascii="Times New Roman" w:hAnsi="Times New Roman"/>
          <w:b/>
          <w:noProof/>
          <w:sz w:val="24"/>
        </w:rPr>
        <w:t>impact amplu asupra dezvoltării</w:t>
      </w:r>
      <w:r>
        <w:rPr>
          <w:rFonts w:ascii="Times New Roman" w:hAnsi="Times New Roman"/>
          <w:noProof/>
          <w:sz w:val="24"/>
        </w:rPr>
        <w:t>. Prin utilizarea finanțării mixte, UE maximizează valoarea fiecărui euro cheltuit, permițând proiecte mai mari, cu un impact mai mare, care contribuie în mod direct la redresarea și reziliența pe termen lung a Ucrainei.</w:t>
      </w:r>
    </w:p>
    <w:p w14:paraId="4822C16D" w14:textId="45381172" w:rsidR="00C72EBD" w:rsidRPr="00610CE3" w:rsidRDefault="4DC7B29B"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Cadrul de investiții pentru Ucraina </w:t>
      </w:r>
      <w:r>
        <w:rPr>
          <w:rFonts w:ascii="Times New Roman" w:hAnsi="Times New Roman"/>
          <w:noProof/>
          <w:sz w:val="24"/>
        </w:rPr>
        <w:t xml:space="preserve">se află în centrul acestui efort, conceput special pentru a contribui la </w:t>
      </w:r>
      <w:r>
        <w:rPr>
          <w:rFonts w:ascii="Times New Roman" w:hAnsi="Times New Roman"/>
          <w:b/>
          <w:noProof/>
          <w:sz w:val="24"/>
        </w:rPr>
        <w:t>reconstruirea infrastructurii critice a Ucrainei și la relansarea economiei sale</w:t>
      </w:r>
      <w:r>
        <w:rPr>
          <w:rFonts w:ascii="Times New Roman" w:hAnsi="Times New Roman"/>
          <w:noProof/>
          <w:sz w:val="24"/>
        </w:rPr>
        <w:t xml:space="preserve">. Sectoare-cheie, cum ar fi </w:t>
      </w:r>
      <w:r>
        <w:rPr>
          <w:rFonts w:ascii="Times New Roman" w:hAnsi="Times New Roman"/>
          <w:b/>
          <w:noProof/>
          <w:sz w:val="24"/>
        </w:rPr>
        <w:t>energia</w:t>
      </w:r>
      <w:r>
        <w:rPr>
          <w:rFonts w:ascii="Times New Roman" w:hAnsi="Times New Roman"/>
          <w:noProof/>
          <w:sz w:val="24"/>
        </w:rPr>
        <w:t xml:space="preserve">, </w:t>
      </w:r>
      <w:r>
        <w:rPr>
          <w:rFonts w:ascii="Times New Roman" w:hAnsi="Times New Roman"/>
          <w:b/>
          <w:noProof/>
          <w:sz w:val="24"/>
        </w:rPr>
        <w:t>industria</w:t>
      </w:r>
      <w:r>
        <w:rPr>
          <w:rFonts w:ascii="Times New Roman" w:hAnsi="Times New Roman"/>
          <w:noProof/>
          <w:sz w:val="24"/>
        </w:rPr>
        <w:t xml:space="preserve">, </w:t>
      </w:r>
      <w:r>
        <w:rPr>
          <w:rFonts w:ascii="Times New Roman" w:hAnsi="Times New Roman"/>
          <w:b/>
          <w:noProof/>
          <w:sz w:val="24"/>
        </w:rPr>
        <w:t>școlile</w:t>
      </w:r>
      <w:r>
        <w:rPr>
          <w:rFonts w:ascii="Times New Roman" w:hAnsi="Times New Roman"/>
          <w:noProof/>
          <w:sz w:val="24"/>
        </w:rPr>
        <w:t xml:space="preserve">, </w:t>
      </w:r>
      <w:r>
        <w:rPr>
          <w:rFonts w:ascii="Times New Roman" w:hAnsi="Times New Roman"/>
          <w:b/>
          <w:noProof/>
          <w:sz w:val="24"/>
        </w:rPr>
        <w:t>spitalele</w:t>
      </w:r>
      <w:r>
        <w:rPr>
          <w:rFonts w:ascii="Times New Roman" w:hAnsi="Times New Roman"/>
          <w:noProof/>
          <w:sz w:val="24"/>
        </w:rPr>
        <w:t xml:space="preserve"> și </w:t>
      </w:r>
      <w:r>
        <w:rPr>
          <w:rFonts w:ascii="Times New Roman" w:hAnsi="Times New Roman"/>
          <w:b/>
          <w:noProof/>
          <w:sz w:val="24"/>
        </w:rPr>
        <w:t>serviciile municipale</w:t>
      </w:r>
      <w:r>
        <w:rPr>
          <w:rFonts w:ascii="Times New Roman" w:hAnsi="Times New Roman"/>
          <w:noProof/>
          <w:sz w:val="24"/>
        </w:rPr>
        <w:t xml:space="preserve">, reprezintă principalul obiectiv, cu scopul de a crea o Ucraina mai rezilientă, mai durabilă și mai modernă. În plus, UIF abordează, de asemenea, nevoile </w:t>
      </w:r>
      <w:r>
        <w:rPr>
          <w:rFonts w:ascii="Times New Roman" w:hAnsi="Times New Roman"/>
          <w:b/>
          <w:noProof/>
          <w:sz w:val="24"/>
        </w:rPr>
        <w:t>întreprinderilor mici</w:t>
      </w:r>
      <w:r>
        <w:rPr>
          <w:rFonts w:ascii="Times New Roman" w:hAnsi="Times New Roman"/>
          <w:noProof/>
          <w:sz w:val="24"/>
        </w:rPr>
        <w:t xml:space="preserve">, ale </w:t>
      </w:r>
      <w:r>
        <w:rPr>
          <w:rFonts w:ascii="Times New Roman" w:hAnsi="Times New Roman"/>
          <w:b/>
          <w:noProof/>
          <w:sz w:val="24"/>
        </w:rPr>
        <w:t>populațiilor afectate de război</w:t>
      </w:r>
      <w:r>
        <w:rPr>
          <w:rFonts w:ascii="Times New Roman" w:hAnsi="Times New Roman"/>
          <w:noProof/>
          <w:sz w:val="24"/>
        </w:rPr>
        <w:t xml:space="preserve"> și ale </w:t>
      </w:r>
      <w:r>
        <w:rPr>
          <w:rFonts w:ascii="Times New Roman" w:hAnsi="Times New Roman"/>
          <w:b/>
          <w:noProof/>
          <w:sz w:val="24"/>
        </w:rPr>
        <w:t>grupurilor vulnerabile</w:t>
      </w:r>
      <w:r>
        <w:rPr>
          <w:rFonts w:ascii="Times New Roman" w:hAnsi="Times New Roman"/>
          <w:noProof/>
          <w:sz w:val="24"/>
        </w:rPr>
        <w:t>, asigurându-se că nu sunt lăsate în urmă comunitățile cele mai afectate.</w:t>
      </w:r>
    </w:p>
    <w:p w14:paraId="78633B6D" w14:textId="615F772A" w:rsidR="00C72EBD" w:rsidRPr="00610CE3" w:rsidRDefault="00C72EBD"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sidRPr="00DA3B61">
        <w:rPr>
          <w:rFonts w:ascii="Times New Roman" w:hAnsi="Times New Roman"/>
          <w:b/>
          <w:noProof/>
          <w:sz w:val="24"/>
        </w:rPr>
        <w:t>31</w:t>
      </w:r>
      <w:r>
        <w:rPr>
          <w:rFonts w:ascii="Times New Roman" w:hAnsi="Times New Roman"/>
          <w:b/>
          <w:noProof/>
          <w:sz w:val="24"/>
        </w:rPr>
        <w:t xml:space="preserve"> decembrie </w:t>
      </w:r>
      <w:r w:rsidRPr="00DA3B61">
        <w:rPr>
          <w:rFonts w:ascii="Times New Roman" w:hAnsi="Times New Roman"/>
          <w:b/>
          <w:noProof/>
          <w:sz w:val="24"/>
        </w:rPr>
        <w:t>2024</w:t>
      </w:r>
      <w:r>
        <w:rPr>
          <w:rFonts w:ascii="Times New Roman" w:hAnsi="Times New Roman"/>
          <w:noProof/>
          <w:sz w:val="24"/>
        </w:rPr>
        <w:t xml:space="preserve">, la trei ani de la începutul războiului de agresiune al Rusiei împotriva Ucrainei, o </w:t>
      </w:r>
      <w:r>
        <w:rPr>
          <w:rFonts w:ascii="Times New Roman" w:hAnsi="Times New Roman"/>
          <w:b/>
          <w:noProof/>
          <w:sz w:val="24"/>
        </w:rPr>
        <w:t>evaluare comună rapidă actualizată a daunelor și nevoilor (RDNA</w:t>
      </w:r>
      <w:r w:rsidRPr="00DA3B61">
        <w:rPr>
          <w:rFonts w:ascii="Times New Roman" w:hAnsi="Times New Roman"/>
          <w:b/>
          <w:noProof/>
          <w:sz w:val="24"/>
        </w:rPr>
        <w:t>4</w:t>
      </w:r>
      <w:r>
        <w:rPr>
          <w:rFonts w:ascii="Times New Roman" w:hAnsi="Times New Roman"/>
          <w:b/>
          <w:noProof/>
          <w:sz w:val="24"/>
        </w:rPr>
        <w:t>)</w:t>
      </w:r>
      <w:r>
        <w:rPr>
          <w:rFonts w:ascii="Times New Roman" w:hAnsi="Times New Roman"/>
          <w:noProof/>
          <w:sz w:val="24"/>
        </w:rPr>
        <w:t xml:space="preserve"> estimează că costul total al </w:t>
      </w:r>
      <w:r>
        <w:rPr>
          <w:rFonts w:ascii="Times New Roman" w:hAnsi="Times New Roman"/>
          <w:b/>
          <w:noProof/>
          <w:sz w:val="24"/>
        </w:rPr>
        <w:t>reconstrucției și redresării</w:t>
      </w:r>
      <w:r>
        <w:rPr>
          <w:rFonts w:ascii="Times New Roman" w:hAnsi="Times New Roman"/>
          <w:noProof/>
          <w:sz w:val="24"/>
        </w:rPr>
        <w:t xml:space="preserve"> Ucrainei se va ridica la </w:t>
      </w:r>
      <w:r w:rsidRPr="00DA3B61">
        <w:rPr>
          <w:rFonts w:ascii="Times New Roman" w:hAnsi="Times New Roman"/>
          <w:b/>
          <w:noProof/>
          <w:sz w:val="24"/>
        </w:rPr>
        <w:t>506</w:t>
      </w:r>
      <w:r>
        <w:rPr>
          <w:rFonts w:ascii="Times New Roman" w:hAnsi="Times New Roman"/>
          <w:b/>
          <w:noProof/>
          <w:sz w:val="24"/>
        </w:rPr>
        <w:t xml:space="preserve"> miliarde EUR</w:t>
      </w:r>
      <w:r>
        <w:rPr>
          <w:rFonts w:ascii="Times New Roman" w:hAnsi="Times New Roman"/>
          <w:noProof/>
          <w:sz w:val="24"/>
        </w:rPr>
        <w:t xml:space="preserve"> în următorul deceniu. Această evaluare cuprinzătoare subliniază amploarea enormă a provocării cu care se confruntă Ucraina în procesul de reconstrucție a economiei, infrastructurii și instituțiilor sale.</w:t>
      </w:r>
    </w:p>
    <w:p w14:paraId="7D64882E" w14:textId="45BDB476" w:rsidR="00731D69" w:rsidRPr="00610CE3" w:rsidRDefault="00C72EBD" w:rsidP="7679E0CF">
      <w:pPr>
        <w:spacing w:after="160" w:line="240" w:lineRule="auto"/>
        <w:jc w:val="both"/>
        <w:rPr>
          <w:rFonts w:ascii="Times New Roman" w:hAnsi="Times New Roman"/>
          <w:noProof/>
          <w:sz w:val="24"/>
          <w:szCs w:val="24"/>
        </w:rPr>
      </w:pPr>
      <w:r>
        <w:rPr>
          <w:rFonts w:ascii="Times New Roman" w:hAnsi="Times New Roman"/>
          <w:noProof/>
          <w:sz w:val="24"/>
        </w:rPr>
        <w:t xml:space="preserve">În acest context, </w:t>
      </w:r>
      <w:r>
        <w:rPr>
          <w:rFonts w:ascii="Times New Roman" w:hAnsi="Times New Roman"/>
          <w:b/>
          <w:noProof/>
          <w:sz w:val="24"/>
        </w:rPr>
        <w:t>cadrul de investiții pentru Ucraina</w:t>
      </w:r>
      <w:r>
        <w:rPr>
          <w:rFonts w:ascii="Times New Roman" w:hAnsi="Times New Roman"/>
          <w:noProof/>
          <w:sz w:val="24"/>
        </w:rPr>
        <w:t xml:space="preserve"> este esențial pentru reducerea </w:t>
      </w:r>
      <w:r>
        <w:rPr>
          <w:rFonts w:ascii="Times New Roman" w:hAnsi="Times New Roman"/>
          <w:b/>
          <w:noProof/>
          <w:sz w:val="24"/>
        </w:rPr>
        <w:t>deficitului semnificativ de finanțare</w:t>
      </w:r>
      <w:r>
        <w:rPr>
          <w:rFonts w:ascii="Times New Roman" w:hAnsi="Times New Roman"/>
          <w:noProof/>
          <w:sz w:val="24"/>
        </w:rPr>
        <w:t xml:space="preserve"> pentru reconstrucția Ucrainei. Acesta oferă un mecanism structurat și coordonat de canalizare a resurselor financiare către </w:t>
      </w:r>
      <w:r>
        <w:rPr>
          <w:rFonts w:ascii="Times New Roman" w:hAnsi="Times New Roman"/>
          <w:b/>
          <w:noProof/>
          <w:sz w:val="24"/>
        </w:rPr>
        <w:t>cele mai urgente domenii prioritare</w:t>
      </w:r>
      <w:r>
        <w:rPr>
          <w:rFonts w:ascii="Times New Roman" w:hAnsi="Times New Roman"/>
          <w:noProof/>
          <w:sz w:val="24"/>
        </w:rPr>
        <w:t xml:space="preserve"> identificate de </w:t>
      </w:r>
      <w:r>
        <w:rPr>
          <w:rFonts w:ascii="Times New Roman" w:hAnsi="Times New Roman"/>
          <w:b/>
          <w:noProof/>
          <w:sz w:val="24"/>
        </w:rPr>
        <w:t>Planul pentru Ucraina</w:t>
      </w:r>
      <w:r>
        <w:rPr>
          <w:rFonts w:ascii="Times New Roman" w:hAnsi="Times New Roman"/>
          <w:noProof/>
          <w:sz w:val="24"/>
        </w:rPr>
        <w:t>. Sprijinul specific acordat de UIF asigură faptul că Ucraina dispune de resursele necesare pentru a răspunde nevoilor critice, deschizând, totodată, calea pentru redresare și creștere pe termen lung.</w:t>
      </w:r>
    </w:p>
    <w:p w14:paraId="52412A1E" w14:textId="62B7E806" w:rsidR="00F230E4" w:rsidRPr="00610CE3" w:rsidRDefault="00A6563A"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UIF este, de asemenea, un factor-cheie al investițiilor private în reconstrucția Ucrainei. </w:t>
      </w:r>
      <w:r>
        <w:rPr>
          <w:rFonts w:ascii="Times New Roman" w:hAnsi="Times New Roman"/>
          <w:b/>
          <w:noProof/>
          <w:sz w:val="24"/>
        </w:rPr>
        <w:t>Oferind instrumente de reducere a riscurilor, acoperire a riscurilor de război și mobilizând capital privat</w:t>
      </w:r>
      <w:r>
        <w:rPr>
          <w:rFonts w:ascii="Times New Roman" w:hAnsi="Times New Roman"/>
          <w:noProof/>
          <w:sz w:val="24"/>
        </w:rPr>
        <w:t>, UIF creează noi oportunități de finanțare atât pentru întreprinderile ucrainene, cât și pentru cele din UE.</w:t>
      </w:r>
    </w:p>
    <w:p w14:paraId="7644E30F" w14:textId="2B1CC339" w:rsidR="00FE7FF5" w:rsidRPr="00610CE3" w:rsidRDefault="00FE7FF5"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Pilonul II este strâns legat de procesul de reformă și de aderare a Ucrainei. Investițiile în economia și infrastructura Ucrainei facilitate de UIF accelerează, de asemenea, integrarea sa pe piața unică a UE, </w:t>
      </w:r>
      <w:r>
        <w:rPr>
          <w:rFonts w:ascii="Times New Roman" w:hAnsi="Times New Roman"/>
          <w:b/>
          <w:noProof/>
          <w:sz w:val="24"/>
        </w:rPr>
        <w:t>integrând Ucraina în infrastructura transeuropeană din domeniul energiei și al transporturilor, în lanțurile valorice ale UE și în transpunerea standardelor și a practicilor comerciale ale UE</w:t>
      </w:r>
      <w:r>
        <w:rPr>
          <w:rFonts w:ascii="Times New Roman" w:hAnsi="Times New Roman"/>
          <w:noProof/>
          <w:sz w:val="24"/>
        </w:rPr>
        <w:t>. Prin ancorarea economiei Ucrainei în UE, UIF este un motor strategic pentru promovarea poziției geopolitice și economice a UE.</w:t>
      </w:r>
    </w:p>
    <w:p w14:paraId="27D10D75" w14:textId="52929F56" w:rsidR="0033151D" w:rsidRPr="00610CE3" w:rsidRDefault="0F0E0000" w:rsidP="142EE3E4">
      <w:pPr>
        <w:spacing w:after="160" w:line="240" w:lineRule="auto"/>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UIF servește, de asemenea, ca </w:t>
      </w:r>
      <w:r>
        <w:rPr>
          <w:rFonts w:ascii="Times New Roman" w:hAnsi="Times New Roman"/>
          <w:b/>
          <w:noProof/>
          <w:sz w:val="24"/>
        </w:rPr>
        <w:t xml:space="preserve">platformă </w:t>
      </w:r>
      <w:r>
        <w:rPr>
          <w:rFonts w:ascii="Times New Roman" w:hAnsi="Times New Roman"/>
          <w:noProof/>
          <w:sz w:val="24"/>
        </w:rPr>
        <w:t xml:space="preserve">unică </w:t>
      </w:r>
      <w:r>
        <w:rPr>
          <w:rFonts w:ascii="Times New Roman" w:hAnsi="Times New Roman"/>
          <w:b/>
          <w:noProof/>
          <w:sz w:val="24"/>
        </w:rPr>
        <w:t>de coordonare pentru arhitectura de redresare a Ucrainei</w:t>
      </w:r>
      <w:r>
        <w:rPr>
          <w:rFonts w:ascii="Times New Roman" w:hAnsi="Times New Roman"/>
          <w:noProof/>
          <w:sz w:val="24"/>
        </w:rPr>
        <w:t>. Cadrul reunește guvernul Ucrainei, statele membre ale UE și principalele instituții financiare, cum ar fi Banca Europeană de Investiții (BEI), Banca</w:t>
      </w:r>
      <w:r w:rsidR="00C24AB4">
        <w:rPr>
          <w:rFonts w:ascii="Times New Roman" w:hAnsi="Times New Roman"/>
          <w:noProof/>
          <w:sz w:val="24"/>
        </w:rPr>
        <w:t> </w:t>
      </w:r>
      <w:r>
        <w:rPr>
          <w:rFonts w:ascii="Times New Roman" w:hAnsi="Times New Roman"/>
          <w:noProof/>
          <w:sz w:val="24"/>
        </w:rPr>
        <w:t>Europeană pentru Reconstrucție și Dezvoltare (BERD), Banca Mondială, instituțiile financiare de dezvoltare ale statelor membre etc., pentru a alinia nevoile de redresare și reconstrucție ale Ucrainei și a oferi un răspuns operațional comun la acestea.</w:t>
      </w:r>
    </w:p>
    <w:p w14:paraId="0CD289E6" w14:textId="46DCFB63" w:rsidR="007269C0" w:rsidRPr="00610CE3" w:rsidRDefault="3A2409DD" w:rsidP="142EE3E4">
      <w:pPr>
        <w:spacing w:after="16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UIF a fost </w:t>
      </w:r>
      <w:r>
        <w:rPr>
          <w:rFonts w:ascii="Times New Roman" w:hAnsi="Times New Roman"/>
          <w:b/>
          <w:noProof/>
          <w:sz w:val="24"/>
        </w:rPr>
        <w:t>instituit în timp record</w:t>
      </w:r>
      <w:r>
        <w:rPr>
          <w:rFonts w:ascii="Times New Roman" w:hAnsi="Times New Roman"/>
          <w:noProof/>
          <w:sz w:val="24"/>
        </w:rPr>
        <w:t xml:space="preserve">. În urma intrării în vigoare a Regulamentului de instituire a Mecanismului pentru Ucraina în martie </w:t>
      </w:r>
      <w:r w:rsidRPr="00DA3B61">
        <w:rPr>
          <w:rFonts w:ascii="Times New Roman" w:hAnsi="Times New Roman"/>
          <w:noProof/>
          <w:sz w:val="24"/>
        </w:rPr>
        <w:t>2024</w:t>
      </w:r>
      <w:r>
        <w:rPr>
          <w:rFonts w:ascii="Times New Roman" w:hAnsi="Times New Roman"/>
          <w:noProof/>
          <w:sz w:val="24"/>
        </w:rPr>
        <w:t xml:space="preserve">, primul comitet director al UIF s-a reunit în aprilie </w:t>
      </w:r>
      <w:r w:rsidRPr="00DA3B61">
        <w:rPr>
          <w:rFonts w:ascii="Times New Roman" w:hAnsi="Times New Roman"/>
          <w:noProof/>
          <w:sz w:val="24"/>
        </w:rPr>
        <w:t>2024</w:t>
      </w:r>
      <w:r>
        <w:rPr>
          <w:rFonts w:ascii="Times New Roman" w:hAnsi="Times New Roman"/>
          <w:noProof/>
          <w:sz w:val="24"/>
        </w:rPr>
        <w:t xml:space="preserve"> și a aprobat primul set de programe de investiții. În iunie </w:t>
      </w:r>
      <w:r w:rsidRPr="00DA3B61">
        <w:rPr>
          <w:rFonts w:ascii="Times New Roman" w:hAnsi="Times New Roman"/>
          <w:noProof/>
          <w:sz w:val="24"/>
        </w:rPr>
        <w:t>2024</w:t>
      </w:r>
      <w:r>
        <w:rPr>
          <w:rFonts w:ascii="Times New Roman" w:hAnsi="Times New Roman"/>
          <w:noProof/>
          <w:sz w:val="24"/>
        </w:rPr>
        <w:t xml:space="preserve">, în cadrul Conferinței privind redresarea Ucrainei (URC) de la Berlin, Comisia a anunțat semnarea primelor programe de investiții în cadrul UIF în valoare de </w:t>
      </w:r>
      <w:r w:rsidRPr="00DA3B61">
        <w:rPr>
          <w:rFonts w:ascii="Times New Roman" w:hAnsi="Times New Roman"/>
          <w:b/>
          <w:noProof/>
          <w:sz w:val="24"/>
        </w:rPr>
        <w:t>1</w:t>
      </w:r>
      <w:r>
        <w:rPr>
          <w:rFonts w:ascii="Times New Roman" w:hAnsi="Times New Roman"/>
          <w:b/>
          <w:noProof/>
          <w:sz w:val="24"/>
        </w:rPr>
        <w:t>,</w:t>
      </w:r>
      <w:r w:rsidRPr="00DA3B61">
        <w:rPr>
          <w:rFonts w:ascii="Times New Roman" w:hAnsi="Times New Roman"/>
          <w:b/>
          <w:noProof/>
          <w:sz w:val="24"/>
        </w:rPr>
        <w:t>4</w:t>
      </w:r>
      <w:r>
        <w:rPr>
          <w:rFonts w:ascii="Times New Roman" w:hAnsi="Times New Roman"/>
          <w:b/>
          <w:noProof/>
          <w:sz w:val="24"/>
        </w:rPr>
        <w:t xml:space="preserve"> miliarde EUR</w:t>
      </w:r>
      <w:r>
        <w:rPr>
          <w:rFonts w:ascii="Times New Roman" w:hAnsi="Times New Roman"/>
          <w:noProof/>
          <w:sz w:val="24"/>
        </w:rPr>
        <w:t xml:space="preserve"> sub formă de noi acorduri de garantare și de grant pentru a sprijini redresarea și reconstrucția Ucrainei.</w:t>
      </w:r>
    </w:p>
    <w:p w14:paraId="52EA7447" w14:textId="58A90F64" w:rsidR="00664C36" w:rsidRPr="00610CE3" w:rsidRDefault="589B7905" w:rsidP="7679E0CF">
      <w:pPr>
        <w:spacing w:after="16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Aceste acorduri, semnate cu mai mulți parteneri de implementare, cum ar fi BERD, BEI, Corporația Financiară Internațională (IFC), Kreditanstalt für Wiederaufbau (KfW) și Bank Gospodarstwa Krajowego (BGK), constau în </w:t>
      </w:r>
      <w:r>
        <w:rPr>
          <w:rFonts w:ascii="Times New Roman" w:hAnsi="Times New Roman"/>
          <w:b/>
          <w:noProof/>
          <w:sz w:val="24"/>
        </w:rPr>
        <w:t>garanții de împrumut din partea UE</w:t>
      </w:r>
      <w:r>
        <w:rPr>
          <w:rFonts w:ascii="Times New Roman" w:hAnsi="Times New Roman"/>
          <w:noProof/>
          <w:sz w:val="24"/>
        </w:rPr>
        <w:t xml:space="preserve"> în valoare de </w:t>
      </w:r>
      <w:r w:rsidRPr="00DA3B61">
        <w:rPr>
          <w:rFonts w:ascii="Times New Roman" w:hAnsi="Times New Roman"/>
          <w:b/>
          <w:noProof/>
          <w:sz w:val="24"/>
        </w:rPr>
        <w:t>1</w:t>
      </w:r>
      <w:r>
        <w:rPr>
          <w:rFonts w:ascii="Times New Roman" w:hAnsi="Times New Roman"/>
          <w:b/>
          <w:noProof/>
          <w:sz w:val="24"/>
        </w:rPr>
        <w:t xml:space="preserve"> miliard EUR</w:t>
      </w:r>
      <w:r>
        <w:rPr>
          <w:rFonts w:ascii="Times New Roman" w:hAnsi="Times New Roman"/>
          <w:noProof/>
          <w:sz w:val="24"/>
        </w:rPr>
        <w:t xml:space="preserve"> și granturi în valoare de </w:t>
      </w:r>
      <w:r w:rsidRPr="00DA3B61">
        <w:rPr>
          <w:rFonts w:ascii="Times New Roman" w:hAnsi="Times New Roman"/>
          <w:b/>
          <w:noProof/>
          <w:sz w:val="24"/>
        </w:rPr>
        <w:t>400</w:t>
      </w:r>
      <w:r>
        <w:rPr>
          <w:rFonts w:ascii="Times New Roman" w:hAnsi="Times New Roman"/>
          <w:b/>
          <w:noProof/>
          <w:sz w:val="24"/>
        </w:rPr>
        <w:t xml:space="preserve"> de milioane EUR</w:t>
      </w:r>
      <w:r>
        <w:rPr>
          <w:rFonts w:ascii="Times New Roman" w:hAnsi="Times New Roman"/>
          <w:noProof/>
          <w:sz w:val="24"/>
        </w:rPr>
        <w:t xml:space="preserve">. Acestea aduc beneficii întreprinderilor private, inclusiv întreprinderilor mici și mijlocii, municipalităților și întreprinderilor ucrainene deținute de stat. Operațiunile sprijină sectoare prioritare precum energia, transporturile, infrastructura municipală, accesul la finanțare și întreprinderile afectate de război; și își propune să atragă </w:t>
      </w:r>
      <w:r>
        <w:rPr>
          <w:rFonts w:ascii="Times New Roman" w:hAnsi="Times New Roman"/>
          <w:b/>
          <w:noProof/>
          <w:sz w:val="24"/>
        </w:rPr>
        <w:t xml:space="preserve">investiții în valoare de </w:t>
      </w:r>
      <w:r w:rsidRPr="00DA3B61">
        <w:rPr>
          <w:rFonts w:ascii="Times New Roman" w:hAnsi="Times New Roman"/>
          <w:b/>
          <w:noProof/>
          <w:sz w:val="24"/>
        </w:rPr>
        <w:t>6</w:t>
      </w:r>
      <w:r>
        <w:rPr>
          <w:rFonts w:ascii="Times New Roman" w:hAnsi="Times New Roman"/>
          <w:b/>
          <w:noProof/>
          <w:sz w:val="24"/>
        </w:rPr>
        <w:t xml:space="preserve"> miliarde EUR.</w:t>
      </w:r>
    </w:p>
    <w:p w14:paraId="05F403D3" w14:textId="37EB5871" w:rsidR="00F42B1B" w:rsidRPr="00610CE3" w:rsidRDefault="09FA6AC7"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Datorită garanțiilor oferite de Cadrul de investiții pentru Ucraina, care au avut un rol esențial în atenuarea riscurilor de investiții, multe operațiuni s-au materializat deja în Ucraina în </w:t>
      </w:r>
      <w:r w:rsidRPr="00DA3B61">
        <w:rPr>
          <w:rFonts w:ascii="Times New Roman" w:hAnsi="Times New Roman"/>
          <w:noProof/>
          <w:sz w:val="24"/>
        </w:rPr>
        <w:t>2024</w:t>
      </w:r>
      <w:r>
        <w:rPr>
          <w:rFonts w:ascii="Times New Roman" w:hAnsi="Times New Roman"/>
          <w:noProof/>
          <w:sz w:val="24"/>
        </w:rPr>
        <w:t>.</w:t>
      </w:r>
    </w:p>
    <w:p w14:paraId="2C3D1084" w14:textId="5AACCA2E" w:rsidR="00F42B1B" w:rsidRPr="00610CE3" w:rsidRDefault="5722EF4C" w:rsidP="00CC0E0E">
      <w:pPr>
        <w:pStyle w:val="ListParagraph"/>
        <w:numPr>
          <w:ilvl w:val="0"/>
          <w:numId w:val="32"/>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Una dintre </w:t>
      </w:r>
      <w:r>
        <w:rPr>
          <w:rFonts w:ascii="Times New Roman" w:hAnsi="Times New Roman"/>
          <w:b/>
          <w:noProof/>
          <w:sz w:val="24"/>
        </w:rPr>
        <w:t>cele mai mari investiții străine în Ucraina de la independența sa</w:t>
      </w:r>
      <w:r>
        <w:rPr>
          <w:rFonts w:ascii="Times New Roman" w:hAnsi="Times New Roman"/>
          <w:noProof/>
          <w:sz w:val="24"/>
        </w:rPr>
        <w:t>. Achiziționarea a doi operatori de telecomunicații (Lifecell și Datagroup Volia) de către un investitor francez, creând un operator integrat principal cu un plan solid de investiții pentru infrastructura de telecomunicații și îmbunătățirea conectivității digitale. Această tranzacție a fost cofinanțată de Corporația Financiară Internațională, susținută de o garanție din Cadrul de investiții pentru Ucraina.</w:t>
      </w:r>
    </w:p>
    <w:p w14:paraId="4079B3BD" w14:textId="31D52C77" w:rsidR="00F42B1B" w:rsidRPr="00610CE3" w:rsidRDefault="015D3C14" w:rsidP="00CC0E0E">
      <w:pPr>
        <w:pStyle w:val="ListParagraph"/>
        <w:numPr>
          <w:ilvl w:val="0"/>
          <w:numId w:val="32"/>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w:t>
      </w:r>
      <w:r>
        <w:rPr>
          <w:rFonts w:ascii="Times New Roman" w:hAnsi="Times New Roman"/>
          <w:b/>
          <w:noProof/>
          <w:sz w:val="24"/>
        </w:rPr>
        <w:t>investiție emblematică de tip greenfield în energia din surse regenerabile</w:t>
      </w:r>
      <w:r>
        <w:rPr>
          <w:rFonts w:ascii="Times New Roman" w:hAnsi="Times New Roman"/>
          <w:noProof/>
          <w:sz w:val="24"/>
        </w:rPr>
        <w:t xml:space="preserve">, prin care s-a cofinanțat construirea unui nou parc eolian în regiunea Volyn cu o capacitate de </w:t>
      </w:r>
      <w:r w:rsidRPr="00DA3B61">
        <w:rPr>
          <w:rFonts w:ascii="Times New Roman" w:hAnsi="Times New Roman"/>
          <w:noProof/>
          <w:sz w:val="24"/>
        </w:rPr>
        <w:t>147</w:t>
      </w:r>
      <w:r>
        <w:rPr>
          <w:rFonts w:ascii="Times New Roman" w:hAnsi="Times New Roman"/>
          <w:noProof/>
          <w:sz w:val="24"/>
        </w:rPr>
        <w:t> MW, cofinanțat de BERD și IFC cu o garanție sprijinită de UE.</w:t>
      </w:r>
    </w:p>
    <w:p w14:paraId="6A26B0AA" w14:textId="5721F932" w:rsidR="00F42B1B" w:rsidRPr="00610CE3" w:rsidRDefault="21E3CA9A" w:rsidP="00CC0E0E">
      <w:pPr>
        <w:pStyle w:val="ListParagraph"/>
        <w:numPr>
          <w:ilvl w:val="0"/>
          <w:numId w:val="32"/>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împrumut esențial acordat orașului Kiev a fost deblocat de garanția UIF, care a permis acordarea de sprijin de urgență sub formă de lichidități pentru încălzirea centralizată municipală pentru a asigura </w:t>
      </w:r>
      <w:r>
        <w:rPr>
          <w:rFonts w:ascii="Times New Roman" w:hAnsi="Times New Roman"/>
          <w:b/>
          <w:noProof/>
          <w:sz w:val="24"/>
        </w:rPr>
        <w:t xml:space="preserve">furnizarea neîntreruptă de căldură pe parcursul iernii </w:t>
      </w:r>
      <w:r w:rsidRPr="00DA3B61">
        <w:rPr>
          <w:rFonts w:ascii="Times New Roman" w:hAnsi="Times New Roman"/>
          <w:b/>
          <w:noProof/>
          <w:sz w:val="24"/>
        </w:rPr>
        <w:t>2024</w:t>
      </w:r>
      <w:r>
        <w:rPr>
          <w:rFonts w:ascii="Times New Roman" w:hAnsi="Times New Roman"/>
          <w:b/>
          <w:noProof/>
          <w:sz w:val="24"/>
        </w:rPr>
        <w:t>/</w:t>
      </w:r>
      <w:r w:rsidRPr="00DA3B61">
        <w:rPr>
          <w:rFonts w:ascii="Times New Roman" w:hAnsi="Times New Roman"/>
          <w:b/>
          <w:noProof/>
          <w:sz w:val="24"/>
        </w:rPr>
        <w:t>2025</w:t>
      </w:r>
      <w:r>
        <w:rPr>
          <w:rFonts w:ascii="Times New Roman" w:hAnsi="Times New Roman"/>
          <w:b/>
          <w:noProof/>
          <w:sz w:val="24"/>
        </w:rPr>
        <w:t>,</w:t>
      </w:r>
      <w:r>
        <w:rPr>
          <w:rFonts w:ascii="Times New Roman" w:hAnsi="Times New Roman"/>
          <w:noProof/>
          <w:sz w:val="24"/>
        </w:rPr>
        <w:t xml:space="preserve"> prin garantarea unui împrumut acordat de BERD.</w:t>
      </w:r>
    </w:p>
    <w:p w14:paraId="5FA4A749" w14:textId="5552FE1C" w:rsidR="00F42B1B" w:rsidRPr="00610CE3" w:rsidRDefault="1E771D9F" w:rsidP="00CC0E0E">
      <w:pPr>
        <w:pStyle w:val="ListParagraph"/>
        <w:numPr>
          <w:ilvl w:val="0"/>
          <w:numId w:val="32"/>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nou împrumut BERD acordat Nova Poshta, deblocat de garanția UIF, pentru a finanța extinderea și modernizarea </w:t>
      </w:r>
      <w:r>
        <w:rPr>
          <w:rFonts w:ascii="Times New Roman" w:hAnsi="Times New Roman"/>
          <w:b/>
          <w:noProof/>
          <w:sz w:val="24"/>
        </w:rPr>
        <w:t>rețelei sale de terminale de colete și sucursale</w:t>
      </w:r>
      <w:r>
        <w:rPr>
          <w:rFonts w:ascii="Times New Roman" w:hAnsi="Times New Roman"/>
          <w:noProof/>
          <w:sz w:val="24"/>
        </w:rPr>
        <w:t xml:space="preserve">, este însoțit de măsuri cu un impact social puternic, </w:t>
      </w:r>
      <w:r>
        <w:rPr>
          <w:rFonts w:ascii="Times New Roman" w:hAnsi="Times New Roman"/>
          <w:b/>
          <w:noProof/>
          <w:sz w:val="24"/>
        </w:rPr>
        <w:t xml:space="preserve">construind peste </w:t>
      </w:r>
      <w:r w:rsidRPr="00DA3B61">
        <w:rPr>
          <w:rFonts w:ascii="Times New Roman" w:hAnsi="Times New Roman"/>
          <w:b/>
          <w:noProof/>
          <w:sz w:val="24"/>
        </w:rPr>
        <w:t>600</w:t>
      </w:r>
      <w:r>
        <w:rPr>
          <w:rFonts w:ascii="Times New Roman" w:hAnsi="Times New Roman"/>
          <w:b/>
          <w:noProof/>
          <w:sz w:val="24"/>
        </w:rPr>
        <w:t xml:space="preserve"> de adăposturi antiaeriene</w:t>
      </w:r>
      <w:r>
        <w:rPr>
          <w:rFonts w:ascii="Times New Roman" w:hAnsi="Times New Roman"/>
          <w:noProof/>
          <w:sz w:val="24"/>
        </w:rPr>
        <w:t xml:space="preserve">, derulând programe pentru a crea </w:t>
      </w:r>
      <w:r>
        <w:rPr>
          <w:rFonts w:ascii="Times New Roman" w:hAnsi="Times New Roman"/>
          <w:b/>
          <w:noProof/>
          <w:sz w:val="24"/>
        </w:rPr>
        <w:t>locuri de muncă pentru veteranii de război și femeile vulnerabile.</w:t>
      </w:r>
    </w:p>
    <w:p w14:paraId="00CE71B8" w14:textId="67EC31A9" w:rsidR="19A50A34" w:rsidRPr="00610CE3" w:rsidRDefault="21EC5AFE"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 baza acestui impuls, în septembrie </w:t>
      </w:r>
      <w:r w:rsidRPr="00DA3B61">
        <w:rPr>
          <w:rFonts w:ascii="Times New Roman" w:hAnsi="Times New Roman"/>
          <w:noProof/>
          <w:sz w:val="24"/>
        </w:rPr>
        <w:t>2024</w:t>
      </w:r>
      <w:r>
        <w:rPr>
          <w:rFonts w:ascii="Times New Roman" w:hAnsi="Times New Roman"/>
          <w:noProof/>
          <w:sz w:val="24"/>
        </w:rPr>
        <w:t xml:space="preserve"> a fost lansată o nouă rundă de </w:t>
      </w:r>
      <w:r>
        <w:rPr>
          <w:rFonts w:ascii="Times New Roman" w:hAnsi="Times New Roman"/>
          <w:b/>
          <w:noProof/>
          <w:sz w:val="24"/>
        </w:rPr>
        <w:t>cereri de propuneri ale UIF pentru investiții publice, operațiuni directe din sectorul privat și operațiuni de capital intermediate</w:t>
      </w:r>
      <w:r>
        <w:rPr>
          <w:rFonts w:ascii="Times New Roman" w:hAnsi="Times New Roman"/>
          <w:noProof/>
          <w:sz w:val="24"/>
        </w:rPr>
        <w:t xml:space="preserve">, cu o alocare orientativă de </w:t>
      </w:r>
      <w:r w:rsidRPr="00DA3B61">
        <w:rPr>
          <w:rFonts w:ascii="Times New Roman" w:hAnsi="Times New Roman"/>
          <w:b/>
          <w:noProof/>
          <w:sz w:val="24"/>
        </w:rPr>
        <w:t>2</w:t>
      </w:r>
      <w:r>
        <w:rPr>
          <w:rFonts w:ascii="Times New Roman" w:hAnsi="Times New Roman"/>
          <w:b/>
          <w:noProof/>
          <w:sz w:val="24"/>
        </w:rPr>
        <w:t>,</w:t>
      </w:r>
      <w:r w:rsidRPr="00DA3B61">
        <w:rPr>
          <w:rFonts w:ascii="Times New Roman" w:hAnsi="Times New Roman"/>
          <w:b/>
          <w:noProof/>
          <w:sz w:val="24"/>
        </w:rPr>
        <w:t>75</w:t>
      </w:r>
      <w:r>
        <w:rPr>
          <w:rFonts w:ascii="Times New Roman" w:hAnsi="Times New Roman"/>
          <w:b/>
          <w:noProof/>
          <w:sz w:val="24"/>
        </w:rPr>
        <w:t xml:space="preserve"> miliarde EUR</w:t>
      </w:r>
      <w:r>
        <w:rPr>
          <w:rFonts w:ascii="Times New Roman" w:hAnsi="Times New Roman"/>
          <w:noProof/>
          <w:sz w:val="24"/>
        </w:rPr>
        <w:t>. Cererea de propuneri va rămâne deschisă timp de cel puțin un an, cu termene intermediare.</w:t>
      </w:r>
    </w:p>
    <w:p w14:paraId="687E4322" w14:textId="101BAAD4" w:rsidR="00583CDC" w:rsidRPr="00610CE3" w:rsidRDefault="58B7720E"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Acțiunile din cadrul </w:t>
      </w:r>
      <w:r>
        <w:rPr>
          <w:rFonts w:ascii="Times New Roman" w:hAnsi="Times New Roman"/>
          <w:b/>
          <w:noProof/>
          <w:sz w:val="24"/>
        </w:rPr>
        <w:t>pilonului II</w:t>
      </w:r>
      <w:r>
        <w:rPr>
          <w:rFonts w:ascii="Times New Roman" w:hAnsi="Times New Roman"/>
          <w:noProof/>
          <w:sz w:val="24"/>
        </w:rPr>
        <w:t xml:space="preserve"> au fost puse în aplicare în conformitate cu principiile privind aprovizionarea și achizițiile publice prevăzute la </w:t>
      </w:r>
      <w:r>
        <w:rPr>
          <w:rFonts w:ascii="Times New Roman" w:hAnsi="Times New Roman"/>
          <w:b/>
          <w:noProof/>
          <w:sz w:val="24"/>
        </w:rPr>
        <w:t>articolul </w:t>
      </w:r>
      <w:r w:rsidRPr="00DA3B61">
        <w:rPr>
          <w:rFonts w:ascii="Times New Roman" w:hAnsi="Times New Roman"/>
          <w:b/>
          <w:noProof/>
          <w:sz w:val="24"/>
        </w:rPr>
        <w:t>11</w:t>
      </w:r>
      <w:r>
        <w:rPr>
          <w:rFonts w:ascii="Times New Roman" w:hAnsi="Times New Roman"/>
          <w:b/>
          <w:noProof/>
          <w:sz w:val="24"/>
        </w:rPr>
        <w:t xml:space="preserve"> din Regulamentul</w:t>
      </w:r>
      <w:r w:rsidR="00D61A7D">
        <w:rPr>
          <w:rFonts w:ascii="Times New Roman" w:hAnsi="Times New Roman"/>
          <w:b/>
          <w:noProof/>
          <w:sz w:val="24"/>
        </w:rPr>
        <w:t> </w:t>
      </w:r>
      <w:r>
        <w:rPr>
          <w:rFonts w:ascii="Times New Roman" w:hAnsi="Times New Roman"/>
          <w:b/>
          <w:noProof/>
          <w:sz w:val="24"/>
        </w:rPr>
        <w:t>(UE)</w:t>
      </w:r>
      <w:r w:rsidR="00D61A7D">
        <w:rPr>
          <w:rFonts w:ascii="Times New Roman" w:hAnsi="Times New Roman"/>
          <w:b/>
          <w:noProof/>
          <w:sz w:val="24"/>
        </w:rPr>
        <w:t> </w:t>
      </w:r>
      <w:r w:rsidRPr="00DA3B61">
        <w:rPr>
          <w:rFonts w:ascii="Times New Roman" w:hAnsi="Times New Roman"/>
          <w:b/>
          <w:noProof/>
          <w:sz w:val="24"/>
        </w:rPr>
        <w:t>2024</w:t>
      </w:r>
      <w:r>
        <w:rPr>
          <w:rFonts w:ascii="Times New Roman" w:hAnsi="Times New Roman"/>
          <w:b/>
          <w:noProof/>
          <w:sz w:val="24"/>
        </w:rPr>
        <w:t>/</w:t>
      </w:r>
      <w:r w:rsidRPr="00DA3B61">
        <w:rPr>
          <w:rFonts w:ascii="Times New Roman" w:hAnsi="Times New Roman"/>
          <w:b/>
          <w:noProof/>
          <w:sz w:val="24"/>
        </w:rPr>
        <w:t>792</w:t>
      </w:r>
      <w:r>
        <w:rPr>
          <w:rFonts w:ascii="Times New Roman" w:hAnsi="Times New Roman"/>
          <w:b/>
          <w:noProof/>
          <w:sz w:val="24"/>
        </w:rPr>
        <w:t xml:space="preserve">. </w:t>
      </w:r>
      <w:r>
        <w:rPr>
          <w:rFonts w:ascii="Times New Roman" w:hAnsi="Times New Roman"/>
          <w:noProof/>
          <w:sz w:val="24"/>
        </w:rPr>
        <w:t xml:space="preserve">Acordurile de garantare complementare și operațiunile de finanțare mixtă au fost semnate în iunie </w:t>
      </w:r>
      <w:r w:rsidRPr="00DA3B61">
        <w:rPr>
          <w:rFonts w:ascii="Times New Roman" w:hAnsi="Times New Roman"/>
          <w:noProof/>
          <w:sz w:val="24"/>
        </w:rPr>
        <w:t>2024</w:t>
      </w:r>
      <w:r>
        <w:rPr>
          <w:rFonts w:ascii="Times New Roman" w:hAnsi="Times New Roman"/>
          <w:noProof/>
          <w:sz w:val="24"/>
        </w:rPr>
        <w:t xml:space="preserve"> și puse în aplicare ca măsuri urgente pentru a răspunde nevoilor imediate de reconstrucție și reabilitare, în special în sectorul energetic.</w:t>
      </w:r>
    </w:p>
    <w:p w14:paraId="2E266BCB" w14:textId="08D8D0FD" w:rsidR="00D859DA" w:rsidRPr="00610CE3" w:rsidRDefault="1423A0F3" w:rsidP="00B66D69">
      <w:pPr>
        <w:spacing w:before="400" w:after="160" w:line="240" w:lineRule="auto"/>
        <w:ind w:left="720"/>
        <w:jc w:val="both"/>
        <w:rPr>
          <w:rFonts w:ascii="Times New Roman" w:eastAsia="Times New Roman" w:hAnsi="Times New Roman" w:cs="Times New Roman"/>
          <w:noProof/>
          <w:sz w:val="24"/>
          <w:szCs w:val="24"/>
        </w:rPr>
      </w:pPr>
      <w:r w:rsidRPr="00DA3B61">
        <w:rPr>
          <w:rFonts w:ascii="Times New Roman" w:hAnsi="Times New Roman"/>
          <w:b/>
          <w:i/>
          <w:noProof/>
          <w:sz w:val="24"/>
        </w:rPr>
        <w:t>2</w:t>
      </w:r>
      <w:r>
        <w:rPr>
          <w:rFonts w:ascii="Times New Roman" w:hAnsi="Times New Roman"/>
          <w:b/>
          <w:i/>
          <w:noProof/>
          <w:sz w:val="24"/>
        </w:rPr>
        <w:t>.c.</w:t>
      </w:r>
      <w:r>
        <w:rPr>
          <w:noProof/>
        </w:rPr>
        <w:tab/>
      </w:r>
      <w:r>
        <w:rPr>
          <w:rFonts w:ascii="Times New Roman" w:hAnsi="Times New Roman"/>
          <w:b/>
          <w:i/>
          <w:noProof/>
          <w:sz w:val="24"/>
        </w:rPr>
        <w:t>Pilonul III</w:t>
      </w:r>
    </w:p>
    <w:p w14:paraId="4BB3224A" w14:textId="00D62D8A" w:rsidR="00721DCB" w:rsidRPr="00610CE3" w:rsidRDefault="52BF30A2"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Pilonul III se axează pe furnizarea de </w:t>
      </w:r>
      <w:r>
        <w:rPr>
          <w:rFonts w:ascii="Times New Roman" w:hAnsi="Times New Roman"/>
          <w:b/>
          <w:noProof/>
          <w:sz w:val="24"/>
        </w:rPr>
        <w:t>asistență tehnică și pe măsuri de sprijin pentru a facilita alinierea Ucrainei la actele cu putere de lege și normele administrative ale UE</w:t>
      </w:r>
      <w:r>
        <w:rPr>
          <w:rFonts w:ascii="Times New Roman" w:hAnsi="Times New Roman"/>
          <w:noProof/>
          <w:sz w:val="24"/>
        </w:rPr>
        <w:t>. Pilonul finanțează activitățile de cooperare tehnică puse în aplicare pe parcursul mai multor ani, cum ar fi inițiativele de consolidare a capacităților, inclusiv partenerii sociali, organizațiile societății civile, precum și autoritățile locale și regionale, precum și asistența acordată Ucrainei pentru punerea în aplicare a reformelor necesare pentru aderarea la UE și pentru a asigura utilizarea eficace a asistenței financiare.</w:t>
      </w:r>
    </w:p>
    <w:p w14:paraId="0F5DB998" w14:textId="4C851750" w:rsidR="52BF30A2" w:rsidRPr="00610CE3" w:rsidRDefault="670B35F6"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Pilonul III finanțează, de asemenea, </w:t>
      </w:r>
      <w:r>
        <w:rPr>
          <w:rFonts w:ascii="Times New Roman" w:hAnsi="Times New Roman"/>
          <w:b/>
          <w:noProof/>
          <w:sz w:val="24"/>
        </w:rPr>
        <w:t>subvențiile la dobândă pentru costurile împrumuturilor</w:t>
      </w:r>
      <w:r>
        <w:rPr>
          <w:rFonts w:ascii="Times New Roman" w:hAnsi="Times New Roman"/>
          <w:noProof/>
          <w:sz w:val="24"/>
        </w:rPr>
        <w:t xml:space="preserve"> acordate în cadrul pilonului I al mecanismului și în cadrul asistenței macrofinanciare anterioare. În plus, acesta finanțează </w:t>
      </w:r>
      <w:r>
        <w:rPr>
          <w:rFonts w:ascii="Times New Roman" w:hAnsi="Times New Roman"/>
          <w:b/>
          <w:noProof/>
          <w:sz w:val="24"/>
        </w:rPr>
        <w:t>funcționarea Comisiei de audit a Mecanismului pentru Ucraina</w:t>
      </w:r>
      <w:r>
        <w:rPr>
          <w:rFonts w:ascii="Times New Roman" w:hAnsi="Times New Roman"/>
          <w:noProof/>
          <w:sz w:val="24"/>
        </w:rPr>
        <w:t xml:space="preserve"> și sprijină alte inițiative menite să răspundă agresiunii Rusiei împotriva Ucrainei, inclusiv asigurarea respectării dreptului internațional în legătură cu crimele comise de Rusia pe teritoriul Ucrainei.</w:t>
      </w:r>
    </w:p>
    <w:p w14:paraId="5875387D" w14:textId="45EA1A63" w:rsidR="00D86CBC" w:rsidRPr="00610CE3" w:rsidRDefault="394EBEEF"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A3B61">
        <w:rPr>
          <w:rFonts w:ascii="Times New Roman" w:hAnsi="Times New Roman"/>
          <w:noProof/>
          <w:sz w:val="24"/>
        </w:rPr>
        <w:t>2024</w:t>
      </w:r>
      <w:r>
        <w:rPr>
          <w:rFonts w:ascii="Times New Roman" w:hAnsi="Times New Roman"/>
          <w:noProof/>
          <w:sz w:val="24"/>
        </w:rPr>
        <w:t xml:space="preserve">, a fost adoptat primul program anual de lucru din cadrul pilonului III al mecanismului, </w:t>
      </w:r>
      <w:r>
        <w:rPr>
          <w:rFonts w:ascii="Times New Roman" w:hAnsi="Times New Roman"/>
          <w:b/>
          <w:noProof/>
          <w:sz w:val="24"/>
        </w:rPr>
        <w:t xml:space="preserve">mobilizând peste </w:t>
      </w:r>
      <w:r w:rsidRPr="00DA3B61">
        <w:rPr>
          <w:rFonts w:ascii="Times New Roman" w:hAnsi="Times New Roman"/>
          <w:b/>
          <w:noProof/>
          <w:sz w:val="24"/>
        </w:rPr>
        <w:t>488</w:t>
      </w:r>
      <w:r>
        <w:rPr>
          <w:rFonts w:ascii="Times New Roman" w:hAnsi="Times New Roman"/>
          <w:b/>
          <w:noProof/>
          <w:sz w:val="24"/>
        </w:rPr>
        <w:t xml:space="preserve"> de milioane EUR</w:t>
      </w:r>
      <w:r>
        <w:rPr>
          <w:rFonts w:ascii="Times New Roman" w:hAnsi="Times New Roman"/>
          <w:noProof/>
          <w:sz w:val="24"/>
        </w:rPr>
        <w:t>.</w:t>
      </w:r>
    </w:p>
    <w:p w14:paraId="130228EF" w14:textId="1A58AD69" w:rsidR="00D859DA" w:rsidRPr="00610CE3" w:rsidRDefault="007F12CE" w:rsidP="16B3559F">
      <w:pPr>
        <w:spacing w:after="160" w:line="240" w:lineRule="auto"/>
        <w:ind w:left="720"/>
        <w:jc w:val="both"/>
        <w:rPr>
          <w:rFonts w:ascii="Times New Roman" w:hAnsi="Times New Roman" w:cs="Times New Roman"/>
          <w:i/>
          <w:noProof/>
          <w:sz w:val="24"/>
          <w:szCs w:val="24"/>
          <w:u w:val="single"/>
        </w:rPr>
      </w:pPr>
      <w:r w:rsidRPr="00DA3B61">
        <w:rPr>
          <w:rFonts w:ascii="Times New Roman" w:hAnsi="Times New Roman"/>
          <w:i/>
          <w:noProof/>
          <w:sz w:val="24"/>
          <w:u w:val="single"/>
        </w:rPr>
        <w:t>2</w:t>
      </w:r>
      <w:r>
        <w:rPr>
          <w:rFonts w:ascii="Times New Roman" w:hAnsi="Times New Roman"/>
          <w:i/>
          <w:noProof/>
          <w:sz w:val="24"/>
          <w:u w:val="single"/>
        </w:rPr>
        <w:t>.c.i Punerea în aplicare a Facilității de cooperare tehnică</w:t>
      </w:r>
    </w:p>
    <w:p w14:paraId="1BCFCD14" w14:textId="3A9BF539" w:rsidR="00C72EBD" w:rsidRPr="00610CE3" w:rsidRDefault="4F7DD86C"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Acțiunea „Facilitatea de cooperare tehnică pentru Ucraina </w:t>
      </w:r>
      <w:r w:rsidRPr="00DA3B61">
        <w:rPr>
          <w:rFonts w:ascii="Times New Roman" w:hAnsi="Times New Roman"/>
          <w:noProof/>
          <w:sz w:val="24"/>
        </w:rPr>
        <w:t>2024</w:t>
      </w:r>
      <w:r>
        <w:rPr>
          <w:rFonts w:ascii="Times New Roman" w:hAnsi="Times New Roman"/>
          <w:noProof/>
          <w:sz w:val="24"/>
        </w:rPr>
        <w:t xml:space="preserve"> (TCF </w:t>
      </w:r>
      <w:r w:rsidRPr="00DA3B61">
        <w:rPr>
          <w:rFonts w:ascii="Times New Roman" w:hAnsi="Times New Roman"/>
          <w:noProof/>
          <w:sz w:val="24"/>
        </w:rPr>
        <w:t>2024</w:t>
      </w:r>
      <w:r>
        <w:rPr>
          <w:rFonts w:ascii="Times New Roman" w:hAnsi="Times New Roman"/>
          <w:noProof/>
          <w:sz w:val="24"/>
        </w:rPr>
        <w:t xml:space="preserve">)”, cu un buget angajat de aproximativ </w:t>
      </w:r>
      <w:r w:rsidRPr="00DA3B61">
        <w:rPr>
          <w:rFonts w:ascii="Times New Roman" w:hAnsi="Times New Roman"/>
          <w:noProof/>
          <w:sz w:val="24"/>
        </w:rPr>
        <w:t>248</w:t>
      </w:r>
      <w:r>
        <w:rPr>
          <w:rFonts w:ascii="Times New Roman" w:hAnsi="Times New Roman"/>
          <w:noProof/>
          <w:sz w:val="24"/>
        </w:rPr>
        <w:t xml:space="preserve"> de milioane EUR, este concepută pentru a facilita alinierea progresivă a Ucrainei la acquis-ul UE în vederea viitoarei aderări la UE și pentru a sprijini punerea în aplicare a Planului pentru Ucraina. În același timp, aceasta consolidează reziliența și capacitatea Ucrainei de a răspunde impactului devastator al războiului de agresiune al Rusiei împotriva Ucrainei.</w:t>
      </w:r>
    </w:p>
    <w:p w14:paraId="7AFE5419" w14:textId="4E9258FB" w:rsidR="4F7DD86C" w:rsidRPr="00610CE3" w:rsidRDefault="3C627F02"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 instrument flexibil și reactiv, TCF </w:t>
      </w:r>
      <w:r w:rsidRPr="00DA3B61">
        <w:rPr>
          <w:rFonts w:ascii="Times New Roman" w:hAnsi="Times New Roman"/>
          <w:noProof/>
          <w:sz w:val="24"/>
        </w:rPr>
        <w:t>2024</w:t>
      </w:r>
      <w:r>
        <w:rPr>
          <w:rFonts w:ascii="Times New Roman" w:hAnsi="Times New Roman"/>
          <w:noProof/>
          <w:sz w:val="24"/>
        </w:rPr>
        <w:t xml:space="preserve"> oferă </w:t>
      </w:r>
      <w:r>
        <w:rPr>
          <w:rFonts w:ascii="Times New Roman" w:hAnsi="Times New Roman"/>
          <w:b/>
          <w:noProof/>
          <w:sz w:val="24"/>
        </w:rPr>
        <w:t>asistență personalizată</w:t>
      </w:r>
      <w:r>
        <w:rPr>
          <w:rFonts w:ascii="Times New Roman" w:hAnsi="Times New Roman"/>
          <w:noProof/>
          <w:sz w:val="24"/>
        </w:rPr>
        <w:t xml:space="preserve">, adaptându-se la nevoile în continuă evoluție ale Ucrainei. De asemenea, sprijină </w:t>
      </w:r>
      <w:r>
        <w:rPr>
          <w:rFonts w:ascii="Times New Roman" w:hAnsi="Times New Roman"/>
          <w:b/>
          <w:noProof/>
          <w:sz w:val="24"/>
        </w:rPr>
        <w:t>comunicarea strategică</w:t>
      </w:r>
      <w:r>
        <w:rPr>
          <w:rFonts w:ascii="Times New Roman" w:hAnsi="Times New Roman"/>
          <w:noProof/>
          <w:sz w:val="24"/>
        </w:rPr>
        <w:t xml:space="preserve">, </w:t>
      </w:r>
      <w:r>
        <w:rPr>
          <w:rFonts w:ascii="Times New Roman" w:hAnsi="Times New Roman"/>
          <w:b/>
          <w:noProof/>
          <w:sz w:val="24"/>
        </w:rPr>
        <w:t>diplomația publică</w:t>
      </w:r>
      <w:r>
        <w:rPr>
          <w:rFonts w:ascii="Times New Roman" w:hAnsi="Times New Roman"/>
          <w:noProof/>
          <w:sz w:val="24"/>
        </w:rPr>
        <w:t xml:space="preserve"> și </w:t>
      </w:r>
      <w:r>
        <w:rPr>
          <w:rFonts w:ascii="Times New Roman" w:hAnsi="Times New Roman"/>
          <w:b/>
          <w:noProof/>
          <w:sz w:val="24"/>
        </w:rPr>
        <w:t>colaborarea cu societatea civilă și cu actorii culturali</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toate acestea fiind esențiale pentru consolidarea </w:t>
      </w:r>
      <w:r>
        <w:rPr>
          <w:rFonts w:ascii="Times New Roman" w:hAnsi="Times New Roman"/>
          <w:b/>
          <w:noProof/>
          <w:sz w:val="24"/>
        </w:rPr>
        <w:t>vizibilității pozitive a UE</w:t>
      </w:r>
      <w:r>
        <w:rPr>
          <w:rFonts w:ascii="Times New Roman" w:hAnsi="Times New Roman"/>
          <w:noProof/>
          <w:sz w:val="24"/>
        </w:rPr>
        <w:t xml:space="preserve"> în Ucraina.</w:t>
      </w:r>
    </w:p>
    <w:p w14:paraId="712900FC" w14:textId="59AFFD67" w:rsidR="4F7DD86C" w:rsidRPr="00610CE3" w:rsidRDefault="3C627F02" w:rsidP="00CC0E0E">
      <w:pPr>
        <w:spacing w:after="160" w:line="240" w:lineRule="auto"/>
        <w:jc w:val="both"/>
        <w:rPr>
          <w:rFonts w:ascii="Times New Roman" w:hAnsi="Times New Roman"/>
          <w:noProof/>
          <w:sz w:val="24"/>
          <w:szCs w:val="24"/>
        </w:rPr>
      </w:pPr>
      <w:r>
        <w:rPr>
          <w:rFonts w:ascii="Times New Roman" w:hAnsi="Times New Roman"/>
          <w:noProof/>
          <w:sz w:val="24"/>
        </w:rPr>
        <w:t xml:space="preserve">În noiembrie </w:t>
      </w:r>
      <w:r w:rsidRPr="00DA3B61">
        <w:rPr>
          <w:rFonts w:ascii="Times New Roman" w:hAnsi="Times New Roman"/>
          <w:noProof/>
          <w:sz w:val="24"/>
        </w:rPr>
        <w:t>2024</w:t>
      </w:r>
      <w:r>
        <w:rPr>
          <w:rFonts w:ascii="Times New Roman" w:hAnsi="Times New Roman"/>
          <w:noProof/>
          <w:sz w:val="24"/>
        </w:rPr>
        <w:t xml:space="preserve">, bugetul TCF </w:t>
      </w:r>
      <w:r w:rsidRPr="00DA3B61">
        <w:rPr>
          <w:rFonts w:ascii="Times New Roman" w:hAnsi="Times New Roman"/>
          <w:noProof/>
          <w:sz w:val="24"/>
        </w:rPr>
        <w:t>2024</w:t>
      </w:r>
      <w:r>
        <w:rPr>
          <w:rFonts w:ascii="Times New Roman" w:hAnsi="Times New Roman"/>
          <w:noProof/>
          <w:sz w:val="24"/>
        </w:rPr>
        <w:t xml:space="preserve"> a fost majorat cu </w:t>
      </w:r>
      <w:r w:rsidRPr="00DA3B61">
        <w:rPr>
          <w:rFonts w:ascii="Times New Roman" w:hAnsi="Times New Roman"/>
          <w:b/>
          <w:noProof/>
          <w:sz w:val="24"/>
        </w:rPr>
        <w:t>105</w:t>
      </w:r>
      <w:r>
        <w:rPr>
          <w:rFonts w:ascii="Times New Roman" w:hAnsi="Times New Roman"/>
          <w:b/>
          <w:noProof/>
          <w:sz w:val="24"/>
        </w:rPr>
        <w:t xml:space="preserve"> milioane EUR</w:t>
      </w:r>
      <w:r>
        <w:rPr>
          <w:rFonts w:ascii="Times New Roman" w:hAnsi="Times New Roman"/>
          <w:noProof/>
          <w:sz w:val="24"/>
        </w:rPr>
        <w:t xml:space="preserve">, datorită profiturilor în valoare de </w:t>
      </w:r>
      <w:r w:rsidRPr="00DA3B61">
        <w:rPr>
          <w:rFonts w:ascii="Times New Roman" w:hAnsi="Times New Roman"/>
          <w:b/>
          <w:noProof/>
          <w:sz w:val="24"/>
        </w:rPr>
        <w:t>103</w:t>
      </w:r>
      <w:r>
        <w:rPr>
          <w:rFonts w:ascii="Times New Roman" w:hAnsi="Times New Roman"/>
          <w:b/>
          <w:noProof/>
          <w:sz w:val="24"/>
        </w:rPr>
        <w:t xml:space="preserve"> milioane EUR</w:t>
      </w:r>
      <w:r>
        <w:rPr>
          <w:rFonts w:ascii="Times New Roman" w:hAnsi="Times New Roman"/>
          <w:noProof/>
          <w:sz w:val="24"/>
        </w:rPr>
        <w:t xml:space="preserve"> din activele rusești imobilizate și unei contribuții suplimentare de </w:t>
      </w:r>
      <w:r w:rsidRPr="00DA3B61">
        <w:rPr>
          <w:rFonts w:ascii="Times New Roman" w:hAnsi="Times New Roman"/>
          <w:b/>
          <w:noProof/>
          <w:sz w:val="24"/>
        </w:rPr>
        <w:t>2</w:t>
      </w:r>
      <w:r>
        <w:rPr>
          <w:rFonts w:ascii="Times New Roman" w:hAnsi="Times New Roman"/>
          <w:b/>
          <w:noProof/>
          <w:sz w:val="24"/>
        </w:rPr>
        <w:t xml:space="preserve"> milioane EUR</w:t>
      </w:r>
      <w:r>
        <w:rPr>
          <w:rFonts w:ascii="Times New Roman" w:hAnsi="Times New Roman"/>
          <w:noProof/>
          <w:sz w:val="24"/>
        </w:rPr>
        <w:t xml:space="preserve"> din partea </w:t>
      </w:r>
      <w:r>
        <w:rPr>
          <w:rFonts w:ascii="Times New Roman" w:hAnsi="Times New Roman"/>
          <w:b/>
          <w:noProof/>
          <w:sz w:val="24"/>
        </w:rPr>
        <w:t>Danemarcei</w:t>
      </w:r>
      <w:r>
        <w:rPr>
          <w:rFonts w:ascii="Times New Roman" w:hAnsi="Times New Roman"/>
          <w:noProof/>
          <w:sz w:val="24"/>
        </w:rPr>
        <w:t xml:space="preserve">. Această modificare a consolidat în mod semnificativ capacitatea facilității de a sprijini priorități, cum ar fi </w:t>
      </w:r>
      <w:r>
        <w:rPr>
          <w:rFonts w:ascii="Times New Roman" w:hAnsi="Times New Roman"/>
          <w:b/>
          <w:noProof/>
          <w:sz w:val="24"/>
        </w:rPr>
        <w:t>refacerea infrastructurii energetice critice</w:t>
      </w:r>
      <w:r>
        <w:rPr>
          <w:rFonts w:ascii="Times New Roman" w:hAnsi="Times New Roman"/>
          <w:noProof/>
          <w:sz w:val="24"/>
        </w:rPr>
        <w:t>.</w:t>
      </w:r>
    </w:p>
    <w:p w14:paraId="7F755A52" w14:textId="4551C6D1" w:rsidR="0E96EB5E" w:rsidRPr="00610CE3" w:rsidRDefault="3C627F02" w:rsidP="00CC0E0E">
      <w:pPr>
        <w:spacing w:after="160" w:line="240" w:lineRule="auto"/>
        <w:jc w:val="both"/>
        <w:rPr>
          <w:rFonts w:ascii="Times New Roman" w:hAnsi="Times New Roman"/>
          <w:b/>
          <w:bCs/>
          <w:noProof/>
          <w:sz w:val="24"/>
          <w:szCs w:val="24"/>
        </w:rPr>
      </w:pPr>
      <w:r>
        <w:rPr>
          <w:rFonts w:ascii="Times New Roman" w:hAnsi="Times New Roman"/>
          <w:noProof/>
          <w:sz w:val="24"/>
        </w:rPr>
        <w:t xml:space="preserve">Punerea în aplicare a TCF </w:t>
      </w:r>
      <w:r w:rsidRPr="00DA3B61">
        <w:rPr>
          <w:rFonts w:ascii="Times New Roman" w:hAnsi="Times New Roman"/>
          <w:noProof/>
          <w:sz w:val="24"/>
        </w:rPr>
        <w:t>2024</w:t>
      </w:r>
      <w:r>
        <w:rPr>
          <w:rFonts w:ascii="Times New Roman" w:hAnsi="Times New Roman"/>
          <w:noProof/>
          <w:sz w:val="24"/>
        </w:rPr>
        <w:t xml:space="preserve"> este în plină desfășurare, cu peste </w:t>
      </w:r>
      <w:r w:rsidRPr="00DA3B61">
        <w:rPr>
          <w:rFonts w:ascii="Times New Roman" w:hAnsi="Times New Roman"/>
          <w:b/>
          <w:noProof/>
          <w:sz w:val="24"/>
        </w:rPr>
        <w:t>136</w:t>
      </w:r>
      <w:r>
        <w:rPr>
          <w:rFonts w:ascii="Times New Roman" w:hAnsi="Times New Roman"/>
          <w:b/>
          <w:noProof/>
          <w:sz w:val="24"/>
        </w:rPr>
        <w:t xml:space="preserve"> de milioane EUR, </w:t>
      </w:r>
      <w:r>
        <w:rPr>
          <w:rFonts w:ascii="Times New Roman" w:hAnsi="Times New Roman"/>
          <w:noProof/>
          <w:sz w:val="24"/>
        </w:rPr>
        <w:t xml:space="preserve">peste </w:t>
      </w:r>
      <w:r w:rsidRPr="00DA3B61">
        <w:rPr>
          <w:rFonts w:ascii="Times New Roman" w:hAnsi="Times New Roman"/>
          <w:noProof/>
          <w:sz w:val="24"/>
        </w:rPr>
        <w:t>50</w:t>
      </w:r>
      <w:r>
        <w:rPr>
          <w:rFonts w:ascii="Times New Roman" w:hAnsi="Times New Roman"/>
          <w:noProof/>
          <w:sz w:val="24"/>
        </w:rPr>
        <w:t xml:space="preserve"> % din bugetul total, contractat deja în </w:t>
      </w:r>
      <w:r w:rsidRPr="00DA3B61">
        <w:rPr>
          <w:rFonts w:ascii="Times New Roman" w:hAnsi="Times New Roman"/>
          <w:noProof/>
          <w:sz w:val="24"/>
        </w:rPr>
        <w:t>2024</w:t>
      </w:r>
      <w:r>
        <w:rPr>
          <w:rFonts w:ascii="Times New Roman" w:hAnsi="Times New Roman"/>
          <w:noProof/>
          <w:sz w:val="24"/>
        </w:rPr>
        <w:t xml:space="preserve">. Aceste fonduri se concentrează asupra priorităților-cheie: </w:t>
      </w:r>
      <w:r>
        <w:rPr>
          <w:rFonts w:ascii="Times New Roman" w:hAnsi="Times New Roman"/>
          <w:b/>
          <w:noProof/>
          <w:sz w:val="24"/>
        </w:rPr>
        <w:t>reziliența energetică</w:t>
      </w:r>
      <w:r>
        <w:rPr>
          <w:rFonts w:ascii="Times New Roman" w:hAnsi="Times New Roman"/>
          <w:noProof/>
          <w:sz w:val="24"/>
        </w:rPr>
        <w:t xml:space="preserve">, </w:t>
      </w:r>
      <w:r>
        <w:rPr>
          <w:rFonts w:ascii="Times New Roman" w:hAnsi="Times New Roman"/>
          <w:b/>
          <w:noProof/>
          <w:sz w:val="24"/>
        </w:rPr>
        <w:t>descentralizarea</w:t>
      </w:r>
      <w:r>
        <w:rPr>
          <w:rFonts w:ascii="Times New Roman" w:hAnsi="Times New Roman"/>
          <w:noProof/>
          <w:sz w:val="24"/>
        </w:rPr>
        <w:t xml:space="preserve"> și </w:t>
      </w:r>
      <w:r>
        <w:rPr>
          <w:rFonts w:ascii="Times New Roman" w:hAnsi="Times New Roman"/>
          <w:b/>
          <w:noProof/>
          <w:sz w:val="24"/>
        </w:rPr>
        <w:t>sprijinirea procesului de aderare a Ucrainei la UE</w:t>
      </w:r>
      <w:r>
        <w:rPr>
          <w:rFonts w:ascii="Times New Roman" w:hAnsi="Times New Roman"/>
          <w:noProof/>
          <w:sz w:val="24"/>
        </w:rPr>
        <w:t>.</w:t>
      </w:r>
    </w:p>
    <w:p w14:paraId="57D22EFF" w14:textId="2CD15747" w:rsidR="4F7DD86C" w:rsidRPr="00610CE3" w:rsidRDefault="00C72EBD" w:rsidP="7679E0CF">
      <w:pPr>
        <w:numPr>
          <w:ilvl w:val="0"/>
          <w:numId w:val="33"/>
        </w:numPr>
        <w:spacing w:after="160" w:line="240" w:lineRule="auto"/>
        <w:jc w:val="both"/>
        <w:rPr>
          <w:rFonts w:ascii="Times New Roman" w:hAnsi="Times New Roman"/>
          <w:noProof/>
          <w:sz w:val="24"/>
          <w:szCs w:val="24"/>
        </w:rPr>
      </w:pPr>
      <w:r>
        <w:rPr>
          <w:rFonts w:ascii="Times New Roman" w:hAnsi="Times New Roman"/>
          <w:noProof/>
          <w:sz w:val="24"/>
        </w:rPr>
        <w:t xml:space="preserve">În </w:t>
      </w:r>
      <w:r>
        <w:rPr>
          <w:rFonts w:ascii="Times New Roman" w:hAnsi="Times New Roman"/>
          <w:b/>
          <w:noProof/>
          <w:sz w:val="24"/>
        </w:rPr>
        <w:t>sectorul energetic</w:t>
      </w:r>
      <w:r>
        <w:rPr>
          <w:rFonts w:ascii="Times New Roman" w:hAnsi="Times New Roman"/>
          <w:noProof/>
          <w:sz w:val="24"/>
        </w:rPr>
        <w:t xml:space="preserve">, UE contribuie la reziliența energetică a Ucrainei prin sprijinirea </w:t>
      </w:r>
      <w:r>
        <w:rPr>
          <w:rFonts w:ascii="Times New Roman" w:hAnsi="Times New Roman"/>
          <w:b/>
          <w:noProof/>
          <w:sz w:val="24"/>
        </w:rPr>
        <w:t>Fondului de sprijin energetic pentru Ucraina</w:t>
      </w:r>
      <w:r>
        <w:rPr>
          <w:rFonts w:ascii="Times New Roman" w:hAnsi="Times New Roman"/>
          <w:noProof/>
          <w:sz w:val="24"/>
        </w:rPr>
        <w:t xml:space="preserve">, gestionat de </w:t>
      </w:r>
      <w:r>
        <w:rPr>
          <w:rFonts w:ascii="Times New Roman" w:hAnsi="Times New Roman"/>
          <w:b/>
          <w:noProof/>
          <w:sz w:val="24"/>
        </w:rPr>
        <w:t>Secretariatul Comunității Energiei</w:t>
      </w:r>
      <w:r>
        <w:rPr>
          <w:rFonts w:ascii="Times New Roman" w:hAnsi="Times New Roman"/>
          <w:noProof/>
          <w:sz w:val="24"/>
        </w:rPr>
        <w:t>. Acest fond facilitează furnizarea de echipamente de urgență și de materiale esențiale pentru stabilizarea sistemului energetic al Ucrainei.</w:t>
      </w:r>
    </w:p>
    <w:p w14:paraId="36D2F996" w14:textId="46A62225" w:rsidR="4F7DD86C" w:rsidRPr="00610CE3" w:rsidRDefault="3C627F02" w:rsidP="00CC0E0E">
      <w:pPr>
        <w:numPr>
          <w:ilvl w:val="0"/>
          <w:numId w:val="33"/>
        </w:numPr>
        <w:spacing w:after="16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reforma descentralizării</w:t>
      </w:r>
      <w:r>
        <w:rPr>
          <w:rFonts w:ascii="Times New Roman" w:hAnsi="Times New Roman"/>
          <w:noProof/>
          <w:sz w:val="24"/>
        </w:rPr>
        <w:t>, următoarea etapă a</w:t>
      </w:r>
      <w:r>
        <w:rPr>
          <w:rFonts w:ascii="Times New Roman" w:hAnsi="Times New Roman"/>
          <w:b/>
          <w:noProof/>
          <w:sz w:val="24"/>
        </w:rPr>
        <w:t xml:space="preserve"> inițiativei emblematice „U-LEAD with Europe” a Echipei Europa, </w:t>
      </w:r>
      <w:r>
        <w:rPr>
          <w:rFonts w:ascii="Times New Roman" w:hAnsi="Times New Roman"/>
          <w:noProof/>
          <w:sz w:val="24"/>
        </w:rPr>
        <w:t xml:space="preserve">cofinanțată de </w:t>
      </w:r>
      <w:r>
        <w:rPr>
          <w:rFonts w:ascii="Times New Roman" w:hAnsi="Times New Roman"/>
          <w:b/>
          <w:noProof/>
          <w:sz w:val="24"/>
        </w:rPr>
        <w:t xml:space="preserve">Germania și Danemarca, </w:t>
      </w:r>
      <w:r>
        <w:rPr>
          <w:rFonts w:ascii="Times New Roman" w:hAnsi="Times New Roman"/>
          <w:noProof/>
          <w:sz w:val="24"/>
        </w:rPr>
        <w:t>avansează. Misiunea sa este de a sprijini o guvernanță transparentă și responsabilă la nivel local și regional, contribuind în mod direct la reconstrucția Ucrainei.</w:t>
      </w:r>
    </w:p>
    <w:p w14:paraId="3CCF725F" w14:textId="4F71EFF2" w:rsidR="4F7DD86C" w:rsidRPr="00610CE3" w:rsidRDefault="00C72EBD" w:rsidP="7679E0CF">
      <w:pPr>
        <w:numPr>
          <w:ilvl w:val="0"/>
          <w:numId w:val="33"/>
        </w:numPr>
        <w:spacing w:after="160" w:line="240" w:lineRule="auto"/>
        <w:jc w:val="both"/>
        <w:rPr>
          <w:rFonts w:ascii="Times New Roman" w:hAnsi="Times New Roman"/>
          <w:noProof/>
          <w:sz w:val="24"/>
          <w:szCs w:val="24"/>
        </w:rPr>
      </w:pPr>
      <w:r>
        <w:rPr>
          <w:rFonts w:ascii="Times New Roman" w:hAnsi="Times New Roman"/>
          <w:noProof/>
          <w:sz w:val="24"/>
        </w:rPr>
        <w:t xml:space="preserve">Pentru a sprijini în continuare </w:t>
      </w:r>
      <w:r>
        <w:rPr>
          <w:rFonts w:ascii="Times New Roman" w:hAnsi="Times New Roman"/>
          <w:b/>
          <w:noProof/>
          <w:sz w:val="24"/>
        </w:rPr>
        <w:t>eforturile de aderare la UE</w:t>
      </w:r>
      <w:r>
        <w:rPr>
          <w:rFonts w:ascii="Times New Roman" w:hAnsi="Times New Roman"/>
          <w:noProof/>
          <w:sz w:val="24"/>
        </w:rPr>
        <w:t xml:space="preserve">, </w:t>
      </w:r>
      <w:r>
        <w:rPr>
          <w:rFonts w:ascii="Times New Roman" w:hAnsi="Times New Roman"/>
          <w:b/>
          <w:noProof/>
          <w:sz w:val="24"/>
        </w:rPr>
        <w:t>inițiativa lansată recent „Echipa Europa” „Ukraine</w:t>
      </w:r>
      <w:r w:rsidRPr="00DA3B61">
        <w:rPr>
          <w:rFonts w:ascii="Times New Roman" w:hAnsi="Times New Roman"/>
          <w:b/>
          <w:noProof/>
          <w:sz w:val="24"/>
        </w:rPr>
        <w:t>2</w:t>
      </w:r>
      <w:r>
        <w:rPr>
          <w:rFonts w:ascii="Times New Roman" w:hAnsi="Times New Roman"/>
          <w:b/>
          <w:noProof/>
          <w:sz w:val="24"/>
        </w:rPr>
        <w:t xml:space="preserve">EU – Programul UE de sprijin pentru integrarea Ucrainei” </w:t>
      </w:r>
      <w:r>
        <w:rPr>
          <w:rFonts w:ascii="Times New Roman" w:hAnsi="Times New Roman"/>
          <w:noProof/>
          <w:sz w:val="24"/>
        </w:rPr>
        <w:t xml:space="preserve">(cofinanțată de </w:t>
      </w:r>
      <w:r>
        <w:rPr>
          <w:rFonts w:ascii="Times New Roman" w:hAnsi="Times New Roman"/>
          <w:b/>
          <w:noProof/>
          <w:sz w:val="24"/>
        </w:rPr>
        <w:t>Danemarca și Lituania</w:t>
      </w:r>
      <w:r>
        <w:rPr>
          <w:rFonts w:ascii="Times New Roman" w:hAnsi="Times New Roman"/>
          <w:noProof/>
          <w:sz w:val="24"/>
        </w:rPr>
        <w:t xml:space="preserve">) consolidează capacitățile principalelor instituții ucrainene. Aceasta include sprijinul pentru </w:t>
      </w:r>
      <w:r>
        <w:rPr>
          <w:rFonts w:ascii="Times New Roman" w:hAnsi="Times New Roman"/>
          <w:b/>
          <w:noProof/>
          <w:sz w:val="24"/>
        </w:rPr>
        <w:t>Parlamentul</w:t>
      </w:r>
      <w:r w:rsidR="00F37370">
        <w:rPr>
          <w:rFonts w:ascii="Times New Roman" w:hAnsi="Times New Roman"/>
          <w:b/>
          <w:noProof/>
          <w:sz w:val="24"/>
        </w:rPr>
        <w:t> </w:t>
      </w:r>
      <w:r>
        <w:rPr>
          <w:rFonts w:ascii="Times New Roman" w:hAnsi="Times New Roman"/>
          <w:b/>
          <w:noProof/>
          <w:sz w:val="24"/>
        </w:rPr>
        <w:t>ucrainean</w:t>
      </w:r>
      <w:r>
        <w:rPr>
          <w:rFonts w:ascii="Times New Roman" w:hAnsi="Times New Roman"/>
          <w:noProof/>
          <w:sz w:val="24"/>
        </w:rPr>
        <w:t xml:space="preserve">, </w:t>
      </w:r>
      <w:r>
        <w:rPr>
          <w:rFonts w:ascii="Times New Roman" w:hAnsi="Times New Roman"/>
          <w:b/>
          <w:noProof/>
          <w:sz w:val="24"/>
        </w:rPr>
        <w:t>traducerea</w:t>
      </w:r>
      <w:r>
        <w:rPr>
          <w:rFonts w:ascii="Times New Roman" w:hAnsi="Times New Roman"/>
          <w:noProof/>
          <w:sz w:val="24"/>
        </w:rPr>
        <w:t xml:space="preserve"> acquis-ului UE, comunicarea strategică și coordonarea procesului global de aderare.</w:t>
      </w:r>
    </w:p>
    <w:p w14:paraId="3174E0DD" w14:textId="7C69691D" w:rsidR="7679E0CF" w:rsidRPr="00610CE3" w:rsidRDefault="00217EB2" w:rsidP="7679E0CF">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Acțiunile din cadrul </w:t>
      </w:r>
      <w:r>
        <w:rPr>
          <w:rFonts w:ascii="Times New Roman" w:hAnsi="Times New Roman"/>
          <w:b/>
          <w:noProof/>
          <w:sz w:val="24"/>
        </w:rPr>
        <w:t>pilonului III</w:t>
      </w:r>
      <w:r>
        <w:rPr>
          <w:rFonts w:ascii="Times New Roman" w:hAnsi="Times New Roman"/>
          <w:noProof/>
          <w:sz w:val="24"/>
        </w:rPr>
        <w:t xml:space="preserve"> au fost puse în aplicare în conformitate cu principiile de aprovizionare și achiziții publice prevăzute la </w:t>
      </w:r>
      <w:r>
        <w:rPr>
          <w:rFonts w:ascii="Times New Roman" w:hAnsi="Times New Roman"/>
          <w:b/>
          <w:noProof/>
          <w:sz w:val="24"/>
        </w:rPr>
        <w:t>articolul </w:t>
      </w:r>
      <w:r w:rsidRPr="00DA3B61">
        <w:rPr>
          <w:rFonts w:ascii="Times New Roman" w:hAnsi="Times New Roman"/>
          <w:b/>
          <w:noProof/>
          <w:sz w:val="24"/>
        </w:rPr>
        <w:t>11</w:t>
      </w:r>
      <w:r>
        <w:rPr>
          <w:rFonts w:ascii="Times New Roman" w:hAnsi="Times New Roman"/>
          <w:b/>
          <w:noProof/>
          <w:sz w:val="24"/>
        </w:rPr>
        <w:t xml:space="preserve"> din Regulamentul (UE) </w:t>
      </w:r>
      <w:r w:rsidRPr="00DA3B61">
        <w:rPr>
          <w:rFonts w:ascii="Times New Roman" w:hAnsi="Times New Roman"/>
          <w:b/>
          <w:noProof/>
          <w:sz w:val="24"/>
        </w:rPr>
        <w:t>2024</w:t>
      </w:r>
      <w:r>
        <w:rPr>
          <w:rFonts w:ascii="Times New Roman" w:hAnsi="Times New Roman"/>
          <w:b/>
          <w:noProof/>
          <w:sz w:val="24"/>
        </w:rPr>
        <w:t>/</w:t>
      </w:r>
      <w:r w:rsidRPr="00DA3B61">
        <w:rPr>
          <w:rFonts w:ascii="Times New Roman" w:hAnsi="Times New Roman"/>
          <w:b/>
          <w:noProof/>
          <w:sz w:val="24"/>
        </w:rPr>
        <w:t>792</w:t>
      </w:r>
      <w:r>
        <w:rPr>
          <w:rFonts w:ascii="Times New Roman" w:hAnsi="Times New Roman"/>
          <w:noProof/>
          <w:sz w:val="24"/>
        </w:rPr>
        <w:t>, acordându-se prioritate țărilor eligibile. Au fost aplicate derogări în conformitate cu dispozițiile legale, în special pentru a răspunde nevoilor urgente de echipamente energetice critice, cerințelor de compatibilitate cu sistemele existente ale Ucrainei și condițiilor de criză de pe teren.</w:t>
      </w:r>
    </w:p>
    <w:p w14:paraId="05BDB1CF" w14:textId="72F26A2E" w:rsidR="5B1FAED7" w:rsidRPr="00610CE3" w:rsidRDefault="008050CA" w:rsidP="7679E0CF">
      <w:pPr>
        <w:spacing w:after="160" w:line="240" w:lineRule="auto"/>
        <w:ind w:left="720"/>
        <w:jc w:val="both"/>
        <w:rPr>
          <w:rFonts w:ascii="Times New Roman" w:eastAsia="Times New Roman" w:hAnsi="Times New Roman" w:cs="Times New Roman"/>
          <w:i/>
          <w:iCs/>
          <w:noProof/>
          <w:sz w:val="24"/>
          <w:szCs w:val="24"/>
          <w:u w:val="single"/>
        </w:rPr>
      </w:pPr>
      <w:r w:rsidRPr="00DA3B61">
        <w:rPr>
          <w:rFonts w:ascii="Times New Roman" w:hAnsi="Times New Roman"/>
          <w:i/>
          <w:noProof/>
          <w:sz w:val="24"/>
          <w:u w:val="single"/>
        </w:rPr>
        <w:t>2</w:t>
      </w:r>
      <w:r>
        <w:rPr>
          <w:rFonts w:ascii="Times New Roman" w:hAnsi="Times New Roman"/>
          <w:i/>
          <w:noProof/>
          <w:sz w:val="24"/>
          <w:u w:val="single"/>
        </w:rPr>
        <w:t>.c.ii Contribuția la mecanismele de responsabilizare și la finanțarea Comisiei de audit</w:t>
      </w:r>
    </w:p>
    <w:p w14:paraId="39A3E105" w14:textId="36C3FAFC" w:rsidR="00A433F0" w:rsidRPr="00610CE3" w:rsidRDefault="00A433F0"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Războiul de agresiune al Rusiei împotriva Ucrainei a dus la moartea, suferința și distrugerea pe scară largă în întreaga țară. La </w:t>
      </w:r>
      <w:r w:rsidRPr="00DA3B61">
        <w:rPr>
          <w:rFonts w:ascii="Times New Roman" w:hAnsi="Times New Roman"/>
          <w:noProof/>
          <w:sz w:val="24"/>
        </w:rPr>
        <w:t>14</w:t>
      </w:r>
      <w:r>
        <w:rPr>
          <w:rFonts w:ascii="Times New Roman" w:hAnsi="Times New Roman"/>
          <w:noProof/>
          <w:sz w:val="24"/>
        </w:rPr>
        <w:t xml:space="preserve"> noiembrie </w:t>
      </w:r>
      <w:r w:rsidRPr="00DA3B61">
        <w:rPr>
          <w:rFonts w:ascii="Times New Roman" w:hAnsi="Times New Roman"/>
          <w:noProof/>
          <w:sz w:val="24"/>
        </w:rPr>
        <w:t>2022</w:t>
      </w:r>
      <w:r>
        <w:rPr>
          <w:rFonts w:ascii="Times New Roman" w:hAnsi="Times New Roman"/>
          <w:noProof/>
          <w:sz w:val="24"/>
        </w:rPr>
        <w:t>, Adunarea Generală a Organizației</w:t>
      </w:r>
      <w:r w:rsidR="00B60821">
        <w:rPr>
          <w:rFonts w:ascii="Times New Roman" w:hAnsi="Times New Roman"/>
          <w:noProof/>
          <w:sz w:val="24"/>
        </w:rPr>
        <w:t> </w:t>
      </w:r>
      <w:r>
        <w:rPr>
          <w:rFonts w:ascii="Times New Roman" w:hAnsi="Times New Roman"/>
          <w:noProof/>
          <w:sz w:val="24"/>
        </w:rPr>
        <w:t xml:space="preserve">Națiunilor Unite a adoptat o rezoluție prin care recunoaște necesitatea instituirii unui mecanism internațional de reparare a daunelor, a pierderilor sau a vătămărilor cauzate de actele ilicite internaționale ale Rusiei împotriva Ucrainei. UE a condus eforturile internaționale de tragere la răspundere a Rusiei, aderând, în mai </w:t>
      </w:r>
      <w:r w:rsidRPr="00DA3B61">
        <w:rPr>
          <w:rFonts w:ascii="Times New Roman" w:hAnsi="Times New Roman"/>
          <w:noProof/>
          <w:sz w:val="24"/>
        </w:rPr>
        <w:t>2023</w:t>
      </w:r>
      <w:r>
        <w:rPr>
          <w:rFonts w:ascii="Times New Roman" w:hAnsi="Times New Roman"/>
          <w:noProof/>
          <w:sz w:val="24"/>
        </w:rPr>
        <w:t xml:space="preserve">, la </w:t>
      </w:r>
      <w:r>
        <w:rPr>
          <w:rFonts w:ascii="Times New Roman" w:hAnsi="Times New Roman"/>
          <w:b/>
          <w:noProof/>
          <w:sz w:val="24"/>
        </w:rPr>
        <w:t>Registrul daunelor</w:t>
      </w:r>
      <w:r>
        <w:rPr>
          <w:rFonts w:ascii="Times New Roman" w:hAnsi="Times New Roman"/>
          <w:noProof/>
          <w:sz w:val="24"/>
        </w:rPr>
        <w:t xml:space="preserve"> cauzate de agresiunea Federației Ruse împotriva Ucrainei și devenind participant cu drepturi depline în iulie </w:t>
      </w:r>
      <w:r w:rsidRPr="00DA3B61">
        <w:rPr>
          <w:rFonts w:ascii="Times New Roman" w:hAnsi="Times New Roman"/>
          <w:noProof/>
          <w:sz w:val="24"/>
        </w:rPr>
        <w:t>2024</w:t>
      </w:r>
      <w:r>
        <w:rPr>
          <w:rFonts w:ascii="Times New Roman" w:hAnsi="Times New Roman"/>
          <w:noProof/>
          <w:sz w:val="24"/>
        </w:rPr>
        <w:t xml:space="preserve">. În prezent, </w:t>
      </w:r>
      <w:r w:rsidRPr="00DA3B61">
        <w:rPr>
          <w:rFonts w:ascii="Times New Roman" w:hAnsi="Times New Roman"/>
          <w:noProof/>
          <w:sz w:val="24"/>
        </w:rPr>
        <w:t>43</w:t>
      </w:r>
      <w:r>
        <w:rPr>
          <w:rFonts w:ascii="Times New Roman" w:hAnsi="Times New Roman"/>
          <w:noProof/>
          <w:sz w:val="24"/>
        </w:rPr>
        <w:t xml:space="preserve"> de state și UE sunt incluse în registru.</w:t>
      </w:r>
    </w:p>
    <w:p w14:paraId="58B9A4C1" w14:textId="37F5B828" w:rsidR="00A433F0" w:rsidRPr="00610CE3" w:rsidRDefault="00A433F0" w:rsidP="00A433F0">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A3B61">
        <w:rPr>
          <w:rFonts w:ascii="Times New Roman" w:hAnsi="Times New Roman"/>
          <w:noProof/>
          <w:sz w:val="24"/>
        </w:rPr>
        <w:t>2024</w:t>
      </w:r>
      <w:r>
        <w:rPr>
          <w:rFonts w:ascii="Times New Roman" w:hAnsi="Times New Roman"/>
          <w:noProof/>
          <w:sz w:val="24"/>
        </w:rPr>
        <w:t xml:space="preserve">, UE a contribuit cu aproximativ </w:t>
      </w:r>
      <w:r w:rsidRPr="00DA3B61">
        <w:rPr>
          <w:rFonts w:ascii="Times New Roman" w:hAnsi="Times New Roman"/>
          <w:b/>
          <w:noProof/>
          <w:sz w:val="24"/>
        </w:rPr>
        <w:t>846</w:t>
      </w:r>
      <w:r>
        <w:rPr>
          <w:rFonts w:ascii="Times New Roman" w:hAnsi="Times New Roman"/>
          <w:b/>
          <w:noProof/>
          <w:sz w:val="24"/>
        </w:rPr>
        <w:t> </w:t>
      </w:r>
      <w:r w:rsidRPr="00DA3B61">
        <w:rPr>
          <w:rFonts w:ascii="Times New Roman" w:hAnsi="Times New Roman"/>
          <w:b/>
          <w:noProof/>
          <w:sz w:val="24"/>
        </w:rPr>
        <w:t>000</w:t>
      </w:r>
      <w:r>
        <w:rPr>
          <w:rFonts w:ascii="Times New Roman" w:hAnsi="Times New Roman"/>
          <w:b/>
          <w:noProof/>
          <w:sz w:val="24"/>
        </w:rPr>
        <w:t> EUR</w:t>
      </w:r>
      <w:r>
        <w:rPr>
          <w:rFonts w:ascii="Times New Roman" w:hAnsi="Times New Roman"/>
          <w:noProof/>
          <w:sz w:val="24"/>
        </w:rPr>
        <w:t xml:space="preserve"> la Acordul parțial extins privind Registrul daunelor cauzate de agresiunea Federației Ruse împotriva Ucrainei, asigurând astfel respectarea de către UE a obligațiilor sale financiare în calitate de participant la Acordul parțial extins.</w:t>
      </w:r>
    </w:p>
    <w:p w14:paraId="59F4CA38" w14:textId="00E61E2C" w:rsidR="00A433F0" w:rsidRPr="00610CE3" w:rsidRDefault="00A433F0" w:rsidP="00A433F0">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Registrul înregistrează cererile de despăgubire eligibile pentru daune, pierderi sau vătămări cauzate tuturor persoanelor fizice și juridice în cauză, precum și statului Ucraina, care funcționează ca platformă digitală securizată pentru colectarea și prelucrarea probelor. Acesta urmează să devină parte a unei viitoare comisii de despăgubire, care va evalua cererile și va stabili valoarea despăgubirii. Această inițiativă este un pas esențial pentru a se asigura că Rusia își asumă întreaga responsabilitate pentru acțiunile sale.</w:t>
      </w:r>
    </w:p>
    <w:p w14:paraId="1EFEAA00" w14:textId="38947E54" w:rsidR="00A433F0" w:rsidRPr="00610CE3" w:rsidRDefault="00A433F0" w:rsidP="00A433F0">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Sunt planificate în total </w:t>
      </w:r>
      <w:r w:rsidRPr="00DA3B61">
        <w:rPr>
          <w:rFonts w:ascii="Times New Roman" w:hAnsi="Times New Roman"/>
          <w:noProof/>
          <w:sz w:val="24"/>
        </w:rPr>
        <w:t>44</w:t>
      </w:r>
      <w:r>
        <w:rPr>
          <w:rFonts w:ascii="Times New Roman" w:hAnsi="Times New Roman"/>
          <w:noProof/>
          <w:sz w:val="24"/>
        </w:rPr>
        <w:t xml:space="preserve"> de formulare de cerere de despăgubire, pentru a acoperi diferite tipuri de daune, inclusiv distrugerea bunurilor, vătămarea personală și strămutarea forțată. Până la sfârșitul anului </w:t>
      </w:r>
      <w:r w:rsidRPr="00DA3B61">
        <w:rPr>
          <w:rFonts w:ascii="Times New Roman" w:hAnsi="Times New Roman"/>
          <w:noProof/>
          <w:sz w:val="24"/>
        </w:rPr>
        <w:t>2024</w:t>
      </w:r>
      <w:r>
        <w:rPr>
          <w:rFonts w:ascii="Times New Roman" w:hAnsi="Times New Roman"/>
          <w:noProof/>
          <w:sz w:val="24"/>
        </w:rPr>
        <w:t xml:space="preserve">, registrul a primit peste </w:t>
      </w:r>
      <w:r w:rsidRPr="00DA3B61">
        <w:rPr>
          <w:rFonts w:ascii="Times New Roman" w:hAnsi="Times New Roman"/>
          <w:noProof/>
          <w:sz w:val="24"/>
        </w:rPr>
        <w:t>13</w:t>
      </w:r>
      <w:r>
        <w:rPr>
          <w:rFonts w:ascii="Times New Roman" w:hAnsi="Times New Roman"/>
          <w:noProof/>
          <w:sz w:val="24"/>
        </w:rPr>
        <w:t> </w:t>
      </w:r>
      <w:r w:rsidRPr="00DA3B61">
        <w:rPr>
          <w:rFonts w:ascii="Times New Roman" w:hAnsi="Times New Roman"/>
          <w:noProof/>
          <w:sz w:val="24"/>
        </w:rPr>
        <w:t>000</w:t>
      </w:r>
      <w:r>
        <w:rPr>
          <w:rFonts w:ascii="Times New Roman" w:hAnsi="Times New Roman"/>
          <w:noProof/>
          <w:sz w:val="24"/>
        </w:rPr>
        <w:t xml:space="preserve"> de cereri și a înregistrat </w:t>
      </w:r>
      <w:r w:rsidRPr="00DA3B61">
        <w:rPr>
          <w:rFonts w:ascii="Times New Roman" w:hAnsi="Times New Roman"/>
          <w:noProof/>
          <w:sz w:val="24"/>
        </w:rPr>
        <w:t>832</w:t>
      </w:r>
      <w:r>
        <w:rPr>
          <w:rFonts w:ascii="Times New Roman" w:hAnsi="Times New Roman"/>
          <w:noProof/>
          <w:sz w:val="24"/>
        </w:rPr>
        <w:t xml:space="preserve"> de hotărâri judecătorești privind distrugerea proprietății imobiliare locative, cu o valoare medie a despăgubirii de </w:t>
      </w:r>
      <w:r w:rsidRPr="00DA3B61">
        <w:rPr>
          <w:rFonts w:ascii="Times New Roman" w:hAnsi="Times New Roman"/>
          <w:noProof/>
          <w:sz w:val="24"/>
        </w:rPr>
        <w:t>54</w:t>
      </w:r>
      <w:r>
        <w:rPr>
          <w:rFonts w:ascii="Times New Roman" w:hAnsi="Times New Roman"/>
          <w:noProof/>
          <w:sz w:val="24"/>
        </w:rPr>
        <w:t> </w:t>
      </w:r>
      <w:r w:rsidRPr="00DA3B61">
        <w:rPr>
          <w:rFonts w:ascii="Times New Roman" w:hAnsi="Times New Roman"/>
          <w:noProof/>
          <w:sz w:val="24"/>
        </w:rPr>
        <w:t>000</w:t>
      </w:r>
      <w:r>
        <w:rPr>
          <w:rFonts w:ascii="Times New Roman" w:hAnsi="Times New Roman"/>
          <w:noProof/>
          <w:sz w:val="24"/>
        </w:rPr>
        <w:t> EUR. Se lucrează în continuare la extinderea procesului de depunere a cererilor de despăgubire.</w:t>
      </w:r>
    </w:p>
    <w:p w14:paraId="1BDE248B" w14:textId="46AC943A" w:rsidR="00A83072" w:rsidRPr="00610CE3" w:rsidRDefault="00FD057E" w:rsidP="00A83072">
      <w:pPr>
        <w:spacing w:after="160" w:line="240" w:lineRule="auto"/>
        <w:jc w:val="both"/>
        <w:rPr>
          <w:rFonts w:ascii="Times New Roman" w:eastAsia="Times New Roman" w:hAnsi="Times New Roman" w:cs="Times New Roman"/>
          <w:noProof/>
          <w:sz w:val="24"/>
          <w:szCs w:val="24"/>
        </w:rPr>
      </w:pPr>
      <w:r>
        <w:rPr>
          <w:rFonts w:ascii="Times New Roman" w:hAnsi="Times New Roman"/>
          <w:b/>
          <w:noProof/>
          <w:sz w:val="24"/>
        </w:rPr>
        <w:t>Comisia de audit a Mecanismului pentru Ucraina</w:t>
      </w:r>
      <w:r>
        <w:rPr>
          <w:rFonts w:ascii="Times New Roman" w:hAnsi="Times New Roman"/>
          <w:noProof/>
          <w:sz w:val="24"/>
        </w:rPr>
        <w:t xml:space="preserve"> a fost instituită în iunie </w:t>
      </w:r>
      <w:r w:rsidRPr="00DA3B61">
        <w:rPr>
          <w:rFonts w:ascii="Times New Roman" w:hAnsi="Times New Roman"/>
          <w:noProof/>
          <w:sz w:val="24"/>
        </w:rPr>
        <w:t>2024</w:t>
      </w:r>
      <w:r>
        <w:rPr>
          <w:rFonts w:ascii="Times New Roman" w:hAnsi="Times New Roman"/>
          <w:noProof/>
          <w:sz w:val="24"/>
        </w:rPr>
        <w:t xml:space="preserve"> printr-o decizie de punere în aplicare a Comisiei, care a stabilit, de asemenea, mandatul acesteia (până la </w:t>
      </w:r>
      <w:r w:rsidRPr="00DA3B61">
        <w:rPr>
          <w:rFonts w:ascii="Times New Roman" w:hAnsi="Times New Roman"/>
          <w:noProof/>
          <w:sz w:val="24"/>
        </w:rPr>
        <w:t>30</w:t>
      </w:r>
      <w:r>
        <w:rPr>
          <w:rFonts w:ascii="Times New Roman" w:hAnsi="Times New Roman"/>
          <w:noProof/>
          <w:sz w:val="24"/>
        </w:rPr>
        <w:t xml:space="preserve"> iunie </w:t>
      </w:r>
      <w:r w:rsidRPr="00DA3B61">
        <w:rPr>
          <w:rFonts w:ascii="Times New Roman" w:hAnsi="Times New Roman"/>
          <w:noProof/>
          <w:sz w:val="24"/>
        </w:rPr>
        <w:t>2028</w:t>
      </w:r>
      <w:r>
        <w:rPr>
          <w:rFonts w:ascii="Times New Roman" w:hAnsi="Times New Roman"/>
          <w:noProof/>
          <w:sz w:val="24"/>
        </w:rPr>
        <w:t xml:space="preserve">) și a definit misiunea, componența, numirea membrilor și a președintelui, secretariatul și sarcinile acesteia. Pentru a sprijini această acțiune, s-a acordat finanțare de aproximativ </w:t>
      </w:r>
      <w:r w:rsidRPr="00DA3B61">
        <w:rPr>
          <w:rFonts w:ascii="Times New Roman" w:hAnsi="Times New Roman"/>
          <w:b/>
          <w:noProof/>
          <w:sz w:val="24"/>
        </w:rPr>
        <w:t>11</w:t>
      </w:r>
      <w:r>
        <w:rPr>
          <w:rFonts w:ascii="Times New Roman" w:hAnsi="Times New Roman"/>
          <w:b/>
          <w:noProof/>
          <w:sz w:val="24"/>
        </w:rPr>
        <w:t xml:space="preserve"> milioane EUR</w:t>
      </w:r>
      <w:r>
        <w:rPr>
          <w:rFonts w:ascii="Times New Roman" w:hAnsi="Times New Roman"/>
          <w:noProof/>
          <w:sz w:val="24"/>
        </w:rPr>
        <w:t xml:space="preserve"> în cadrul Mecanismului pentru Ucraina.</w:t>
      </w:r>
    </w:p>
    <w:p w14:paraId="45B4FB61" w14:textId="13D4FDC3" w:rsidR="00FD057E" w:rsidRPr="00610CE3" w:rsidRDefault="00A83072" w:rsidP="00FD057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Sarcina principală a Comisiei de audit este de a monitoriza utilizarea transparentă și eficientă a asistenței financiare acordate Ucrainei de către UE în perioada </w:t>
      </w:r>
      <w:r w:rsidRPr="00DA3B61">
        <w:rPr>
          <w:rFonts w:ascii="Times New Roman" w:hAnsi="Times New Roman"/>
          <w:noProof/>
          <w:sz w:val="24"/>
        </w:rPr>
        <w:t>2024</w:t>
      </w:r>
      <w:r>
        <w:rPr>
          <w:rFonts w:ascii="Times New Roman" w:hAnsi="Times New Roman"/>
          <w:noProof/>
          <w:sz w:val="24"/>
        </w:rPr>
        <w:t>-</w:t>
      </w:r>
      <w:r w:rsidRPr="00DA3B61">
        <w:rPr>
          <w:rFonts w:ascii="Times New Roman" w:hAnsi="Times New Roman"/>
          <w:noProof/>
          <w:sz w:val="24"/>
        </w:rPr>
        <w:t>2027</w:t>
      </w:r>
      <w:r>
        <w:rPr>
          <w:rFonts w:ascii="Times New Roman" w:hAnsi="Times New Roman"/>
          <w:noProof/>
          <w:sz w:val="24"/>
        </w:rPr>
        <w:t xml:space="preserve">, în valoare de până la </w:t>
      </w:r>
      <w:r w:rsidRPr="00DA3B61">
        <w:rPr>
          <w:rFonts w:ascii="Times New Roman" w:hAnsi="Times New Roman"/>
          <w:noProof/>
          <w:sz w:val="24"/>
        </w:rPr>
        <w:t>50</w:t>
      </w:r>
      <w:r>
        <w:rPr>
          <w:rFonts w:ascii="Times New Roman" w:hAnsi="Times New Roman"/>
          <w:noProof/>
          <w:sz w:val="24"/>
        </w:rPr>
        <w:t xml:space="preserve"> de miliarde EUR. În special, misiunea sa este de a evalua dacă sistemele de gestionare și control ale sectorului public din Ucraina asigură faptul că fondurile UE sunt utilizate în conformitate cu principiul bunei gestiuni financiare, cum ar fi eficacitatea, economia, eficiența și transparența, prevenind deopotrivă frauda, corupția, conflictele de interese și alte nereguli.</w:t>
      </w:r>
    </w:p>
    <w:p w14:paraId="66D203A3" w14:textId="6D17DBC2" w:rsidR="004516E4" w:rsidRPr="00610CE3" w:rsidRDefault="00FD057E" w:rsidP="7679E0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de audit are sediul la Bruxelles și dispune de un secretariat dedicat la Kiev. În urma unei cereri de exprimare a interesului, în </w:t>
      </w:r>
      <w:r w:rsidRPr="00DA3B61">
        <w:rPr>
          <w:rFonts w:ascii="Times New Roman" w:hAnsi="Times New Roman"/>
          <w:noProof/>
          <w:sz w:val="24"/>
        </w:rPr>
        <w:t>2024</w:t>
      </w:r>
      <w:r>
        <w:rPr>
          <w:rFonts w:ascii="Times New Roman" w:hAnsi="Times New Roman"/>
          <w:noProof/>
          <w:sz w:val="24"/>
        </w:rPr>
        <w:t xml:space="preserve"> au fost selectați trei membri independenți ai comisiei de audit, toți cetățenii UE având o experiență semnificativă în domeniul auditului și al măsurilor de combatere a fraudei.</w:t>
      </w:r>
    </w:p>
    <w:p w14:paraId="0D64024F" w14:textId="0D498D56" w:rsidR="00D859DA" w:rsidRPr="00610CE3" w:rsidRDefault="34CD105E" w:rsidP="7679E0CF">
      <w:pPr>
        <w:spacing w:after="160" w:line="240" w:lineRule="auto"/>
        <w:ind w:left="720"/>
        <w:jc w:val="both"/>
        <w:rPr>
          <w:rFonts w:ascii="Times New Roman" w:hAnsi="Times New Roman" w:cs="Times New Roman"/>
          <w:i/>
          <w:iCs/>
          <w:noProof/>
          <w:sz w:val="24"/>
          <w:szCs w:val="24"/>
          <w:u w:val="single"/>
        </w:rPr>
      </w:pPr>
      <w:r w:rsidRPr="00DA3B61">
        <w:rPr>
          <w:rFonts w:ascii="Times New Roman" w:hAnsi="Times New Roman"/>
          <w:i/>
          <w:noProof/>
          <w:sz w:val="24"/>
          <w:u w:val="single"/>
        </w:rPr>
        <w:t>2</w:t>
      </w:r>
      <w:r>
        <w:rPr>
          <w:rFonts w:ascii="Times New Roman" w:hAnsi="Times New Roman"/>
          <w:i/>
          <w:noProof/>
          <w:sz w:val="24"/>
          <w:u w:val="single"/>
        </w:rPr>
        <w:t>.c.iiii. Costul îndatorării și costurile moștenite</w:t>
      </w:r>
    </w:p>
    <w:p w14:paraId="019AFC8A" w14:textId="68863A70" w:rsidR="13E49D7F" w:rsidRPr="00610CE3" w:rsidRDefault="13E49D7F"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iunie </w:t>
      </w:r>
      <w:r w:rsidRPr="00DA3B61">
        <w:rPr>
          <w:rFonts w:ascii="Times New Roman" w:hAnsi="Times New Roman"/>
          <w:noProof/>
          <w:sz w:val="24"/>
        </w:rPr>
        <w:t>2024</w:t>
      </w:r>
      <w:r>
        <w:rPr>
          <w:rFonts w:ascii="Times New Roman" w:hAnsi="Times New Roman"/>
          <w:noProof/>
          <w:sz w:val="24"/>
        </w:rPr>
        <w:t xml:space="preserve">, a fost adoptată o decizie de finanțare pentru a acoperi costurile moștenite anuale legate de împrumuturile din cadrul asistenței macrofinanciare excepționale a UE acordate în </w:t>
      </w:r>
      <w:r w:rsidRPr="00DA3B61">
        <w:rPr>
          <w:rFonts w:ascii="Times New Roman" w:hAnsi="Times New Roman"/>
          <w:noProof/>
          <w:sz w:val="24"/>
        </w:rPr>
        <w:t>2022</w:t>
      </w:r>
      <w:r>
        <w:rPr>
          <w:rFonts w:ascii="Times New Roman" w:hAnsi="Times New Roman"/>
          <w:noProof/>
          <w:sz w:val="24"/>
        </w:rPr>
        <w:t xml:space="preserve"> („AMF</w:t>
      </w:r>
      <w:r w:rsidRPr="00DA3B61">
        <w:rPr>
          <w:rFonts w:ascii="Times New Roman" w:hAnsi="Times New Roman"/>
          <w:noProof/>
          <w:sz w:val="24"/>
        </w:rPr>
        <w:t>1</w:t>
      </w:r>
      <w:r>
        <w:rPr>
          <w:rFonts w:ascii="Times New Roman" w:hAnsi="Times New Roman"/>
          <w:noProof/>
          <w:sz w:val="24"/>
        </w:rPr>
        <w:t>” și „AMF</w:t>
      </w:r>
      <w:r w:rsidRPr="00DA3B61">
        <w:rPr>
          <w:rFonts w:ascii="Times New Roman" w:hAnsi="Times New Roman"/>
          <w:noProof/>
          <w:sz w:val="24"/>
        </w:rPr>
        <w:t>2</w:t>
      </w:r>
      <w:r>
        <w:rPr>
          <w:rFonts w:ascii="Times New Roman" w:hAnsi="Times New Roman"/>
          <w:noProof/>
          <w:sz w:val="24"/>
        </w:rPr>
        <w:t xml:space="preserve">”) și să contribuie la provizioanele vărsate în fondul comun de provizioane în legătură cu aceste împrumuturi, cu o valoare totală de peste </w:t>
      </w:r>
      <w:r w:rsidRPr="00DA3B61">
        <w:rPr>
          <w:rFonts w:ascii="Times New Roman" w:hAnsi="Times New Roman"/>
          <w:noProof/>
          <w:sz w:val="24"/>
        </w:rPr>
        <w:t>227</w:t>
      </w:r>
      <w:r>
        <w:rPr>
          <w:rFonts w:ascii="Times New Roman" w:hAnsi="Times New Roman"/>
          <w:noProof/>
          <w:sz w:val="24"/>
        </w:rPr>
        <w:t xml:space="preserve"> de milioane EUR.</w:t>
      </w:r>
    </w:p>
    <w:p w14:paraId="6F82EFC2" w14:textId="557B461D" w:rsidR="13E49D7F" w:rsidRPr="00610CE3" w:rsidRDefault="003366DD"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Asistența macrofinanciară excepțională din partea UE în valoare de </w:t>
      </w:r>
      <w:r w:rsidRPr="00DA3B61">
        <w:rPr>
          <w:rFonts w:ascii="Times New Roman" w:hAnsi="Times New Roman"/>
          <w:noProof/>
          <w:sz w:val="24"/>
        </w:rPr>
        <w:t>6</w:t>
      </w:r>
      <w:r>
        <w:rPr>
          <w:rFonts w:ascii="Times New Roman" w:hAnsi="Times New Roman"/>
          <w:noProof/>
          <w:sz w:val="24"/>
        </w:rPr>
        <w:t xml:space="preserve"> miliarde EUR plătită în august </w:t>
      </w:r>
      <w:r w:rsidRPr="00DA3B61">
        <w:rPr>
          <w:rFonts w:ascii="Times New Roman" w:hAnsi="Times New Roman"/>
          <w:noProof/>
          <w:sz w:val="24"/>
        </w:rPr>
        <w:t>2022</w:t>
      </w:r>
      <w:r>
        <w:rPr>
          <w:rFonts w:ascii="Times New Roman" w:hAnsi="Times New Roman"/>
          <w:noProof/>
          <w:sz w:val="24"/>
        </w:rPr>
        <w:t xml:space="preserve"> (AMF</w:t>
      </w:r>
      <w:r w:rsidRPr="00DA3B61">
        <w:rPr>
          <w:rFonts w:ascii="Times New Roman" w:hAnsi="Times New Roman"/>
          <w:noProof/>
          <w:sz w:val="24"/>
        </w:rPr>
        <w:t>1</w:t>
      </w:r>
      <w:r>
        <w:rPr>
          <w:rFonts w:ascii="Times New Roman" w:hAnsi="Times New Roman"/>
          <w:noProof/>
          <w:sz w:val="24"/>
        </w:rPr>
        <w:t xml:space="preserve">) și în perioada octombrie-decembrie </w:t>
      </w:r>
      <w:r w:rsidRPr="00DA3B61">
        <w:rPr>
          <w:rFonts w:ascii="Times New Roman" w:hAnsi="Times New Roman"/>
          <w:noProof/>
          <w:sz w:val="24"/>
        </w:rPr>
        <w:t>2022</w:t>
      </w:r>
      <w:r>
        <w:rPr>
          <w:rFonts w:ascii="Times New Roman" w:hAnsi="Times New Roman"/>
          <w:noProof/>
          <w:sz w:val="24"/>
        </w:rPr>
        <w:t xml:space="preserve"> (AMF</w:t>
      </w:r>
      <w:r w:rsidRPr="00DA3B61">
        <w:rPr>
          <w:rFonts w:ascii="Times New Roman" w:hAnsi="Times New Roman"/>
          <w:noProof/>
          <w:sz w:val="24"/>
        </w:rPr>
        <w:t>2</w:t>
      </w:r>
      <w:r>
        <w:rPr>
          <w:rFonts w:ascii="Times New Roman" w:hAnsi="Times New Roman"/>
          <w:noProof/>
          <w:sz w:val="24"/>
        </w:rPr>
        <w:t>) a oferit sprijin rapid și urgent bugetului Ucrainei. UE poate suporta dobânzi prin acordarea unei subvenționări a ratei dobânzii pentru astfel de împrumuturi.</w:t>
      </w:r>
    </w:p>
    <w:p w14:paraId="460F1E89" w14:textId="0E918710" w:rsidR="00D86CBC" w:rsidRPr="00610CE3" w:rsidRDefault="75B55D9A"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februarie </w:t>
      </w:r>
      <w:r w:rsidRPr="00DA3B61">
        <w:rPr>
          <w:rFonts w:ascii="Times New Roman" w:hAnsi="Times New Roman"/>
          <w:noProof/>
          <w:sz w:val="24"/>
        </w:rPr>
        <w:t>2024</w:t>
      </w:r>
      <w:r>
        <w:rPr>
          <w:rFonts w:ascii="Times New Roman" w:hAnsi="Times New Roman"/>
          <w:noProof/>
          <w:sz w:val="24"/>
        </w:rPr>
        <w:t xml:space="preserve">, Ucraina a depus cererea oficială de a primi o subvenționare a ratei dobânzii pentru taxele datorate în </w:t>
      </w:r>
      <w:r w:rsidRPr="00DA3B61">
        <w:rPr>
          <w:rFonts w:ascii="Times New Roman" w:hAnsi="Times New Roman"/>
          <w:noProof/>
          <w:sz w:val="24"/>
        </w:rPr>
        <w:t>2024</w:t>
      </w:r>
      <w:r>
        <w:rPr>
          <w:rFonts w:ascii="Times New Roman" w:hAnsi="Times New Roman"/>
          <w:noProof/>
          <w:sz w:val="24"/>
        </w:rPr>
        <w:t xml:space="preserve">. Cerințele care stau la baza punerii la dispoziție a tranșelor în cadrul asistenței macrofinanciare excepționale din partea UE au fost considerate îndeplinite în </w:t>
      </w:r>
      <w:r w:rsidRPr="00DA3B61">
        <w:rPr>
          <w:rFonts w:ascii="Times New Roman" w:hAnsi="Times New Roman"/>
          <w:noProof/>
          <w:sz w:val="24"/>
        </w:rPr>
        <w:t>2022</w:t>
      </w:r>
      <w:r>
        <w:rPr>
          <w:rFonts w:ascii="Times New Roman" w:hAnsi="Times New Roman"/>
          <w:noProof/>
          <w:sz w:val="24"/>
        </w:rPr>
        <w:t>.</w:t>
      </w:r>
    </w:p>
    <w:p w14:paraId="2C7D7F14" w14:textId="77777777" w:rsidR="00E66229" w:rsidRPr="00610CE3" w:rsidRDefault="00E66229" w:rsidP="00CC0E0E">
      <w:pPr>
        <w:spacing w:after="160" w:line="240" w:lineRule="auto"/>
        <w:rPr>
          <w:rFonts w:ascii="Times New Roman" w:hAnsi="Times New Roman" w:cs="Times New Roman"/>
          <w:b/>
          <w:bCs/>
          <w:noProof/>
          <w:sz w:val="24"/>
          <w:szCs w:val="24"/>
        </w:rPr>
      </w:pPr>
    </w:p>
    <w:p w14:paraId="50B94E4A" w14:textId="495A23FC" w:rsidR="00D859DA" w:rsidRPr="00610CE3" w:rsidRDefault="00D859DA" w:rsidP="00F37370">
      <w:pPr>
        <w:keepNext/>
        <w:pBdr>
          <w:bottom w:val="single" w:sz="4" w:space="4" w:color="000000"/>
        </w:pBdr>
        <w:shd w:val="clear" w:color="auto" w:fill="FFFFFF" w:themeFill="background1"/>
        <w:spacing w:after="160" w:line="240" w:lineRule="auto"/>
        <w:rPr>
          <w:rFonts w:ascii="Times New Roman" w:hAnsi="Times New Roman" w:cs="Times New Roman"/>
          <w:b/>
          <w:bCs/>
          <w:noProof/>
          <w:color w:val="FFFFFF" w:themeColor="background1"/>
          <w:sz w:val="24"/>
          <w:szCs w:val="24"/>
        </w:rPr>
      </w:pPr>
      <w:r w:rsidRPr="00DA3B61">
        <w:rPr>
          <w:rFonts w:ascii="Times New Roman" w:hAnsi="Times New Roman"/>
          <w:b/>
          <w:noProof/>
          <w:sz w:val="24"/>
        </w:rPr>
        <w:t>3</w:t>
      </w:r>
      <w:r>
        <w:rPr>
          <w:rFonts w:ascii="Times New Roman" w:hAnsi="Times New Roman"/>
          <w:b/>
          <w:noProof/>
          <w:sz w:val="24"/>
        </w:rPr>
        <w:t>. Progresele înregistrate în ceea ce privește punerea în aplicare a mecanismului</w:t>
      </w:r>
    </w:p>
    <w:p w14:paraId="74CFC328" w14:textId="22234434" w:rsidR="00721DCB" w:rsidRPr="00610CE3" w:rsidRDefault="57783104" w:rsidP="7679E0CF">
      <w:pPr>
        <w:spacing w:after="160" w:line="240" w:lineRule="auto"/>
        <w:ind w:left="720"/>
        <w:jc w:val="both"/>
        <w:rPr>
          <w:rFonts w:ascii="Times New Roman" w:hAnsi="Times New Roman"/>
          <w:i/>
          <w:iCs/>
          <w:noProof/>
          <w:sz w:val="24"/>
          <w:szCs w:val="24"/>
        </w:rPr>
      </w:pPr>
      <w:r w:rsidRPr="00DA3B61">
        <w:rPr>
          <w:rFonts w:ascii="Times New Roman" w:hAnsi="Times New Roman"/>
          <w:b/>
          <w:i/>
          <w:noProof/>
          <w:sz w:val="24"/>
        </w:rPr>
        <w:t>3</w:t>
      </w:r>
      <w:r>
        <w:rPr>
          <w:rFonts w:ascii="Times New Roman" w:hAnsi="Times New Roman"/>
          <w:b/>
          <w:i/>
          <w:noProof/>
          <w:sz w:val="24"/>
        </w:rPr>
        <w:t>.a.</w:t>
      </w:r>
      <w:r>
        <w:rPr>
          <w:noProof/>
        </w:rPr>
        <w:tab/>
      </w:r>
      <w:r>
        <w:rPr>
          <w:rFonts w:ascii="Times New Roman" w:hAnsi="Times New Roman"/>
          <w:b/>
          <w:i/>
          <w:noProof/>
          <w:sz w:val="24"/>
        </w:rPr>
        <w:t>Progresele înregistrate în ceea ce privește obiectivele prevăzute în Regulamentul de instituire a Mecanismului pentru Ucraina</w:t>
      </w:r>
    </w:p>
    <w:p w14:paraId="50EFDCCF" w14:textId="12528D39" w:rsidR="004516E4" w:rsidRPr="00610CE3" w:rsidRDefault="009647ED" w:rsidP="004516E4">
      <w:pPr>
        <w:spacing w:after="160" w:line="240" w:lineRule="auto"/>
        <w:jc w:val="both"/>
        <w:rPr>
          <w:rFonts w:ascii="Times New Roman" w:hAnsi="Times New Roman"/>
          <w:noProof/>
          <w:sz w:val="24"/>
          <w:szCs w:val="24"/>
        </w:rPr>
      </w:pPr>
      <w:r>
        <w:rPr>
          <w:rFonts w:ascii="Times New Roman" w:hAnsi="Times New Roman"/>
          <w:noProof/>
          <w:sz w:val="24"/>
        </w:rPr>
        <w:t>Regulamentul de instituire a Mecanismului pentru Ucraina stabilește trei obiective strategice axate pe întreprinderile mici și mijlocii (IMM-uri), pe tranziția verde și pe municipalități – trei dimensiuni care sunt esențiale pentru redresarea, reconstrucția și modernizarea pe termen lung a Ucrainei.</w:t>
      </w:r>
    </w:p>
    <w:p w14:paraId="5C878D46" w14:textId="2778660E" w:rsidR="00721DCB" w:rsidRPr="00610CE3" w:rsidRDefault="0980ACF7" w:rsidP="004516E4">
      <w:pPr>
        <w:spacing w:after="160" w:line="240" w:lineRule="auto"/>
        <w:ind w:left="720"/>
        <w:jc w:val="both"/>
        <w:rPr>
          <w:rFonts w:ascii="Times New Roman" w:eastAsia="Times New Roman" w:hAnsi="Times New Roman" w:cs="Times New Roman"/>
          <w:i/>
          <w:iCs/>
          <w:noProof/>
          <w:sz w:val="24"/>
          <w:szCs w:val="24"/>
          <w:u w:val="single"/>
        </w:rPr>
      </w:pPr>
      <w:r w:rsidRPr="00DA3B61">
        <w:rPr>
          <w:rFonts w:ascii="Times New Roman" w:hAnsi="Times New Roman"/>
          <w:i/>
          <w:noProof/>
          <w:sz w:val="24"/>
          <w:u w:val="single"/>
        </w:rPr>
        <w:t>3</w:t>
      </w:r>
      <w:r>
        <w:rPr>
          <w:rFonts w:ascii="Times New Roman" w:hAnsi="Times New Roman"/>
          <w:i/>
          <w:noProof/>
          <w:sz w:val="24"/>
          <w:u w:val="single"/>
        </w:rPr>
        <w:t>.a.i Sprijin pentru întreprinderile mici și mijlocii [articolul </w:t>
      </w:r>
      <w:r w:rsidRPr="00DA3B61">
        <w:rPr>
          <w:rFonts w:ascii="Times New Roman" w:hAnsi="Times New Roman"/>
          <w:i/>
          <w:noProof/>
          <w:sz w:val="24"/>
          <w:u w:val="single"/>
        </w:rPr>
        <w:t>28</w:t>
      </w:r>
      <w:r>
        <w:rPr>
          <w:rFonts w:ascii="Times New Roman" w:hAnsi="Times New Roman"/>
          <w:i/>
          <w:noProof/>
          <w:sz w:val="24"/>
          <w:u w:val="single"/>
        </w:rPr>
        <w:t xml:space="preserve"> alineatul (</w:t>
      </w:r>
      <w:r w:rsidRPr="00DA3B61">
        <w:rPr>
          <w:rFonts w:ascii="Times New Roman" w:hAnsi="Times New Roman"/>
          <w:i/>
          <w:noProof/>
          <w:sz w:val="24"/>
          <w:u w:val="single"/>
        </w:rPr>
        <w:t>6</w:t>
      </w:r>
      <w:r>
        <w:rPr>
          <w:rFonts w:ascii="Times New Roman" w:hAnsi="Times New Roman"/>
          <w:i/>
          <w:noProof/>
          <w:sz w:val="24"/>
          <w:u w:val="single"/>
        </w:rPr>
        <w:t>)]</w:t>
      </w:r>
    </w:p>
    <w:p w14:paraId="57439E81" w14:textId="41CE2FF0" w:rsidR="00721DCB" w:rsidRPr="00610CE3" w:rsidRDefault="00C72EBD" w:rsidP="7679E0CF">
      <w:pPr>
        <w:spacing w:after="160" w:line="240" w:lineRule="auto"/>
        <w:jc w:val="both"/>
        <w:rPr>
          <w:rFonts w:ascii="Times New Roman" w:hAnsi="Times New Roman"/>
          <w:noProof/>
          <w:sz w:val="24"/>
          <w:szCs w:val="24"/>
        </w:rPr>
      </w:pPr>
      <w:r>
        <w:rPr>
          <w:rFonts w:ascii="Times New Roman" w:hAnsi="Times New Roman"/>
          <w:noProof/>
          <w:sz w:val="24"/>
        </w:rPr>
        <w:t>IMM-urile reprezintă coloana vertebrală a economiei Ucrainei și joacă un rol esențial în stimularea rezilienței economice, a inovării și a creării de locuri de muncă. Recunoscând acest</w:t>
      </w:r>
      <w:r w:rsidR="00F37370">
        <w:rPr>
          <w:rFonts w:ascii="Times New Roman" w:hAnsi="Times New Roman"/>
          <w:noProof/>
          <w:sz w:val="24"/>
        </w:rPr>
        <w:t> </w:t>
      </w:r>
      <w:r>
        <w:rPr>
          <w:rFonts w:ascii="Times New Roman" w:hAnsi="Times New Roman"/>
          <w:noProof/>
          <w:sz w:val="24"/>
        </w:rPr>
        <w:t xml:space="preserve">lucru, Regulamentul de instituire a Mecanismului pentru Ucraina prevede ca cel puțin </w:t>
      </w:r>
      <w:r w:rsidRPr="00DA3B61">
        <w:rPr>
          <w:rFonts w:ascii="Times New Roman" w:hAnsi="Times New Roman"/>
          <w:noProof/>
          <w:sz w:val="24"/>
        </w:rPr>
        <w:t>15</w:t>
      </w:r>
      <w:r>
        <w:rPr>
          <w:rFonts w:ascii="Times New Roman" w:hAnsi="Times New Roman"/>
          <w:noProof/>
          <w:sz w:val="24"/>
        </w:rPr>
        <w:t> % din garanțiile UE să sprijine microîntreprinderile și întreprinderile mici și mijlocii (MIMM-uri), inclusiv întreprinderile nou-înființate.</w:t>
      </w:r>
    </w:p>
    <w:p w14:paraId="7662B7BD" w14:textId="00B7C46E" w:rsidR="00C72EBD" w:rsidRPr="00610CE3" w:rsidRDefault="1212844E"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A3B61">
        <w:rPr>
          <w:rFonts w:ascii="Times New Roman" w:hAnsi="Times New Roman"/>
          <w:noProof/>
          <w:sz w:val="24"/>
        </w:rPr>
        <w:t>2024</w:t>
      </w:r>
      <w:r>
        <w:rPr>
          <w:rFonts w:ascii="Times New Roman" w:hAnsi="Times New Roman"/>
          <w:noProof/>
          <w:sz w:val="24"/>
        </w:rPr>
        <w:t xml:space="preserve">, UE a înregistrat progrese semnificative în direcția atingerii acestui obiectiv. Au fost semnate două acorduri, care garantează o acoperire a garanției UE în valoare de până la </w:t>
      </w:r>
      <w:r w:rsidRPr="00DA3B61">
        <w:rPr>
          <w:rFonts w:ascii="Times New Roman" w:hAnsi="Times New Roman"/>
          <w:noProof/>
          <w:sz w:val="24"/>
        </w:rPr>
        <w:t>290</w:t>
      </w:r>
      <w:r w:rsidR="00F37370">
        <w:rPr>
          <w:rFonts w:ascii="Times New Roman" w:hAnsi="Times New Roman"/>
          <w:noProof/>
          <w:sz w:val="24"/>
        </w:rPr>
        <w:t> </w:t>
      </w:r>
      <w:r>
        <w:rPr>
          <w:rFonts w:ascii="Times New Roman" w:hAnsi="Times New Roman"/>
          <w:noProof/>
          <w:sz w:val="24"/>
        </w:rPr>
        <w:t xml:space="preserve">de </w:t>
      </w:r>
      <w:bookmarkStart w:id="5" w:name="_Int_lyKALbuB"/>
      <w:r>
        <w:rPr>
          <w:rFonts w:ascii="Times New Roman" w:hAnsi="Times New Roman"/>
          <w:noProof/>
          <w:sz w:val="24"/>
        </w:rPr>
        <w:t>milioane</w:t>
      </w:r>
      <w:bookmarkEnd w:id="5"/>
      <w:r>
        <w:rPr>
          <w:rFonts w:ascii="Times New Roman" w:hAnsi="Times New Roman"/>
          <w:noProof/>
          <w:sz w:val="24"/>
        </w:rPr>
        <w:t xml:space="preserve"> EUR, care vizează în mod specific acordarea de împrumuturi MIMM-urilor. În plus, au fost mobilizate </w:t>
      </w:r>
      <w:r w:rsidRPr="00DA3B61">
        <w:rPr>
          <w:rFonts w:ascii="Times New Roman" w:hAnsi="Times New Roman"/>
          <w:noProof/>
          <w:sz w:val="24"/>
        </w:rPr>
        <w:t>20</w:t>
      </w:r>
      <w:r>
        <w:rPr>
          <w:rFonts w:ascii="Times New Roman" w:hAnsi="Times New Roman"/>
          <w:noProof/>
          <w:sz w:val="24"/>
        </w:rPr>
        <w:t xml:space="preserve"> de milioane EUR prin contribuții mixte. Aceste inițiative sunt menite să deblocheze finanțarea pentru întreprinderile mici și să sprijine întreprinderile afectate de război, asigurându-se că acestea pot continua să funcționeze și să contribuie la economie.</w:t>
      </w:r>
    </w:p>
    <w:p w14:paraId="6B16B7E8" w14:textId="090F089C" w:rsidR="7679E0CF" w:rsidRPr="00610CE3" w:rsidRDefault="00C72EBD" w:rsidP="7679E0CF">
      <w:pPr>
        <w:spacing w:after="160" w:line="240" w:lineRule="auto"/>
        <w:jc w:val="both"/>
        <w:rPr>
          <w:rFonts w:ascii="Times New Roman" w:hAnsi="Times New Roman"/>
          <w:noProof/>
          <w:sz w:val="24"/>
          <w:szCs w:val="24"/>
        </w:rPr>
      </w:pPr>
      <w:r>
        <w:rPr>
          <w:rFonts w:ascii="Times New Roman" w:hAnsi="Times New Roman"/>
          <w:noProof/>
          <w:sz w:val="24"/>
        </w:rPr>
        <w:t xml:space="preserve">Pe baza acestui impuls, UE va lansa în </w:t>
      </w:r>
      <w:r w:rsidRPr="00DA3B61">
        <w:rPr>
          <w:rFonts w:ascii="Times New Roman" w:hAnsi="Times New Roman"/>
          <w:noProof/>
          <w:sz w:val="24"/>
        </w:rPr>
        <w:t>2025</w:t>
      </w:r>
      <w:r>
        <w:rPr>
          <w:rFonts w:ascii="Times New Roman" w:hAnsi="Times New Roman"/>
          <w:noProof/>
          <w:sz w:val="24"/>
        </w:rPr>
        <w:t xml:space="preserve"> o cerere de propuneri adaptată pentru a oferi un sprijin specific suplimentar IMM-urilor, canalizat prin bănci și intermediari financiari. Acest efort va acorda prioritate accesului la finanțare pentru întreprinderile mici și va contribui la consolidarea sectorului privat al Ucrainei în această etapă critică a reconstrucției.</w:t>
      </w:r>
    </w:p>
    <w:p w14:paraId="6AB77B79" w14:textId="7D4D88C9" w:rsidR="00721DCB" w:rsidRPr="00610CE3" w:rsidRDefault="7B647A16" w:rsidP="7679E0CF">
      <w:pPr>
        <w:spacing w:after="160" w:line="240" w:lineRule="auto"/>
        <w:ind w:left="720"/>
        <w:jc w:val="both"/>
        <w:rPr>
          <w:rFonts w:ascii="Times New Roman" w:eastAsia="Times New Roman" w:hAnsi="Times New Roman" w:cs="Times New Roman"/>
          <w:i/>
          <w:iCs/>
          <w:noProof/>
          <w:sz w:val="24"/>
          <w:szCs w:val="24"/>
          <w:u w:val="single"/>
        </w:rPr>
      </w:pPr>
      <w:r w:rsidRPr="00DA3B61">
        <w:rPr>
          <w:rFonts w:ascii="Times New Roman" w:hAnsi="Times New Roman"/>
          <w:i/>
          <w:noProof/>
          <w:sz w:val="24"/>
          <w:u w:val="single"/>
        </w:rPr>
        <w:t>3</w:t>
      </w:r>
      <w:r>
        <w:rPr>
          <w:rFonts w:ascii="Times New Roman" w:hAnsi="Times New Roman"/>
          <w:i/>
          <w:noProof/>
          <w:sz w:val="24"/>
          <w:u w:val="single"/>
        </w:rPr>
        <w:t>.a.ii Promovarea tranziției verzi [articolul </w:t>
      </w:r>
      <w:r w:rsidRPr="00DA3B61">
        <w:rPr>
          <w:rFonts w:ascii="Times New Roman" w:hAnsi="Times New Roman"/>
          <w:i/>
          <w:noProof/>
          <w:sz w:val="24"/>
          <w:u w:val="single"/>
        </w:rPr>
        <w:t>28</w:t>
      </w:r>
      <w:r>
        <w:rPr>
          <w:rFonts w:ascii="Times New Roman" w:hAnsi="Times New Roman"/>
          <w:i/>
          <w:noProof/>
          <w:sz w:val="24"/>
          <w:u w:val="single"/>
        </w:rPr>
        <w:t xml:space="preserve"> alineatul (</w:t>
      </w:r>
      <w:r w:rsidRPr="00DA3B61">
        <w:rPr>
          <w:rFonts w:ascii="Times New Roman" w:hAnsi="Times New Roman"/>
          <w:i/>
          <w:noProof/>
          <w:sz w:val="24"/>
          <w:u w:val="single"/>
        </w:rPr>
        <w:t>9</w:t>
      </w:r>
      <w:r>
        <w:rPr>
          <w:rFonts w:ascii="Times New Roman" w:hAnsi="Times New Roman"/>
          <w:i/>
          <w:noProof/>
          <w:sz w:val="24"/>
          <w:u w:val="single"/>
        </w:rPr>
        <w:t>)]</w:t>
      </w:r>
    </w:p>
    <w:p w14:paraId="11F6C59C" w14:textId="520B54DD" w:rsidR="00C72EBD" w:rsidRPr="00610CE3" w:rsidRDefault="00C72EBD"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Mecanismul este aliniat la obiectivele Pactului verde european și sprijină tranziția Ucrainei către o economie neutră din punct de vedere climatic, rezilientă la schimbările climatice și durabilă din punctul de vedere al mediului. Se preconizează că pilonul I al mecanismului va respecta principiul de „a nu aduce prejudicii semnificative”, în măsura posibilului în contextul unui război sau al redresării și reconstrucției postbelice. Se preconizează că cel puțin </w:t>
      </w:r>
      <w:r w:rsidRPr="00DA3B61">
        <w:rPr>
          <w:rFonts w:ascii="Times New Roman" w:hAnsi="Times New Roman"/>
          <w:noProof/>
          <w:sz w:val="24"/>
        </w:rPr>
        <w:t>20</w:t>
      </w:r>
      <w:r>
        <w:rPr>
          <w:rFonts w:ascii="Times New Roman" w:hAnsi="Times New Roman"/>
          <w:noProof/>
          <w:sz w:val="24"/>
        </w:rPr>
        <w:t> % din investițiile realizate în temeiul Planului pentru Ucraina și al Cadrului de investiții pentru Ucraina vor contribui la atenuarea schimbărilor climatice și la adaptarea la acestea, la protecția mediului și a biodiversității, inclusiv la conservarea biodiversității, și la tranziția verde în sens mai larg.</w:t>
      </w:r>
    </w:p>
    <w:p w14:paraId="171DF711" w14:textId="1C7C51E0" w:rsidR="00C72EBD" w:rsidRPr="00610CE3" w:rsidRDefault="001C13F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cadrul Planului pentru Ucraina, se preconizează că cel puțin </w:t>
      </w:r>
      <w:r w:rsidRPr="00DA3B61">
        <w:rPr>
          <w:rFonts w:ascii="Times New Roman" w:hAnsi="Times New Roman"/>
          <w:noProof/>
          <w:sz w:val="24"/>
        </w:rPr>
        <w:t>80</w:t>
      </w:r>
      <w:r>
        <w:rPr>
          <w:rFonts w:ascii="Times New Roman" w:hAnsi="Times New Roman"/>
          <w:noProof/>
          <w:sz w:val="24"/>
        </w:rPr>
        <w:t xml:space="preserve"> % din investițiile în infrastructura de transport și cel puțin </w:t>
      </w:r>
      <w:r w:rsidRPr="00DA3B61">
        <w:rPr>
          <w:rFonts w:ascii="Times New Roman" w:hAnsi="Times New Roman"/>
          <w:noProof/>
          <w:sz w:val="24"/>
        </w:rPr>
        <w:t>60</w:t>
      </w:r>
      <w:r>
        <w:rPr>
          <w:rFonts w:ascii="Times New Roman" w:hAnsi="Times New Roman"/>
          <w:noProof/>
          <w:sz w:val="24"/>
        </w:rPr>
        <w:t> % în infrastructura energetică vor sprijini obiectivele verzi. Majoritatea investițiilor legate de tranziția verde din cadrul pilonului I sunt programate să fie puse în aplicare până în T</w:t>
      </w:r>
      <w:r w:rsidRPr="00DA3B61">
        <w:rPr>
          <w:rFonts w:ascii="Times New Roman" w:hAnsi="Times New Roman"/>
          <w:noProof/>
          <w:sz w:val="24"/>
        </w:rPr>
        <w:t>4</w:t>
      </w:r>
      <w:r>
        <w:rPr>
          <w:rFonts w:ascii="Times New Roman" w:hAnsi="Times New Roman"/>
          <w:noProof/>
          <w:sz w:val="24"/>
        </w:rPr>
        <w:t> </w:t>
      </w:r>
      <w:r w:rsidRPr="00DA3B61">
        <w:rPr>
          <w:rFonts w:ascii="Times New Roman" w:hAnsi="Times New Roman"/>
          <w:noProof/>
          <w:sz w:val="24"/>
        </w:rPr>
        <w:t>2027</w:t>
      </w:r>
      <w:r>
        <w:rPr>
          <w:rFonts w:ascii="Times New Roman" w:hAnsi="Times New Roman"/>
          <w:noProof/>
          <w:sz w:val="24"/>
        </w:rPr>
        <w:t xml:space="preserve">. Evaluarea globală pentru a stabili dacă obiectivul tranziției verzi a fost atins va fi efectuată ca parte a cererii finale de plată care trebuie depusă până la sfârșitul anului </w:t>
      </w:r>
      <w:r w:rsidRPr="00DA3B61">
        <w:rPr>
          <w:rFonts w:ascii="Times New Roman" w:hAnsi="Times New Roman"/>
          <w:noProof/>
          <w:sz w:val="24"/>
        </w:rPr>
        <w:t>2027</w:t>
      </w:r>
      <w:r>
        <w:rPr>
          <w:rFonts w:ascii="Times New Roman" w:hAnsi="Times New Roman"/>
          <w:noProof/>
          <w:sz w:val="24"/>
        </w:rPr>
        <w:t>.</w:t>
      </w:r>
    </w:p>
    <w:p w14:paraId="489A2C3D" w14:textId="2257D92D" w:rsidR="00C72EBD" w:rsidRPr="00610CE3" w:rsidRDefault="008A3068" w:rsidP="00CC0E0E">
      <w:pPr>
        <w:spacing w:after="160" w:line="240" w:lineRule="auto"/>
        <w:jc w:val="both"/>
        <w:rPr>
          <w:rFonts w:ascii="Times New Roman" w:hAnsi="Times New Roman"/>
          <w:noProof/>
          <w:sz w:val="24"/>
          <w:szCs w:val="24"/>
        </w:rPr>
      </w:pPr>
      <w:r>
        <w:rPr>
          <w:rFonts w:ascii="Times New Roman" w:hAnsi="Times New Roman"/>
          <w:noProof/>
          <w:sz w:val="24"/>
        </w:rPr>
        <w:t xml:space="preserve">În plus, se preconizează că primele operațiuni din cadrul pilonului II – contractate la jumătatea anului </w:t>
      </w:r>
      <w:r w:rsidRPr="00DA3B61">
        <w:rPr>
          <w:rFonts w:ascii="Times New Roman" w:hAnsi="Times New Roman"/>
          <w:noProof/>
          <w:sz w:val="24"/>
        </w:rPr>
        <w:t>2024</w:t>
      </w:r>
      <w:r>
        <w:rPr>
          <w:rFonts w:ascii="Times New Roman" w:hAnsi="Times New Roman"/>
          <w:noProof/>
          <w:sz w:val="24"/>
        </w:rPr>
        <w:t xml:space="preserve"> – vor aduce, de asemenea, o contribuție semnificativă în acest sens. Printre acestea se numără operațiunile din cadrul de investiții pentru Ucraina axate pe reabilitarea și modernizarea serviciilor esențiale, cum ar fi infrastructura de apă și energie electrică.</w:t>
      </w:r>
    </w:p>
    <w:p w14:paraId="4122A575" w14:textId="6F932418" w:rsidR="00721DCB" w:rsidRPr="00610CE3" w:rsidRDefault="70BA72CE" w:rsidP="7679E0CF">
      <w:pPr>
        <w:spacing w:after="160" w:line="240" w:lineRule="auto"/>
        <w:ind w:left="720"/>
        <w:jc w:val="both"/>
        <w:rPr>
          <w:rFonts w:ascii="Times New Roman" w:eastAsia="Times New Roman" w:hAnsi="Times New Roman" w:cs="Times New Roman"/>
          <w:i/>
          <w:iCs/>
          <w:noProof/>
          <w:sz w:val="24"/>
          <w:szCs w:val="24"/>
          <w:u w:val="single"/>
        </w:rPr>
      </w:pPr>
      <w:r w:rsidRPr="00DA3B61">
        <w:rPr>
          <w:rFonts w:ascii="Times New Roman" w:hAnsi="Times New Roman"/>
          <w:i/>
          <w:noProof/>
          <w:sz w:val="24"/>
          <w:u w:val="single"/>
        </w:rPr>
        <w:t>3</w:t>
      </w:r>
      <w:r>
        <w:rPr>
          <w:rFonts w:ascii="Times New Roman" w:hAnsi="Times New Roman"/>
          <w:i/>
          <w:noProof/>
          <w:sz w:val="24"/>
          <w:u w:val="single"/>
        </w:rPr>
        <w:t>.a.iii Municipalități [articolul </w:t>
      </w:r>
      <w:r w:rsidRPr="00DA3B61">
        <w:rPr>
          <w:rFonts w:ascii="Times New Roman" w:hAnsi="Times New Roman"/>
          <w:i/>
          <w:noProof/>
          <w:sz w:val="24"/>
          <w:u w:val="single"/>
        </w:rPr>
        <w:t>16</w:t>
      </w:r>
      <w:r>
        <w:rPr>
          <w:rFonts w:ascii="Times New Roman" w:hAnsi="Times New Roman"/>
          <w:i/>
          <w:noProof/>
          <w:sz w:val="24"/>
          <w:u w:val="single"/>
        </w:rPr>
        <w:t xml:space="preserve"> alineatul (</w:t>
      </w:r>
      <w:r w:rsidRPr="00DA3B61">
        <w:rPr>
          <w:rFonts w:ascii="Times New Roman" w:hAnsi="Times New Roman"/>
          <w:i/>
          <w:noProof/>
          <w:sz w:val="24"/>
          <w:u w:val="single"/>
        </w:rPr>
        <w:t>4</w:t>
      </w:r>
      <w:r>
        <w:rPr>
          <w:rFonts w:ascii="Times New Roman" w:hAnsi="Times New Roman"/>
          <w:i/>
          <w:noProof/>
          <w:sz w:val="24"/>
          <w:u w:val="single"/>
        </w:rPr>
        <w:t>)]</w:t>
      </w:r>
    </w:p>
    <w:p w14:paraId="69324567" w14:textId="32E20452" w:rsidR="00721DCB" w:rsidRPr="00610CE3" w:rsidRDefault="00721DCB"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cuantum echivalent cu cel puțin </w:t>
      </w:r>
      <w:r w:rsidRPr="00DA3B61">
        <w:rPr>
          <w:rFonts w:ascii="Times New Roman" w:hAnsi="Times New Roman"/>
          <w:noProof/>
          <w:sz w:val="24"/>
        </w:rPr>
        <w:t>20</w:t>
      </w:r>
      <w:r>
        <w:rPr>
          <w:rFonts w:ascii="Times New Roman" w:hAnsi="Times New Roman"/>
          <w:noProof/>
          <w:sz w:val="24"/>
        </w:rPr>
        <w:t> % din sprijinul nerambursabil în cadrul pilonului I trebuie alocat nevoilor autorităților subnaționale. Acest lucru va fi evaluat pe baza rapoartelor Trezoreriei care justifică faptul că cel puțin această sumă a fost alocată în bugetul național pentru astfel de nevoi, în conformitate cu o metodologie care urmează să fie elaborată de Ucraina și convenită cu Comisia. Prima evaluare a acestei cerințe va avea loc ca parte a celei de a noua cereri de plată în temeiul Planului pentru Ucraina, preconizată după T</w:t>
      </w:r>
      <w:r w:rsidRPr="00DA3B61">
        <w:rPr>
          <w:rFonts w:ascii="Times New Roman" w:hAnsi="Times New Roman"/>
          <w:noProof/>
          <w:sz w:val="24"/>
        </w:rPr>
        <w:t>2</w:t>
      </w:r>
      <w:r>
        <w:rPr>
          <w:rFonts w:ascii="Times New Roman" w:hAnsi="Times New Roman"/>
          <w:noProof/>
          <w:sz w:val="24"/>
        </w:rPr>
        <w:t> </w:t>
      </w:r>
      <w:r w:rsidRPr="00DA3B61">
        <w:rPr>
          <w:rFonts w:ascii="Times New Roman" w:hAnsi="Times New Roman"/>
          <w:noProof/>
          <w:sz w:val="24"/>
        </w:rPr>
        <w:t>2026</w:t>
      </w:r>
      <w:r>
        <w:rPr>
          <w:rFonts w:ascii="Times New Roman" w:hAnsi="Times New Roman"/>
          <w:noProof/>
          <w:sz w:val="24"/>
        </w:rPr>
        <w:t xml:space="preserve">, care va stabili dacă a fost alocată o sumă de cel puțin </w:t>
      </w:r>
      <w:r w:rsidRPr="00DA3B61">
        <w:rPr>
          <w:rFonts w:ascii="Times New Roman" w:hAnsi="Times New Roman"/>
          <w:noProof/>
          <w:sz w:val="24"/>
        </w:rPr>
        <w:t>5</w:t>
      </w:r>
      <w:r>
        <w:rPr>
          <w:rFonts w:ascii="Times New Roman" w:hAnsi="Times New Roman"/>
          <w:noProof/>
          <w:sz w:val="24"/>
        </w:rPr>
        <w:t> %. În cererea finală de plată a Planului pentru Ucraina, care trebuie depusă până la sfârșitul T</w:t>
      </w:r>
      <w:r w:rsidRPr="00DA3B61">
        <w:rPr>
          <w:rFonts w:ascii="Times New Roman" w:hAnsi="Times New Roman"/>
          <w:noProof/>
          <w:sz w:val="24"/>
        </w:rPr>
        <w:t>4</w:t>
      </w:r>
      <w:r>
        <w:rPr>
          <w:rFonts w:ascii="Times New Roman" w:hAnsi="Times New Roman"/>
          <w:noProof/>
          <w:sz w:val="24"/>
        </w:rPr>
        <w:t> </w:t>
      </w:r>
      <w:r w:rsidRPr="00DA3B61">
        <w:rPr>
          <w:rFonts w:ascii="Times New Roman" w:hAnsi="Times New Roman"/>
          <w:noProof/>
          <w:sz w:val="24"/>
        </w:rPr>
        <w:t>2027</w:t>
      </w:r>
      <w:r>
        <w:rPr>
          <w:rFonts w:ascii="Times New Roman" w:hAnsi="Times New Roman"/>
          <w:noProof/>
          <w:sz w:val="24"/>
        </w:rPr>
        <w:t>, va fi evaluată întreaga țintă.</w:t>
      </w:r>
    </w:p>
    <w:p w14:paraId="316403DB" w14:textId="607FA9A3" w:rsidR="00D859DA" w:rsidRPr="00610CE3" w:rsidRDefault="7BB9B149"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3</w:t>
      </w:r>
      <w:r>
        <w:rPr>
          <w:rFonts w:ascii="Times New Roman" w:hAnsi="Times New Roman"/>
          <w:b/>
          <w:i/>
          <w:noProof/>
          <w:sz w:val="24"/>
        </w:rPr>
        <w:t>.b. Contribuția la procesul de aderare a Ucrainei</w:t>
      </w:r>
    </w:p>
    <w:p w14:paraId="42B60868" w14:textId="6ED56DF8" w:rsidR="15F98303" w:rsidRPr="00610CE3" w:rsidRDefault="15F98303"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Facilitatea condiționează acordarea sprijinului financiar Ucrainei de un program ambițios de reforme pentru creștere economică, menit să faciliteze transformarea structurală și să sprijine eforturile Ucrainei de aderare la UE. Planul pentru Ucraina se află în centrul mecanismului care promovează redresarea, reconstrucția și modernizarea economică a Ucrainei, promovând în același timp alinierea la acquis-ul UE. </w:t>
      </w:r>
    </w:p>
    <w:p w14:paraId="19AD1963" w14:textId="78E523CB" w:rsidR="15F98303" w:rsidRPr="00627C2B" w:rsidRDefault="15F98303" w:rsidP="111F6B49">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Pentru a asigura progrese semnificative, în plan au fost identificate etape specifice, multe dintre acestea fiind strâns legate de acquis-ul UE în domenii-cheie prioritare. Aceste măsuri cuprind o serie de măsuri esențiale pentru a aduce Ucraina mai aproape de acquis-ul UE pe termen scurt, inclusiv adoptarea de acte legislative care promovează punerea în aplicare a acquis-ului, punerea în aplicare a recomandărilor UE și adoptarea standardelor UE în diferite sectoare. Deși punerea în aplicare cu succes a Planului pentru Ucraina sprijină alinierea Ucrainei la cadrul de reglementare al UE, realizarea reformelor în cadrul mecanismului rămâne separată și nu aduce atingere evaluării alinierii la acquis-ul UE în cadrul procesului de aderare în curs.</w:t>
      </w:r>
    </w:p>
    <w:p w14:paraId="2E12E4F1" w14:textId="14A5C24D" w:rsidR="004516E4" w:rsidRPr="00610CE3" w:rsidRDefault="74245D36"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Mai precis, în cele două tranșe evaluate în </w:t>
      </w:r>
      <w:r w:rsidRPr="00DA3B61">
        <w:rPr>
          <w:rFonts w:ascii="Times New Roman" w:hAnsi="Times New Roman"/>
          <w:noProof/>
          <w:sz w:val="24"/>
        </w:rPr>
        <w:t>2024</w:t>
      </w:r>
      <w:r>
        <w:rPr>
          <w:rFonts w:ascii="Times New Roman" w:hAnsi="Times New Roman"/>
          <w:noProof/>
          <w:sz w:val="24"/>
        </w:rPr>
        <w:t xml:space="preserve">, au fost finalizate în total </w:t>
      </w:r>
      <w:r>
        <w:rPr>
          <w:rFonts w:ascii="Times New Roman" w:hAnsi="Times New Roman"/>
          <w:b/>
          <w:noProof/>
          <w:sz w:val="24"/>
        </w:rPr>
        <w:t>patru etape</w:t>
      </w:r>
      <w:r>
        <w:rPr>
          <w:rFonts w:ascii="Times New Roman" w:hAnsi="Times New Roman"/>
          <w:noProof/>
          <w:sz w:val="24"/>
        </w:rPr>
        <w:t xml:space="preserve"> (aproximativ </w:t>
      </w:r>
      <w:r w:rsidRPr="00DA3B61">
        <w:rPr>
          <w:rFonts w:ascii="Times New Roman" w:hAnsi="Times New Roman"/>
          <w:noProof/>
          <w:sz w:val="24"/>
        </w:rPr>
        <w:t>22</w:t>
      </w:r>
      <w:r>
        <w:rPr>
          <w:rFonts w:ascii="Times New Roman" w:hAnsi="Times New Roman"/>
          <w:noProof/>
          <w:sz w:val="24"/>
        </w:rPr>
        <w:t> % din total)</w:t>
      </w:r>
      <w:r>
        <w:rPr>
          <w:rFonts w:ascii="Times New Roman" w:hAnsi="Times New Roman"/>
          <w:b/>
          <w:noProof/>
          <w:sz w:val="24"/>
        </w:rPr>
        <w:t xml:space="preserve"> </w:t>
      </w:r>
      <w:r>
        <w:rPr>
          <w:rFonts w:ascii="Times New Roman" w:hAnsi="Times New Roman"/>
          <w:noProof/>
          <w:sz w:val="24"/>
        </w:rPr>
        <w:t xml:space="preserve">care contribuie, de asemenea, la alinierea la acquis-ul UE (a se vedea </w:t>
      </w:r>
      <w:r>
        <w:rPr>
          <w:rFonts w:ascii="Times New Roman" w:hAnsi="Times New Roman"/>
          <w:i/>
          <w:noProof/>
          <w:sz w:val="24"/>
        </w:rPr>
        <w:t xml:space="preserve">tabelul </w:t>
      </w:r>
      <w:r w:rsidRPr="00DA3B61">
        <w:rPr>
          <w:rFonts w:ascii="Times New Roman" w:hAnsi="Times New Roman"/>
          <w:i/>
          <w:noProof/>
          <w:sz w:val="24"/>
        </w:rPr>
        <w:t>1</w:t>
      </w:r>
      <w:r>
        <w:rPr>
          <w:rFonts w:ascii="Times New Roman" w:hAnsi="Times New Roman"/>
          <w:noProof/>
          <w:sz w:val="24"/>
        </w:rPr>
        <w:t xml:space="preserve"> de mai jos). Sectoarele implicate includ descentralizarea, energia și mediul.</w:t>
      </w:r>
    </w:p>
    <w:p w14:paraId="61812C61" w14:textId="77777777" w:rsidR="00583CDC" w:rsidRPr="00610CE3" w:rsidRDefault="00583CDC" w:rsidP="00CC0E0E">
      <w:pPr>
        <w:spacing w:after="160" w:line="240" w:lineRule="auto"/>
        <w:jc w:val="both"/>
        <w:rPr>
          <w:rFonts w:ascii="Times New Roman" w:eastAsia="Times New Roman" w:hAnsi="Times New Roman" w:cs="Times New Roman"/>
          <w:noProof/>
          <w:sz w:val="24"/>
          <w:szCs w:val="24"/>
        </w:rPr>
      </w:pPr>
    </w:p>
    <w:p w14:paraId="15995B81" w14:textId="73059C81" w:rsidR="15F98303" w:rsidRPr="00610CE3" w:rsidRDefault="15F98303" w:rsidP="00CC0E0E">
      <w:pPr>
        <w:spacing w:after="16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 xml:space="preserve">Tabelul </w:t>
      </w:r>
      <w:r w:rsidRPr="00DA3B61">
        <w:rPr>
          <w:rFonts w:ascii="Times New Roman" w:hAnsi="Times New Roman"/>
          <w:i/>
          <w:noProof/>
          <w:sz w:val="24"/>
        </w:rPr>
        <w:t>1</w:t>
      </w:r>
      <w:r>
        <w:rPr>
          <w:rFonts w:ascii="Times New Roman" w:hAnsi="Times New Roman"/>
          <w:i/>
          <w:noProof/>
          <w:sz w:val="24"/>
        </w:rPr>
        <w:t xml:space="preserve">: Etapele Planului pentru Ucraina care se raportează la acquis-ul UE, finalizate în </w:t>
      </w:r>
      <w:r w:rsidRPr="00DA3B61">
        <w:rPr>
          <w:rFonts w:ascii="Times New Roman" w:hAnsi="Times New Roman"/>
          <w:i/>
          <w:noProof/>
          <w:sz w:val="24"/>
        </w:rPr>
        <w:t>2024</w:t>
      </w:r>
    </w:p>
    <w:tbl>
      <w:tblPr>
        <w:tblStyle w:val="TableGrid"/>
        <w:tblW w:w="0" w:type="auto"/>
        <w:tblLayout w:type="fixed"/>
        <w:tblLook w:val="04A0" w:firstRow="1" w:lastRow="0" w:firstColumn="1" w:lastColumn="0" w:noHBand="0" w:noVBand="1"/>
      </w:tblPr>
      <w:tblGrid>
        <w:gridCol w:w="1384"/>
        <w:gridCol w:w="2552"/>
        <w:gridCol w:w="3685"/>
        <w:gridCol w:w="1418"/>
      </w:tblGrid>
      <w:tr w:rsidR="00BF2665" w:rsidRPr="00610CE3" w14:paraId="4DDD628F" w14:textId="77777777" w:rsidTr="00AE39DE">
        <w:trPr>
          <w:trHeight w:val="300"/>
          <w:tblHeader/>
        </w:trPr>
        <w:tc>
          <w:tcPr>
            <w:tcW w:w="13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B56F2" w14:textId="3951F920" w:rsidR="4C0D3260" w:rsidRPr="00610CE3" w:rsidRDefault="4C0D3260" w:rsidP="00CC0E0E">
            <w:pPr>
              <w:spacing w:after="160"/>
              <w:jc w:val="center"/>
              <w:rPr>
                <w:rFonts w:ascii="Times New Roman" w:eastAsia="Times New Roman" w:hAnsi="Times New Roman" w:cs="Times New Roman"/>
                <w:b/>
                <w:noProof/>
                <w:sz w:val="24"/>
                <w:szCs w:val="24"/>
              </w:rPr>
            </w:pPr>
            <w:r>
              <w:rPr>
                <w:rFonts w:ascii="Times New Roman" w:hAnsi="Times New Roman"/>
                <w:b/>
                <w:noProof/>
                <w:sz w:val="24"/>
              </w:rPr>
              <w:t>Număr de ordine</w:t>
            </w:r>
          </w:p>
        </w:tc>
        <w:tc>
          <w:tcPr>
            <w:tcW w:w="25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145D4" w14:textId="468B39B3" w:rsidR="4C0D3260" w:rsidRPr="00610CE3" w:rsidRDefault="4C0D3260" w:rsidP="00CC0E0E">
            <w:pPr>
              <w:spacing w:after="160"/>
              <w:jc w:val="center"/>
              <w:rPr>
                <w:rFonts w:ascii="Times New Roman" w:eastAsia="Times New Roman" w:hAnsi="Times New Roman" w:cs="Times New Roman"/>
                <w:b/>
                <w:noProof/>
                <w:sz w:val="24"/>
                <w:szCs w:val="24"/>
              </w:rPr>
            </w:pPr>
            <w:r>
              <w:rPr>
                <w:rFonts w:ascii="Times New Roman" w:hAnsi="Times New Roman"/>
                <w:b/>
                <w:noProof/>
                <w:sz w:val="24"/>
              </w:rPr>
              <w:t>Reformă</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46938" w14:textId="76ACA23E" w:rsidR="4C0D3260" w:rsidRPr="00610CE3" w:rsidRDefault="4C0D3260" w:rsidP="00CC0E0E">
            <w:pPr>
              <w:spacing w:after="160"/>
              <w:jc w:val="center"/>
              <w:rPr>
                <w:rFonts w:ascii="Times New Roman" w:eastAsia="Times New Roman" w:hAnsi="Times New Roman" w:cs="Times New Roman"/>
                <w:b/>
                <w:noProof/>
                <w:sz w:val="24"/>
                <w:szCs w:val="24"/>
              </w:rPr>
            </w:pPr>
            <w:r>
              <w:rPr>
                <w:rFonts w:ascii="Times New Roman" w:hAnsi="Times New Roman"/>
                <w:b/>
                <w:noProof/>
                <w:sz w:val="24"/>
              </w:rPr>
              <w:t>Denumirea etapei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3D8CF" w14:textId="6BEBF1B1" w:rsidR="4C0D3260" w:rsidRPr="00610CE3" w:rsidRDefault="4C0D3260" w:rsidP="00CC0E0E">
            <w:pPr>
              <w:spacing w:after="160"/>
              <w:jc w:val="center"/>
              <w:rPr>
                <w:rFonts w:ascii="Times New Roman" w:eastAsia="Times New Roman" w:hAnsi="Times New Roman" w:cs="Times New Roman"/>
                <w:b/>
                <w:noProof/>
                <w:sz w:val="24"/>
                <w:szCs w:val="24"/>
              </w:rPr>
            </w:pPr>
            <w:r>
              <w:rPr>
                <w:rFonts w:ascii="Times New Roman" w:hAnsi="Times New Roman"/>
                <w:b/>
                <w:noProof/>
                <w:sz w:val="24"/>
              </w:rPr>
              <w:t>Tranșa de plată</w:t>
            </w:r>
          </w:p>
        </w:tc>
      </w:tr>
      <w:tr w:rsidR="00BF2665" w:rsidRPr="00610CE3" w14:paraId="635EF2B5" w14:textId="77777777" w:rsidTr="00AE39DE">
        <w:trPr>
          <w:trHeight w:val="1080"/>
        </w:trPr>
        <w:tc>
          <w:tcPr>
            <w:tcW w:w="1384" w:type="dxa"/>
            <w:tcBorders>
              <w:top w:val="single" w:sz="8" w:space="0" w:color="auto"/>
              <w:left w:val="single" w:sz="8" w:space="0" w:color="auto"/>
              <w:bottom w:val="single" w:sz="8" w:space="0" w:color="auto"/>
              <w:right w:val="single" w:sz="8" w:space="0" w:color="auto"/>
            </w:tcBorders>
            <w:tcMar>
              <w:left w:w="108" w:type="dxa"/>
              <w:right w:w="108" w:type="dxa"/>
            </w:tcMar>
          </w:tcPr>
          <w:p w14:paraId="582D9B16" w14:textId="6D7CB541" w:rsidR="4C0D3260" w:rsidRPr="00610CE3" w:rsidRDefault="4C0D3260" w:rsidP="00CC0E0E">
            <w:pPr>
              <w:spacing w:after="160"/>
              <w:jc w:val="both"/>
              <w:rPr>
                <w:rFonts w:ascii="Times New Roman" w:eastAsia="Times New Roman" w:hAnsi="Times New Roman" w:cs="Times New Roman"/>
                <w:b/>
                <w:noProof/>
                <w:sz w:val="24"/>
                <w:szCs w:val="24"/>
              </w:rPr>
            </w:pPr>
            <w:r w:rsidRPr="00DA3B61">
              <w:rPr>
                <w:rFonts w:ascii="Times New Roman" w:hAnsi="Times New Roman"/>
                <w:b/>
                <w:noProof/>
                <w:sz w:val="24"/>
              </w:rPr>
              <w:t>9</w:t>
            </w:r>
            <w:r>
              <w:rPr>
                <w:rFonts w:ascii="Times New Roman" w:hAnsi="Times New Roman"/>
                <w:b/>
                <w:noProof/>
                <w:sz w:val="24"/>
              </w:rPr>
              <w:t>.</w:t>
            </w:r>
            <w:r w:rsidRPr="00DA3B61">
              <w:rPr>
                <w:rFonts w:ascii="Times New Roman" w:hAnsi="Times New Roman"/>
                <w:b/>
                <w:noProof/>
                <w:sz w:val="24"/>
              </w:rPr>
              <w:t>5</w:t>
            </w:r>
          </w:p>
        </w:tc>
        <w:tc>
          <w:tcPr>
            <w:tcW w:w="2552" w:type="dxa"/>
            <w:tcBorders>
              <w:top w:val="single" w:sz="8" w:space="0" w:color="auto"/>
              <w:left w:val="single" w:sz="8" w:space="0" w:color="auto"/>
              <w:bottom w:val="single" w:sz="8" w:space="0" w:color="auto"/>
              <w:right w:val="single" w:sz="8" w:space="0" w:color="auto"/>
            </w:tcBorders>
            <w:tcMar>
              <w:left w:w="108" w:type="dxa"/>
              <w:right w:w="108" w:type="dxa"/>
            </w:tcMar>
          </w:tcPr>
          <w:p w14:paraId="5AE558FF" w14:textId="18CF08A2"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Reforma </w:t>
            </w:r>
            <w:r w:rsidRPr="00DA3B61">
              <w:rPr>
                <w:rFonts w:ascii="Times New Roman" w:hAnsi="Times New Roman"/>
                <w:noProof/>
                <w:sz w:val="24"/>
              </w:rPr>
              <w:t>3</w:t>
            </w:r>
            <w:r>
              <w:rPr>
                <w:rFonts w:ascii="Times New Roman" w:hAnsi="Times New Roman"/>
                <w:noProof/>
                <w:sz w:val="24"/>
              </w:rPr>
              <w:t>.</w:t>
            </w:r>
          </w:p>
          <w:p w14:paraId="4BC0A224" w14:textId="3D2E7312"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Dezvoltarea și punerea în aplicare a politicii regionale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14:paraId="57BB6818" w14:textId="6CDB0B45"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Adoptarea rezoluțiilor de modificare a Strategiei de stat pentru dezvoltare regională pentru perioada </w:t>
            </w:r>
            <w:r w:rsidRPr="00DA3B61">
              <w:rPr>
                <w:rFonts w:ascii="Times New Roman" w:hAnsi="Times New Roman"/>
                <w:noProof/>
                <w:sz w:val="24"/>
              </w:rPr>
              <w:t>2021</w:t>
            </w:r>
            <w:r>
              <w:rPr>
                <w:rFonts w:ascii="Times New Roman" w:hAnsi="Times New Roman"/>
                <w:noProof/>
                <w:sz w:val="24"/>
              </w:rPr>
              <w:t>-</w:t>
            </w:r>
            <w:r w:rsidRPr="00DA3B61">
              <w:rPr>
                <w:rFonts w:ascii="Times New Roman" w:hAnsi="Times New Roman"/>
                <w:noProof/>
                <w:sz w:val="24"/>
              </w:rPr>
              <w:t>2027</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7AE302D0" w14:textId="598AF7AE" w:rsidR="4C0D3260" w:rsidRPr="00610CE3" w:rsidRDefault="4C0D3260" w:rsidP="00CC0E0E">
            <w:pPr>
              <w:spacing w:after="160"/>
              <w:jc w:val="both"/>
              <w:rPr>
                <w:rFonts w:ascii="Times New Roman" w:eastAsia="Times New Roman" w:hAnsi="Times New Roman" w:cs="Times New Roman"/>
                <w:noProof/>
                <w:sz w:val="24"/>
                <w:szCs w:val="24"/>
              </w:rPr>
            </w:pPr>
            <w:r>
              <w:rPr>
                <w:rFonts w:ascii="Times New Roman" w:hAnsi="Times New Roman"/>
                <w:noProof/>
                <w:sz w:val="24"/>
              </w:rPr>
              <w:t>T</w:t>
            </w:r>
            <w:r w:rsidRPr="00DA3B61">
              <w:rPr>
                <w:rFonts w:ascii="Times New Roman" w:hAnsi="Times New Roman"/>
                <w:noProof/>
                <w:sz w:val="24"/>
              </w:rPr>
              <w:t>3</w:t>
            </w:r>
            <w:r>
              <w:rPr>
                <w:rFonts w:ascii="Times New Roman" w:hAnsi="Times New Roman"/>
                <w:noProof/>
                <w:sz w:val="24"/>
              </w:rPr>
              <w:t xml:space="preserve"> </w:t>
            </w:r>
            <w:r w:rsidRPr="00DA3B61">
              <w:rPr>
                <w:rFonts w:ascii="Times New Roman" w:hAnsi="Times New Roman"/>
                <w:noProof/>
                <w:sz w:val="24"/>
              </w:rPr>
              <w:t>2024</w:t>
            </w:r>
          </w:p>
        </w:tc>
      </w:tr>
      <w:tr w:rsidR="00BF2665" w:rsidRPr="00610CE3" w14:paraId="1600D871" w14:textId="77777777" w:rsidTr="00AE39DE">
        <w:trPr>
          <w:trHeight w:val="1375"/>
        </w:trPr>
        <w:tc>
          <w:tcPr>
            <w:tcW w:w="1384" w:type="dxa"/>
            <w:tcBorders>
              <w:top w:val="single" w:sz="8" w:space="0" w:color="auto"/>
              <w:left w:val="single" w:sz="8" w:space="0" w:color="auto"/>
              <w:bottom w:val="single" w:sz="8" w:space="0" w:color="auto"/>
              <w:right w:val="single" w:sz="8" w:space="0" w:color="auto"/>
            </w:tcBorders>
            <w:tcMar>
              <w:left w:w="108" w:type="dxa"/>
              <w:right w:w="108" w:type="dxa"/>
            </w:tcMar>
          </w:tcPr>
          <w:p w14:paraId="70EA5B97" w14:textId="53EC7269" w:rsidR="4C0D3260" w:rsidRPr="00610CE3" w:rsidRDefault="4C0D3260" w:rsidP="00CC0E0E">
            <w:pPr>
              <w:spacing w:after="160"/>
              <w:jc w:val="both"/>
              <w:rPr>
                <w:rFonts w:ascii="Times New Roman" w:eastAsia="Times New Roman" w:hAnsi="Times New Roman" w:cs="Times New Roman"/>
                <w:b/>
                <w:noProof/>
                <w:sz w:val="24"/>
                <w:szCs w:val="24"/>
              </w:rPr>
            </w:pPr>
            <w:r w:rsidRPr="00DA3B61">
              <w:rPr>
                <w:rFonts w:ascii="Times New Roman" w:hAnsi="Times New Roman"/>
                <w:b/>
                <w:noProof/>
                <w:sz w:val="24"/>
              </w:rPr>
              <w:t>10</w:t>
            </w:r>
            <w:r>
              <w:rPr>
                <w:rFonts w:ascii="Times New Roman" w:hAnsi="Times New Roman"/>
                <w:b/>
                <w:noProof/>
                <w:sz w:val="24"/>
              </w:rPr>
              <w:t>.</w:t>
            </w:r>
            <w:r w:rsidRPr="00DA3B61">
              <w:rPr>
                <w:rFonts w:ascii="Times New Roman" w:hAnsi="Times New Roman"/>
                <w:b/>
                <w:noProof/>
                <w:sz w:val="24"/>
              </w:rPr>
              <w:t>8</w:t>
            </w:r>
          </w:p>
        </w:tc>
        <w:tc>
          <w:tcPr>
            <w:tcW w:w="2552" w:type="dxa"/>
            <w:tcBorders>
              <w:top w:val="single" w:sz="8" w:space="0" w:color="auto"/>
              <w:left w:val="single" w:sz="8" w:space="0" w:color="auto"/>
              <w:bottom w:val="single" w:sz="8" w:space="0" w:color="auto"/>
              <w:right w:val="single" w:sz="8" w:space="0" w:color="auto"/>
            </w:tcBorders>
            <w:tcMar>
              <w:left w:w="108" w:type="dxa"/>
              <w:right w:w="108" w:type="dxa"/>
            </w:tcMar>
          </w:tcPr>
          <w:p w14:paraId="2FD502CD" w14:textId="0E4ADFB3"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Reforma </w:t>
            </w:r>
            <w:r w:rsidRPr="00DA3B61">
              <w:rPr>
                <w:rFonts w:ascii="Times New Roman" w:hAnsi="Times New Roman"/>
                <w:noProof/>
                <w:sz w:val="24"/>
              </w:rPr>
              <w:t>3</w:t>
            </w:r>
            <w:r>
              <w:rPr>
                <w:rFonts w:ascii="Times New Roman" w:hAnsi="Times New Roman"/>
                <w:noProof/>
                <w:sz w:val="24"/>
              </w:rPr>
              <w:t>.</w:t>
            </w:r>
          </w:p>
          <w:p w14:paraId="12D156EC" w14:textId="6A94A96D"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Reforma pieței energiei electrice</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14:paraId="3D61F7E1" w14:textId="2A4C5778" w:rsidR="4C0D3260" w:rsidRPr="00610CE3" w:rsidRDefault="4C0D3260" w:rsidP="00AC15EB">
            <w:pPr>
              <w:rPr>
                <w:rFonts w:ascii="Times New Roman" w:eastAsia="Times New Roman" w:hAnsi="Times New Roman" w:cs="Times New Roman"/>
                <w:noProof/>
                <w:sz w:val="24"/>
                <w:szCs w:val="24"/>
              </w:rPr>
            </w:pPr>
            <w:r>
              <w:rPr>
                <w:rFonts w:ascii="Times New Roman" w:hAnsi="Times New Roman"/>
                <w:noProof/>
                <w:sz w:val="24"/>
              </w:rPr>
              <w:t>Intrarea în vigoare a legislației secundare referitoare la Regulamentul privind integritatea și transparența pieței angro de energie (REMIT)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2C6968A3" w14:textId="720827AA" w:rsidR="4C0D3260" w:rsidRPr="00610CE3" w:rsidRDefault="4C0D3260" w:rsidP="00CC0E0E">
            <w:pPr>
              <w:spacing w:after="160"/>
              <w:jc w:val="both"/>
              <w:rPr>
                <w:rFonts w:ascii="Times New Roman" w:eastAsia="Times New Roman" w:hAnsi="Times New Roman" w:cs="Times New Roman"/>
                <w:noProof/>
                <w:sz w:val="24"/>
                <w:szCs w:val="24"/>
              </w:rPr>
            </w:pPr>
            <w:r>
              <w:rPr>
                <w:rFonts w:ascii="Times New Roman" w:hAnsi="Times New Roman"/>
                <w:noProof/>
                <w:sz w:val="24"/>
              </w:rPr>
              <w:t>T</w:t>
            </w:r>
            <w:r w:rsidRPr="00DA3B61">
              <w:rPr>
                <w:rFonts w:ascii="Times New Roman" w:hAnsi="Times New Roman"/>
                <w:noProof/>
                <w:sz w:val="24"/>
              </w:rPr>
              <w:t>3</w:t>
            </w:r>
            <w:r>
              <w:rPr>
                <w:rFonts w:ascii="Times New Roman" w:hAnsi="Times New Roman"/>
                <w:noProof/>
                <w:sz w:val="24"/>
              </w:rPr>
              <w:t xml:space="preserve"> </w:t>
            </w:r>
            <w:r w:rsidRPr="00DA3B61">
              <w:rPr>
                <w:rFonts w:ascii="Times New Roman" w:hAnsi="Times New Roman"/>
                <w:noProof/>
                <w:sz w:val="24"/>
              </w:rPr>
              <w:t>2024</w:t>
            </w:r>
          </w:p>
        </w:tc>
      </w:tr>
      <w:tr w:rsidR="00BF2665" w:rsidRPr="00610CE3" w14:paraId="28A578BC" w14:textId="77777777" w:rsidTr="00AE39DE">
        <w:trPr>
          <w:trHeight w:val="1080"/>
        </w:trPr>
        <w:tc>
          <w:tcPr>
            <w:tcW w:w="1384" w:type="dxa"/>
            <w:tcBorders>
              <w:top w:val="single" w:sz="8" w:space="0" w:color="auto"/>
              <w:left w:val="single" w:sz="8" w:space="0" w:color="auto"/>
              <w:bottom w:val="single" w:sz="8" w:space="0" w:color="auto"/>
              <w:right w:val="single" w:sz="8" w:space="0" w:color="auto"/>
            </w:tcBorders>
            <w:tcMar>
              <w:left w:w="108" w:type="dxa"/>
              <w:right w:w="108" w:type="dxa"/>
            </w:tcMar>
          </w:tcPr>
          <w:p w14:paraId="6A8B262D" w14:textId="232C105C" w:rsidR="4C0D3260" w:rsidRPr="00610CE3" w:rsidRDefault="4C0D3260" w:rsidP="00CC0E0E">
            <w:pPr>
              <w:spacing w:after="160"/>
              <w:jc w:val="both"/>
              <w:rPr>
                <w:rFonts w:ascii="Times New Roman" w:eastAsia="Times New Roman" w:hAnsi="Times New Roman" w:cs="Times New Roman"/>
                <w:b/>
                <w:noProof/>
                <w:sz w:val="24"/>
                <w:szCs w:val="24"/>
              </w:rPr>
            </w:pPr>
            <w:r w:rsidRPr="00DA3B61">
              <w:rPr>
                <w:rFonts w:ascii="Times New Roman" w:hAnsi="Times New Roman"/>
                <w:b/>
                <w:noProof/>
                <w:sz w:val="24"/>
              </w:rPr>
              <w:t>15</w:t>
            </w:r>
            <w:r>
              <w:rPr>
                <w:rFonts w:ascii="Times New Roman" w:hAnsi="Times New Roman"/>
                <w:b/>
                <w:noProof/>
                <w:sz w:val="24"/>
              </w:rPr>
              <w:t>.</w:t>
            </w:r>
            <w:r w:rsidRPr="00DA3B61">
              <w:rPr>
                <w:rFonts w:ascii="Times New Roman" w:hAnsi="Times New Roman"/>
                <w:b/>
                <w:noProof/>
                <w:sz w:val="24"/>
              </w:rPr>
              <w:t>1</w:t>
            </w:r>
            <w:r>
              <w:rPr>
                <w:rFonts w:ascii="Times New Roman" w:hAnsi="Times New Roman"/>
                <w:b/>
                <w:noProof/>
                <w:sz w:val="24"/>
              </w:rPr>
              <w:t xml:space="preserve"> </w:t>
            </w:r>
          </w:p>
        </w:tc>
        <w:tc>
          <w:tcPr>
            <w:tcW w:w="2552" w:type="dxa"/>
            <w:tcBorders>
              <w:top w:val="single" w:sz="8" w:space="0" w:color="auto"/>
              <w:left w:val="single" w:sz="8" w:space="0" w:color="auto"/>
              <w:bottom w:val="single" w:sz="8" w:space="0" w:color="auto"/>
              <w:right w:val="single" w:sz="8" w:space="0" w:color="auto"/>
            </w:tcBorders>
            <w:tcMar>
              <w:left w:w="108" w:type="dxa"/>
              <w:right w:w="108" w:type="dxa"/>
            </w:tcMar>
          </w:tcPr>
          <w:p w14:paraId="2749BED9" w14:textId="3DE69108"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Reforma </w:t>
            </w:r>
            <w:r w:rsidRPr="00DA3B61">
              <w:rPr>
                <w:rFonts w:ascii="Times New Roman" w:hAnsi="Times New Roman"/>
                <w:noProof/>
                <w:sz w:val="24"/>
              </w:rPr>
              <w:t>1</w:t>
            </w:r>
            <w:r>
              <w:rPr>
                <w:rFonts w:ascii="Times New Roman" w:hAnsi="Times New Roman"/>
                <w:noProof/>
                <w:sz w:val="24"/>
              </w:rPr>
              <w:t>.</w:t>
            </w:r>
          </w:p>
          <w:p w14:paraId="790B472C" w14:textId="6C75157B"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Prevenirea, reducerea și controlul poluării industriale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14:paraId="40B87D10" w14:textId="4DC464BE"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Intrarea în vigoare a legislației privind prevenirea, reducerea și controlul poluării industriale, cu aplicarea parțială a dispozițiilor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34F58AD4" w14:textId="5156A584" w:rsidR="4C0D3260" w:rsidRPr="00610CE3" w:rsidRDefault="4C0D3260" w:rsidP="00CC0E0E">
            <w:pPr>
              <w:spacing w:after="160"/>
              <w:jc w:val="both"/>
              <w:rPr>
                <w:rFonts w:ascii="Times New Roman" w:eastAsia="Times New Roman" w:hAnsi="Times New Roman" w:cs="Times New Roman"/>
                <w:noProof/>
                <w:sz w:val="24"/>
                <w:szCs w:val="24"/>
              </w:rPr>
            </w:pPr>
            <w:r>
              <w:rPr>
                <w:rFonts w:ascii="Times New Roman" w:hAnsi="Times New Roman"/>
                <w:noProof/>
                <w:sz w:val="24"/>
              </w:rPr>
              <w:t>T</w:t>
            </w:r>
            <w:r w:rsidRPr="00DA3B61">
              <w:rPr>
                <w:rFonts w:ascii="Times New Roman" w:hAnsi="Times New Roman"/>
                <w:noProof/>
                <w:sz w:val="24"/>
              </w:rPr>
              <w:t>3</w:t>
            </w:r>
            <w:r>
              <w:rPr>
                <w:rFonts w:ascii="Times New Roman" w:hAnsi="Times New Roman"/>
                <w:noProof/>
                <w:sz w:val="24"/>
              </w:rPr>
              <w:t xml:space="preserve"> </w:t>
            </w:r>
            <w:r w:rsidRPr="00DA3B61">
              <w:rPr>
                <w:rFonts w:ascii="Times New Roman" w:hAnsi="Times New Roman"/>
                <w:noProof/>
                <w:sz w:val="24"/>
              </w:rPr>
              <w:t>2024</w:t>
            </w:r>
          </w:p>
        </w:tc>
      </w:tr>
      <w:tr w:rsidR="009B480E" w:rsidRPr="00610CE3" w14:paraId="5FA403C2" w14:textId="77777777" w:rsidTr="00AE39DE">
        <w:trPr>
          <w:trHeight w:val="1080"/>
        </w:trPr>
        <w:tc>
          <w:tcPr>
            <w:tcW w:w="1384" w:type="dxa"/>
            <w:tcBorders>
              <w:top w:val="single" w:sz="8" w:space="0" w:color="auto"/>
              <w:left w:val="single" w:sz="8" w:space="0" w:color="auto"/>
              <w:bottom w:val="single" w:sz="8" w:space="0" w:color="auto"/>
              <w:right w:val="single" w:sz="8" w:space="0" w:color="auto"/>
            </w:tcBorders>
            <w:tcMar>
              <w:left w:w="108" w:type="dxa"/>
              <w:right w:w="108" w:type="dxa"/>
            </w:tcMar>
          </w:tcPr>
          <w:p w14:paraId="70400BD2" w14:textId="018471B5" w:rsidR="4C0D3260" w:rsidRPr="00610CE3" w:rsidRDefault="4C0D3260" w:rsidP="00CC0E0E">
            <w:pPr>
              <w:spacing w:after="160"/>
              <w:jc w:val="both"/>
              <w:rPr>
                <w:rFonts w:ascii="Times New Roman" w:eastAsia="Times New Roman" w:hAnsi="Times New Roman" w:cs="Times New Roman"/>
                <w:b/>
                <w:noProof/>
                <w:sz w:val="24"/>
                <w:szCs w:val="24"/>
              </w:rPr>
            </w:pPr>
            <w:r w:rsidRPr="00DA3B61">
              <w:rPr>
                <w:rFonts w:ascii="Times New Roman" w:hAnsi="Times New Roman"/>
                <w:b/>
                <w:noProof/>
                <w:sz w:val="24"/>
              </w:rPr>
              <w:t>15</w:t>
            </w:r>
            <w:r>
              <w:rPr>
                <w:rFonts w:ascii="Times New Roman" w:hAnsi="Times New Roman"/>
                <w:b/>
                <w:noProof/>
                <w:sz w:val="24"/>
              </w:rPr>
              <w:t>.</w:t>
            </w:r>
            <w:r w:rsidRPr="00DA3B61">
              <w:rPr>
                <w:rFonts w:ascii="Times New Roman" w:hAnsi="Times New Roman"/>
                <w:b/>
                <w:noProof/>
                <w:sz w:val="24"/>
              </w:rPr>
              <w:t>10</w:t>
            </w:r>
          </w:p>
        </w:tc>
        <w:tc>
          <w:tcPr>
            <w:tcW w:w="2552" w:type="dxa"/>
            <w:tcBorders>
              <w:top w:val="single" w:sz="8" w:space="0" w:color="auto"/>
              <w:left w:val="single" w:sz="8" w:space="0" w:color="auto"/>
              <w:bottom w:val="single" w:sz="8" w:space="0" w:color="auto"/>
              <w:right w:val="single" w:sz="8" w:space="0" w:color="auto"/>
            </w:tcBorders>
            <w:tcMar>
              <w:left w:w="108" w:type="dxa"/>
              <w:right w:w="108" w:type="dxa"/>
            </w:tcMar>
          </w:tcPr>
          <w:p w14:paraId="6C0F89BF" w14:textId="62596F80"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 xml:space="preserve">Reforma </w:t>
            </w:r>
            <w:r w:rsidRPr="00DA3B61">
              <w:rPr>
                <w:rFonts w:ascii="Times New Roman" w:hAnsi="Times New Roman"/>
                <w:noProof/>
                <w:sz w:val="24"/>
              </w:rPr>
              <w:t>5</w:t>
            </w:r>
            <w:r>
              <w:rPr>
                <w:rFonts w:ascii="Times New Roman" w:hAnsi="Times New Roman"/>
                <w:noProof/>
                <w:sz w:val="24"/>
              </w:rPr>
              <w:t xml:space="preserve">. Evaluarea impactului asupra mediului (EIA) și evaluarea strategică de mediu (SEA)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14:paraId="19E907FE" w14:textId="0259B82D" w:rsidR="4C0D3260" w:rsidRPr="00610CE3" w:rsidRDefault="4C0D3260" w:rsidP="00CC0E0E">
            <w:pPr>
              <w:spacing w:after="160"/>
              <w:rPr>
                <w:rFonts w:ascii="Times New Roman" w:eastAsia="Times New Roman" w:hAnsi="Times New Roman" w:cs="Times New Roman"/>
                <w:noProof/>
                <w:sz w:val="24"/>
                <w:szCs w:val="24"/>
              </w:rPr>
            </w:pPr>
            <w:r>
              <w:rPr>
                <w:rFonts w:ascii="Times New Roman" w:hAnsi="Times New Roman"/>
                <w:noProof/>
                <w:sz w:val="24"/>
              </w:rPr>
              <w:t>Elaborarea unui document de reflecție care să definească amploarea abaterilor permise de la normele privind evaluarea impactului asupra mediului (EIA) și evaluarea strategică de mediu (SEA)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1823D474" w14:textId="041888FB" w:rsidR="4C0D3260" w:rsidRPr="00610CE3" w:rsidRDefault="4C0D3260" w:rsidP="00CC0E0E">
            <w:pPr>
              <w:spacing w:after="160"/>
              <w:jc w:val="both"/>
              <w:rPr>
                <w:rFonts w:ascii="Times New Roman" w:eastAsia="Times New Roman" w:hAnsi="Times New Roman" w:cs="Times New Roman"/>
                <w:noProof/>
                <w:sz w:val="24"/>
                <w:szCs w:val="24"/>
              </w:rPr>
            </w:pPr>
            <w:r>
              <w:rPr>
                <w:rFonts w:ascii="Times New Roman" w:hAnsi="Times New Roman"/>
                <w:noProof/>
                <w:sz w:val="24"/>
              </w:rPr>
              <w:t>T</w:t>
            </w:r>
            <w:r w:rsidRPr="00DA3B61">
              <w:rPr>
                <w:rFonts w:ascii="Times New Roman" w:hAnsi="Times New Roman"/>
                <w:noProof/>
                <w:sz w:val="24"/>
              </w:rPr>
              <w:t>3</w:t>
            </w:r>
            <w:r>
              <w:rPr>
                <w:rFonts w:ascii="Times New Roman" w:hAnsi="Times New Roman"/>
                <w:noProof/>
                <w:sz w:val="24"/>
              </w:rPr>
              <w:t xml:space="preserve"> </w:t>
            </w:r>
            <w:r w:rsidRPr="00DA3B61">
              <w:rPr>
                <w:rFonts w:ascii="Times New Roman" w:hAnsi="Times New Roman"/>
                <w:noProof/>
                <w:sz w:val="24"/>
              </w:rPr>
              <w:t>2024</w:t>
            </w:r>
          </w:p>
        </w:tc>
      </w:tr>
    </w:tbl>
    <w:p w14:paraId="64F4A540" w14:textId="0097DC7E" w:rsidR="00D859DA" w:rsidRPr="00610CE3" w:rsidRDefault="67096EFE"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3</w:t>
      </w:r>
      <w:r>
        <w:rPr>
          <w:rFonts w:ascii="Times New Roman" w:hAnsi="Times New Roman"/>
          <w:b/>
          <w:i/>
          <w:noProof/>
          <w:sz w:val="24"/>
        </w:rPr>
        <w:t>.c. Contribuția la stabilitatea bugetară a Ucrainei prin sprijin bugetar</w:t>
      </w:r>
    </w:p>
    <w:p w14:paraId="3561DE14" w14:textId="3FEC7D96" w:rsidR="4059CEE4" w:rsidRPr="00610CE3" w:rsidRDefault="4059CEE4"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Invazia pe scară largă a Rusiei a avut un impact perturbator asupra economiei ucrainene, care s-a contractat cu aproape </w:t>
      </w:r>
      <w:r w:rsidRPr="00DA3B61">
        <w:rPr>
          <w:rFonts w:ascii="Times New Roman" w:hAnsi="Times New Roman"/>
          <w:noProof/>
          <w:sz w:val="24"/>
        </w:rPr>
        <w:t>30</w:t>
      </w:r>
      <w:r>
        <w:rPr>
          <w:rFonts w:ascii="Times New Roman" w:hAnsi="Times New Roman"/>
          <w:noProof/>
          <w:sz w:val="24"/>
        </w:rPr>
        <w:t xml:space="preserve"> % în </w:t>
      </w:r>
      <w:r w:rsidRPr="00DA3B61">
        <w:rPr>
          <w:rFonts w:ascii="Times New Roman" w:hAnsi="Times New Roman"/>
          <w:noProof/>
          <w:sz w:val="24"/>
        </w:rPr>
        <w:t>2022</w:t>
      </w:r>
      <w:r>
        <w:rPr>
          <w:rFonts w:ascii="Times New Roman" w:hAnsi="Times New Roman"/>
          <w:noProof/>
          <w:sz w:val="24"/>
        </w:rPr>
        <w:t xml:space="preserve">. Atât inflația, cât și șomajul au crescut semnificativ. Deficitul public a atins aproape </w:t>
      </w:r>
      <w:r w:rsidRPr="00DA3B61">
        <w:rPr>
          <w:rFonts w:ascii="Times New Roman" w:hAnsi="Times New Roman"/>
          <w:noProof/>
          <w:sz w:val="24"/>
        </w:rPr>
        <w:t>20</w:t>
      </w:r>
      <w:r>
        <w:rPr>
          <w:rFonts w:ascii="Times New Roman" w:hAnsi="Times New Roman"/>
          <w:noProof/>
          <w:sz w:val="24"/>
        </w:rPr>
        <w:t xml:space="preserve"> % din PIB în </w:t>
      </w:r>
      <w:r w:rsidRPr="00DA3B61">
        <w:rPr>
          <w:rFonts w:ascii="Times New Roman" w:hAnsi="Times New Roman"/>
          <w:noProof/>
          <w:sz w:val="24"/>
        </w:rPr>
        <w:t>2023</w:t>
      </w:r>
      <w:r>
        <w:rPr>
          <w:rFonts w:ascii="Times New Roman" w:hAnsi="Times New Roman"/>
          <w:noProof/>
          <w:sz w:val="24"/>
        </w:rPr>
        <w:t xml:space="preserve"> din cauza cheltuielilor ridicate pentru apărare. Întrucât a pierdut accesul la piețele financiare internaționale, Ucraina depinde în mare măsură de ajutorul extern. Fondul Monetar Internațional a estimat deficitul cumulat de finanțare a administrației publice până în </w:t>
      </w:r>
      <w:r w:rsidRPr="00DA3B61">
        <w:rPr>
          <w:rFonts w:ascii="Times New Roman" w:hAnsi="Times New Roman"/>
          <w:noProof/>
          <w:sz w:val="24"/>
        </w:rPr>
        <w:t>2027</w:t>
      </w:r>
      <w:r>
        <w:rPr>
          <w:rFonts w:ascii="Times New Roman" w:hAnsi="Times New Roman"/>
          <w:noProof/>
          <w:sz w:val="24"/>
        </w:rPr>
        <w:t xml:space="preserve"> la </w:t>
      </w:r>
      <w:r w:rsidRPr="00DA3B61">
        <w:rPr>
          <w:rFonts w:ascii="Times New Roman" w:hAnsi="Times New Roman"/>
          <w:noProof/>
          <w:sz w:val="24"/>
        </w:rPr>
        <w:t>143</w:t>
      </w:r>
      <w:r>
        <w:rPr>
          <w:rFonts w:ascii="Times New Roman" w:hAnsi="Times New Roman"/>
          <w:noProof/>
          <w:sz w:val="24"/>
        </w:rPr>
        <w:t xml:space="preserve"> de miliarde EUR.</w:t>
      </w:r>
    </w:p>
    <w:p w14:paraId="56EA98D7" w14:textId="1556F9D7" w:rsidR="4059CEE4" w:rsidRPr="00610CE3" w:rsidRDefault="4059CEE4"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acest context, Planul pentru Ucraina oferă sprijin bugetar direct sub formă de sprijin nerambursabil și de împrumuturi foarte avantajoase. Sprijinul financiar total în cadrul pilonului I se ridică la </w:t>
      </w:r>
      <w:r w:rsidRPr="00DA3B61">
        <w:rPr>
          <w:rFonts w:ascii="Times New Roman" w:hAnsi="Times New Roman"/>
          <w:noProof/>
          <w:sz w:val="24"/>
        </w:rPr>
        <w:t>38</w:t>
      </w:r>
      <w:r>
        <w:rPr>
          <w:rFonts w:ascii="Times New Roman" w:hAnsi="Times New Roman"/>
          <w:noProof/>
          <w:sz w:val="24"/>
        </w:rPr>
        <w:t>,</w:t>
      </w:r>
      <w:r w:rsidRPr="00DA3B61">
        <w:rPr>
          <w:rFonts w:ascii="Times New Roman" w:hAnsi="Times New Roman"/>
          <w:noProof/>
          <w:sz w:val="24"/>
        </w:rPr>
        <w:t>3</w:t>
      </w:r>
      <w:r>
        <w:rPr>
          <w:rFonts w:ascii="Times New Roman" w:hAnsi="Times New Roman"/>
          <w:noProof/>
          <w:sz w:val="24"/>
        </w:rPr>
        <w:t xml:space="preserve"> miliarde EUR. Fondurile au fost concentrate la începutul perioadei în primul și al doilea an de punere în aplicare a planurilor pentru Ucraina.</w:t>
      </w:r>
    </w:p>
    <w:p w14:paraId="31B4914C" w14:textId="44BB6048" w:rsidR="00947FD5" w:rsidRPr="00610CE3" w:rsidRDefault="00947FD5"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Sprijinul bugetar direct ajută Ucraina să își </w:t>
      </w:r>
      <w:r>
        <w:rPr>
          <w:rFonts w:ascii="Times New Roman" w:hAnsi="Times New Roman"/>
          <w:b/>
          <w:noProof/>
          <w:sz w:val="24"/>
        </w:rPr>
        <w:t>mențină funcțiile guvernamentale și să furnizeze servicii publice esențiale</w:t>
      </w:r>
      <w:r>
        <w:rPr>
          <w:rFonts w:ascii="Times New Roman" w:hAnsi="Times New Roman"/>
          <w:noProof/>
          <w:sz w:val="24"/>
        </w:rPr>
        <w:t>, esențiale într-o perioadă de venituri interne din ce în ce mai mari, dar insuficiente. Acest sprijin asigură plata salariilor publice, a pensiilor și a continuării serviciilor precum educația și asistența medicală, contribuind în același timp la menținerea stabilității macrofinanciare prin reducerea nevoii de împrumuturi interne excesive.</w:t>
      </w:r>
    </w:p>
    <w:p w14:paraId="7736D5C4" w14:textId="6252BB4C" w:rsidR="00947FD5" w:rsidRDefault="00947FD5"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pentru Ucraina include </w:t>
      </w:r>
      <w:r>
        <w:rPr>
          <w:rFonts w:ascii="Times New Roman" w:hAnsi="Times New Roman"/>
          <w:b/>
          <w:noProof/>
          <w:sz w:val="24"/>
        </w:rPr>
        <w:t>măsuri de consolidare a gestiunii bugetare</w:t>
      </w:r>
      <w:r>
        <w:rPr>
          <w:rFonts w:ascii="Times New Roman" w:hAnsi="Times New Roman"/>
          <w:noProof/>
          <w:sz w:val="24"/>
        </w:rPr>
        <w:t xml:space="preserve">, cum ar fi restabilirea revizuirilor bugetare anuale și îmbunătățirea eficacității cheltuielilor publice. Acesta se axează, de asemenea, pe stimularea mobilizării veniturilor și a gestionării datoriei publice pentru sustenabilitatea financiară pe termen lung. În plus, subvenționarea ratei dobânzii pentru împrumuturile acordate în urma asistenței macrofinanciare excepționale din partea UE în </w:t>
      </w:r>
      <w:r w:rsidRPr="00DA3B61">
        <w:rPr>
          <w:rFonts w:ascii="Times New Roman" w:hAnsi="Times New Roman"/>
          <w:noProof/>
          <w:sz w:val="24"/>
        </w:rPr>
        <w:t>2022</w:t>
      </w:r>
      <w:r>
        <w:rPr>
          <w:rFonts w:ascii="Times New Roman" w:hAnsi="Times New Roman"/>
          <w:noProof/>
          <w:sz w:val="24"/>
        </w:rPr>
        <w:t xml:space="preserve"> ajută Ucraina să mențină stabilitatea scutind-o de plata dobânzilor acumulate pentru anul respectiv.</w:t>
      </w:r>
    </w:p>
    <w:p w14:paraId="47B5DF2C" w14:textId="77777777" w:rsidR="008E1985" w:rsidRDefault="008E1985" w:rsidP="00CC0E0E">
      <w:pPr>
        <w:spacing w:after="160" w:line="240" w:lineRule="auto"/>
        <w:jc w:val="both"/>
        <w:rPr>
          <w:rFonts w:ascii="Times New Roman" w:eastAsia="Times New Roman" w:hAnsi="Times New Roman" w:cs="Times New Roman"/>
          <w:noProof/>
          <w:sz w:val="24"/>
          <w:szCs w:val="24"/>
        </w:rPr>
      </w:pPr>
    </w:p>
    <w:p w14:paraId="2CF9D4F3" w14:textId="77777777" w:rsidR="006B44EF" w:rsidRPr="00610CE3" w:rsidRDefault="006B44EF" w:rsidP="00CC0E0E">
      <w:pPr>
        <w:spacing w:after="160" w:line="240" w:lineRule="auto"/>
        <w:jc w:val="both"/>
        <w:rPr>
          <w:rFonts w:ascii="Times New Roman" w:eastAsia="Times New Roman" w:hAnsi="Times New Roman" w:cs="Times New Roman"/>
          <w:noProof/>
          <w:sz w:val="24"/>
          <w:szCs w:val="24"/>
        </w:rPr>
      </w:pPr>
    </w:p>
    <w:p w14:paraId="04326666" w14:textId="23BD07D5" w:rsidR="002907CF" w:rsidRPr="00610CE3" w:rsidRDefault="74565772"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3</w:t>
      </w:r>
      <w:r>
        <w:rPr>
          <w:rFonts w:ascii="Times New Roman" w:hAnsi="Times New Roman"/>
          <w:b/>
          <w:i/>
          <w:noProof/>
          <w:sz w:val="24"/>
        </w:rPr>
        <w:t>.d. Sprijin pentru consolidarea egalității de gen</w:t>
      </w:r>
    </w:p>
    <w:p w14:paraId="1C8EFC26" w14:textId="726EBF51" w:rsidR="002907CF" w:rsidRPr="00610CE3" w:rsidRDefault="002907CF" w:rsidP="002907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Punerea în aplicare a mecanismului este ghidată de principiile egalității de gen și emancipării femeilor (GEWE), astfel cum se specifică în regulament. Cu toate acestea, implementarea sa este prea recentă pentru a raporta cu privire la exemple concrete de rezultate pentru GEWE.</w:t>
      </w:r>
    </w:p>
    <w:p w14:paraId="346BEDE9" w14:textId="7A4FEA6E" w:rsidR="002907CF" w:rsidRPr="00610CE3" w:rsidRDefault="002907CF" w:rsidP="002907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Planul pentru Ucraina reamintește principiile incluziunii, egalității de gen și coeziunii sociale ca domenii transversale importante care trebuie avute în vedere. Acesta evidențiază, de asemenea, aspecte legate de capitalul uman și mediul de afaceri. Pentru a îndeplini etapele stabilite în plan, Ucraina a adoptat în </w:t>
      </w:r>
      <w:r w:rsidRPr="00DA3B61">
        <w:rPr>
          <w:rFonts w:ascii="Times New Roman" w:hAnsi="Times New Roman"/>
          <w:noProof/>
          <w:sz w:val="24"/>
        </w:rPr>
        <w:t>2024</w:t>
      </w:r>
      <w:r>
        <w:rPr>
          <w:rFonts w:ascii="Times New Roman" w:hAnsi="Times New Roman"/>
          <w:noProof/>
          <w:sz w:val="24"/>
        </w:rPr>
        <w:t xml:space="preserve"> noua strategie de dezvoltare demografică până în </w:t>
      </w:r>
      <w:r w:rsidRPr="00DA3B61">
        <w:rPr>
          <w:rFonts w:ascii="Times New Roman" w:hAnsi="Times New Roman"/>
          <w:noProof/>
          <w:sz w:val="24"/>
        </w:rPr>
        <w:t>2040</w:t>
      </w:r>
      <w:r>
        <w:rPr>
          <w:rFonts w:ascii="Times New Roman" w:hAnsi="Times New Roman"/>
          <w:noProof/>
          <w:sz w:val="24"/>
        </w:rPr>
        <w:t xml:space="preserve">. Noua lege privind îmbunătățirea guvernanței corporative a întreprinderilor de stat și strategia națională de acțiune împotriva minelor până în </w:t>
      </w:r>
      <w:r w:rsidRPr="00DA3B61">
        <w:rPr>
          <w:rFonts w:ascii="Times New Roman" w:hAnsi="Times New Roman"/>
          <w:noProof/>
          <w:sz w:val="24"/>
        </w:rPr>
        <w:t>2033</w:t>
      </w:r>
      <w:r>
        <w:rPr>
          <w:rFonts w:ascii="Times New Roman" w:hAnsi="Times New Roman"/>
          <w:noProof/>
          <w:sz w:val="24"/>
        </w:rPr>
        <w:t xml:space="preserve"> includ, de asemenea, măsuri care încurajează egalitatea de gen.</w:t>
      </w:r>
    </w:p>
    <w:p w14:paraId="2B92CEA6" w14:textId="66E1692E" w:rsidR="002907CF" w:rsidRPr="00610CE3" w:rsidRDefault="002907CF" w:rsidP="002907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Cadrul de investiții pentru Ucraina este pus în aplicare prin parteneriate cu instituții financiare aliniate la angajamentele internaționale și ale UE în materie de GEWE. Sprijinul pentru GEWE face parte, de asemenea, din orientările strategice ale UIF.</w:t>
      </w:r>
    </w:p>
    <w:p w14:paraId="3A0E8953" w14:textId="6D5AAC55" w:rsidR="002907CF" w:rsidRPr="00610CE3" w:rsidRDefault="002907CF" w:rsidP="002907CF">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pilonului III, asistența bazată pe proiecte este canalizată printr-o singură acțiune denumită Facilitatea de cooperare tehnică (TCF). TCF pune în aplicare proiecte care vor integra obiective de consolidare a GEWE în conformitate cu integrarea perspectivei de gen.</w:t>
      </w:r>
    </w:p>
    <w:p w14:paraId="18746709" w14:textId="24E3178D" w:rsidR="00D859DA" w:rsidRPr="00610CE3" w:rsidRDefault="344BF002"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3</w:t>
      </w:r>
      <w:r>
        <w:rPr>
          <w:rFonts w:ascii="Times New Roman" w:hAnsi="Times New Roman"/>
          <w:b/>
          <w:i/>
          <w:noProof/>
          <w:sz w:val="24"/>
        </w:rPr>
        <w:t>.e. Idei principale</w:t>
      </w:r>
    </w:p>
    <w:p w14:paraId="076084D3" w14:textId="52A7F71B" w:rsidR="00AF046B" w:rsidRPr="00610CE3" w:rsidRDefault="00AF046B" w:rsidP="00D07186">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 pofida stadiului incipient de implementare, instrumentul a obținut deja rezultate semnificative în multe domenii.</w:t>
      </w:r>
    </w:p>
    <w:p w14:paraId="21EE3E17" w14:textId="13CA3F8E" w:rsidR="00EF3ACD" w:rsidRPr="00610CE3" w:rsidRDefault="00EF3ACD" w:rsidP="00D07186">
      <w:pPr>
        <w:pStyle w:val="ListParagraph"/>
        <w:numPr>
          <w:ilvl w:val="0"/>
          <w:numId w:val="7"/>
        </w:numPr>
        <w:spacing w:after="16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Creșterea capacității de combatere a corupției: </w:t>
      </w:r>
      <w:r>
        <w:rPr>
          <w:rFonts w:ascii="Times New Roman" w:hAnsi="Times New Roman"/>
          <w:noProof/>
          <w:sz w:val="24"/>
        </w:rPr>
        <w:t>ca parte a</w:t>
      </w:r>
      <w:r>
        <w:rPr>
          <w:rFonts w:ascii="Times New Roman" w:hAnsi="Times New Roman"/>
          <w:b/>
          <w:noProof/>
          <w:sz w:val="24"/>
        </w:rPr>
        <w:t xml:space="preserve"> </w:t>
      </w:r>
      <w:r>
        <w:rPr>
          <w:rFonts w:ascii="Times New Roman" w:hAnsi="Times New Roman"/>
          <w:noProof/>
          <w:sz w:val="24"/>
        </w:rPr>
        <w:t>reformelor din cadrul Planului pentru Ucraina, Ucraina a sporit personalul Parchetului Specializat Anticorupție (SAPO) și a modificat Codul penal și Codul de procedură penală pentru a spori eficiența lupte împotriva corupției. În special, cadrul juridic al negocierii pedepselor a fost îmbunătățit în mod semnificativ.</w:t>
      </w:r>
    </w:p>
    <w:p w14:paraId="44BF0C41" w14:textId="43AE677C" w:rsidR="612629CD" w:rsidRPr="00610CE3" w:rsidRDefault="612629CD" w:rsidP="00D07186">
      <w:pPr>
        <w:pStyle w:val="ListParagraph"/>
        <w:numPr>
          <w:ilvl w:val="0"/>
          <w:numId w:val="7"/>
        </w:numPr>
        <w:spacing w:after="160" w:line="240" w:lineRule="auto"/>
        <w:contextualSpacing w:val="0"/>
        <w:jc w:val="both"/>
        <w:rPr>
          <w:rFonts w:ascii="Times New Roman" w:eastAsia="Times New Roman" w:hAnsi="Times New Roman" w:cs="Times New Roman"/>
          <w:noProof/>
        </w:rPr>
      </w:pPr>
      <w:r>
        <w:rPr>
          <w:rFonts w:ascii="Times New Roman" w:hAnsi="Times New Roman"/>
          <w:b/>
          <w:noProof/>
          <w:sz w:val="24"/>
        </w:rPr>
        <w:t>Îmbunătățirea standardelor de guvernanță corporativă</w:t>
      </w:r>
      <w:r>
        <w:rPr>
          <w:rFonts w:ascii="Times New Roman" w:hAnsi="Times New Roman"/>
          <w:noProof/>
          <w:sz w:val="24"/>
        </w:rPr>
        <w:t>: Ucraina a adoptat, în cadrul Planului pentru Ucraina, o lege de îmbunătățire a standardelor de guvernanță corporativă în întreprinderile de stat, aducându-le mai aproape de standardele internaționale. Noua lege stabilește competențe exclusive ale consiliilor de supraveghere ale întreprinderilor de stat de a numi și a demite directorii generali și de a aproba planurile de investiții strategice și planurile financiare ale întreprinderilor de stat. Aceasta prevede ca majoritatea membrilor consiliului de supraveghere să fie independenți și introduce o procedură anuală de evaluare pentru consiliile de supraveghere.</w:t>
      </w:r>
    </w:p>
    <w:p w14:paraId="6633B7E9" w14:textId="14C4CC8D" w:rsidR="18E70631" w:rsidRPr="00610CE3" w:rsidRDefault="18E70631" w:rsidP="00D07186">
      <w:pPr>
        <w:pStyle w:val="ListParagraph"/>
        <w:numPr>
          <w:ilvl w:val="0"/>
          <w:numId w:val="7"/>
        </w:numPr>
        <w:spacing w:after="160" w:line="240" w:lineRule="auto"/>
        <w:contextualSpacing w:val="0"/>
        <w:jc w:val="both"/>
        <w:rPr>
          <w:rFonts w:ascii="Times New Roman" w:eastAsia="Times New Roman" w:hAnsi="Times New Roman" w:cs="Times New Roman"/>
          <w:noProof/>
        </w:rPr>
      </w:pPr>
      <w:r>
        <w:rPr>
          <w:rFonts w:ascii="Times New Roman" w:hAnsi="Times New Roman"/>
          <w:b/>
          <w:noProof/>
          <w:sz w:val="24"/>
        </w:rPr>
        <w:t>Securitatea economică și combaterea evaziunii fiscale:</w:t>
      </w:r>
      <w:r>
        <w:rPr>
          <w:rFonts w:ascii="Times New Roman" w:hAnsi="Times New Roman"/>
          <w:noProof/>
          <w:sz w:val="24"/>
        </w:rPr>
        <w:t xml:space="preserve"> Ucraina a adoptat legislația necesară pentru reformarea Biroului pentru Securitate Economică al Ucrainei. Noua legislație reprezintă o etapă solidă pentru transformarea Biroului într-o autoritate de supraveghere care va fi mai eficace în combaterea evaziunii fiscale și a criminalității economice. Legislația introduce proceduri de recrutare transparente și bazate pe merit, inclusiv pentru un nou director care va fi ales de o comisie formată din șase membri, dintre care jumătate vor fi experți internaționali. Legislația va contribui, de asemenea, la asigurarea integrității și a competențelor profesionale adecvate ale personalului.</w:t>
      </w:r>
    </w:p>
    <w:p w14:paraId="37140612" w14:textId="5CE80228" w:rsidR="18E70631" w:rsidRPr="00610CE3" w:rsidRDefault="18E70631" w:rsidP="00D07186">
      <w:pPr>
        <w:pStyle w:val="ListParagraph"/>
        <w:numPr>
          <w:ilvl w:val="0"/>
          <w:numId w:val="7"/>
        </w:numPr>
        <w:spacing w:after="160" w:line="240" w:lineRule="auto"/>
        <w:contextualSpacing w:val="0"/>
        <w:jc w:val="both"/>
        <w:rPr>
          <w:rFonts w:ascii="Times New Roman" w:eastAsia="Times New Roman" w:hAnsi="Times New Roman" w:cs="Times New Roman"/>
          <w:noProof/>
        </w:rPr>
      </w:pPr>
      <w:r>
        <w:rPr>
          <w:rFonts w:ascii="Times New Roman" w:hAnsi="Times New Roman"/>
          <w:b/>
          <w:noProof/>
          <w:sz w:val="24"/>
        </w:rPr>
        <w:t xml:space="preserve">Energie și climă: </w:t>
      </w:r>
      <w:r>
        <w:rPr>
          <w:rFonts w:ascii="Times New Roman" w:hAnsi="Times New Roman"/>
          <w:noProof/>
          <w:sz w:val="24"/>
        </w:rPr>
        <w:t xml:space="preserve">Ucraina a adoptat prima sa lege-cadru a climei, care include obiectivul de a atinge neutralitatea climatică până în </w:t>
      </w:r>
      <w:r w:rsidRPr="00DA3B61">
        <w:rPr>
          <w:rFonts w:ascii="Times New Roman" w:hAnsi="Times New Roman"/>
          <w:noProof/>
          <w:sz w:val="24"/>
        </w:rPr>
        <w:t>2050</w:t>
      </w:r>
      <w:r>
        <w:rPr>
          <w:rFonts w:ascii="Times New Roman" w:hAnsi="Times New Roman"/>
          <w:noProof/>
          <w:sz w:val="24"/>
        </w:rPr>
        <w:t xml:space="preserve">, și planul său național privind energia și clima, care coordonează și planifică politicile privind energia și clima până în </w:t>
      </w:r>
      <w:r w:rsidRPr="00DA3B61">
        <w:rPr>
          <w:rFonts w:ascii="Times New Roman" w:hAnsi="Times New Roman"/>
          <w:noProof/>
          <w:sz w:val="24"/>
        </w:rPr>
        <w:t>2030</w:t>
      </w:r>
      <w:r>
        <w:rPr>
          <w:rFonts w:ascii="Times New Roman" w:hAnsi="Times New Roman"/>
          <w:noProof/>
          <w:sz w:val="24"/>
        </w:rPr>
        <w:t>, cu obiective specifice, inclusiv o reducere semnificativă a emisiilor de gaze cu efect de seră și o pondere sporită a energiei din surse regenerabile.</w:t>
      </w:r>
    </w:p>
    <w:p w14:paraId="4BD0C621" w14:textId="774810F0" w:rsidR="00EF3ACD" w:rsidRDefault="00EF3ACD" w:rsidP="00D07186">
      <w:pPr>
        <w:pStyle w:val="ListParagraph"/>
        <w:numPr>
          <w:ilvl w:val="0"/>
          <w:numId w:val="7"/>
        </w:numPr>
        <w:spacing w:after="16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Îmbunătățirea mediului de reglementare: </w:t>
      </w:r>
      <w:r>
        <w:rPr>
          <w:rFonts w:ascii="Times New Roman" w:hAnsi="Times New Roman"/>
          <w:noProof/>
          <w:sz w:val="24"/>
        </w:rPr>
        <w:t>Ucraina a adoptat un plan de acțiune pentru a ușura sarcina întreprinderilor prin revizuirea și eliminarea reglementărilor care se suprapun, prin dereglementarea activităților economice și prin digitalizarea procedurilor administrative.</w:t>
      </w:r>
    </w:p>
    <w:p w14:paraId="58E813E3" w14:textId="07BCF3E4" w:rsidR="008C7683" w:rsidRPr="008C7683" w:rsidRDefault="008C7683" w:rsidP="008C7683">
      <w:pPr>
        <w:pStyle w:val="ListParagraph"/>
        <w:numPr>
          <w:ilvl w:val="0"/>
          <w:numId w:val="7"/>
        </w:numPr>
        <w:spacing w:after="16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Sprijin bugetar:</w:t>
      </w:r>
      <w:r>
        <w:rPr>
          <w:rFonts w:ascii="Times New Roman" w:hAnsi="Times New Roman"/>
          <w:noProof/>
          <w:sz w:val="24"/>
        </w:rPr>
        <w:t xml:space="preserve"> plățile periodice legate de punerea în aplicare integrală a reformelor din cadrul planului au fost vitale pentru Ucraina, deoarece au contribuit la susținerea funcțiilor publice esențiale, inclusiv plata salariilor și furnizarea de servicii publice, cum ar fi educația și asistența medicală, în contextul unor scăderi grave ale veniturilor. De asemenea, a sprijinit stabilitatea macrofinanciară prin limitarea nevoii de împrumuturi interne și a pus bazele sustenabilității fiscale pe termen lung prin îmbunătățirea gestionării finanțelor publice. </w:t>
      </w:r>
    </w:p>
    <w:p w14:paraId="08B8F17C" w14:textId="0BCBDAE4" w:rsidR="001D5C92" w:rsidRPr="00610CE3" w:rsidRDefault="001D5C92" w:rsidP="00D07186">
      <w:pPr>
        <w:pStyle w:val="ListParagraph"/>
        <w:numPr>
          <w:ilvl w:val="0"/>
          <w:numId w:val="7"/>
        </w:numPr>
        <w:spacing w:after="16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Investiții:</w:t>
      </w:r>
      <w:r>
        <w:rPr>
          <w:rFonts w:ascii="Times New Roman" w:hAnsi="Times New Roman"/>
          <w:noProof/>
          <w:sz w:val="24"/>
        </w:rPr>
        <w:t xml:space="preserve"> cadrul de investiții pentru Ucraina a contribuit la una dintre cele mai mari investiții străine în Ucraina de la independența sa, achiziționarea a doi operatori de telecomunicații (Lifecell și Datagroup Volia) de către investitori francezi și ucraineni. Operațiunea, sprijinită de Corporația Financiară Internațională și de Banca Europeană pentru Reconstrucție și Dezvoltare, a creat un operator integrat de prim rang în Ucraina, cu un plan solid de investiții pentru infrastructura de telecomunicații și îmbunătățirea conectivității digitale. Investiția vizează modernizarea și extinderea infrastructurii de telecomunicații a Ucrainei, sporind reziliența rețelei și conectivitatea în întreaga țară, inclusiv în teritoriile eliberate. Prin urmare, conexiunea mobilă pentru peste </w:t>
      </w:r>
      <w:r w:rsidRPr="00DA3B61">
        <w:rPr>
          <w:rFonts w:ascii="Times New Roman" w:hAnsi="Times New Roman"/>
          <w:noProof/>
          <w:sz w:val="24"/>
        </w:rPr>
        <w:t>10</w:t>
      </w:r>
      <w:r>
        <w:rPr>
          <w:rFonts w:ascii="Times New Roman" w:hAnsi="Times New Roman"/>
          <w:noProof/>
          <w:sz w:val="24"/>
        </w:rPr>
        <w:t xml:space="preserve"> milioane de persoane din Ucraina va fi restabilită, modernizată și îmbunătățită, iar patru milioane de locuințe vor fi echipate cu internet mai rapid.</w:t>
      </w:r>
    </w:p>
    <w:p w14:paraId="6E7A952F" w14:textId="77777777" w:rsidR="00EF3ACD" w:rsidRPr="00610CE3" w:rsidRDefault="00EF3ACD" w:rsidP="008E38DD">
      <w:pPr>
        <w:spacing w:after="160" w:line="240" w:lineRule="auto"/>
        <w:jc w:val="both"/>
        <w:rPr>
          <w:rFonts w:ascii="Times New Roman" w:eastAsia="Calibri" w:hAnsi="Times New Roman" w:cs="Times New Roman"/>
          <w:noProof/>
          <w:sz w:val="24"/>
          <w:szCs w:val="24"/>
        </w:rPr>
      </w:pPr>
    </w:p>
    <w:p w14:paraId="44A1957E" w14:textId="269903CB" w:rsidR="00D859DA" w:rsidRPr="00610CE3" w:rsidRDefault="00D859DA" w:rsidP="7679E0CF">
      <w:pPr>
        <w:pBdr>
          <w:bottom w:val="single" w:sz="4" w:space="4" w:color="000000"/>
        </w:pBdr>
        <w:spacing w:after="160" w:line="240" w:lineRule="auto"/>
        <w:jc w:val="both"/>
        <w:rPr>
          <w:rFonts w:ascii="Times New Roman" w:hAnsi="Times New Roman" w:cs="Times New Roman"/>
          <w:b/>
          <w:bCs/>
          <w:noProof/>
          <w:sz w:val="24"/>
          <w:szCs w:val="24"/>
        </w:rPr>
      </w:pPr>
      <w:r w:rsidRPr="00DA3B61">
        <w:rPr>
          <w:rFonts w:ascii="Times New Roman" w:hAnsi="Times New Roman"/>
          <w:b/>
          <w:noProof/>
          <w:sz w:val="24"/>
        </w:rPr>
        <w:t>4</w:t>
      </w:r>
      <w:r>
        <w:rPr>
          <w:rFonts w:ascii="Times New Roman" w:hAnsi="Times New Roman"/>
          <w:b/>
          <w:noProof/>
          <w:sz w:val="24"/>
        </w:rPr>
        <w:t>. Controale privind punerea în aplicare a instrumentului</w:t>
      </w:r>
    </w:p>
    <w:p w14:paraId="219B0CF0" w14:textId="3144686B" w:rsidR="00A94BC0" w:rsidRPr="00610CE3" w:rsidRDefault="00A94BC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Sistemul de control intern al sectorului public din Ucraina asigură o monitorizare și o supraveghere financiară eficace, respectând standardele UE în materie de transparență și responsabilitate. Structura de guvernanță include coordonatorul național din cadrul Ministerului Economiei care supraveghează punerea în aplicare, în timp ce Ministerul</w:t>
      </w:r>
      <w:r w:rsidR="00B60821">
        <w:rPr>
          <w:rFonts w:ascii="Times New Roman" w:hAnsi="Times New Roman"/>
          <w:noProof/>
          <w:sz w:val="24"/>
        </w:rPr>
        <w:t> </w:t>
      </w:r>
      <w:r>
        <w:rPr>
          <w:rFonts w:ascii="Times New Roman" w:hAnsi="Times New Roman"/>
          <w:noProof/>
          <w:sz w:val="24"/>
        </w:rPr>
        <w:t>Finanțelor și Serviciul Național de Audit verifică conformitatea prin audituri. Curtea de Conturi sprijină controlul parlamentar.</w:t>
      </w:r>
    </w:p>
    <w:p w14:paraId="544C0A69" w14:textId="05C6D8C2" w:rsidR="00A94BC0" w:rsidRPr="00610CE3" w:rsidRDefault="5E90945B"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audit inițial pentru Comisie a fost efectuat în decembrie </w:t>
      </w:r>
      <w:r w:rsidRPr="00DA3B61">
        <w:rPr>
          <w:rFonts w:ascii="Times New Roman" w:hAnsi="Times New Roman"/>
          <w:noProof/>
          <w:sz w:val="24"/>
        </w:rPr>
        <w:t>2024</w:t>
      </w:r>
      <w:r>
        <w:rPr>
          <w:rFonts w:ascii="Times New Roman" w:hAnsi="Times New Roman"/>
          <w:noProof/>
          <w:sz w:val="24"/>
        </w:rPr>
        <w:t>. În pofida constrângerilor</w:t>
      </w:r>
      <w:r w:rsidR="00B60821">
        <w:rPr>
          <w:rFonts w:ascii="Times New Roman" w:hAnsi="Times New Roman"/>
          <w:noProof/>
          <w:sz w:val="24"/>
        </w:rPr>
        <w:t> </w:t>
      </w:r>
      <w:r>
        <w:rPr>
          <w:rFonts w:ascii="Times New Roman" w:hAnsi="Times New Roman"/>
          <w:noProof/>
          <w:sz w:val="24"/>
        </w:rPr>
        <w:t>legate de resurse, experiența Ucrainei în gestionarea ajutorului financiar internațional facilitează o capacitate administrativă adecvată. Planul pentru Ucraina include, de asemenea, reforme menite să îmbunătățească gestionarea finanțelor publice, să prevină frauda și să reducă riscurile de dublă finanțare. Aceste eforturi sunt susținute de Acordul-cadru UE-Ucraina, care prevede mecanisme de supraveghere financiară, prevenire a fraudei și garanții juridice pentru protejarea intereselor financiare ale UE.</w:t>
      </w:r>
    </w:p>
    <w:p w14:paraId="07DDB242" w14:textId="2401A612" w:rsidR="607F2EC1" w:rsidRPr="00610CE3" w:rsidRDefault="56E78D8F"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4</w:t>
      </w:r>
      <w:r>
        <w:rPr>
          <w:rFonts w:ascii="Times New Roman" w:hAnsi="Times New Roman"/>
          <w:b/>
          <w:i/>
          <w:noProof/>
          <w:sz w:val="24"/>
        </w:rPr>
        <w:t>.a. Protecția intereselor financiare ale UE</w:t>
      </w:r>
    </w:p>
    <w:p w14:paraId="3A7ECD15" w14:textId="364D720B" w:rsidR="607F2EC1" w:rsidRPr="00610CE3" w:rsidRDefault="607F2EC1"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punerii în aplicare a mecanismului, Comisia și Ucraina iau măsurile adecvate pentru a proteja interesele financiare ale UE. Cadrul de control al Comisiei cuprinde două niveluri (i)</w:t>
      </w:r>
      <w:r w:rsidR="00DA3B61">
        <w:rPr>
          <w:rFonts w:ascii="Times New Roman" w:hAnsi="Times New Roman"/>
          <w:noProof/>
          <w:sz w:val="24"/>
        </w:rPr>
        <w:t> </w:t>
      </w:r>
      <w:r>
        <w:rPr>
          <w:rFonts w:ascii="Times New Roman" w:hAnsi="Times New Roman"/>
          <w:noProof/>
          <w:sz w:val="24"/>
        </w:rPr>
        <w:t>asigurarea legalității și regularității plăților trimestriale către Ucraina în cadrul pilonului I al mecanismului; și (ii) protejarea intereselor financiare ale UE. Pentru a asigura legalitatea și regularitatea, Comisia efectuează controale preliminare cuprinzătoare înainte de orice evaluare pozitivă a unei cereri de plată depuse de Ucraina. Evaluarea pozitivă a Comisiei ia în considerare următoarele:</w:t>
      </w:r>
    </w:p>
    <w:p w14:paraId="0D629F7B" w14:textId="347D4CA4" w:rsidR="607F2EC1" w:rsidRPr="00610CE3" w:rsidRDefault="00A57570" w:rsidP="00CC0E0E">
      <w:pPr>
        <w:pStyle w:val="ListParagraph"/>
        <w:numPr>
          <w:ilvl w:val="0"/>
          <w:numId w:val="6"/>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o evaluare a condiției prealabile prevăzute la articolul </w:t>
      </w:r>
      <w:r w:rsidRPr="00DA3B61">
        <w:rPr>
          <w:rFonts w:ascii="Times New Roman" w:hAnsi="Times New Roman"/>
          <w:noProof/>
          <w:sz w:val="24"/>
        </w:rPr>
        <w:t>5</w:t>
      </w:r>
      <w:r>
        <w:rPr>
          <w:rFonts w:ascii="Times New Roman" w:hAnsi="Times New Roman"/>
          <w:noProof/>
          <w:sz w:val="24"/>
        </w:rPr>
        <w:t xml:space="preserve"> alineatul (</w:t>
      </w:r>
      <w:r w:rsidRPr="00DA3B61">
        <w:rPr>
          <w:rFonts w:ascii="Times New Roman" w:hAnsi="Times New Roman"/>
          <w:noProof/>
          <w:sz w:val="24"/>
        </w:rPr>
        <w:t>1</w:t>
      </w:r>
      <w:r>
        <w:rPr>
          <w:rFonts w:ascii="Times New Roman" w:hAnsi="Times New Roman"/>
          <w:noProof/>
          <w:sz w:val="24"/>
        </w:rPr>
        <w:t>) din Regulamentul de instituire a Mecanismului pentru Ucraina ca Ucraina să continue să susțină și să respecte mecanismele democratice eficace și respectarea drepturilor omului, ținând seama de recomandările relevante ale organismelor internaționale, cum ar fi Consiliul Europei și Comisia sa de la Veneția;</w:t>
      </w:r>
    </w:p>
    <w:p w14:paraId="69BB7F6C" w14:textId="45F20632" w:rsidR="607F2EC1" w:rsidRPr="00610CE3" w:rsidRDefault="00A57570" w:rsidP="00CC0E0E">
      <w:pPr>
        <w:pStyle w:val="ListParagraph"/>
        <w:numPr>
          <w:ilvl w:val="0"/>
          <w:numId w:val="6"/>
        </w:num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o analiză a îndeplinirii satisfăcătoare a etapelor calitative și cantitative din fiecare cerere de plată pe baza documentelor de verificare furnizate de Ucraina în conformitate cu Acordul-cadru dintre Comisie și Ucraina.</w:t>
      </w:r>
    </w:p>
    <w:p w14:paraId="2054BA9C" w14:textId="70E4851A" w:rsidR="607F2EC1" w:rsidRPr="00610CE3" w:rsidRDefault="607F2EC1"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După efectuarea plăților, Comisia va efectua, de asemenea, audituri bazate pe riscuri privind punerea în aplicare a măsurilor din Planul pentru Ucraina, pentru a obține garanții suplimentare cu privire la veridicitatea informațiilor furnizate de Ucraina. Înainte de a da o evaluare pozitivă Planului pentru Ucraina, Comisia a apreciat, de asemenea, că măsurile propuse de Ucraina ar trebui să asigure în mod eficient un nivel adecvat de protecție a intereselor financiare ale UE.</w:t>
      </w:r>
    </w:p>
    <w:p w14:paraId="2B2C24A9" w14:textId="157028BA" w:rsidR="607F2EC1" w:rsidRPr="00610CE3" w:rsidRDefault="7DA53858" w:rsidP="00B66D69">
      <w:pPr>
        <w:spacing w:before="400" w:after="160" w:line="240" w:lineRule="auto"/>
        <w:ind w:left="720"/>
        <w:jc w:val="both"/>
        <w:rPr>
          <w:rFonts w:ascii="Times New Roman" w:eastAsia="Times New Roman" w:hAnsi="Times New Roman" w:cs="Times New Roman"/>
          <w:b/>
          <w:bCs/>
          <w:i/>
          <w:iCs/>
          <w:noProof/>
          <w:sz w:val="24"/>
          <w:szCs w:val="24"/>
        </w:rPr>
      </w:pPr>
      <w:r w:rsidRPr="00DA3B61">
        <w:rPr>
          <w:rFonts w:ascii="Times New Roman" w:hAnsi="Times New Roman"/>
          <w:b/>
          <w:i/>
          <w:noProof/>
          <w:sz w:val="24"/>
        </w:rPr>
        <w:t>4</w:t>
      </w:r>
      <w:r>
        <w:rPr>
          <w:rFonts w:ascii="Times New Roman" w:hAnsi="Times New Roman"/>
          <w:b/>
          <w:i/>
          <w:noProof/>
          <w:sz w:val="24"/>
        </w:rPr>
        <w:t>.b. Sistemul de control intern al sectorului public din Ucraina</w:t>
      </w:r>
    </w:p>
    <w:p w14:paraId="0163AE07" w14:textId="04A28A20" w:rsidR="00A94BC0" w:rsidRPr="00610CE3" w:rsidRDefault="00A94BC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Sistemul de control intern al sectorului public din Ucraina asigură o supraveghere financiară eficace, aliniindu-se la standardele UE în materie de transparență și asumare a răspunderii. Coordonatorul național din cadrul Ministerului Economiei supraveghează punerea în aplicare, în timp ce Ministerul Finanțelor, sprijinit de Serviciul Național de Audit, efectuează audituri și controale financiare.</w:t>
      </w:r>
    </w:p>
    <w:p w14:paraId="6817FD82" w14:textId="5DAB8E7F" w:rsidR="00A94BC0" w:rsidRPr="00610CE3" w:rsidRDefault="00A94BC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decembrie </w:t>
      </w:r>
      <w:r w:rsidRPr="00DA3B61">
        <w:rPr>
          <w:rFonts w:ascii="Times New Roman" w:hAnsi="Times New Roman"/>
          <w:noProof/>
          <w:sz w:val="24"/>
        </w:rPr>
        <w:t>2024</w:t>
      </w:r>
      <w:r>
        <w:rPr>
          <w:rFonts w:ascii="Times New Roman" w:hAnsi="Times New Roman"/>
          <w:noProof/>
          <w:sz w:val="24"/>
        </w:rPr>
        <w:t xml:space="preserve">, un audit inițial al sistemelor Comisiei a identificat domenii care necesită îmbunătățiri, recomandările fiind formulate la începutul anului </w:t>
      </w:r>
      <w:r w:rsidRPr="00DA3B61">
        <w:rPr>
          <w:rFonts w:ascii="Times New Roman" w:hAnsi="Times New Roman"/>
          <w:noProof/>
          <w:sz w:val="24"/>
        </w:rPr>
        <w:t>205</w:t>
      </w:r>
      <w:r>
        <w:rPr>
          <w:rFonts w:ascii="Times New Roman" w:hAnsi="Times New Roman"/>
          <w:noProof/>
          <w:sz w:val="24"/>
        </w:rPr>
        <w:t>. Acestea vor fi puse în aplicare sub supravegherea Comisiei de audit a Mecanismului pentru Ucraina. În pofida constrângerilor legate de resurse, experiența Ucrainei în gestionarea ajutorului financiar internațional asigură o capacitate administrativă adecvată.</w:t>
      </w:r>
    </w:p>
    <w:p w14:paraId="7B65628E" w14:textId="30025B21" w:rsidR="00A94BC0" w:rsidRPr="00610CE3" w:rsidRDefault="00A94BC0" w:rsidP="00CC0E0E">
      <w:pPr>
        <w:spacing w:after="160" w:line="240" w:lineRule="auto"/>
        <w:jc w:val="both"/>
        <w:rPr>
          <w:rFonts w:ascii="Times New Roman" w:eastAsia="Times New Roman" w:hAnsi="Times New Roman" w:cs="Times New Roman"/>
          <w:noProof/>
          <w:sz w:val="24"/>
          <w:szCs w:val="24"/>
        </w:rPr>
      </w:pPr>
      <w:r>
        <w:rPr>
          <w:rFonts w:ascii="Times New Roman" w:hAnsi="Times New Roman"/>
          <w:noProof/>
          <w:sz w:val="24"/>
        </w:rPr>
        <w:t>Planul pentru Ucraina impune reforme în ceea ce privește gestionarea finanțelor publice și transparența investițiilor pentru a consolida sistemele de audit și a preveni frauda. Un acord</w:t>
      </w:r>
      <w:r w:rsidR="00F37370">
        <w:rPr>
          <w:rFonts w:ascii="Times New Roman" w:hAnsi="Times New Roman" w:cs="Times New Roman"/>
          <w:noProof/>
          <w:sz w:val="24"/>
        </w:rPr>
        <w:t>­</w:t>
      </w:r>
      <w:r>
        <w:rPr>
          <w:rFonts w:ascii="Times New Roman" w:hAnsi="Times New Roman"/>
          <w:noProof/>
          <w:sz w:val="24"/>
        </w:rPr>
        <w:t>cadru cu UE, completat de acorduri de finanțare și de împrumut, stabilește măsuri obligatorii din punct de vedere juridic pentru gestionarea fondurilor, prevenirea fraudei și garanții financiare, asigurând asumarea răspunderii în utilizarea sprijinului UE.</w:t>
      </w:r>
    </w:p>
    <w:p w14:paraId="7C76B234" w14:textId="77777777" w:rsidR="008D06A8" w:rsidRPr="00610CE3" w:rsidRDefault="008D06A8" w:rsidP="00CC0E0E">
      <w:pPr>
        <w:spacing w:after="160" w:line="240" w:lineRule="auto"/>
        <w:rPr>
          <w:rFonts w:ascii="Times New Roman" w:hAnsi="Times New Roman" w:cs="Times New Roman"/>
          <w:b/>
          <w:bCs/>
          <w:noProof/>
          <w:sz w:val="24"/>
          <w:szCs w:val="24"/>
        </w:rPr>
      </w:pPr>
    </w:p>
    <w:p w14:paraId="2622E820" w14:textId="059D3E96" w:rsidR="00D859DA" w:rsidRPr="00610CE3" w:rsidRDefault="00D859DA" w:rsidP="79D4E448">
      <w:pPr>
        <w:pBdr>
          <w:bottom w:val="single" w:sz="4" w:space="4" w:color="000000"/>
        </w:pBdr>
        <w:spacing w:after="160" w:line="240" w:lineRule="auto"/>
        <w:rPr>
          <w:rFonts w:ascii="Times New Roman" w:hAnsi="Times New Roman" w:cs="Times New Roman"/>
          <w:b/>
          <w:bCs/>
          <w:noProof/>
          <w:sz w:val="24"/>
          <w:szCs w:val="24"/>
        </w:rPr>
      </w:pPr>
      <w:r w:rsidRPr="00DA3B61">
        <w:rPr>
          <w:rFonts w:ascii="Times New Roman" w:hAnsi="Times New Roman"/>
          <w:b/>
          <w:noProof/>
          <w:sz w:val="24"/>
        </w:rPr>
        <w:t>5</w:t>
      </w:r>
      <w:r>
        <w:rPr>
          <w:rFonts w:ascii="Times New Roman" w:hAnsi="Times New Roman"/>
          <w:b/>
          <w:noProof/>
          <w:sz w:val="24"/>
        </w:rPr>
        <w:t>. Comunicare și dialoguri</w:t>
      </w:r>
    </w:p>
    <w:p w14:paraId="242FD6B0" w14:textId="6FFC3E17" w:rsidR="00D859DA" w:rsidRPr="00610CE3" w:rsidRDefault="00D859DA" w:rsidP="7679E0CF">
      <w:pPr>
        <w:spacing w:after="160" w:line="240" w:lineRule="auto"/>
        <w:ind w:left="720"/>
        <w:jc w:val="both"/>
        <w:rPr>
          <w:rFonts w:ascii="Times New Roman" w:eastAsia="Times New Roman" w:hAnsi="Times New Roman" w:cs="Times New Roman"/>
          <w:b/>
          <w:bCs/>
          <w:i/>
          <w:iCs/>
          <w:noProof/>
          <w:sz w:val="24"/>
          <w:szCs w:val="24"/>
        </w:rPr>
      </w:pPr>
      <w:r>
        <w:rPr>
          <w:rFonts w:ascii="Times New Roman" w:hAnsi="Times New Roman"/>
          <w:b/>
          <w:i/>
          <w:noProof/>
          <w:sz w:val="24"/>
        </w:rPr>
        <w:t>Dialogul privind Mecanismul pentru Ucraina cu Parlamentul European</w:t>
      </w:r>
    </w:p>
    <w:p w14:paraId="518B1D2B" w14:textId="60E11F4E" w:rsidR="00A94BC0" w:rsidRPr="00610CE3" w:rsidRDefault="00A94BC0"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În temeiul articolului </w:t>
      </w:r>
      <w:r w:rsidRPr="00DA3B61">
        <w:rPr>
          <w:rFonts w:ascii="Times New Roman" w:hAnsi="Times New Roman"/>
          <w:noProof/>
          <w:sz w:val="24"/>
        </w:rPr>
        <w:t>37</w:t>
      </w:r>
      <w:r>
        <w:rPr>
          <w:rFonts w:ascii="Times New Roman" w:hAnsi="Times New Roman"/>
          <w:noProof/>
          <w:sz w:val="24"/>
        </w:rPr>
        <w:t xml:space="preserve"> din Regulamentul de instituire a Mecanismului pentru Ucraina, Comisia poartă un dialog cu Parlamentul European cel puțin o dată la patru luni pentru a analiza progresele înregistrate cu privire la toți cei trei piloni ai mecanismului.</w:t>
      </w:r>
    </w:p>
    <w:p w14:paraId="38BFAA3A" w14:textId="5795D5D4" w:rsidR="00221E83" w:rsidRPr="00610CE3" w:rsidRDefault="00A94BC0"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Primul dialog a avut loc în decembrie </w:t>
      </w:r>
      <w:r w:rsidRPr="00DA3B61">
        <w:rPr>
          <w:rFonts w:ascii="Times New Roman" w:hAnsi="Times New Roman"/>
          <w:noProof/>
          <w:sz w:val="24"/>
        </w:rPr>
        <w:t>2024</w:t>
      </w:r>
      <w:r>
        <w:rPr>
          <w:rFonts w:ascii="Times New Roman" w:hAnsi="Times New Roman"/>
          <w:noProof/>
          <w:sz w:val="24"/>
        </w:rPr>
        <w:t xml:space="preserve"> cu comisiile pentru buget și afaceri externe, abordând aspecte-cheie precum menținerea sprijinului după </w:t>
      </w:r>
      <w:r w:rsidRPr="00DA3B61">
        <w:rPr>
          <w:rFonts w:ascii="Times New Roman" w:hAnsi="Times New Roman"/>
          <w:noProof/>
          <w:sz w:val="24"/>
        </w:rPr>
        <w:t>2027</w:t>
      </w:r>
      <w:r>
        <w:rPr>
          <w:rFonts w:ascii="Times New Roman" w:hAnsi="Times New Roman"/>
          <w:noProof/>
          <w:sz w:val="24"/>
        </w:rPr>
        <w:t>, mobilizarea investițiilor din sectorul privat și asigurarea garanțiilor financiare. Comisia își menține angajamentul față de dialogurile în curs pentru a informa Parlamentul cu privire la progresele înregistrate, provocările și eforturile de punere în aplicare.</w:t>
      </w:r>
    </w:p>
    <w:p w14:paraId="0767D8BC" w14:textId="77777777" w:rsidR="002A3131" w:rsidRPr="00610CE3" w:rsidRDefault="002A3131" w:rsidP="00CC0E0E">
      <w:pPr>
        <w:spacing w:after="160" w:line="240" w:lineRule="auto"/>
        <w:jc w:val="both"/>
        <w:rPr>
          <w:rFonts w:ascii="Times New Roman" w:hAnsi="Times New Roman" w:cs="Times New Roman"/>
          <w:noProof/>
          <w:sz w:val="24"/>
          <w:szCs w:val="24"/>
        </w:rPr>
      </w:pPr>
    </w:p>
    <w:p w14:paraId="5F179948" w14:textId="05E21057" w:rsidR="00D859DA" w:rsidRPr="00610CE3" w:rsidRDefault="002A3131" w:rsidP="79D4E448">
      <w:pPr>
        <w:pBdr>
          <w:bottom w:val="single" w:sz="4" w:space="4" w:color="000000"/>
        </w:pBdr>
        <w:spacing w:after="160" w:line="240" w:lineRule="auto"/>
        <w:rPr>
          <w:rFonts w:ascii="Times New Roman" w:hAnsi="Times New Roman" w:cs="Times New Roman"/>
          <w:b/>
          <w:bCs/>
          <w:noProof/>
          <w:sz w:val="24"/>
          <w:szCs w:val="24"/>
        </w:rPr>
      </w:pPr>
      <w:r w:rsidRPr="00DA3B61">
        <w:rPr>
          <w:rFonts w:ascii="Times New Roman" w:hAnsi="Times New Roman"/>
          <w:b/>
          <w:noProof/>
          <w:sz w:val="24"/>
        </w:rPr>
        <w:t>6</w:t>
      </w:r>
      <w:r>
        <w:rPr>
          <w:rFonts w:ascii="Times New Roman" w:hAnsi="Times New Roman"/>
          <w:b/>
          <w:noProof/>
          <w:sz w:val="24"/>
        </w:rPr>
        <w:t>. Concluzii</w:t>
      </w:r>
    </w:p>
    <w:p w14:paraId="7DC47F79" w14:textId="6C814495" w:rsidR="00B00EDB" w:rsidRPr="00610CE3" w:rsidRDefault="006B16E1"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În primul an de implementare, mecanismul a început deja să își îndeplinească obiectivele. După ce a mobilizat </w:t>
      </w:r>
      <w:r w:rsidRPr="00DA3B61">
        <w:rPr>
          <w:rFonts w:ascii="Times New Roman" w:hAnsi="Times New Roman"/>
          <w:noProof/>
          <w:sz w:val="24"/>
        </w:rPr>
        <w:t>19</w:t>
      </w:r>
      <w:r>
        <w:rPr>
          <w:rFonts w:ascii="Times New Roman" w:hAnsi="Times New Roman"/>
          <w:noProof/>
          <w:sz w:val="24"/>
        </w:rPr>
        <w:t>,</w:t>
      </w:r>
      <w:r w:rsidRPr="00DA3B61">
        <w:rPr>
          <w:rFonts w:ascii="Times New Roman" w:hAnsi="Times New Roman"/>
          <w:noProof/>
          <w:sz w:val="24"/>
        </w:rPr>
        <w:t>6</w:t>
      </w:r>
      <w:r>
        <w:rPr>
          <w:rFonts w:ascii="Times New Roman" w:hAnsi="Times New Roman"/>
          <w:noProof/>
          <w:sz w:val="24"/>
        </w:rPr>
        <w:t xml:space="preserve"> miliarde EUR în </w:t>
      </w:r>
      <w:r w:rsidRPr="00DA3B61">
        <w:rPr>
          <w:rFonts w:ascii="Times New Roman" w:hAnsi="Times New Roman"/>
          <w:noProof/>
          <w:sz w:val="24"/>
        </w:rPr>
        <w:t>2024</w:t>
      </w:r>
      <w:r>
        <w:rPr>
          <w:rFonts w:ascii="Times New Roman" w:hAnsi="Times New Roman"/>
          <w:noProof/>
          <w:sz w:val="24"/>
        </w:rPr>
        <w:t xml:space="preserve">, din care </w:t>
      </w:r>
      <w:r w:rsidRPr="00DA3B61">
        <w:rPr>
          <w:rFonts w:ascii="Times New Roman" w:hAnsi="Times New Roman"/>
          <w:noProof/>
          <w:sz w:val="24"/>
        </w:rPr>
        <w:t>16</w:t>
      </w:r>
      <w:r>
        <w:rPr>
          <w:rFonts w:ascii="Times New Roman" w:hAnsi="Times New Roman"/>
          <w:noProof/>
          <w:sz w:val="24"/>
        </w:rPr>
        <w:t>,</w:t>
      </w:r>
      <w:r w:rsidRPr="00DA3B61">
        <w:rPr>
          <w:rFonts w:ascii="Times New Roman" w:hAnsi="Times New Roman"/>
          <w:noProof/>
          <w:sz w:val="24"/>
        </w:rPr>
        <w:t>1</w:t>
      </w:r>
      <w:r>
        <w:rPr>
          <w:rFonts w:ascii="Times New Roman" w:hAnsi="Times New Roman"/>
          <w:noProof/>
          <w:sz w:val="24"/>
        </w:rPr>
        <w:t xml:space="preserve"> miliarde EUR au fost vărsate direct la bugetul Ucrainei, mecanismul a jucat un rol decisiv fiind unul dintre principalii factori de stabilizare pentru Ucraina și unul dintre instrumentele aflate la dispoziția UE pentru a sprijini redresarea, reconstrucția și modernizarea acesteia.</w:t>
      </w:r>
    </w:p>
    <w:p w14:paraId="01A6840B" w14:textId="6F247DE6" w:rsidR="00D859DA" w:rsidRPr="00610CE3" w:rsidRDefault="00B00EDB"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Sprijinul acordat bugetului de stat în cadrul pilonului I al mecanismului, Planul pentru Ucraina, a fost </w:t>
      </w:r>
      <w:r>
        <w:rPr>
          <w:rFonts w:ascii="Times New Roman" w:hAnsi="Times New Roman"/>
          <w:b/>
          <w:noProof/>
          <w:sz w:val="24"/>
        </w:rPr>
        <w:t>esențial pentru menținerea stabilității macrofinanciare a Ucrainei</w:t>
      </w:r>
      <w:r>
        <w:rPr>
          <w:rFonts w:ascii="Times New Roman" w:hAnsi="Times New Roman"/>
          <w:noProof/>
          <w:sz w:val="24"/>
        </w:rPr>
        <w:t xml:space="preserve">. Toate măsurile de reformă prevăzute în Planul pentru Ucraina în </w:t>
      </w:r>
      <w:r w:rsidRPr="00DA3B61">
        <w:rPr>
          <w:rFonts w:ascii="Times New Roman" w:hAnsi="Times New Roman"/>
          <w:noProof/>
          <w:sz w:val="24"/>
        </w:rPr>
        <w:t>2024</w:t>
      </w:r>
      <w:r>
        <w:rPr>
          <w:rFonts w:ascii="Times New Roman" w:hAnsi="Times New Roman"/>
          <w:noProof/>
          <w:sz w:val="24"/>
        </w:rPr>
        <w:t xml:space="preserve"> au fost îndeplinite, punând bazele redresării pe termen lung a Ucrainei, accelerând etapele către extindere și contribuind la alinierea instituțiilor Ucrainei la standardele UE. Planul a promovat reforme importante, de la combaterea corupției și dezvoltarea mediului de afaceri, la tranziția verde și protecția mediului.</w:t>
      </w:r>
    </w:p>
    <w:p w14:paraId="06D8A565" w14:textId="6C490EC8" w:rsidR="00BC386D" w:rsidRPr="00610CE3" w:rsidRDefault="00BC386D"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Acum va fi important să se mențină ritmul punerii în aplicare a reformelor și a investițiilor din Planul pentru Ucraina. Dacă vor fi puse în aplicare, se preconizează că acestea vor contribui în mod semnificativ la consolidarea creșterii economice, la susținerea stabilității macroeconomice, la îmbunătățirea situației bugetare și la consolidarea procesului de aderare a Ucrainei la UE.</w:t>
      </w:r>
    </w:p>
    <w:p w14:paraId="7479131F" w14:textId="3D0790D0" w:rsidR="00B04A1E" w:rsidRPr="00610CE3" w:rsidRDefault="01D6752B"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Pilonul II al mecanismului, Cadrul de investiții pentru Ucraina, joacă un rol esențial în </w:t>
      </w:r>
      <w:r>
        <w:rPr>
          <w:rFonts w:ascii="Times New Roman" w:hAnsi="Times New Roman"/>
          <w:b/>
          <w:noProof/>
          <w:sz w:val="24"/>
        </w:rPr>
        <w:t>mobilizarea investițiilor necesare pentru reconstrucție</w:t>
      </w:r>
      <w:r>
        <w:rPr>
          <w:rFonts w:ascii="Times New Roman" w:hAnsi="Times New Roman"/>
          <w:noProof/>
          <w:sz w:val="24"/>
        </w:rPr>
        <w:t xml:space="preserve">, inclusiv în perspectiva reconstrucției verzi. Punerea sa în aplicare avansează cu o viteză record, fiind deja anunțate programe în valoare de </w:t>
      </w:r>
      <w:r w:rsidRPr="00DA3B61">
        <w:rPr>
          <w:rFonts w:ascii="Times New Roman" w:hAnsi="Times New Roman"/>
          <w:noProof/>
          <w:sz w:val="24"/>
        </w:rPr>
        <w:t>1</w:t>
      </w:r>
      <w:r>
        <w:rPr>
          <w:rFonts w:ascii="Times New Roman" w:hAnsi="Times New Roman"/>
          <w:noProof/>
          <w:sz w:val="24"/>
        </w:rPr>
        <w:t>,</w:t>
      </w:r>
      <w:r w:rsidRPr="00DA3B61">
        <w:rPr>
          <w:rFonts w:ascii="Times New Roman" w:hAnsi="Times New Roman"/>
          <w:noProof/>
          <w:sz w:val="24"/>
        </w:rPr>
        <w:t>4</w:t>
      </w:r>
      <w:r>
        <w:rPr>
          <w:rFonts w:ascii="Times New Roman" w:hAnsi="Times New Roman"/>
          <w:noProof/>
          <w:sz w:val="24"/>
        </w:rPr>
        <w:t xml:space="preserve"> miliarde EUR pentru semnare și sunt lansate cereri de propuneri în primul an de punere în aplicare. Operațiunile au început deja să se concretizeze, în special pentru a răspunde nevoilor urgente în domenii precum energia, serviciile de încălzire și noile investiții în sursele regenerabile de energie de tip greenfield. UIF servește, de asemenea, intereselor strategice ale UE, oferind întreprinderilor cu sediul în UE oportunități economice de a investi, de a crea oportunități comerciale și de a promova creșterea economică pe întregul continent.</w:t>
      </w:r>
    </w:p>
    <w:p w14:paraId="384E32CA" w14:textId="3D16BE48" w:rsidR="000F044E" w:rsidRPr="00610CE3" w:rsidRDefault="5AE89EDA"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În cadrul pilonului III, mecanismul oferă Ucrainei </w:t>
      </w:r>
      <w:r>
        <w:rPr>
          <w:rFonts w:ascii="Times New Roman" w:hAnsi="Times New Roman"/>
          <w:b/>
          <w:noProof/>
          <w:sz w:val="24"/>
        </w:rPr>
        <w:t>asistență tehnică esențială</w:t>
      </w:r>
      <w:r>
        <w:rPr>
          <w:rFonts w:ascii="Times New Roman" w:hAnsi="Times New Roman"/>
          <w:noProof/>
          <w:sz w:val="24"/>
        </w:rPr>
        <w:t xml:space="preserve"> pentru a sprijini alinierea sa progresivă la acquis-ul UE în vederea viitoarei aderări, precum și punerea în aplicare a Planului pentru Ucraina. În plus, asistența bazată pe proiecte, inclusiv prin reparații urgente ale infrastructurii energetice, a consolidat reziliența și capacitatea țării de a răspunde la impactul generat de războiul de agresiune al Rusiei împotriva Ucrainei. Pilonul III a subvenționat, de asemenea, costurile ratei dobânzii datorate Ucrainei în </w:t>
      </w:r>
      <w:r w:rsidRPr="00DA3B61">
        <w:rPr>
          <w:rFonts w:ascii="Times New Roman" w:hAnsi="Times New Roman"/>
          <w:noProof/>
          <w:sz w:val="24"/>
        </w:rPr>
        <w:t>2024</w:t>
      </w:r>
      <w:r>
        <w:rPr>
          <w:rFonts w:ascii="Times New Roman" w:hAnsi="Times New Roman"/>
          <w:noProof/>
          <w:sz w:val="24"/>
        </w:rPr>
        <w:t xml:space="preserve"> în legătură cu împrumuturile din instrumentele anterioare, creând astfel o marjă de manevră bugetară în bugetul de stat.</w:t>
      </w:r>
    </w:p>
    <w:p w14:paraId="4756B2EE" w14:textId="57C5CD99" w:rsidR="008547F6" w:rsidRPr="00610CE3" w:rsidRDefault="0058743E" w:rsidP="00CC0E0E">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Implementarea instrumentului are loc într-un </w:t>
      </w:r>
      <w:r>
        <w:rPr>
          <w:rFonts w:ascii="Times New Roman" w:hAnsi="Times New Roman"/>
          <w:b/>
          <w:noProof/>
          <w:sz w:val="24"/>
        </w:rPr>
        <w:t>cadru solid de monitorizare și control</w:t>
      </w:r>
      <w:r>
        <w:rPr>
          <w:rFonts w:ascii="Times New Roman" w:hAnsi="Times New Roman"/>
          <w:noProof/>
          <w:sz w:val="24"/>
        </w:rPr>
        <w:t>, construit pentru a se asigura că interesele financiare ale UE sunt protejate în mod corespunzător. Pe lângă consolidarea sistemului de control intern al sectorului public din Ucraina, aceasta include și funcționarea Comisiei de audit, care asistă Comisia prin evaluarea sistemelor de gestionare și control ale sectorului public din Ucraina și prin furnizarea de recomandări.</w:t>
      </w:r>
    </w:p>
    <w:p w14:paraId="30BD1559" w14:textId="5A6D43F1" w:rsidR="0023554C" w:rsidRPr="00610CE3" w:rsidRDefault="006839B0" w:rsidP="005936A8">
      <w:pPr>
        <w:spacing w:after="160" w:line="240" w:lineRule="auto"/>
        <w:jc w:val="both"/>
        <w:rPr>
          <w:rFonts w:ascii="Times New Roman" w:hAnsi="Times New Roman" w:cs="Times New Roman"/>
          <w:noProof/>
          <w:sz w:val="24"/>
          <w:szCs w:val="24"/>
        </w:rPr>
      </w:pPr>
      <w:r>
        <w:rPr>
          <w:rFonts w:ascii="Times New Roman" w:hAnsi="Times New Roman"/>
          <w:noProof/>
          <w:sz w:val="24"/>
        </w:rPr>
        <w:t xml:space="preserve">În </w:t>
      </w:r>
      <w:r w:rsidRPr="00DA3B61">
        <w:rPr>
          <w:rFonts w:ascii="Times New Roman" w:hAnsi="Times New Roman"/>
          <w:noProof/>
          <w:sz w:val="24"/>
        </w:rPr>
        <w:t>2024</w:t>
      </w:r>
      <w:r>
        <w:rPr>
          <w:rFonts w:ascii="Times New Roman" w:hAnsi="Times New Roman"/>
          <w:noProof/>
          <w:sz w:val="24"/>
        </w:rPr>
        <w:t xml:space="preserve">, mecanismul a stat la baza sprijinului UE pentru Ucraina, demonstrându-și angajamentul de a sprijini Ucraina și pe cetățenii săi atât timp cât va fi nevoie. Mecanismul a constituit o componentă centrală a asistenței financiare acordate, promovând în același timp eforturile de reformă ale țării. În </w:t>
      </w:r>
      <w:r w:rsidRPr="00DA3B61">
        <w:rPr>
          <w:rFonts w:ascii="Times New Roman" w:hAnsi="Times New Roman"/>
          <w:noProof/>
          <w:sz w:val="24"/>
        </w:rPr>
        <w:t>2025</w:t>
      </w:r>
      <w:r>
        <w:rPr>
          <w:rFonts w:ascii="Times New Roman" w:hAnsi="Times New Roman"/>
          <w:noProof/>
          <w:sz w:val="24"/>
        </w:rPr>
        <w:t>, va continua să facă acest lucru, intrând în etapa de implementare deplină și continuând să asigure sprijinul pentru redresarea, reconstrucția și modernizarea Ucrainei.</w:t>
      </w:r>
      <w:bookmarkEnd w:id="0"/>
    </w:p>
    <w:sectPr w:rsidR="0023554C" w:rsidRPr="00610CE3" w:rsidSect="009379C6">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EC673" w14:textId="77777777" w:rsidR="00492409" w:rsidRPr="00610CE3" w:rsidRDefault="00492409" w:rsidP="00596DAB">
      <w:pPr>
        <w:spacing w:after="0" w:line="240" w:lineRule="auto"/>
      </w:pPr>
      <w:r>
        <w:separator/>
      </w:r>
    </w:p>
  </w:endnote>
  <w:endnote w:type="continuationSeparator" w:id="0">
    <w:p w14:paraId="0BAF1792" w14:textId="77777777" w:rsidR="00492409" w:rsidRPr="00610CE3" w:rsidRDefault="00492409" w:rsidP="00596DAB">
      <w:pPr>
        <w:spacing w:after="0" w:line="240" w:lineRule="auto"/>
      </w:pPr>
      <w:r>
        <w:continuationSeparator/>
      </w:r>
    </w:p>
  </w:endnote>
  <w:endnote w:type="continuationNotice" w:id="1">
    <w:p w14:paraId="3105992C" w14:textId="77777777" w:rsidR="00492409" w:rsidRPr="00610CE3" w:rsidRDefault="00492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5534" w14:textId="1E57B01E" w:rsidR="00636FCC" w:rsidRPr="00636FCC" w:rsidRDefault="00636FCC" w:rsidP="00636FCC">
    <w:pPr>
      <w:pStyle w:val="FooterCoverPage"/>
      <w:rPr>
        <w:rFonts w:ascii="Arial" w:hAnsi="Arial" w:cs="Arial"/>
        <w:b/>
        <w:sz w:val="48"/>
      </w:rPr>
    </w:pPr>
    <w:r w:rsidRPr="00636FCC">
      <w:rPr>
        <w:rFonts w:ascii="Arial" w:hAnsi="Arial" w:cs="Arial"/>
        <w:b/>
        <w:sz w:val="48"/>
      </w:rPr>
      <w:t>RO</w:t>
    </w:r>
    <w:r w:rsidRPr="00636FCC">
      <w:rPr>
        <w:rFonts w:ascii="Arial" w:hAnsi="Arial" w:cs="Arial"/>
        <w:b/>
        <w:sz w:val="48"/>
      </w:rPr>
      <w:tab/>
    </w:r>
    <w:r w:rsidRPr="00636FCC">
      <w:rPr>
        <w:rFonts w:ascii="Arial" w:hAnsi="Arial" w:cs="Arial"/>
        <w:b/>
        <w:sz w:val="48"/>
      </w:rPr>
      <w:tab/>
    </w:r>
    <w:r w:rsidRPr="00636FCC">
      <w:tab/>
    </w:r>
    <w:r w:rsidRPr="00636FC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E186D" w14:textId="682DFBF8" w:rsidR="00636FCC" w:rsidRPr="00636FCC" w:rsidRDefault="00636FCC" w:rsidP="00636FCC">
    <w:pPr>
      <w:pStyle w:val="FooterCoverPage"/>
      <w:rPr>
        <w:rFonts w:ascii="Arial" w:hAnsi="Arial" w:cs="Arial"/>
        <w:b/>
        <w:sz w:val="48"/>
      </w:rPr>
    </w:pPr>
    <w:r w:rsidRPr="00636FCC">
      <w:rPr>
        <w:rFonts w:ascii="Arial" w:hAnsi="Arial" w:cs="Arial"/>
        <w:b/>
        <w:sz w:val="48"/>
      </w:rPr>
      <w:t>RO</w:t>
    </w:r>
    <w:r w:rsidRPr="00636FCC">
      <w:rPr>
        <w:rFonts w:ascii="Arial" w:hAnsi="Arial" w:cs="Arial"/>
        <w:b/>
        <w:sz w:val="48"/>
      </w:rPr>
      <w:tab/>
    </w:r>
    <w:r w:rsidRPr="00636FCC">
      <w:rPr>
        <w:rFonts w:ascii="Arial" w:hAnsi="Arial" w:cs="Arial"/>
        <w:b/>
        <w:sz w:val="48"/>
      </w:rPr>
      <w:tab/>
    </w:r>
    <w:r w:rsidRPr="00636FCC">
      <w:tab/>
    </w:r>
    <w:r w:rsidRPr="00636FC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B363A" w14:textId="77777777" w:rsidR="00636FCC" w:rsidRPr="00636FCC" w:rsidRDefault="00636FCC" w:rsidP="00636FC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E2F43" w14:textId="77777777" w:rsidR="00596DAB" w:rsidRPr="00610CE3" w:rsidRDefault="00596D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349853"/>
      <w:docPartObj>
        <w:docPartGallery w:val="Page Numbers (Bottom of Page)"/>
        <w:docPartUnique/>
      </w:docPartObj>
    </w:sdtPr>
    <w:sdtEndPr>
      <w:rPr>
        <w:rFonts w:ascii="Times New Roman" w:hAnsi="Times New Roman" w:cs="Times New Roman"/>
      </w:rPr>
    </w:sdtEndPr>
    <w:sdtContent>
      <w:p w14:paraId="247E8751" w14:textId="49E33AF3" w:rsidR="009379C6" w:rsidRPr="00610CE3" w:rsidRDefault="009379C6">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636FCC">
          <w:rPr>
            <w:rFonts w:ascii="Times New Roman" w:hAnsi="Times New Roman" w:cs="Times New Roman"/>
            <w:noProof/>
          </w:rPr>
          <w:t>2</w:t>
        </w:r>
        <w:r>
          <w:rPr>
            <w:rFonts w:ascii="Times New Roman" w:hAnsi="Times New Roman" w:cs="Times New Roman"/>
          </w:rPr>
          <w:fldChar w:fldCharType="end"/>
        </w:r>
      </w:p>
    </w:sdtContent>
  </w:sdt>
  <w:p w14:paraId="03173234" w14:textId="77777777" w:rsidR="00596DAB" w:rsidRPr="00610CE3" w:rsidRDefault="00596D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A0D2A" w14:textId="77777777" w:rsidR="00596DAB" w:rsidRPr="00610CE3" w:rsidRDefault="00596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4EEEC" w14:textId="77777777" w:rsidR="00492409" w:rsidRPr="00610CE3" w:rsidRDefault="00492409" w:rsidP="00596DAB">
      <w:pPr>
        <w:spacing w:after="0" w:line="240" w:lineRule="auto"/>
      </w:pPr>
      <w:r>
        <w:separator/>
      </w:r>
    </w:p>
  </w:footnote>
  <w:footnote w:type="continuationSeparator" w:id="0">
    <w:p w14:paraId="47CFA0A0" w14:textId="77777777" w:rsidR="00492409" w:rsidRPr="00610CE3" w:rsidRDefault="00492409" w:rsidP="00596DAB">
      <w:pPr>
        <w:spacing w:after="0" w:line="240" w:lineRule="auto"/>
      </w:pPr>
      <w:r>
        <w:continuationSeparator/>
      </w:r>
    </w:p>
  </w:footnote>
  <w:footnote w:type="continuationNotice" w:id="1">
    <w:p w14:paraId="7C3F62EC" w14:textId="77777777" w:rsidR="00492409" w:rsidRPr="00610CE3" w:rsidRDefault="00492409">
      <w:pPr>
        <w:spacing w:after="0" w:line="240" w:lineRule="auto"/>
      </w:pPr>
    </w:p>
  </w:footnote>
  <w:footnote w:id="2">
    <w:p w14:paraId="5C7F3382" w14:textId="42177D10" w:rsidR="00131918" w:rsidRPr="00610CE3" w:rsidRDefault="00131918" w:rsidP="0013191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DA3B61">
        <w:rPr>
          <w:rFonts w:ascii="Times New Roman" w:hAnsi="Times New Roman"/>
        </w:rPr>
        <w:t>2024</w:t>
      </w:r>
      <w:r>
        <w:rPr>
          <w:rFonts w:ascii="Times New Roman" w:hAnsi="Times New Roman"/>
        </w:rPr>
        <w:t xml:space="preserve">) </w:t>
      </w:r>
      <w:r w:rsidRPr="00DA3B61">
        <w:rPr>
          <w:rFonts w:ascii="Times New Roman" w:hAnsi="Times New Roman"/>
        </w:rPr>
        <w:t>172</w:t>
      </w:r>
      <w:r>
        <w:rPr>
          <w:rFonts w:ascii="Times New Roman" w:hAnsi="Times New Roman"/>
        </w:rPr>
        <w:t xml:space="preserve"> final.</w:t>
      </w:r>
    </w:p>
  </w:footnote>
  <w:footnote w:id="3">
    <w:p w14:paraId="16E7F7F1" w14:textId="38AA973E" w:rsidR="00131918" w:rsidRPr="00610CE3" w:rsidRDefault="00131918" w:rsidP="0013191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de punere în aplicare (UE) </w:t>
      </w:r>
      <w:r w:rsidRPr="00DA3B61">
        <w:rPr>
          <w:rFonts w:ascii="Times New Roman" w:hAnsi="Times New Roman"/>
        </w:rPr>
        <w:t>2024</w:t>
      </w:r>
      <w:r>
        <w:rPr>
          <w:rFonts w:ascii="Times New Roman" w:hAnsi="Times New Roman"/>
        </w:rPr>
        <w:t>/</w:t>
      </w:r>
      <w:r w:rsidRPr="00DA3B61">
        <w:rPr>
          <w:rFonts w:ascii="Times New Roman" w:hAnsi="Times New Roman"/>
        </w:rPr>
        <w:t>1447</w:t>
      </w:r>
      <w:r>
        <w:rPr>
          <w:rFonts w:ascii="Times New Roman" w:hAnsi="Times New Roman"/>
        </w:rPr>
        <w:t xml:space="preserve"> a Consiliului.</w:t>
      </w:r>
    </w:p>
  </w:footnote>
  <w:footnote w:id="4">
    <w:p w14:paraId="61CC8B5B" w14:textId="32A13662" w:rsidR="00993E85" w:rsidRPr="00610CE3" w:rsidRDefault="00993E85" w:rsidP="00993E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DA3B61">
        <w:rPr>
          <w:rFonts w:ascii="Times New Roman" w:hAnsi="Times New Roman"/>
        </w:rPr>
        <w:t>2024</w:t>
      </w:r>
      <w:r>
        <w:rPr>
          <w:rFonts w:ascii="Times New Roman" w:hAnsi="Times New Roman"/>
        </w:rPr>
        <w:t xml:space="preserve">) </w:t>
      </w:r>
      <w:r w:rsidRPr="00DA3B61">
        <w:rPr>
          <w:rFonts w:ascii="Times New Roman" w:hAnsi="Times New Roman"/>
        </w:rPr>
        <w:t>321</w:t>
      </w:r>
      <w:r>
        <w:rPr>
          <w:rFonts w:ascii="Times New Roman" w:hAnsi="Times New Roman"/>
        </w:rPr>
        <w:t xml:space="preserve"> final.</w:t>
      </w:r>
    </w:p>
  </w:footnote>
  <w:footnote w:id="5">
    <w:p w14:paraId="10CE6A31" w14:textId="6DB01C93" w:rsidR="00DC345C" w:rsidRPr="00610CE3" w:rsidRDefault="00DC345C" w:rsidP="00DC345C">
      <w:pPr>
        <w:pStyle w:val="FootnoteText"/>
      </w:pPr>
      <w:r>
        <w:rPr>
          <w:rStyle w:val="FootnoteReference"/>
          <w:rFonts w:ascii="Times New Roman" w:hAnsi="Times New Roman" w:cs="Times New Roman"/>
        </w:rPr>
        <w:footnoteRef/>
      </w:r>
      <w:r>
        <w:rPr>
          <w:rFonts w:ascii="Times New Roman" w:hAnsi="Times New Roman"/>
        </w:rPr>
        <w:t xml:space="preserve"> COM(</w:t>
      </w:r>
      <w:r w:rsidRPr="00DA3B61">
        <w:rPr>
          <w:rFonts w:ascii="Times New Roman" w:hAnsi="Times New Roman"/>
        </w:rPr>
        <w:t>2024</w:t>
      </w:r>
      <w:r>
        <w:rPr>
          <w:rFonts w:ascii="Times New Roman" w:hAnsi="Times New Roman"/>
        </w:rPr>
        <w:t xml:space="preserve">) </w:t>
      </w:r>
      <w:r w:rsidRPr="00DA3B61">
        <w:rPr>
          <w:rFonts w:ascii="Times New Roman" w:hAnsi="Times New Roman"/>
        </w:rPr>
        <w:t>544</w:t>
      </w:r>
      <w:r>
        <w:rPr>
          <w:rFonts w:ascii="Times New Roman" w:hAnsi="Times New Roman"/>
        </w:rPr>
        <w:t xml:space="preserve"> final.</w:t>
      </w:r>
    </w:p>
  </w:footnote>
  <w:footnote w:id="6">
    <w:p w14:paraId="5485A8D1" w14:textId="07676BED" w:rsidR="008004D4" w:rsidRPr="00610CE3" w:rsidRDefault="008004D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https://me.gov.ua/view/d</w:t>
        </w:r>
        <w:r w:rsidRPr="00DA3B61">
          <w:rPr>
            <w:rStyle w:val="Hyperlink"/>
            <w:rFonts w:ascii="Times New Roman" w:hAnsi="Times New Roman"/>
          </w:rPr>
          <w:t>9</w:t>
        </w:r>
        <w:r>
          <w:rPr>
            <w:rStyle w:val="Hyperlink"/>
            <w:rFonts w:ascii="Times New Roman" w:hAnsi="Times New Roman"/>
          </w:rPr>
          <w:t>c</w:t>
        </w:r>
        <w:r w:rsidRPr="00DA3B61">
          <w:rPr>
            <w:rStyle w:val="Hyperlink"/>
            <w:rFonts w:ascii="Times New Roman" w:hAnsi="Times New Roman"/>
          </w:rPr>
          <w:t>13</w:t>
        </w:r>
        <w:r>
          <w:rPr>
            <w:rStyle w:val="Hyperlink"/>
            <w:rFonts w:ascii="Times New Roman" w:hAnsi="Times New Roman"/>
          </w:rPr>
          <w:t>c</w:t>
        </w:r>
        <w:r w:rsidRPr="00DA3B61">
          <w:rPr>
            <w:rStyle w:val="Hyperlink"/>
            <w:rFonts w:ascii="Times New Roman" w:hAnsi="Times New Roman"/>
          </w:rPr>
          <w:t>33</w:t>
        </w:r>
        <w:r>
          <w:rPr>
            <w:rStyle w:val="Hyperlink"/>
            <w:rFonts w:ascii="Times New Roman" w:hAnsi="Times New Roman"/>
          </w:rPr>
          <w:t>-a</w:t>
        </w:r>
        <w:r w:rsidRPr="00DA3B61">
          <w:rPr>
            <w:rStyle w:val="Hyperlink"/>
            <w:rFonts w:ascii="Times New Roman" w:hAnsi="Times New Roman"/>
          </w:rPr>
          <w:t>438</w:t>
        </w:r>
        <w:r>
          <w:rPr>
            <w:rStyle w:val="Hyperlink"/>
            <w:rFonts w:ascii="Times New Roman" w:hAnsi="Times New Roman"/>
          </w:rPr>
          <w:t>-</w:t>
        </w:r>
        <w:r w:rsidRPr="00DA3B61">
          <w:rPr>
            <w:rStyle w:val="Hyperlink"/>
            <w:rFonts w:ascii="Times New Roman" w:hAnsi="Times New Roman"/>
          </w:rPr>
          <w:t>406</w:t>
        </w:r>
        <w:r>
          <w:rPr>
            <w:rStyle w:val="Hyperlink"/>
            <w:rFonts w:ascii="Times New Roman" w:hAnsi="Times New Roman"/>
          </w:rPr>
          <w:t>f-</w:t>
        </w:r>
        <w:r w:rsidRPr="00DA3B61">
          <w:rPr>
            <w:rStyle w:val="Hyperlink"/>
            <w:rFonts w:ascii="Times New Roman" w:hAnsi="Times New Roman"/>
          </w:rPr>
          <w:t>8</w:t>
        </w:r>
        <w:r>
          <w:rPr>
            <w:rStyle w:val="Hyperlink"/>
            <w:rFonts w:ascii="Times New Roman" w:hAnsi="Times New Roman"/>
          </w:rPr>
          <w:t>daf-</w:t>
        </w:r>
        <w:r w:rsidRPr="00DA3B61">
          <w:rPr>
            <w:rStyle w:val="Hyperlink"/>
            <w:rFonts w:ascii="Times New Roman" w:hAnsi="Times New Roman"/>
          </w:rPr>
          <w:t>3145852</w:t>
        </w:r>
        <w:r>
          <w:rPr>
            <w:rStyle w:val="Hyperlink"/>
            <w:rFonts w:ascii="Times New Roman" w:hAnsi="Times New Roman"/>
          </w:rPr>
          <w:t>df</w:t>
        </w:r>
        <w:r w:rsidRPr="00DA3B61">
          <w:rPr>
            <w:rStyle w:val="Hyperlink"/>
            <w:rFonts w:ascii="Times New Roman" w:hAnsi="Times New Roman"/>
          </w:rPr>
          <w:t>99</w:t>
        </w:r>
        <w:r>
          <w:rPr>
            <w:rStyle w:val="Hyperlink"/>
            <w:rFonts w:ascii="Times New Roman" w:hAnsi="Times New Roman"/>
          </w:rPr>
          <w:t>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FB385" w14:textId="77777777" w:rsidR="00636FCC" w:rsidRPr="00636FCC" w:rsidRDefault="00636FCC" w:rsidP="00636FC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34ED7" w14:textId="77777777" w:rsidR="00636FCC" w:rsidRPr="00636FCC" w:rsidRDefault="00636FCC" w:rsidP="00636FC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F64D" w14:textId="77777777" w:rsidR="00636FCC" w:rsidRPr="00636FCC" w:rsidRDefault="00636FCC" w:rsidP="00636FC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03117" w14:textId="77777777" w:rsidR="00596DAB" w:rsidRPr="00610CE3" w:rsidRDefault="00596D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FB62" w14:textId="77777777" w:rsidR="00596DAB" w:rsidRPr="00610CE3" w:rsidRDefault="00596D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10A0" w14:textId="77777777" w:rsidR="00596DAB" w:rsidRPr="00610CE3" w:rsidRDefault="00596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7833"/>
    <w:multiLevelType w:val="hybridMultilevel"/>
    <w:tmpl w:val="3B243E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A1F4C2"/>
    <w:multiLevelType w:val="hybridMultilevel"/>
    <w:tmpl w:val="E9E6DF58"/>
    <w:lvl w:ilvl="0" w:tplc="C812D3F8">
      <w:start w:val="1"/>
      <w:numFmt w:val="bullet"/>
      <w:lvlText w:val=""/>
      <w:lvlJc w:val="left"/>
      <w:pPr>
        <w:ind w:left="720" w:hanging="360"/>
      </w:pPr>
      <w:rPr>
        <w:rFonts w:ascii="Symbol" w:hAnsi="Symbol" w:hint="default"/>
      </w:rPr>
    </w:lvl>
    <w:lvl w:ilvl="1" w:tplc="53902C46">
      <w:start w:val="1"/>
      <w:numFmt w:val="bullet"/>
      <w:lvlText w:val="o"/>
      <w:lvlJc w:val="left"/>
      <w:pPr>
        <w:ind w:left="1440" w:hanging="360"/>
      </w:pPr>
      <w:rPr>
        <w:rFonts w:ascii="Courier New" w:hAnsi="Courier New" w:hint="default"/>
      </w:rPr>
    </w:lvl>
    <w:lvl w:ilvl="2" w:tplc="EDA0D4A2">
      <w:start w:val="1"/>
      <w:numFmt w:val="bullet"/>
      <w:lvlText w:val=""/>
      <w:lvlJc w:val="left"/>
      <w:pPr>
        <w:ind w:left="2160" w:hanging="360"/>
      </w:pPr>
      <w:rPr>
        <w:rFonts w:ascii="Wingdings" w:hAnsi="Wingdings" w:hint="default"/>
      </w:rPr>
    </w:lvl>
    <w:lvl w:ilvl="3" w:tplc="D87C8E9A">
      <w:start w:val="1"/>
      <w:numFmt w:val="bullet"/>
      <w:lvlText w:val=""/>
      <w:lvlJc w:val="left"/>
      <w:pPr>
        <w:ind w:left="2880" w:hanging="360"/>
      </w:pPr>
      <w:rPr>
        <w:rFonts w:ascii="Symbol" w:hAnsi="Symbol" w:hint="default"/>
      </w:rPr>
    </w:lvl>
    <w:lvl w:ilvl="4" w:tplc="48AEA8B0">
      <w:start w:val="1"/>
      <w:numFmt w:val="bullet"/>
      <w:lvlText w:val="o"/>
      <w:lvlJc w:val="left"/>
      <w:pPr>
        <w:ind w:left="3600" w:hanging="360"/>
      </w:pPr>
      <w:rPr>
        <w:rFonts w:ascii="Courier New" w:hAnsi="Courier New" w:hint="default"/>
      </w:rPr>
    </w:lvl>
    <w:lvl w:ilvl="5" w:tplc="F35483F4">
      <w:start w:val="1"/>
      <w:numFmt w:val="bullet"/>
      <w:lvlText w:val=""/>
      <w:lvlJc w:val="left"/>
      <w:pPr>
        <w:ind w:left="4320" w:hanging="360"/>
      </w:pPr>
      <w:rPr>
        <w:rFonts w:ascii="Wingdings" w:hAnsi="Wingdings" w:hint="default"/>
      </w:rPr>
    </w:lvl>
    <w:lvl w:ilvl="6" w:tplc="B5921F22">
      <w:start w:val="1"/>
      <w:numFmt w:val="bullet"/>
      <w:lvlText w:val=""/>
      <w:lvlJc w:val="left"/>
      <w:pPr>
        <w:ind w:left="5040" w:hanging="360"/>
      </w:pPr>
      <w:rPr>
        <w:rFonts w:ascii="Symbol" w:hAnsi="Symbol" w:hint="default"/>
      </w:rPr>
    </w:lvl>
    <w:lvl w:ilvl="7" w:tplc="D4B0EEE0">
      <w:start w:val="1"/>
      <w:numFmt w:val="bullet"/>
      <w:lvlText w:val="o"/>
      <w:lvlJc w:val="left"/>
      <w:pPr>
        <w:ind w:left="5760" w:hanging="360"/>
      </w:pPr>
      <w:rPr>
        <w:rFonts w:ascii="Courier New" w:hAnsi="Courier New" w:hint="default"/>
      </w:rPr>
    </w:lvl>
    <w:lvl w:ilvl="8" w:tplc="8D28C2F4">
      <w:start w:val="1"/>
      <w:numFmt w:val="bullet"/>
      <w:lvlText w:val=""/>
      <w:lvlJc w:val="left"/>
      <w:pPr>
        <w:ind w:left="6480" w:hanging="360"/>
      </w:pPr>
      <w:rPr>
        <w:rFonts w:ascii="Wingdings" w:hAnsi="Wingdings" w:hint="default"/>
      </w:rPr>
    </w:lvl>
  </w:abstractNum>
  <w:abstractNum w:abstractNumId="2" w15:restartNumberingAfterBreak="0">
    <w:nsid w:val="03BEE071"/>
    <w:multiLevelType w:val="hybridMultilevel"/>
    <w:tmpl w:val="77906CEC"/>
    <w:lvl w:ilvl="0" w:tplc="1160F9DE">
      <w:start w:val="1"/>
      <w:numFmt w:val="bullet"/>
      <w:lvlText w:val=""/>
      <w:lvlJc w:val="left"/>
      <w:pPr>
        <w:ind w:left="720" w:hanging="360"/>
      </w:pPr>
      <w:rPr>
        <w:rFonts w:ascii="Symbol" w:hAnsi="Symbol" w:hint="default"/>
      </w:rPr>
    </w:lvl>
    <w:lvl w:ilvl="1" w:tplc="85047C28">
      <w:start w:val="1"/>
      <w:numFmt w:val="bullet"/>
      <w:lvlText w:val="o"/>
      <w:lvlJc w:val="left"/>
      <w:pPr>
        <w:ind w:left="1440" w:hanging="360"/>
      </w:pPr>
      <w:rPr>
        <w:rFonts w:ascii="Courier New" w:hAnsi="Courier New" w:hint="default"/>
      </w:rPr>
    </w:lvl>
    <w:lvl w:ilvl="2" w:tplc="A53802BC">
      <w:start w:val="1"/>
      <w:numFmt w:val="bullet"/>
      <w:lvlText w:val=""/>
      <w:lvlJc w:val="left"/>
      <w:pPr>
        <w:ind w:left="2160" w:hanging="360"/>
      </w:pPr>
      <w:rPr>
        <w:rFonts w:ascii="Wingdings" w:hAnsi="Wingdings" w:hint="default"/>
      </w:rPr>
    </w:lvl>
    <w:lvl w:ilvl="3" w:tplc="5EBA93C2">
      <w:start w:val="1"/>
      <w:numFmt w:val="bullet"/>
      <w:lvlText w:val=""/>
      <w:lvlJc w:val="left"/>
      <w:pPr>
        <w:ind w:left="2880" w:hanging="360"/>
      </w:pPr>
      <w:rPr>
        <w:rFonts w:ascii="Symbol" w:hAnsi="Symbol" w:hint="default"/>
      </w:rPr>
    </w:lvl>
    <w:lvl w:ilvl="4" w:tplc="ED6864F8">
      <w:start w:val="1"/>
      <w:numFmt w:val="bullet"/>
      <w:lvlText w:val="o"/>
      <w:lvlJc w:val="left"/>
      <w:pPr>
        <w:ind w:left="3600" w:hanging="360"/>
      </w:pPr>
      <w:rPr>
        <w:rFonts w:ascii="Courier New" w:hAnsi="Courier New" w:hint="default"/>
      </w:rPr>
    </w:lvl>
    <w:lvl w:ilvl="5" w:tplc="0BCCE010">
      <w:start w:val="1"/>
      <w:numFmt w:val="bullet"/>
      <w:lvlText w:val=""/>
      <w:lvlJc w:val="left"/>
      <w:pPr>
        <w:ind w:left="4320" w:hanging="360"/>
      </w:pPr>
      <w:rPr>
        <w:rFonts w:ascii="Wingdings" w:hAnsi="Wingdings" w:hint="default"/>
      </w:rPr>
    </w:lvl>
    <w:lvl w:ilvl="6" w:tplc="4632561A">
      <w:start w:val="1"/>
      <w:numFmt w:val="bullet"/>
      <w:lvlText w:val=""/>
      <w:lvlJc w:val="left"/>
      <w:pPr>
        <w:ind w:left="5040" w:hanging="360"/>
      </w:pPr>
      <w:rPr>
        <w:rFonts w:ascii="Symbol" w:hAnsi="Symbol" w:hint="default"/>
      </w:rPr>
    </w:lvl>
    <w:lvl w:ilvl="7" w:tplc="A12A39A6">
      <w:start w:val="1"/>
      <w:numFmt w:val="bullet"/>
      <w:lvlText w:val="o"/>
      <w:lvlJc w:val="left"/>
      <w:pPr>
        <w:ind w:left="5760" w:hanging="360"/>
      </w:pPr>
      <w:rPr>
        <w:rFonts w:ascii="Courier New" w:hAnsi="Courier New" w:hint="default"/>
      </w:rPr>
    </w:lvl>
    <w:lvl w:ilvl="8" w:tplc="EE4EE2A0">
      <w:start w:val="1"/>
      <w:numFmt w:val="bullet"/>
      <w:lvlText w:val=""/>
      <w:lvlJc w:val="left"/>
      <w:pPr>
        <w:ind w:left="6480" w:hanging="360"/>
      </w:pPr>
      <w:rPr>
        <w:rFonts w:ascii="Wingdings" w:hAnsi="Wingdings" w:hint="default"/>
      </w:rPr>
    </w:lvl>
  </w:abstractNum>
  <w:abstractNum w:abstractNumId="3" w15:restartNumberingAfterBreak="0">
    <w:nsid w:val="04252B1F"/>
    <w:multiLevelType w:val="hybridMultilevel"/>
    <w:tmpl w:val="1EEA67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85D3D1"/>
    <w:multiLevelType w:val="hybridMultilevel"/>
    <w:tmpl w:val="814258DA"/>
    <w:lvl w:ilvl="0" w:tplc="F9AC0580">
      <w:start w:val="1"/>
      <w:numFmt w:val="bullet"/>
      <w:lvlText w:val="·"/>
      <w:lvlJc w:val="left"/>
      <w:pPr>
        <w:ind w:left="720" w:hanging="360"/>
      </w:pPr>
      <w:rPr>
        <w:rFonts w:ascii="Symbol" w:hAnsi="Symbol" w:hint="default"/>
      </w:rPr>
    </w:lvl>
    <w:lvl w:ilvl="1" w:tplc="6FF8E586">
      <w:start w:val="1"/>
      <w:numFmt w:val="bullet"/>
      <w:lvlText w:val="o"/>
      <w:lvlJc w:val="left"/>
      <w:pPr>
        <w:ind w:left="1440" w:hanging="360"/>
      </w:pPr>
      <w:rPr>
        <w:rFonts w:ascii="Courier New" w:hAnsi="Courier New" w:hint="default"/>
      </w:rPr>
    </w:lvl>
    <w:lvl w:ilvl="2" w:tplc="CDD616C4">
      <w:start w:val="1"/>
      <w:numFmt w:val="bullet"/>
      <w:lvlText w:val=""/>
      <w:lvlJc w:val="left"/>
      <w:pPr>
        <w:ind w:left="2160" w:hanging="360"/>
      </w:pPr>
      <w:rPr>
        <w:rFonts w:ascii="Wingdings" w:hAnsi="Wingdings" w:hint="default"/>
      </w:rPr>
    </w:lvl>
    <w:lvl w:ilvl="3" w:tplc="B3FEB750">
      <w:start w:val="1"/>
      <w:numFmt w:val="bullet"/>
      <w:lvlText w:val=""/>
      <w:lvlJc w:val="left"/>
      <w:pPr>
        <w:ind w:left="2880" w:hanging="360"/>
      </w:pPr>
      <w:rPr>
        <w:rFonts w:ascii="Symbol" w:hAnsi="Symbol" w:hint="default"/>
      </w:rPr>
    </w:lvl>
    <w:lvl w:ilvl="4" w:tplc="112645FA">
      <w:start w:val="1"/>
      <w:numFmt w:val="bullet"/>
      <w:lvlText w:val="o"/>
      <w:lvlJc w:val="left"/>
      <w:pPr>
        <w:ind w:left="3600" w:hanging="360"/>
      </w:pPr>
      <w:rPr>
        <w:rFonts w:ascii="Courier New" w:hAnsi="Courier New" w:hint="default"/>
      </w:rPr>
    </w:lvl>
    <w:lvl w:ilvl="5" w:tplc="E6108884">
      <w:start w:val="1"/>
      <w:numFmt w:val="bullet"/>
      <w:lvlText w:val=""/>
      <w:lvlJc w:val="left"/>
      <w:pPr>
        <w:ind w:left="4320" w:hanging="360"/>
      </w:pPr>
      <w:rPr>
        <w:rFonts w:ascii="Wingdings" w:hAnsi="Wingdings" w:hint="default"/>
      </w:rPr>
    </w:lvl>
    <w:lvl w:ilvl="6" w:tplc="D4F67A80">
      <w:start w:val="1"/>
      <w:numFmt w:val="bullet"/>
      <w:lvlText w:val=""/>
      <w:lvlJc w:val="left"/>
      <w:pPr>
        <w:ind w:left="5040" w:hanging="360"/>
      </w:pPr>
      <w:rPr>
        <w:rFonts w:ascii="Symbol" w:hAnsi="Symbol" w:hint="default"/>
      </w:rPr>
    </w:lvl>
    <w:lvl w:ilvl="7" w:tplc="FC10AAFC">
      <w:start w:val="1"/>
      <w:numFmt w:val="bullet"/>
      <w:lvlText w:val="o"/>
      <w:lvlJc w:val="left"/>
      <w:pPr>
        <w:ind w:left="5760" w:hanging="360"/>
      </w:pPr>
      <w:rPr>
        <w:rFonts w:ascii="Courier New" w:hAnsi="Courier New" w:hint="default"/>
      </w:rPr>
    </w:lvl>
    <w:lvl w:ilvl="8" w:tplc="2272C464">
      <w:start w:val="1"/>
      <w:numFmt w:val="bullet"/>
      <w:lvlText w:val=""/>
      <w:lvlJc w:val="left"/>
      <w:pPr>
        <w:ind w:left="6480" w:hanging="360"/>
      </w:pPr>
      <w:rPr>
        <w:rFonts w:ascii="Wingdings" w:hAnsi="Wingdings" w:hint="default"/>
      </w:rPr>
    </w:lvl>
  </w:abstractNum>
  <w:abstractNum w:abstractNumId="5" w15:restartNumberingAfterBreak="0">
    <w:nsid w:val="0CFD6CA5"/>
    <w:multiLevelType w:val="hybridMultilevel"/>
    <w:tmpl w:val="A36CEC7C"/>
    <w:lvl w:ilvl="0" w:tplc="B9D844F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123276"/>
    <w:multiLevelType w:val="hybridMultilevel"/>
    <w:tmpl w:val="4C68BC40"/>
    <w:lvl w:ilvl="0" w:tplc="944256DE">
      <w:start w:val="1"/>
      <w:numFmt w:val="decimal"/>
      <w:lvlText w:val="%1."/>
      <w:lvlJc w:val="left"/>
      <w:pPr>
        <w:ind w:left="1020" w:hanging="360"/>
      </w:pPr>
    </w:lvl>
    <w:lvl w:ilvl="1" w:tplc="FEBAEF58">
      <w:start w:val="1"/>
      <w:numFmt w:val="decimal"/>
      <w:lvlText w:val="%2."/>
      <w:lvlJc w:val="left"/>
      <w:pPr>
        <w:ind w:left="1020" w:hanging="360"/>
      </w:pPr>
    </w:lvl>
    <w:lvl w:ilvl="2" w:tplc="B9A0C1E0">
      <w:start w:val="1"/>
      <w:numFmt w:val="decimal"/>
      <w:lvlText w:val="%3."/>
      <w:lvlJc w:val="left"/>
      <w:pPr>
        <w:ind w:left="1020" w:hanging="360"/>
      </w:pPr>
    </w:lvl>
    <w:lvl w:ilvl="3" w:tplc="333015F4">
      <w:start w:val="1"/>
      <w:numFmt w:val="decimal"/>
      <w:lvlText w:val="%4."/>
      <w:lvlJc w:val="left"/>
      <w:pPr>
        <w:ind w:left="1020" w:hanging="360"/>
      </w:pPr>
    </w:lvl>
    <w:lvl w:ilvl="4" w:tplc="76F62158">
      <w:start w:val="1"/>
      <w:numFmt w:val="decimal"/>
      <w:lvlText w:val="%5."/>
      <w:lvlJc w:val="left"/>
      <w:pPr>
        <w:ind w:left="1020" w:hanging="360"/>
      </w:pPr>
    </w:lvl>
    <w:lvl w:ilvl="5" w:tplc="A9CC7024">
      <w:start w:val="1"/>
      <w:numFmt w:val="decimal"/>
      <w:lvlText w:val="%6."/>
      <w:lvlJc w:val="left"/>
      <w:pPr>
        <w:ind w:left="1020" w:hanging="360"/>
      </w:pPr>
    </w:lvl>
    <w:lvl w:ilvl="6" w:tplc="9B78B6C2">
      <w:start w:val="1"/>
      <w:numFmt w:val="decimal"/>
      <w:lvlText w:val="%7."/>
      <w:lvlJc w:val="left"/>
      <w:pPr>
        <w:ind w:left="1020" w:hanging="360"/>
      </w:pPr>
    </w:lvl>
    <w:lvl w:ilvl="7" w:tplc="D72C57BC">
      <w:start w:val="1"/>
      <w:numFmt w:val="decimal"/>
      <w:lvlText w:val="%8."/>
      <w:lvlJc w:val="left"/>
      <w:pPr>
        <w:ind w:left="1020" w:hanging="360"/>
      </w:pPr>
    </w:lvl>
    <w:lvl w:ilvl="8" w:tplc="469AED56">
      <w:start w:val="1"/>
      <w:numFmt w:val="decimal"/>
      <w:lvlText w:val="%9."/>
      <w:lvlJc w:val="left"/>
      <w:pPr>
        <w:ind w:left="1020" w:hanging="360"/>
      </w:pPr>
    </w:lvl>
  </w:abstractNum>
  <w:abstractNum w:abstractNumId="7" w15:restartNumberingAfterBreak="0">
    <w:nsid w:val="1A23B2CD"/>
    <w:multiLevelType w:val="hybridMultilevel"/>
    <w:tmpl w:val="76923B54"/>
    <w:lvl w:ilvl="0" w:tplc="8AB4BA58">
      <w:start w:val="1"/>
      <w:numFmt w:val="bullet"/>
      <w:lvlText w:val=""/>
      <w:lvlJc w:val="left"/>
      <w:pPr>
        <w:ind w:left="720" w:hanging="360"/>
      </w:pPr>
      <w:rPr>
        <w:rFonts w:ascii="Symbol" w:hAnsi="Symbol" w:hint="default"/>
      </w:rPr>
    </w:lvl>
    <w:lvl w:ilvl="1" w:tplc="450EA6FC">
      <w:start w:val="1"/>
      <w:numFmt w:val="bullet"/>
      <w:lvlText w:val="o"/>
      <w:lvlJc w:val="left"/>
      <w:pPr>
        <w:ind w:left="1440" w:hanging="360"/>
      </w:pPr>
      <w:rPr>
        <w:rFonts w:ascii="Courier New" w:hAnsi="Courier New" w:hint="default"/>
      </w:rPr>
    </w:lvl>
    <w:lvl w:ilvl="2" w:tplc="85F8E078">
      <w:start w:val="1"/>
      <w:numFmt w:val="bullet"/>
      <w:lvlText w:val=""/>
      <w:lvlJc w:val="left"/>
      <w:pPr>
        <w:ind w:left="2160" w:hanging="360"/>
      </w:pPr>
      <w:rPr>
        <w:rFonts w:ascii="Wingdings" w:hAnsi="Wingdings" w:hint="default"/>
      </w:rPr>
    </w:lvl>
    <w:lvl w:ilvl="3" w:tplc="1A9C3B6C">
      <w:start w:val="1"/>
      <w:numFmt w:val="bullet"/>
      <w:lvlText w:val=""/>
      <w:lvlJc w:val="left"/>
      <w:pPr>
        <w:ind w:left="2880" w:hanging="360"/>
      </w:pPr>
      <w:rPr>
        <w:rFonts w:ascii="Symbol" w:hAnsi="Symbol" w:hint="default"/>
      </w:rPr>
    </w:lvl>
    <w:lvl w:ilvl="4" w:tplc="06A672B2">
      <w:start w:val="1"/>
      <w:numFmt w:val="bullet"/>
      <w:lvlText w:val="o"/>
      <w:lvlJc w:val="left"/>
      <w:pPr>
        <w:ind w:left="3600" w:hanging="360"/>
      </w:pPr>
      <w:rPr>
        <w:rFonts w:ascii="Courier New" w:hAnsi="Courier New" w:hint="default"/>
      </w:rPr>
    </w:lvl>
    <w:lvl w:ilvl="5" w:tplc="75F0E140">
      <w:start w:val="1"/>
      <w:numFmt w:val="bullet"/>
      <w:lvlText w:val=""/>
      <w:lvlJc w:val="left"/>
      <w:pPr>
        <w:ind w:left="4320" w:hanging="360"/>
      </w:pPr>
      <w:rPr>
        <w:rFonts w:ascii="Wingdings" w:hAnsi="Wingdings" w:hint="default"/>
      </w:rPr>
    </w:lvl>
    <w:lvl w:ilvl="6" w:tplc="0BB0DAEA">
      <w:start w:val="1"/>
      <w:numFmt w:val="bullet"/>
      <w:lvlText w:val=""/>
      <w:lvlJc w:val="left"/>
      <w:pPr>
        <w:ind w:left="5040" w:hanging="360"/>
      </w:pPr>
      <w:rPr>
        <w:rFonts w:ascii="Symbol" w:hAnsi="Symbol" w:hint="default"/>
      </w:rPr>
    </w:lvl>
    <w:lvl w:ilvl="7" w:tplc="D44C24AE">
      <w:start w:val="1"/>
      <w:numFmt w:val="bullet"/>
      <w:lvlText w:val="o"/>
      <w:lvlJc w:val="left"/>
      <w:pPr>
        <w:ind w:left="5760" w:hanging="360"/>
      </w:pPr>
      <w:rPr>
        <w:rFonts w:ascii="Courier New" w:hAnsi="Courier New" w:hint="default"/>
      </w:rPr>
    </w:lvl>
    <w:lvl w:ilvl="8" w:tplc="A1326DEC">
      <w:start w:val="1"/>
      <w:numFmt w:val="bullet"/>
      <w:lvlText w:val=""/>
      <w:lvlJc w:val="left"/>
      <w:pPr>
        <w:ind w:left="6480" w:hanging="360"/>
      </w:pPr>
      <w:rPr>
        <w:rFonts w:ascii="Wingdings" w:hAnsi="Wingdings" w:hint="default"/>
      </w:rPr>
    </w:lvl>
  </w:abstractNum>
  <w:abstractNum w:abstractNumId="8" w15:restartNumberingAfterBreak="0">
    <w:nsid w:val="1A985F97"/>
    <w:multiLevelType w:val="hybridMultilevel"/>
    <w:tmpl w:val="011CFCDE"/>
    <w:lvl w:ilvl="0" w:tplc="99443FA2">
      <w:start w:val="1"/>
      <w:numFmt w:val="decimal"/>
      <w:lvlText w:val="%1."/>
      <w:lvlJc w:val="left"/>
      <w:pPr>
        <w:ind w:left="1020" w:hanging="360"/>
      </w:pPr>
    </w:lvl>
    <w:lvl w:ilvl="1" w:tplc="BB4E591E">
      <w:start w:val="1"/>
      <w:numFmt w:val="decimal"/>
      <w:lvlText w:val="%2."/>
      <w:lvlJc w:val="left"/>
      <w:pPr>
        <w:ind w:left="1020" w:hanging="360"/>
      </w:pPr>
    </w:lvl>
    <w:lvl w:ilvl="2" w:tplc="2D78E3FA">
      <w:start w:val="1"/>
      <w:numFmt w:val="decimal"/>
      <w:lvlText w:val="%3."/>
      <w:lvlJc w:val="left"/>
      <w:pPr>
        <w:ind w:left="1020" w:hanging="360"/>
      </w:pPr>
    </w:lvl>
    <w:lvl w:ilvl="3" w:tplc="80CC762A">
      <w:start w:val="1"/>
      <w:numFmt w:val="decimal"/>
      <w:lvlText w:val="%4."/>
      <w:lvlJc w:val="left"/>
      <w:pPr>
        <w:ind w:left="1020" w:hanging="360"/>
      </w:pPr>
    </w:lvl>
    <w:lvl w:ilvl="4" w:tplc="C4C0A508">
      <w:start w:val="1"/>
      <w:numFmt w:val="decimal"/>
      <w:lvlText w:val="%5."/>
      <w:lvlJc w:val="left"/>
      <w:pPr>
        <w:ind w:left="1020" w:hanging="360"/>
      </w:pPr>
    </w:lvl>
    <w:lvl w:ilvl="5" w:tplc="B10C853E">
      <w:start w:val="1"/>
      <w:numFmt w:val="decimal"/>
      <w:lvlText w:val="%6."/>
      <w:lvlJc w:val="left"/>
      <w:pPr>
        <w:ind w:left="1020" w:hanging="360"/>
      </w:pPr>
    </w:lvl>
    <w:lvl w:ilvl="6" w:tplc="1B98DB70">
      <w:start w:val="1"/>
      <w:numFmt w:val="decimal"/>
      <w:lvlText w:val="%7."/>
      <w:lvlJc w:val="left"/>
      <w:pPr>
        <w:ind w:left="1020" w:hanging="360"/>
      </w:pPr>
    </w:lvl>
    <w:lvl w:ilvl="7" w:tplc="E7DA421E">
      <w:start w:val="1"/>
      <w:numFmt w:val="decimal"/>
      <w:lvlText w:val="%8."/>
      <w:lvlJc w:val="left"/>
      <w:pPr>
        <w:ind w:left="1020" w:hanging="360"/>
      </w:pPr>
    </w:lvl>
    <w:lvl w:ilvl="8" w:tplc="00948D7E">
      <w:start w:val="1"/>
      <w:numFmt w:val="decimal"/>
      <w:lvlText w:val="%9."/>
      <w:lvlJc w:val="left"/>
      <w:pPr>
        <w:ind w:left="1020" w:hanging="360"/>
      </w:pPr>
    </w:lvl>
  </w:abstractNum>
  <w:abstractNum w:abstractNumId="9" w15:restartNumberingAfterBreak="0">
    <w:nsid w:val="1CC03805"/>
    <w:multiLevelType w:val="hybridMultilevel"/>
    <w:tmpl w:val="C9A07E60"/>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E68F139"/>
    <w:multiLevelType w:val="hybridMultilevel"/>
    <w:tmpl w:val="EF40F40A"/>
    <w:lvl w:ilvl="0" w:tplc="AC549B84">
      <w:start w:val="1"/>
      <w:numFmt w:val="bullet"/>
      <w:lvlText w:val="·"/>
      <w:lvlJc w:val="left"/>
      <w:pPr>
        <w:ind w:left="720" w:hanging="360"/>
      </w:pPr>
      <w:rPr>
        <w:rFonts w:ascii="Symbol" w:hAnsi="Symbol" w:hint="default"/>
      </w:rPr>
    </w:lvl>
    <w:lvl w:ilvl="1" w:tplc="9BBE6258">
      <w:start w:val="1"/>
      <w:numFmt w:val="bullet"/>
      <w:lvlText w:val="o"/>
      <w:lvlJc w:val="left"/>
      <w:pPr>
        <w:ind w:left="1440" w:hanging="360"/>
      </w:pPr>
      <w:rPr>
        <w:rFonts w:ascii="Courier New" w:hAnsi="Courier New" w:hint="default"/>
      </w:rPr>
    </w:lvl>
    <w:lvl w:ilvl="2" w:tplc="3A4277B6">
      <w:start w:val="1"/>
      <w:numFmt w:val="bullet"/>
      <w:lvlText w:val=""/>
      <w:lvlJc w:val="left"/>
      <w:pPr>
        <w:ind w:left="2160" w:hanging="360"/>
      </w:pPr>
      <w:rPr>
        <w:rFonts w:ascii="Wingdings" w:hAnsi="Wingdings" w:hint="default"/>
      </w:rPr>
    </w:lvl>
    <w:lvl w:ilvl="3" w:tplc="098E07BA">
      <w:start w:val="1"/>
      <w:numFmt w:val="bullet"/>
      <w:lvlText w:val=""/>
      <w:lvlJc w:val="left"/>
      <w:pPr>
        <w:ind w:left="2880" w:hanging="360"/>
      </w:pPr>
      <w:rPr>
        <w:rFonts w:ascii="Symbol" w:hAnsi="Symbol" w:hint="default"/>
      </w:rPr>
    </w:lvl>
    <w:lvl w:ilvl="4" w:tplc="E7403746">
      <w:start w:val="1"/>
      <w:numFmt w:val="bullet"/>
      <w:lvlText w:val="o"/>
      <w:lvlJc w:val="left"/>
      <w:pPr>
        <w:ind w:left="3600" w:hanging="360"/>
      </w:pPr>
      <w:rPr>
        <w:rFonts w:ascii="Courier New" w:hAnsi="Courier New" w:hint="default"/>
      </w:rPr>
    </w:lvl>
    <w:lvl w:ilvl="5" w:tplc="FA8C6D12">
      <w:start w:val="1"/>
      <w:numFmt w:val="bullet"/>
      <w:lvlText w:val=""/>
      <w:lvlJc w:val="left"/>
      <w:pPr>
        <w:ind w:left="4320" w:hanging="360"/>
      </w:pPr>
      <w:rPr>
        <w:rFonts w:ascii="Wingdings" w:hAnsi="Wingdings" w:hint="default"/>
      </w:rPr>
    </w:lvl>
    <w:lvl w:ilvl="6" w:tplc="BE5AFE2A">
      <w:start w:val="1"/>
      <w:numFmt w:val="bullet"/>
      <w:lvlText w:val=""/>
      <w:lvlJc w:val="left"/>
      <w:pPr>
        <w:ind w:left="5040" w:hanging="360"/>
      </w:pPr>
      <w:rPr>
        <w:rFonts w:ascii="Symbol" w:hAnsi="Symbol" w:hint="default"/>
      </w:rPr>
    </w:lvl>
    <w:lvl w:ilvl="7" w:tplc="2E5E4040">
      <w:start w:val="1"/>
      <w:numFmt w:val="bullet"/>
      <w:lvlText w:val="o"/>
      <w:lvlJc w:val="left"/>
      <w:pPr>
        <w:ind w:left="5760" w:hanging="360"/>
      </w:pPr>
      <w:rPr>
        <w:rFonts w:ascii="Courier New" w:hAnsi="Courier New" w:hint="default"/>
      </w:rPr>
    </w:lvl>
    <w:lvl w:ilvl="8" w:tplc="44980758">
      <w:start w:val="1"/>
      <w:numFmt w:val="bullet"/>
      <w:lvlText w:val=""/>
      <w:lvlJc w:val="left"/>
      <w:pPr>
        <w:ind w:left="6480" w:hanging="360"/>
      </w:pPr>
      <w:rPr>
        <w:rFonts w:ascii="Wingdings" w:hAnsi="Wingdings" w:hint="default"/>
      </w:rPr>
    </w:lvl>
  </w:abstractNum>
  <w:abstractNum w:abstractNumId="11" w15:restartNumberingAfterBreak="0">
    <w:nsid w:val="258E6F74"/>
    <w:multiLevelType w:val="hybridMultilevel"/>
    <w:tmpl w:val="2140F2B8"/>
    <w:lvl w:ilvl="0" w:tplc="0C1CF54E">
      <w:start w:val="1"/>
      <w:numFmt w:val="decimal"/>
      <w:lvlText w:val="%1."/>
      <w:lvlJc w:val="left"/>
      <w:pPr>
        <w:ind w:left="1020" w:hanging="360"/>
      </w:pPr>
    </w:lvl>
    <w:lvl w:ilvl="1" w:tplc="6234C1B2">
      <w:start w:val="1"/>
      <w:numFmt w:val="decimal"/>
      <w:lvlText w:val="%2."/>
      <w:lvlJc w:val="left"/>
      <w:pPr>
        <w:ind w:left="1020" w:hanging="360"/>
      </w:pPr>
    </w:lvl>
    <w:lvl w:ilvl="2" w:tplc="526A163A">
      <w:start w:val="1"/>
      <w:numFmt w:val="decimal"/>
      <w:lvlText w:val="%3."/>
      <w:lvlJc w:val="left"/>
      <w:pPr>
        <w:ind w:left="1020" w:hanging="360"/>
      </w:pPr>
    </w:lvl>
    <w:lvl w:ilvl="3" w:tplc="FA0C5A1C">
      <w:start w:val="1"/>
      <w:numFmt w:val="decimal"/>
      <w:lvlText w:val="%4."/>
      <w:lvlJc w:val="left"/>
      <w:pPr>
        <w:ind w:left="1020" w:hanging="360"/>
      </w:pPr>
    </w:lvl>
    <w:lvl w:ilvl="4" w:tplc="49FA79E4">
      <w:start w:val="1"/>
      <w:numFmt w:val="decimal"/>
      <w:lvlText w:val="%5."/>
      <w:lvlJc w:val="left"/>
      <w:pPr>
        <w:ind w:left="1020" w:hanging="360"/>
      </w:pPr>
    </w:lvl>
    <w:lvl w:ilvl="5" w:tplc="81620718">
      <w:start w:val="1"/>
      <w:numFmt w:val="decimal"/>
      <w:lvlText w:val="%6."/>
      <w:lvlJc w:val="left"/>
      <w:pPr>
        <w:ind w:left="1020" w:hanging="360"/>
      </w:pPr>
    </w:lvl>
    <w:lvl w:ilvl="6" w:tplc="73C81F40">
      <w:start w:val="1"/>
      <w:numFmt w:val="decimal"/>
      <w:lvlText w:val="%7."/>
      <w:lvlJc w:val="left"/>
      <w:pPr>
        <w:ind w:left="1020" w:hanging="360"/>
      </w:pPr>
    </w:lvl>
    <w:lvl w:ilvl="7" w:tplc="1F787F2C">
      <w:start w:val="1"/>
      <w:numFmt w:val="decimal"/>
      <w:lvlText w:val="%8."/>
      <w:lvlJc w:val="left"/>
      <w:pPr>
        <w:ind w:left="1020" w:hanging="360"/>
      </w:pPr>
    </w:lvl>
    <w:lvl w:ilvl="8" w:tplc="56D243CE">
      <w:start w:val="1"/>
      <w:numFmt w:val="decimal"/>
      <w:lvlText w:val="%9."/>
      <w:lvlJc w:val="left"/>
      <w:pPr>
        <w:ind w:left="1020" w:hanging="360"/>
      </w:pPr>
    </w:lvl>
  </w:abstractNum>
  <w:abstractNum w:abstractNumId="12" w15:restartNumberingAfterBreak="0">
    <w:nsid w:val="2E285E03"/>
    <w:multiLevelType w:val="hybridMultilevel"/>
    <w:tmpl w:val="B57AACB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EE67B3F"/>
    <w:multiLevelType w:val="multilevel"/>
    <w:tmpl w:val="C944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65CF4"/>
    <w:multiLevelType w:val="hybridMultilevel"/>
    <w:tmpl w:val="D466DD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9610698"/>
    <w:multiLevelType w:val="hybridMultilevel"/>
    <w:tmpl w:val="69F0B1A4"/>
    <w:lvl w:ilvl="0" w:tplc="75F23A12">
      <w:start w:val="1"/>
      <w:numFmt w:val="decimal"/>
      <w:lvlText w:val="%1."/>
      <w:lvlJc w:val="left"/>
      <w:pPr>
        <w:ind w:left="1020" w:hanging="360"/>
      </w:pPr>
    </w:lvl>
    <w:lvl w:ilvl="1" w:tplc="2D14CF30">
      <w:start w:val="1"/>
      <w:numFmt w:val="decimal"/>
      <w:lvlText w:val="%2."/>
      <w:lvlJc w:val="left"/>
      <w:pPr>
        <w:ind w:left="1020" w:hanging="360"/>
      </w:pPr>
    </w:lvl>
    <w:lvl w:ilvl="2" w:tplc="F1225E62">
      <w:start w:val="1"/>
      <w:numFmt w:val="decimal"/>
      <w:lvlText w:val="%3."/>
      <w:lvlJc w:val="left"/>
      <w:pPr>
        <w:ind w:left="1020" w:hanging="360"/>
      </w:pPr>
    </w:lvl>
    <w:lvl w:ilvl="3" w:tplc="30F2F8EE">
      <w:start w:val="1"/>
      <w:numFmt w:val="decimal"/>
      <w:lvlText w:val="%4."/>
      <w:lvlJc w:val="left"/>
      <w:pPr>
        <w:ind w:left="1020" w:hanging="360"/>
      </w:pPr>
    </w:lvl>
    <w:lvl w:ilvl="4" w:tplc="8EBC6672">
      <w:start w:val="1"/>
      <w:numFmt w:val="decimal"/>
      <w:lvlText w:val="%5."/>
      <w:lvlJc w:val="left"/>
      <w:pPr>
        <w:ind w:left="1020" w:hanging="360"/>
      </w:pPr>
    </w:lvl>
    <w:lvl w:ilvl="5" w:tplc="BDAADE54">
      <w:start w:val="1"/>
      <w:numFmt w:val="decimal"/>
      <w:lvlText w:val="%6."/>
      <w:lvlJc w:val="left"/>
      <w:pPr>
        <w:ind w:left="1020" w:hanging="360"/>
      </w:pPr>
    </w:lvl>
    <w:lvl w:ilvl="6" w:tplc="E1F4067C">
      <w:start w:val="1"/>
      <w:numFmt w:val="decimal"/>
      <w:lvlText w:val="%7."/>
      <w:lvlJc w:val="left"/>
      <w:pPr>
        <w:ind w:left="1020" w:hanging="360"/>
      </w:pPr>
    </w:lvl>
    <w:lvl w:ilvl="7" w:tplc="2A185C08">
      <w:start w:val="1"/>
      <w:numFmt w:val="decimal"/>
      <w:lvlText w:val="%8."/>
      <w:lvlJc w:val="left"/>
      <w:pPr>
        <w:ind w:left="1020" w:hanging="360"/>
      </w:pPr>
    </w:lvl>
    <w:lvl w:ilvl="8" w:tplc="26587498">
      <w:start w:val="1"/>
      <w:numFmt w:val="decimal"/>
      <w:lvlText w:val="%9."/>
      <w:lvlJc w:val="left"/>
      <w:pPr>
        <w:ind w:left="1020" w:hanging="360"/>
      </w:pPr>
    </w:lvl>
  </w:abstractNum>
  <w:abstractNum w:abstractNumId="16" w15:restartNumberingAfterBreak="0">
    <w:nsid w:val="3B24B909"/>
    <w:multiLevelType w:val="hybridMultilevel"/>
    <w:tmpl w:val="B3F2C9C8"/>
    <w:lvl w:ilvl="0" w:tplc="9BA23D8C">
      <w:start w:val="1"/>
      <w:numFmt w:val="bullet"/>
      <w:lvlText w:val=""/>
      <w:lvlJc w:val="left"/>
      <w:pPr>
        <w:ind w:left="720" w:hanging="360"/>
      </w:pPr>
      <w:rPr>
        <w:rFonts w:ascii="Symbol" w:hAnsi="Symbol" w:hint="default"/>
      </w:rPr>
    </w:lvl>
    <w:lvl w:ilvl="1" w:tplc="7E4EE202">
      <w:start w:val="1"/>
      <w:numFmt w:val="bullet"/>
      <w:lvlText w:val="o"/>
      <w:lvlJc w:val="left"/>
      <w:pPr>
        <w:ind w:left="1440" w:hanging="360"/>
      </w:pPr>
      <w:rPr>
        <w:rFonts w:ascii="Courier New" w:hAnsi="Courier New" w:hint="default"/>
      </w:rPr>
    </w:lvl>
    <w:lvl w:ilvl="2" w:tplc="EF7CFC64">
      <w:start w:val="1"/>
      <w:numFmt w:val="bullet"/>
      <w:lvlText w:val=""/>
      <w:lvlJc w:val="left"/>
      <w:pPr>
        <w:ind w:left="2160" w:hanging="360"/>
      </w:pPr>
      <w:rPr>
        <w:rFonts w:ascii="Wingdings" w:hAnsi="Wingdings" w:hint="default"/>
      </w:rPr>
    </w:lvl>
    <w:lvl w:ilvl="3" w:tplc="1B74BAC8">
      <w:start w:val="1"/>
      <w:numFmt w:val="bullet"/>
      <w:lvlText w:val=""/>
      <w:lvlJc w:val="left"/>
      <w:pPr>
        <w:ind w:left="2880" w:hanging="360"/>
      </w:pPr>
      <w:rPr>
        <w:rFonts w:ascii="Symbol" w:hAnsi="Symbol" w:hint="default"/>
      </w:rPr>
    </w:lvl>
    <w:lvl w:ilvl="4" w:tplc="11E4D852">
      <w:start w:val="1"/>
      <w:numFmt w:val="bullet"/>
      <w:lvlText w:val="o"/>
      <w:lvlJc w:val="left"/>
      <w:pPr>
        <w:ind w:left="3600" w:hanging="360"/>
      </w:pPr>
      <w:rPr>
        <w:rFonts w:ascii="Courier New" w:hAnsi="Courier New" w:hint="default"/>
      </w:rPr>
    </w:lvl>
    <w:lvl w:ilvl="5" w:tplc="5FAE33EC">
      <w:start w:val="1"/>
      <w:numFmt w:val="bullet"/>
      <w:lvlText w:val=""/>
      <w:lvlJc w:val="left"/>
      <w:pPr>
        <w:ind w:left="4320" w:hanging="360"/>
      </w:pPr>
      <w:rPr>
        <w:rFonts w:ascii="Wingdings" w:hAnsi="Wingdings" w:hint="default"/>
      </w:rPr>
    </w:lvl>
    <w:lvl w:ilvl="6" w:tplc="6C242E2C">
      <w:start w:val="1"/>
      <w:numFmt w:val="bullet"/>
      <w:lvlText w:val=""/>
      <w:lvlJc w:val="left"/>
      <w:pPr>
        <w:ind w:left="5040" w:hanging="360"/>
      </w:pPr>
      <w:rPr>
        <w:rFonts w:ascii="Symbol" w:hAnsi="Symbol" w:hint="default"/>
      </w:rPr>
    </w:lvl>
    <w:lvl w:ilvl="7" w:tplc="9EC0C5F8">
      <w:start w:val="1"/>
      <w:numFmt w:val="bullet"/>
      <w:lvlText w:val="o"/>
      <w:lvlJc w:val="left"/>
      <w:pPr>
        <w:ind w:left="5760" w:hanging="360"/>
      </w:pPr>
      <w:rPr>
        <w:rFonts w:ascii="Courier New" w:hAnsi="Courier New" w:hint="default"/>
      </w:rPr>
    </w:lvl>
    <w:lvl w:ilvl="8" w:tplc="5DA4BC5C">
      <w:start w:val="1"/>
      <w:numFmt w:val="bullet"/>
      <w:lvlText w:val=""/>
      <w:lvlJc w:val="left"/>
      <w:pPr>
        <w:ind w:left="6480" w:hanging="360"/>
      </w:pPr>
      <w:rPr>
        <w:rFonts w:ascii="Wingdings" w:hAnsi="Wingdings" w:hint="default"/>
      </w:rPr>
    </w:lvl>
  </w:abstractNum>
  <w:abstractNum w:abstractNumId="17" w15:restartNumberingAfterBreak="0">
    <w:nsid w:val="400DE0FF"/>
    <w:multiLevelType w:val="hybridMultilevel"/>
    <w:tmpl w:val="FFD643A2"/>
    <w:lvl w:ilvl="0" w:tplc="0148993E">
      <w:start w:val="1"/>
      <w:numFmt w:val="bullet"/>
      <w:lvlText w:val=""/>
      <w:lvlJc w:val="left"/>
      <w:pPr>
        <w:ind w:left="720" w:hanging="360"/>
      </w:pPr>
      <w:rPr>
        <w:rFonts w:ascii="Symbol" w:hAnsi="Symbol" w:hint="default"/>
      </w:rPr>
    </w:lvl>
    <w:lvl w:ilvl="1" w:tplc="654CAADE">
      <w:start w:val="1"/>
      <w:numFmt w:val="bullet"/>
      <w:lvlText w:val="o"/>
      <w:lvlJc w:val="left"/>
      <w:pPr>
        <w:ind w:left="1440" w:hanging="360"/>
      </w:pPr>
      <w:rPr>
        <w:rFonts w:ascii="Courier New" w:hAnsi="Courier New" w:hint="default"/>
      </w:rPr>
    </w:lvl>
    <w:lvl w:ilvl="2" w:tplc="B336D31C">
      <w:start w:val="1"/>
      <w:numFmt w:val="bullet"/>
      <w:lvlText w:val=""/>
      <w:lvlJc w:val="left"/>
      <w:pPr>
        <w:ind w:left="2160" w:hanging="360"/>
      </w:pPr>
      <w:rPr>
        <w:rFonts w:ascii="Wingdings" w:hAnsi="Wingdings" w:hint="default"/>
      </w:rPr>
    </w:lvl>
    <w:lvl w:ilvl="3" w:tplc="78F4B1D8">
      <w:start w:val="1"/>
      <w:numFmt w:val="bullet"/>
      <w:lvlText w:val=""/>
      <w:lvlJc w:val="left"/>
      <w:pPr>
        <w:ind w:left="2880" w:hanging="360"/>
      </w:pPr>
      <w:rPr>
        <w:rFonts w:ascii="Symbol" w:hAnsi="Symbol" w:hint="default"/>
      </w:rPr>
    </w:lvl>
    <w:lvl w:ilvl="4" w:tplc="213A0BF6">
      <w:start w:val="1"/>
      <w:numFmt w:val="bullet"/>
      <w:lvlText w:val="o"/>
      <w:lvlJc w:val="left"/>
      <w:pPr>
        <w:ind w:left="3600" w:hanging="360"/>
      </w:pPr>
      <w:rPr>
        <w:rFonts w:ascii="Courier New" w:hAnsi="Courier New" w:hint="default"/>
      </w:rPr>
    </w:lvl>
    <w:lvl w:ilvl="5" w:tplc="46DCBDC8">
      <w:start w:val="1"/>
      <w:numFmt w:val="bullet"/>
      <w:lvlText w:val=""/>
      <w:lvlJc w:val="left"/>
      <w:pPr>
        <w:ind w:left="4320" w:hanging="360"/>
      </w:pPr>
      <w:rPr>
        <w:rFonts w:ascii="Wingdings" w:hAnsi="Wingdings" w:hint="default"/>
      </w:rPr>
    </w:lvl>
    <w:lvl w:ilvl="6" w:tplc="474A3128">
      <w:start w:val="1"/>
      <w:numFmt w:val="bullet"/>
      <w:lvlText w:val=""/>
      <w:lvlJc w:val="left"/>
      <w:pPr>
        <w:ind w:left="5040" w:hanging="360"/>
      </w:pPr>
      <w:rPr>
        <w:rFonts w:ascii="Symbol" w:hAnsi="Symbol" w:hint="default"/>
      </w:rPr>
    </w:lvl>
    <w:lvl w:ilvl="7" w:tplc="309E721A">
      <w:start w:val="1"/>
      <w:numFmt w:val="bullet"/>
      <w:lvlText w:val="o"/>
      <w:lvlJc w:val="left"/>
      <w:pPr>
        <w:ind w:left="5760" w:hanging="360"/>
      </w:pPr>
      <w:rPr>
        <w:rFonts w:ascii="Courier New" w:hAnsi="Courier New" w:hint="default"/>
      </w:rPr>
    </w:lvl>
    <w:lvl w:ilvl="8" w:tplc="F1FCE2B0">
      <w:start w:val="1"/>
      <w:numFmt w:val="bullet"/>
      <w:lvlText w:val=""/>
      <w:lvlJc w:val="left"/>
      <w:pPr>
        <w:ind w:left="6480" w:hanging="360"/>
      </w:pPr>
      <w:rPr>
        <w:rFonts w:ascii="Wingdings" w:hAnsi="Wingdings" w:hint="default"/>
      </w:rPr>
    </w:lvl>
  </w:abstractNum>
  <w:abstractNum w:abstractNumId="18" w15:restartNumberingAfterBreak="0">
    <w:nsid w:val="407D2ED3"/>
    <w:multiLevelType w:val="hybridMultilevel"/>
    <w:tmpl w:val="4830ED5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BFA4A08"/>
    <w:multiLevelType w:val="hybridMultilevel"/>
    <w:tmpl w:val="FFFFFFFF"/>
    <w:lvl w:ilvl="0" w:tplc="AE8A83D4">
      <w:start w:val="1"/>
      <w:numFmt w:val="bullet"/>
      <w:lvlText w:val="·"/>
      <w:lvlJc w:val="left"/>
      <w:pPr>
        <w:ind w:left="720" w:hanging="360"/>
      </w:pPr>
      <w:rPr>
        <w:rFonts w:ascii="Symbol" w:hAnsi="Symbol" w:hint="default"/>
      </w:rPr>
    </w:lvl>
    <w:lvl w:ilvl="1" w:tplc="F8F8D7D0">
      <w:start w:val="1"/>
      <w:numFmt w:val="bullet"/>
      <w:lvlText w:val="o"/>
      <w:lvlJc w:val="left"/>
      <w:pPr>
        <w:ind w:left="1440" w:hanging="360"/>
      </w:pPr>
      <w:rPr>
        <w:rFonts w:ascii="Courier New" w:hAnsi="Courier New" w:hint="default"/>
      </w:rPr>
    </w:lvl>
    <w:lvl w:ilvl="2" w:tplc="BE8697BC">
      <w:start w:val="1"/>
      <w:numFmt w:val="bullet"/>
      <w:lvlText w:val=""/>
      <w:lvlJc w:val="left"/>
      <w:pPr>
        <w:ind w:left="2160" w:hanging="360"/>
      </w:pPr>
      <w:rPr>
        <w:rFonts w:ascii="Wingdings" w:hAnsi="Wingdings" w:hint="default"/>
      </w:rPr>
    </w:lvl>
    <w:lvl w:ilvl="3" w:tplc="6D749462">
      <w:start w:val="1"/>
      <w:numFmt w:val="bullet"/>
      <w:lvlText w:val=""/>
      <w:lvlJc w:val="left"/>
      <w:pPr>
        <w:ind w:left="2880" w:hanging="360"/>
      </w:pPr>
      <w:rPr>
        <w:rFonts w:ascii="Symbol" w:hAnsi="Symbol" w:hint="default"/>
      </w:rPr>
    </w:lvl>
    <w:lvl w:ilvl="4" w:tplc="DC5C65B4">
      <w:start w:val="1"/>
      <w:numFmt w:val="bullet"/>
      <w:lvlText w:val="o"/>
      <w:lvlJc w:val="left"/>
      <w:pPr>
        <w:ind w:left="3600" w:hanging="360"/>
      </w:pPr>
      <w:rPr>
        <w:rFonts w:ascii="Courier New" w:hAnsi="Courier New" w:hint="default"/>
      </w:rPr>
    </w:lvl>
    <w:lvl w:ilvl="5" w:tplc="379E09A6">
      <w:start w:val="1"/>
      <w:numFmt w:val="bullet"/>
      <w:lvlText w:val=""/>
      <w:lvlJc w:val="left"/>
      <w:pPr>
        <w:ind w:left="4320" w:hanging="360"/>
      </w:pPr>
      <w:rPr>
        <w:rFonts w:ascii="Wingdings" w:hAnsi="Wingdings" w:hint="default"/>
      </w:rPr>
    </w:lvl>
    <w:lvl w:ilvl="6" w:tplc="88DA8628">
      <w:start w:val="1"/>
      <w:numFmt w:val="bullet"/>
      <w:lvlText w:val=""/>
      <w:lvlJc w:val="left"/>
      <w:pPr>
        <w:ind w:left="5040" w:hanging="360"/>
      </w:pPr>
      <w:rPr>
        <w:rFonts w:ascii="Symbol" w:hAnsi="Symbol" w:hint="default"/>
      </w:rPr>
    </w:lvl>
    <w:lvl w:ilvl="7" w:tplc="393E71EC">
      <w:start w:val="1"/>
      <w:numFmt w:val="bullet"/>
      <w:lvlText w:val="o"/>
      <w:lvlJc w:val="left"/>
      <w:pPr>
        <w:ind w:left="5760" w:hanging="360"/>
      </w:pPr>
      <w:rPr>
        <w:rFonts w:ascii="Courier New" w:hAnsi="Courier New" w:hint="default"/>
      </w:rPr>
    </w:lvl>
    <w:lvl w:ilvl="8" w:tplc="D0922830">
      <w:start w:val="1"/>
      <w:numFmt w:val="bullet"/>
      <w:lvlText w:val=""/>
      <w:lvlJc w:val="left"/>
      <w:pPr>
        <w:ind w:left="6480" w:hanging="360"/>
      </w:pPr>
      <w:rPr>
        <w:rFonts w:ascii="Wingdings" w:hAnsi="Wingdings" w:hint="default"/>
      </w:rPr>
    </w:lvl>
  </w:abstractNum>
  <w:abstractNum w:abstractNumId="20" w15:restartNumberingAfterBreak="0">
    <w:nsid w:val="4C0DEAA6"/>
    <w:multiLevelType w:val="hybridMultilevel"/>
    <w:tmpl w:val="5832F11C"/>
    <w:lvl w:ilvl="0" w:tplc="8904034C">
      <w:start w:val="1"/>
      <w:numFmt w:val="bullet"/>
      <w:lvlText w:val=""/>
      <w:lvlJc w:val="left"/>
      <w:pPr>
        <w:ind w:left="720" w:hanging="360"/>
      </w:pPr>
      <w:rPr>
        <w:rFonts w:ascii="Symbol" w:hAnsi="Symbol" w:hint="default"/>
      </w:rPr>
    </w:lvl>
    <w:lvl w:ilvl="1" w:tplc="DCC85EDE">
      <w:start w:val="1"/>
      <w:numFmt w:val="bullet"/>
      <w:lvlText w:val="o"/>
      <w:lvlJc w:val="left"/>
      <w:pPr>
        <w:ind w:left="1440" w:hanging="360"/>
      </w:pPr>
      <w:rPr>
        <w:rFonts w:ascii="Courier New" w:hAnsi="Courier New" w:hint="default"/>
      </w:rPr>
    </w:lvl>
    <w:lvl w:ilvl="2" w:tplc="D0027BC4">
      <w:start w:val="1"/>
      <w:numFmt w:val="bullet"/>
      <w:lvlText w:val=""/>
      <w:lvlJc w:val="left"/>
      <w:pPr>
        <w:ind w:left="2160" w:hanging="360"/>
      </w:pPr>
      <w:rPr>
        <w:rFonts w:ascii="Wingdings" w:hAnsi="Wingdings" w:hint="default"/>
      </w:rPr>
    </w:lvl>
    <w:lvl w:ilvl="3" w:tplc="8DAEE396">
      <w:start w:val="1"/>
      <w:numFmt w:val="bullet"/>
      <w:lvlText w:val=""/>
      <w:lvlJc w:val="left"/>
      <w:pPr>
        <w:ind w:left="2880" w:hanging="360"/>
      </w:pPr>
      <w:rPr>
        <w:rFonts w:ascii="Symbol" w:hAnsi="Symbol" w:hint="default"/>
      </w:rPr>
    </w:lvl>
    <w:lvl w:ilvl="4" w:tplc="B78C2926">
      <w:start w:val="1"/>
      <w:numFmt w:val="bullet"/>
      <w:lvlText w:val="o"/>
      <w:lvlJc w:val="left"/>
      <w:pPr>
        <w:ind w:left="3600" w:hanging="360"/>
      </w:pPr>
      <w:rPr>
        <w:rFonts w:ascii="Courier New" w:hAnsi="Courier New" w:hint="default"/>
      </w:rPr>
    </w:lvl>
    <w:lvl w:ilvl="5" w:tplc="E84EC000">
      <w:start w:val="1"/>
      <w:numFmt w:val="bullet"/>
      <w:lvlText w:val=""/>
      <w:lvlJc w:val="left"/>
      <w:pPr>
        <w:ind w:left="4320" w:hanging="360"/>
      </w:pPr>
      <w:rPr>
        <w:rFonts w:ascii="Wingdings" w:hAnsi="Wingdings" w:hint="default"/>
      </w:rPr>
    </w:lvl>
    <w:lvl w:ilvl="6" w:tplc="4E268202">
      <w:start w:val="1"/>
      <w:numFmt w:val="bullet"/>
      <w:lvlText w:val=""/>
      <w:lvlJc w:val="left"/>
      <w:pPr>
        <w:ind w:left="5040" w:hanging="360"/>
      </w:pPr>
      <w:rPr>
        <w:rFonts w:ascii="Symbol" w:hAnsi="Symbol" w:hint="default"/>
      </w:rPr>
    </w:lvl>
    <w:lvl w:ilvl="7" w:tplc="EBE66702">
      <w:start w:val="1"/>
      <w:numFmt w:val="bullet"/>
      <w:lvlText w:val="o"/>
      <w:lvlJc w:val="left"/>
      <w:pPr>
        <w:ind w:left="5760" w:hanging="360"/>
      </w:pPr>
      <w:rPr>
        <w:rFonts w:ascii="Courier New" w:hAnsi="Courier New" w:hint="default"/>
      </w:rPr>
    </w:lvl>
    <w:lvl w:ilvl="8" w:tplc="242E8572">
      <w:start w:val="1"/>
      <w:numFmt w:val="bullet"/>
      <w:lvlText w:val=""/>
      <w:lvlJc w:val="left"/>
      <w:pPr>
        <w:ind w:left="6480" w:hanging="360"/>
      </w:pPr>
      <w:rPr>
        <w:rFonts w:ascii="Wingdings" w:hAnsi="Wingdings" w:hint="default"/>
      </w:rPr>
    </w:lvl>
  </w:abstractNum>
  <w:abstractNum w:abstractNumId="21" w15:restartNumberingAfterBreak="0">
    <w:nsid w:val="4CBD04FF"/>
    <w:multiLevelType w:val="hybridMultilevel"/>
    <w:tmpl w:val="841C97DA"/>
    <w:lvl w:ilvl="0" w:tplc="0316C598">
      <w:start w:val="1"/>
      <w:numFmt w:val="bullet"/>
      <w:lvlText w:val=""/>
      <w:lvlJc w:val="left"/>
      <w:pPr>
        <w:ind w:left="720" w:hanging="360"/>
      </w:pPr>
      <w:rPr>
        <w:rFonts w:ascii="Symbol" w:hAnsi="Symbol" w:hint="default"/>
      </w:rPr>
    </w:lvl>
    <w:lvl w:ilvl="1" w:tplc="DA824D2A">
      <w:start w:val="1"/>
      <w:numFmt w:val="bullet"/>
      <w:lvlText w:val="o"/>
      <w:lvlJc w:val="left"/>
      <w:pPr>
        <w:ind w:left="1440" w:hanging="360"/>
      </w:pPr>
      <w:rPr>
        <w:rFonts w:ascii="Courier New" w:hAnsi="Courier New" w:hint="default"/>
      </w:rPr>
    </w:lvl>
    <w:lvl w:ilvl="2" w:tplc="B38A6946">
      <w:start w:val="1"/>
      <w:numFmt w:val="bullet"/>
      <w:lvlText w:val=""/>
      <w:lvlJc w:val="left"/>
      <w:pPr>
        <w:ind w:left="2160" w:hanging="360"/>
      </w:pPr>
      <w:rPr>
        <w:rFonts w:ascii="Wingdings" w:hAnsi="Wingdings" w:hint="default"/>
      </w:rPr>
    </w:lvl>
    <w:lvl w:ilvl="3" w:tplc="0F98BE50">
      <w:start w:val="1"/>
      <w:numFmt w:val="bullet"/>
      <w:lvlText w:val=""/>
      <w:lvlJc w:val="left"/>
      <w:pPr>
        <w:ind w:left="2880" w:hanging="360"/>
      </w:pPr>
      <w:rPr>
        <w:rFonts w:ascii="Symbol" w:hAnsi="Symbol" w:hint="default"/>
      </w:rPr>
    </w:lvl>
    <w:lvl w:ilvl="4" w:tplc="9C62C326">
      <w:start w:val="1"/>
      <w:numFmt w:val="bullet"/>
      <w:lvlText w:val="o"/>
      <w:lvlJc w:val="left"/>
      <w:pPr>
        <w:ind w:left="3600" w:hanging="360"/>
      </w:pPr>
      <w:rPr>
        <w:rFonts w:ascii="Courier New" w:hAnsi="Courier New" w:hint="default"/>
      </w:rPr>
    </w:lvl>
    <w:lvl w:ilvl="5" w:tplc="273CB0B6">
      <w:start w:val="1"/>
      <w:numFmt w:val="bullet"/>
      <w:lvlText w:val=""/>
      <w:lvlJc w:val="left"/>
      <w:pPr>
        <w:ind w:left="4320" w:hanging="360"/>
      </w:pPr>
      <w:rPr>
        <w:rFonts w:ascii="Wingdings" w:hAnsi="Wingdings" w:hint="default"/>
      </w:rPr>
    </w:lvl>
    <w:lvl w:ilvl="6" w:tplc="E57EC66E">
      <w:start w:val="1"/>
      <w:numFmt w:val="bullet"/>
      <w:lvlText w:val=""/>
      <w:lvlJc w:val="left"/>
      <w:pPr>
        <w:ind w:left="5040" w:hanging="360"/>
      </w:pPr>
      <w:rPr>
        <w:rFonts w:ascii="Symbol" w:hAnsi="Symbol" w:hint="default"/>
      </w:rPr>
    </w:lvl>
    <w:lvl w:ilvl="7" w:tplc="1FA677E8">
      <w:start w:val="1"/>
      <w:numFmt w:val="bullet"/>
      <w:lvlText w:val="o"/>
      <w:lvlJc w:val="left"/>
      <w:pPr>
        <w:ind w:left="5760" w:hanging="360"/>
      </w:pPr>
      <w:rPr>
        <w:rFonts w:ascii="Courier New" w:hAnsi="Courier New" w:hint="default"/>
      </w:rPr>
    </w:lvl>
    <w:lvl w:ilvl="8" w:tplc="6ADE3634">
      <w:start w:val="1"/>
      <w:numFmt w:val="bullet"/>
      <w:lvlText w:val=""/>
      <w:lvlJc w:val="left"/>
      <w:pPr>
        <w:ind w:left="6480" w:hanging="360"/>
      </w:pPr>
      <w:rPr>
        <w:rFonts w:ascii="Wingdings" w:hAnsi="Wingdings" w:hint="default"/>
      </w:rPr>
    </w:lvl>
  </w:abstractNum>
  <w:abstractNum w:abstractNumId="22" w15:restartNumberingAfterBreak="0">
    <w:nsid w:val="4DBE39E3"/>
    <w:multiLevelType w:val="hybridMultilevel"/>
    <w:tmpl w:val="D45A183A"/>
    <w:lvl w:ilvl="0" w:tplc="D130CF48">
      <w:start w:val="1"/>
      <w:numFmt w:val="decimal"/>
      <w:lvlText w:val="%1."/>
      <w:lvlJc w:val="left"/>
      <w:pPr>
        <w:ind w:left="1020" w:hanging="360"/>
      </w:pPr>
    </w:lvl>
    <w:lvl w:ilvl="1" w:tplc="B2307C8E">
      <w:start w:val="1"/>
      <w:numFmt w:val="decimal"/>
      <w:lvlText w:val="%2."/>
      <w:lvlJc w:val="left"/>
      <w:pPr>
        <w:ind w:left="1020" w:hanging="360"/>
      </w:pPr>
    </w:lvl>
    <w:lvl w:ilvl="2" w:tplc="F010224C">
      <w:start w:val="1"/>
      <w:numFmt w:val="decimal"/>
      <w:lvlText w:val="%3."/>
      <w:lvlJc w:val="left"/>
      <w:pPr>
        <w:ind w:left="1020" w:hanging="360"/>
      </w:pPr>
    </w:lvl>
    <w:lvl w:ilvl="3" w:tplc="0EB6D936">
      <w:start w:val="1"/>
      <w:numFmt w:val="decimal"/>
      <w:lvlText w:val="%4."/>
      <w:lvlJc w:val="left"/>
      <w:pPr>
        <w:ind w:left="1020" w:hanging="360"/>
      </w:pPr>
    </w:lvl>
    <w:lvl w:ilvl="4" w:tplc="A720F0FC">
      <w:start w:val="1"/>
      <w:numFmt w:val="decimal"/>
      <w:lvlText w:val="%5."/>
      <w:lvlJc w:val="left"/>
      <w:pPr>
        <w:ind w:left="1020" w:hanging="360"/>
      </w:pPr>
    </w:lvl>
    <w:lvl w:ilvl="5" w:tplc="95BCDC68">
      <w:start w:val="1"/>
      <w:numFmt w:val="decimal"/>
      <w:lvlText w:val="%6."/>
      <w:lvlJc w:val="left"/>
      <w:pPr>
        <w:ind w:left="1020" w:hanging="360"/>
      </w:pPr>
    </w:lvl>
    <w:lvl w:ilvl="6" w:tplc="0B926036">
      <w:start w:val="1"/>
      <w:numFmt w:val="decimal"/>
      <w:lvlText w:val="%7."/>
      <w:lvlJc w:val="left"/>
      <w:pPr>
        <w:ind w:left="1020" w:hanging="360"/>
      </w:pPr>
    </w:lvl>
    <w:lvl w:ilvl="7" w:tplc="8A9054F2">
      <w:start w:val="1"/>
      <w:numFmt w:val="decimal"/>
      <w:lvlText w:val="%8."/>
      <w:lvlJc w:val="left"/>
      <w:pPr>
        <w:ind w:left="1020" w:hanging="360"/>
      </w:pPr>
    </w:lvl>
    <w:lvl w:ilvl="8" w:tplc="56DA4944">
      <w:start w:val="1"/>
      <w:numFmt w:val="decimal"/>
      <w:lvlText w:val="%9."/>
      <w:lvlJc w:val="left"/>
      <w:pPr>
        <w:ind w:left="1020" w:hanging="360"/>
      </w:pPr>
    </w:lvl>
  </w:abstractNum>
  <w:abstractNum w:abstractNumId="23" w15:restartNumberingAfterBreak="0">
    <w:nsid w:val="4F7860B6"/>
    <w:multiLevelType w:val="hybridMultilevel"/>
    <w:tmpl w:val="FFFFFFFF"/>
    <w:lvl w:ilvl="0" w:tplc="E8302FB4">
      <w:start w:val="1"/>
      <w:numFmt w:val="bullet"/>
      <w:lvlText w:val=""/>
      <w:lvlJc w:val="left"/>
      <w:pPr>
        <w:ind w:left="720" w:hanging="360"/>
      </w:pPr>
      <w:rPr>
        <w:rFonts w:ascii="Symbol" w:hAnsi="Symbol" w:hint="default"/>
      </w:rPr>
    </w:lvl>
    <w:lvl w:ilvl="1" w:tplc="84B6AD40">
      <w:start w:val="1"/>
      <w:numFmt w:val="bullet"/>
      <w:lvlText w:val="o"/>
      <w:lvlJc w:val="left"/>
      <w:pPr>
        <w:ind w:left="1440" w:hanging="360"/>
      </w:pPr>
      <w:rPr>
        <w:rFonts w:ascii="Courier New" w:hAnsi="Courier New" w:hint="default"/>
      </w:rPr>
    </w:lvl>
    <w:lvl w:ilvl="2" w:tplc="02B05E40">
      <w:start w:val="1"/>
      <w:numFmt w:val="bullet"/>
      <w:lvlText w:val=""/>
      <w:lvlJc w:val="left"/>
      <w:pPr>
        <w:ind w:left="2160" w:hanging="360"/>
      </w:pPr>
      <w:rPr>
        <w:rFonts w:ascii="Wingdings" w:hAnsi="Wingdings" w:hint="default"/>
      </w:rPr>
    </w:lvl>
    <w:lvl w:ilvl="3" w:tplc="4068658E">
      <w:start w:val="1"/>
      <w:numFmt w:val="bullet"/>
      <w:lvlText w:val=""/>
      <w:lvlJc w:val="left"/>
      <w:pPr>
        <w:ind w:left="2880" w:hanging="360"/>
      </w:pPr>
      <w:rPr>
        <w:rFonts w:ascii="Symbol" w:hAnsi="Symbol" w:hint="default"/>
      </w:rPr>
    </w:lvl>
    <w:lvl w:ilvl="4" w:tplc="86D03D34">
      <w:start w:val="1"/>
      <w:numFmt w:val="bullet"/>
      <w:lvlText w:val="o"/>
      <w:lvlJc w:val="left"/>
      <w:pPr>
        <w:ind w:left="3600" w:hanging="360"/>
      </w:pPr>
      <w:rPr>
        <w:rFonts w:ascii="Courier New" w:hAnsi="Courier New" w:hint="default"/>
      </w:rPr>
    </w:lvl>
    <w:lvl w:ilvl="5" w:tplc="8408A5BA">
      <w:start w:val="1"/>
      <w:numFmt w:val="bullet"/>
      <w:lvlText w:val=""/>
      <w:lvlJc w:val="left"/>
      <w:pPr>
        <w:ind w:left="4320" w:hanging="360"/>
      </w:pPr>
      <w:rPr>
        <w:rFonts w:ascii="Wingdings" w:hAnsi="Wingdings" w:hint="default"/>
      </w:rPr>
    </w:lvl>
    <w:lvl w:ilvl="6" w:tplc="7A32624C">
      <w:start w:val="1"/>
      <w:numFmt w:val="bullet"/>
      <w:lvlText w:val=""/>
      <w:lvlJc w:val="left"/>
      <w:pPr>
        <w:ind w:left="5040" w:hanging="360"/>
      </w:pPr>
      <w:rPr>
        <w:rFonts w:ascii="Symbol" w:hAnsi="Symbol" w:hint="default"/>
      </w:rPr>
    </w:lvl>
    <w:lvl w:ilvl="7" w:tplc="63A4FECC">
      <w:start w:val="1"/>
      <w:numFmt w:val="bullet"/>
      <w:lvlText w:val="o"/>
      <w:lvlJc w:val="left"/>
      <w:pPr>
        <w:ind w:left="5760" w:hanging="360"/>
      </w:pPr>
      <w:rPr>
        <w:rFonts w:ascii="Courier New" w:hAnsi="Courier New" w:hint="default"/>
      </w:rPr>
    </w:lvl>
    <w:lvl w:ilvl="8" w:tplc="767AB2FE">
      <w:start w:val="1"/>
      <w:numFmt w:val="bullet"/>
      <w:lvlText w:val=""/>
      <w:lvlJc w:val="left"/>
      <w:pPr>
        <w:ind w:left="6480" w:hanging="360"/>
      </w:pPr>
      <w:rPr>
        <w:rFonts w:ascii="Wingdings" w:hAnsi="Wingdings" w:hint="default"/>
      </w:rPr>
    </w:lvl>
  </w:abstractNum>
  <w:abstractNum w:abstractNumId="24" w15:restartNumberingAfterBreak="0">
    <w:nsid w:val="52BBFBC2"/>
    <w:multiLevelType w:val="hybridMultilevel"/>
    <w:tmpl w:val="685884CC"/>
    <w:lvl w:ilvl="0" w:tplc="0F26626E">
      <w:start w:val="1"/>
      <w:numFmt w:val="bullet"/>
      <w:lvlText w:val=""/>
      <w:lvlJc w:val="left"/>
      <w:pPr>
        <w:ind w:left="720" w:hanging="360"/>
      </w:pPr>
      <w:rPr>
        <w:rFonts w:ascii="Symbol" w:hAnsi="Symbol" w:hint="default"/>
      </w:rPr>
    </w:lvl>
    <w:lvl w:ilvl="1" w:tplc="9ADEBFB8">
      <w:start w:val="1"/>
      <w:numFmt w:val="bullet"/>
      <w:lvlText w:val="o"/>
      <w:lvlJc w:val="left"/>
      <w:pPr>
        <w:ind w:left="1440" w:hanging="360"/>
      </w:pPr>
      <w:rPr>
        <w:rFonts w:ascii="Courier New" w:hAnsi="Courier New" w:hint="default"/>
      </w:rPr>
    </w:lvl>
    <w:lvl w:ilvl="2" w:tplc="82C2B966">
      <w:start w:val="1"/>
      <w:numFmt w:val="bullet"/>
      <w:lvlText w:val=""/>
      <w:lvlJc w:val="left"/>
      <w:pPr>
        <w:ind w:left="2160" w:hanging="360"/>
      </w:pPr>
      <w:rPr>
        <w:rFonts w:ascii="Wingdings" w:hAnsi="Wingdings" w:hint="default"/>
      </w:rPr>
    </w:lvl>
    <w:lvl w:ilvl="3" w:tplc="1D3AAEB2">
      <w:start w:val="1"/>
      <w:numFmt w:val="bullet"/>
      <w:lvlText w:val=""/>
      <w:lvlJc w:val="left"/>
      <w:pPr>
        <w:ind w:left="2880" w:hanging="360"/>
      </w:pPr>
      <w:rPr>
        <w:rFonts w:ascii="Symbol" w:hAnsi="Symbol" w:hint="default"/>
      </w:rPr>
    </w:lvl>
    <w:lvl w:ilvl="4" w:tplc="7C229C94">
      <w:start w:val="1"/>
      <w:numFmt w:val="bullet"/>
      <w:lvlText w:val="o"/>
      <w:lvlJc w:val="left"/>
      <w:pPr>
        <w:ind w:left="3600" w:hanging="360"/>
      </w:pPr>
      <w:rPr>
        <w:rFonts w:ascii="Courier New" w:hAnsi="Courier New" w:hint="default"/>
      </w:rPr>
    </w:lvl>
    <w:lvl w:ilvl="5" w:tplc="580C23DE">
      <w:start w:val="1"/>
      <w:numFmt w:val="bullet"/>
      <w:lvlText w:val=""/>
      <w:lvlJc w:val="left"/>
      <w:pPr>
        <w:ind w:left="4320" w:hanging="360"/>
      </w:pPr>
      <w:rPr>
        <w:rFonts w:ascii="Wingdings" w:hAnsi="Wingdings" w:hint="default"/>
      </w:rPr>
    </w:lvl>
    <w:lvl w:ilvl="6" w:tplc="6844674A">
      <w:start w:val="1"/>
      <w:numFmt w:val="bullet"/>
      <w:lvlText w:val=""/>
      <w:lvlJc w:val="left"/>
      <w:pPr>
        <w:ind w:left="5040" w:hanging="360"/>
      </w:pPr>
      <w:rPr>
        <w:rFonts w:ascii="Symbol" w:hAnsi="Symbol" w:hint="default"/>
      </w:rPr>
    </w:lvl>
    <w:lvl w:ilvl="7" w:tplc="E5C43A48">
      <w:start w:val="1"/>
      <w:numFmt w:val="bullet"/>
      <w:lvlText w:val="o"/>
      <w:lvlJc w:val="left"/>
      <w:pPr>
        <w:ind w:left="5760" w:hanging="360"/>
      </w:pPr>
      <w:rPr>
        <w:rFonts w:ascii="Courier New" w:hAnsi="Courier New" w:hint="default"/>
      </w:rPr>
    </w:lvl>
    <w:lvl w:ilvl="8" w:tplc="45C28DB2">
      <w:start w:val="1"/>
      <w:numFmt w:val="bullet"/>
      <w:lvlText w:val=""/>
      <w:lvlJc w:val="left"/>
      <w:pPr>
        <w:ind w:left="6480" w:hanging="360"/>
      </w:pPr>
      <w:rPr>
        <w:rFonts w:ascii="Wingdings" w:hAnsi="Wingdings" w:hint="default"/>
      </w:rPr>
    </w:lvl>
  </w:abstractNum>
  <w:abstractNum w:abstractNumId="25" w15:restartNumberingAfterBreak="0">
    <w:nsid w:val="5302495D"/>
    <w:multiLevelType w:val="hybridMultilevel"/>
    <w:tmpl w:val="689451D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544DF772"/>
    <w:multiLevelType w:val="hybridMultilevel"/>
    <w:tmpl w:val="055A97C8"/>
    <w:lvl w:ilvl="0" w:tplc="3E2A513A">
      <w:start w:val="1"/>
      <w:numFmt w:val="bullet"/>
      <w:lvlText w:val=""/>
      <w:lvlJc w:val="left"/>
      <w:pPr>
        <w:ind w:left="720" w:hanging="360"/>
      </w:pPr>
      <w:rPr>
        <w:rFonts w:ascii="Symbol" w:hAnsi="Symbol" w:hint="default"/>
      </w:rPr>
    </w:lvl>
    <w:lvl w:ilvl="1" w:tplc="92A6671C">
      <w:start w:val="1"/>
      <w:numFmt w:val="bullet"/>
      <w:lvlText w:val="o"/>
      <w:lvlJc w:val="left"/>
      <w:pPr>
        <w:ind w:left="1440" w:hanging="360"/>
      </w:pPr>
      <w:rPr>
        <w:rFonts w:ascii="Courier New" w:hAnsi="Courier New" w:hint="default"/>
      </w:rPr>
    </w:lvl>
    <w:lvl w:ilvl="2" w:tplc="1576B53E">
      <w:start w:val="1"/>
      <w:numFmt w:val="bullet"/>
      <w:lvlText w:val=""/>
      <w:lvlJc w:val="left"/>
      <w:pPr>
        <w:ind w:left="2160" w:hanging="360"/>
      </w:pPr>
      <w:rPr>
        <w:rFonts w:ascii="Wingdings" w:hAnsi="Wingdings" w:hint="default"/>
      </w:rPr>
    </w:lvl>
    <w:lvl w:ilvl="3" w:tplc="A4BE870C">
      <w:start w:val="1"/>
      <w:numFmt w:val="bullet"/>
      <w:lvlText w:val=""/>
      <w:lvlJc w:val="left"/>
      <w:pPr>
        <w:ind w:left="2880" w:hanging="360"/>
      </w:pPr>
      <w:rPr>
        <w:rFonts w:ascii="Symbol" w:hAnsi="Symbol" w:hint="default"/>
      </w:rPr>
    </w:lvl>
    <w:lvl w:ilvl="4" w:tplc="8116CEFA">
      <w:start w:val="1"/>
      <w:numFmt w:val="bullet"/>
      <w:lvlText w:val="o"/>
      <w:lvlJc w:val="left"/>
      <w:pPr>
        <w:ind w:left="3600" w:hanging="360"/>
      </w:pPr>
      <w:rPr>
        <w:rFonts w:ascii="Courier New" w:hAnsi="Courier New" w:hint="default"/>
      </w:rPr>
    </w:lvl>
    <w:lvl w:ilvl="5" w:tplc="E2102880">
      <w:start w:val="1"/>
      <w:numFmt w:val="bullet"/>
      <w:lvlText w:val=""/>
      <w:lvlJc w:val="left"/>
      <w:pPr>
        <w:ind w:left="4320" w:hanging="360"/>
      </w:pPr>
      <w:rPr>
        <w:rFonts w:ascii="Wingdings" w:hAnsi="Wingdings" w:hint="default"/>
      </w:rPr>
    </w:lvl>
    <w:lvl w:ilvl="6" w:tplc="1222F2F4">
      <w:start w:val="1"/>
      <w:numFmt w:val="bullet"/>
      <w:lvlText w:val=""/>
      <w:lvlJc w:val="left"/>
      <w:pPr>
        <w:ind w:left="5040" w:hanging="360"/>
      </w:pPr>
      <w:rPr>
        <w:rFonts w:ascii="Symbol" w:hAnsi="Symbol" w:hint="default"/>
      </w:rPr>
    </w:lvl>
    <w:lvl w:ilvl="7" w:tplc="2A5A024E">
      <w:start w:val="1"/>
      <w:numFmt w:val="bullet"/>
      <w:lvlText w:val="o"/>
      <w:lvlJc w:val="left"/>
      <w:pPr>
        <w:ind w:left="5760" w:hanging="360"/>
      </w:pPr>
      <w:rPr>
        <w:rFonts w:ascii="Courier New" w:hAnsi="Courier New" w:hint="default"/>
      </w:rPr>
    </w:lvl>
    <w:lvl w:ilvl="8" w:tplc="C43239C6">
      <w:start w:val="1"/>
      <w:numFmt w:val="bullet"/>
      <w:lvlText w:val=""/>
      <w:lvlJc w:val="left"/>
      <w:pPr>
        <w:ind w:left="6480" w:hanging="360"/>
      </w:pPr>
      <w:rPr>
        <w:rFonts w:ascii="Wingdings" w:hAnsi="Wingdings" w:hint="default"/>
      </w:rPr>
    </w:lvl>
  </w:abstractNum>
  <w:abstractNum w:abstractNumId="27" w15:restartNumberingAfterBreak="0">
    <w:nsid w:val="56566432"/>
    <w:multiLevelType w:val="hybridMultilevel"/>
    <w:tmpl w:val="5726E3F2"/>
    <w:lvl w:ilvl="0" w:tplc="7876DB2C">
      <w:start w:val="1"/>
      <w:numFmt w:val="decimal"/>
      <w:lvlText w:val="%1."/>
      <w:lvlJc w:val="left"/>
      <w:pPr>
        <w:ind w:left="1020" w:hanging="360"/>
      </w:pPr>
    </w:lvl>
    <w:lvl w:ilvl="1" w:tplc="E63C3322">
      <w:start w:val="1"/>
      <w:numFmt w:val="decimal"/>
      <w:lvlText w:val="%2."/>
      <w:lvlJc w:val="left"/>
      <w:pPr>
        <w:ind w:left="1020" w:hanging="360"/>
      </w:pPr>
    </w:lvl>
    <w:lvl w:ilvl="2" w:tplc="162638E2">
      <w:start w:val="1"/>
      <w:numFmt w:val="decimal"/>
      <w:lvlText w:val="%3."/>
      <w:lvlJc w:val="left"/>
      <w:pPr>
        <w:ind w:left="1020" w:hanging="360"/>
      </w:pPr>
    </w:lvl>
    <w:lvl w:ilvl="3" w:tplc="A7F612A6">
      <w:start w:val="1"/>
      <w:numFmt w:val="decimal"/>
      <w:lvlText w:val="%4."/>
      <w:lvlJc w:val="left"/>
      <w:pPr>
        <w:ind w:left="1020" w:hanging="360"/>
      </w:pPr>
    </w:lvl>
    <w:lvl w:ilvl="4" w:tplc="B9CC3BE4">
      <w:start w:val="1"/>
      <w:numFmt w:val="decimal"/>
      <w:lvlText w:val="%5."/>
      <w:lvlJc w:val="left"/>
      <w:pPr>
        <w:ind w:left="1020" w:hanging="360"/>
      </w:pPr>
    </w:lvl>
    <w:lvl w:ilvl="5" w:tplc="2D5EF014">
      <w:start w:val="1"/>
      <w:numFmt w:val="decimal"/>
      <w:lvlText w:val="%6."/>
      <w:lvlJc w:val="left"/>
      <w:pPr>
        <w:ind w:left="1020" w:hanging="360"/>
      </w:pPr>
    </w:lvl>
    <w:lvl w:ilvl="6" w:tplc="C7361B6A">
      <w:start w:val="1"/>
      <w:numFmt w:val="decimal"/>
      <w:lvlText w:val="%7."/>
      <w:lvlJc w:val="left"/>
      <w:pPr>
        <w:ind w:left="1020" w:hanging="360"/>
      </w:pPr>
    </w:lvl>
    <w:lvl w:ilvl="7" w:tplc="FF365C98">
      <w:start w:val="1"/>
      <w:numFmt w:val="decimal"/>
      <w:lvlText w:val="%8."/>
      <w:lvlJc w:val="left"/>
      <w:pPr>
        <w:ind w:left="1020" w:hanging="360"/>
      </w:pPr>
    </w:lvl>
    <w:lvl w:ilvl="8" w:tplc="BC1C2414">
      <w:start w:val="1"/>
      <w:numFmt w:val="decimal"/>
      <w:lvlText w:val="%9."/>
      <w:lvlJc w:val="left"/>
      <w:pPr>
        <w:ind w:left="1020" w:hanging="360"/>
      </w:pPr>
    </w:lvl>
  </w:abstractNum>
  <w:abstractNum w:abstractNumId="28" w15:restartNumberingAfterBreak="0">
    <w:nsid w:val="57B20E7C"/>
    <w:multiLevelType w:val="hybridMultilevel"/>
    <w:tmpl w:val="BC1857B0"/>
    <w:lvl w:ilvl="0" w:tplc="6BB8F982">
      <w:start w:val="1"/>
      <w:numFmt w:val="bullet"/>
      <w:lvlText w:val=""/>
      <w:lvlJc w:val="left"/>
      <w:pPr>
        <w:ind w:left="720" w:hanging="360"/>
      </w:pPr>
      <w:rPr>
        <w:rFonts w:ascii="Symbol" w:hAnsi="Symbol" w:hint="default"/>
      </w:rPr>
    </w:lvl>
    <w:lvl w:ilvl="1" w:tplc="95BAA71C">
      <w:start w:val="1"/>
      <w:numFmt w:val="bullet"/>
      <w:lvlText w:val="o"/>
      <w:lvlJc w:val="left"/>
      <w:pPr>
        <w:ind w:left="1440" w:hanging="360"/>
      </w:pPr>
      <w:rPr>
        <w:rFonts w:ascii="Courier New" w:hAnsi="Courier New" w:hint="default"/>
      </w:rPr>
    </w:lvl>
    <w:lvl w:ilvl="2" w:tplc="85AC9B6E">
      <w:start w:val="1"/>
      <w:numFmt w:val="bullet"/>
      <w:lvlText w:val=""/>
      <w:lvlJc w:val="left"/>
      <w:pPr>
        <w:ind w:left="2160" w:hanging="360"/>
      </w:pPr>
      <w:rPr>
        <w:rFonts w:ascii="Wingdings" w:hAnsi="Wingdings" w:hint="default"/>
      </w:rPr>
    </w:lvl>
    <w:lvl w:ilvl="3" w:tplc="5FFA75C2">
      <w:start w:val="1"/>
      <w:numFmt w:val="bullet"/>
      <w:lvlText w:val=""/>
      <w:lvlJc w:val="left"/>
      <w:pPr>
        <w:ind w:left="2880" w:hanging="360"/>
      </w:pPr>
      <w:rPr>
        <w:rFonts w:ascii="Symbol" w:hAnsi="Symbol" w:hint="default"/>
      </w:rPr>
    </w:lvl>
    <w:lvl w:ilvl="4" w:tplc="06EE3990">
      <w:start w:val="1"/>
      <w:numFmt w:val="bullet"/>
      <w:lvlText w:val="o"/>
      <w:lvlJc w:val="left"/>
      <w:pPr>
        <w:ind w:left="3600" w:hanging="360"/>
      </w:pPr>
      <w:rPr>
        <w:rFonts w:ascii="Courier New" w:hAnsi="Courier New" w:hint="default"/>
      </w:rPr>
    </w:lvl>
    <w:lvl w:ilvl="5" w:tplc="CE5EA550">
      <w:start w:val="1"/>
      <w:numFmt w:val="bullet"/>
      <w:lvlText w:val=""/>
      <w:lvlJc w:val="left"/>
      <w:pPr>
        <w:ind w:left="4320" w:hanging="360"/>
      </w:pPr>
      <w:rPr>
        <w:rFonts w:ascii="Wingdings" w:hAnsi="Wingdings" w:hint="default"/>
      </w:rPr>
    </w:lvl>
    <w:lvl w:ilvl="6" w:tplc="7AEADB60">
      <w:start w:val="1"/>
      <w:numFmt w:val="bullet"/>
      <w:lvlText w:val=""/>
      <w:lvlJc w:val="left"/>
      <w:pPr>
        <w:ind w:left="5040" w:hanging="360"/>
      </w:pPr>
      <w:rPr>
        <w:rFonts w:ascii="Symbol" w:hAnsi="Symbol" w:hint="default"/>
      </w:rPr>
    </w:lvl>
    <w:lvl w:ilvl="7" w:tplc="B1B025FC">
      <w:start w:val="1"/>
      <w:numFmt w:val="bullet"/>
      <w:lvlText w:val="o"/>
      <w:lvlJc w:val="left"/>
      <w:pPr>
        <w:ind w:left="5760" w:hanging="360"/>
      </w:pPr>
      <w:rPr>
        <w:rFonts w:ascii="Courier New" w:hAnsi="Courier New" w:hint="default"/>
      </w:rPr>
    </w:lvl>
    <w:lvl w:ilvl="8" w:tplc="ACCEE312">
      <w:start w:val="1"/>
      <w:numFmt w:val="bullet"/>
      <w:lvlText w:val=""/>
      <w:lvlJc w:val="left"/>
      <w:pPr>
        <w:ind w:left="6480" w:hanging="360"/>
      </w:pPr>
      <w:rPr>
        <w:rFonts w:ascii="Wingdings" w:hAnsi="Wingdings" w:hint="default"/>
      </w:rPr>
    </w:lvl>
  </w:abstractNum>
  <w:abstractNum w:abstractNumId="29" w15:restartNumberingAfterBreak="0">
    <w:nsid w:val="5B514028"/>
    <w:multiLevelType w:val="hybridMultilevel"/>
    <w:tmpl w:val="FFFFFFFF"/>
    <w:lvl w:ilvl="0" w:tplc="B44A0DD6">
      <w:start w:val="1"/>
      <w:numFmt w:val="bullet"/>
      <w:lvlText w:val=""/>
      <w:lvlJc w:val="left"/>
      <w:pPr>
        <w:ind w:left="783" w:hanging="360"/>
      </w:pPr>
      <w:rPr>
        <w:rFonts w:ascii="Symbol" w:hAnsi="Symbol" w:hint="default"/>
      </w:rPr>
    </w:lvl>
    <w:lvl w:ilvl="1" w:tplc="2F9CBB86">
      <w:start w:val="1"/>
      <w:numFmt w:val="bullet"/>
      <w:lvlText w:val="o"/>
      <w:lvlJc w:val="left"/>
      <w:pPr>
        <w:ind w:left="1440" w:hanging="360"/>
      </w:pPr>
      <w:rPr>
        <w:rFonts w:ascii="Courier New" w:hAnsi="Courier New" w:hint="default"/>
      </w:rPr>
    </w:lvl>
    <w:lvl w:ilvl="2" w:tplc="B8C8607A">
      <w:start w:val="1"/>
      <w:numFmt w:val="bullet"/>
      <w:lvlText w:val=""/>
      <w:lvlJc w:val="left"/>
      <w:pPr>
        <w:ind w:left="2160" w:hanging="360"/>
      </w:pPr>
      <w:rPr>
        <w:rFonts w:ascii="Wingdings" w:hAnsi="Wingdings" w:hint="default"/>
      </w:rPr>
    </w:lvl>
    <w:lvl w:ilvl="3" w:tplc="9CEA6652">
      <w:start w:val="1"/>
      <w:numFmt w:val="bullet"/>
      <w:lvlText w:val=""/>
      <w:lvlJc w:val="left"/>
      <w:pPr>
        <w:ind w:left="2880" w:hanging="360"/>
      </w:pPr>
      <w:rPr>
        <w:rFonts w:ascii="Symbol" w:hAnsi="Symbol" w:hint="default"/>
      </w:rPr>
    </w:lvl>
    <w:lvl w:ilvl="4" w:tplc="B6E609FA">
      <w:start w:val="1"/>
      <w:numFmt w:val="bullet"/>
      <w:lvlText w:val="o"/>
      <w:lvlJc w:val="left"/>
      <w:pPr>
        <w:ind w:left="3600" w:hanging="360"/>
      </w:pPr>
      <w:rPr>
        <w:rFonts w:ascii="Courier New" w:hAnsi="Courier New" w:hint="default"/>
      </w:rPr>
    </w:lvl>
    <w:lvl w:ilvl="5" w:tplc="3BAEF6C0">
      <w:start w:val="1"/>
      <w:numFmt w:val="bullet"/>
      <w:lvlText w:val=""/>
      <w:lvlJc w:val="left"/>
      <w:pPr>
        <w:ind w:left="4320" w:hanging="360"/>
      </w:pPr>
      <w:rPr>
        <w:rFonts w:ascii="Wingdings" w:hAnsi="Wingdings" w:hint="default"/>
      </w:rPr>
    </w:lvl>
    <w:lvl w:ilvl="6" w:tplc="C060A7C0">
      <w:start w:val="1"/>
      <w:numFmt w:val="bullet"/>
      <w:lvlText w:val=""/>
      <w:lvlJc w:val="left"/>
      <w:pPr>
        <w:ind w:left="5040" w:hanging="360"/>
      </w:pPr>
      <w:rPr>
        <w:rFonts w:ascii="Symbol" w:hAnsi="Symbol" w:hint="default"/>
      </w:rPr>
    </w:lvl>
    <w:lvl w:ilvl="7" w:tplc="21F28138">
      <w:start w:val="1"/>
      <w:numFmt w:val="bullet"/>
      <w:lvlText w:val="o"/>
      <w:lvlJc w:val="left"/>
      <w:pPr>
        <w:ind w:left="5760" w:hanging="360"/>
      </w:pPr>
      <w:rPr>
        <w:rFonts w:ascii="Courier New" w:hAnsi="Courier New" w:hint="default"/>
      </w:rPr>
    </w:lvl>
    <w:lvl w:ilvl="8" w:tplc="AF249E2E">
      <w:start w:val="1"/>
      <w:numFmt w:val="bullet"/>
      <w:lvlText w:val=""/>
      <w:lvlJc w:val="left"/>
      <w:pPr>
        <w:ind w:left="6480" w:hanging="360"/>
      </w:pPr>
      <w:rPr>
        <w:rFonts w:ascii="Wingdings" w:hAnsi="Wingdings" w:hint="default"/>
      </w:rPr>
    </w:lvl>
  </w:abstractNum>
  <w:abstractNum w:abstractNumId="30" w15:restartNumberingAfterBreak="0">
    <w:nsid w:val="5C877856"/>
    <w:multiLevelType w:val="hybridMultilevel"/>
    <w:tmpl w:val="F17A5EE8"/>
    <w:lvl w:ilvl="0" w:tplc="E3A01508">
      <w:start w:val="1"/>
      <w:numFmt w:val="decimal"/>
      <w:lvlText w:val="%1."/>
      <w:lvlJc w:val="left"/>
      <w:pPr>
        <w:ind w:left="1080" w:hanging="360"/>
      </w:pPr>
    </w:lvl>
    <w:lvl w:ilvl="1" w:tplc="20D62042" w:tentative="1">
      <w:start w:val="1"/>
      <w:numFmt w:val="lowerLetter"/>
      <w:lvlText w:val="%2."/>
      <w:lvlJc w:val="left"/>
      <w:pPr>
        <w:ind w:left="1800" w:hanging="360"/>
      </w:pPr>
    </w:lvl>
    <w:lvl w:ilvl="2" w:tplc="05AE23E6" w:tentative="1">
      <w:start w:val="1"/>
      <w:numFmt w:val="lowerRoman"/>
      <w:lvlText w:val="%3."/>
      <w:lvlJc w:val="right"/>
      <w:pPr>
        <w:ind w:left="2520" w:hanging="180"/>
      </w:pPr>
    </w:lvl>
    <w:lvl w:ilvl="3" w:tplc="99A011F2" w:tentative="1">
      <w:start w:val="1"/>
      <w:numFmt w:val="decimal"/>
      <w:lvlText w:val="%4."/>
      <w:lvlJc w:val="left"/>
      <w:pPr>
        <w:ind w:left="3240" w:hanging="360"/>
      </w:pPr>
    </w:lvl>
    <w:lvl w:ilvl="4" w:tplc="B88C8AF2" w:tentative="1">
      <w:start w:val="1"/>
      <w:numFmt w:val="lowerLetter"/>
      <w:lvlText w:val="%5."/>
      <w:lvlJc w:val="left"/>
      <w:pPr>
        <w:ind w:left="3960" w:hanging="360"/>
      </w:pPr>
    </w:lvl>
    <w:lvl w:ilvl="5" w:tplc="E3607B2E" w:tentative="1">
      <w:start w:val="1"/>
      <w:numFmt w:val="lowerRoman"/>
      <w:lvlText w:val="%6."/>
      <w:lvlJc w:val="right"/>
      <w:pPr>
        <w:ind w:left="4680" w:hanging="180"/>
      </w:pPr>
    </w:lvl>
    <w:lvl w:ilvl="6" w:tplc="1D0CCF32" w:tentative="1">
      <w:start w:val="1"/>
      <w:numFmt w:val="decimal"/>
      <w:lvlText w:val="%7."/>
      <w:lvlJc w:val="left"/>
      <w:pPr>
        <w:ind w:left="5400" w:hanging="360"/>
      </w:pPr>
    </w:lvl>
    <w:lvl w:ilvl="7" w:tplc="3A80AF10" w:tentative="1">
      <w:start w:val="1"/>
      <w:numFmt w:val="lowerLetter"/>
      <w:lvlText w:val="%8."/>
      <w:lvlJc w:val="left"/>
      <w:pPr>
        <w:ind w:left="6120" w:hanging="360"/>
      </w:pPr>
    </w:lvl>
    <w:lvl w:ilvl="8" w:tplc="826CF308" w:tentative="1">
      <w:start w:val="1"/>
      <w:numFmt w:val="lowerRoman"/>
      <w:lvlText w:val="%9."/>
      <w:lvlJc w:val="right"/>
      <w:pPr>
        <w:ind w:left="6840" w:hanging="180"/>
      </w:pPr>
    </w:lvl>
  </w:abstractNum>
  <w:abstractNum w:abstractNumId="31" w15:restartNumberingAfterBreak="0">
    <w:nsid w:val="64D20AD0"/>
    <w:multiLevelType w:val="hybridMultilevel"/>
    <w:tmpl w:val="50B22C5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561C011"/>
    <w:multiLevelType w:val="hybridMultilevel"/>
    <w:tmpl w:val="FFFFFFFF"/>
    <w:lvl w:ilvl="0" w:tplc="E078DD24">
      <w:start w:val="1"/>
      <w:numFmt w:val="bullet"/>
      <w:lvlText w:val=""/>
      <w:lvlJc w:val="left"/>
      <w:pPr>
        <w:ind w:left="720" w:hanging="360"/>
      </w:pPr>
      <w:rPr>
        <w:rFonts w:ascii="Symbol" w:hAnsi="Symbol" w:hint="default"/>
      </w:rPr>
    </w:lvl>
    <w:lvl w:ilvl="1" w:tplc="293C3582">
      <w:start w:val="1"/>
      <w:numFmt w:val="bullet"/>
      <w:lvlText w:val="o"/>
      <w:lvlJc w:val="left"/>
      <w:pPr>
        <w:ind w:left="1440" w:hanging="360"/>
      </w:pPr>
      <w:rPr>
        <w:rFonts w:ascii="Courier New" w:hAnsi="Courier New" w:hint="default"/>
      </w:rPr>
    </w:lvl>
    <w:lvl w:ilvl="2" w:tplc="23F6D616">
      <w:start w:val="1"/>
      <w:numFmt w:val="bullet"/>
      <w:lvlText w:val=""/>
      <w:lvlJc w:val="left"/>
      <w:pPr>
        <w:ind w:left="2160" w:hanging="360"/>
      </w:pPr>
      <w:rPr>
        <w:rFonts w:ascii="Wingdings" w:hAnsi="Wingdings" w:hint="default"/>
      </w:rPr>
    </w:lvl>
    <w:lvl w:ilvl="3" w:tplc="8B223688">
      <w:start w:val="1"/>
      <w:numFmt w:val="bullet"/>
      <w:lvlText w:val=""/>
      <w:lvlJc w:val="left"/>
      <w:pPr>
        <w:ind w:left="2880" w:hanging="360"/>
      </w:pPr>
      <w:rPr>
        <w:rFonts w:ascii="Symbol" w:hAnsi="Symbol" w:hint="default"/>
      </w:rPr>
    </w:lvl>
    <w:lvl w:ilvl="4" w:tplc="6A68B086">
      <w:start w:val="1"/>
      <w:numFmt w:val="bullet"/>
      <w:lvlText w:val="o"/>
      <w:lvlJc w:val="left"/>
      <w:pPr>
        <w:ind w:left="3600" w:hanging="360"/>
      </w:pPr>
      <w:rPr>
        <w:rFonts w:ascii="Courier New" w:hAnsi="Courier New" w:hint="default"/>
      </w:rPr>
    </w:lvl>
    <w:lvl w:ilvl="5" w:tplc="78804DBA">
      <w:start w:val="1"/>
      <w:numFmt w:val="bullet"/>
      <w:lvlText w:val=""/>
      <w:lvlJc w:val="left"/>
      <w:pPr>
        <w:ind w:left="4320" w:hanging="360"/>
      </w:pPr>
      <w:rPr>
        <w:rFonts w:ascii="Wingdings" w:hAnsi="Wingdings" w:hint="default"/>
      </w:rPr>
    </w:lvl>
    <w:lvl w:ilvl="6" w:tplc="7264CD14">
      <w:start w:val="1"/>
      <w:numFmt w:val="bullet"/>
      <w:lvlText w:val=""/>
      <w:lvlJc w:val="left"/>
      <w:pPr>
        <w:ind w:left="5040" w:hanging="360"/>
      </w:pPr>
      <w:rPr>
        <w:rFonts w:ascii="Symbol" w:hAnsi="Symbol" w:hint="default"/>
      </w:rPr>
    </w:lvl>
    <w:lvl w:ilvl="7" w:tplc="2472A726">
      <w:start w:val="1"/>
      <w:numFmt w:val="bullet"/>
      <w:lvlText w:val="o"/>
      <w:lvlJc w:val="left"/>
      <w:pPr>
        <w:ind w:left="5760" w:hanging="360"/>
      </w:pPr>
      <w:rPr>
        <w:rFonts w:ascii="Courier New" w:hAnsi="Courier New" w:hint="default"/>
      </w:rPr>
    </w:lvl>
    <w:lvl w:ilvl="8" w:tplc="C750E092">
      <w:start w:val="1"/>
      <w:numFmt w:val="bullet"/>
      <w:lvlText w:val=""/>
      <w:lvlJc w:val="left"/>
      <w:pPr>
        <w:ind w:left="6480" w:hanging="360"/>
      </w:pPr>
      <w:rPr>
        <w:rFonts w:ascii="Wingdings" w:hAnsi="Wingdings" w:hint="default"/>
      </w:rPr>
    </w:lvl>
  </w:abstractNum>
  <w:abstractNum w:abstractNumId="33" w15:restartNumberingAfterBreak="0">
    <w:nsid w:val="661A4405"/>
    <w:multiLevelType w:val="hybridMultilevel"/>
    <w:tmpl w:val="5B8C70A2"/>
    <w:lvl w:ilvl="0" w:tplc="7EE205DA">
      <w:start w:val="1"/>
      <w:numFmt w:val="decimal"/>
      <w:lvlText w:val="%1."/>
      <w:lvlJc w:val="left"/>
      <w:pPr>
        <w:ind w:left="1020" w:hanging="360"/>
      </w:pPr>
    </w:lvl>
    <w:lvl w:ilvl="1" w:tplc="D81E8364">
      <w:start w:val="1"/>
      <w:numFmt w:val="decimal"/>
      <w:lvlText w:val="%2."/>
      <w:lvlJc w:val="left"/>
      <w:pPr>
        <w:ind w:left="1020" w:hanging="360"/>
      </w:pPr>
    </w:lvl>
    <w:lvl w:ilvl="2" w:tplc="2968E974">
      <w:start w:val="1"/>
      <w:numFmt w:val="decimal"/>
      <w:lvlText w:val="%3."/>
      <w:lvlJc w:val="left"/>
      <w:pPr>
        <w:ind w:left="1020" w:hanging="360"/>
      </w:pPr>
    </w:lvl>
    <w:lvl w:ilvl="3" w:tplc="8904E906">
      <w:start w:val="1"/>
      <w:numFmt w:val="decimal"/>
      <w:lvlText w:val="%4."/>
      <w:lvlJc w:val="left"/>
      <w:pPr>
        <w:ind w:left="1020" w:hanging="360"/>
      </w:pPr>
    </w:lvl>
    <w:lvl w:ilvl="4" w:tplc="36FEF7D2">
      <w:start w:val="1"/>
      <w:numFmt w:val="decimal"/>
      <w:lvlText w:val="%5."/>
      <w:lvlJc w:val="left"/>
      <w:pPr>
        <w:ind w:left="1020" w:hanging="360"/>
      </w:pPr>
    </w:lvl>
    <w:lvl w:ilvl="5" w:tplc="B47C9C2C">
      <w:start w:val="1"/>
      <w:numFmt w:val="decimal"/>
      <w:lvlText w:val="%6."/>
      <w:lvlJc w:val="left"/>
      <w:pPr>
        <w:ind w:left="1020" w:hanging="360"/>
      </w:pPr>
    </w:lvl>
    <w:lvl w:ilvl="6" w:tplc="C83EA29A">
      <w:start w:val="1"/>
      <w:numFmt w:val="decimal"/>
      <w:lvlText w:val="%7."/>
      <w:lvlJc w:val="left"/>
      <w:pPr>
        <w:ind w:left="1020" w:hanging="360"/>
      </w:pPr>
    </w:lvl>
    <w:lvl w:ilvl="7" w:tplc="54E44898">
      <w:start w:val="1"/>
      <w:numFmt w:val="decimal"/>
      <w:lvlText w:val="%8."/>
      <w:lvlJc w:val="left"/>
      <w:pPr>
        <w:ind w:left="1020" w:hanging="360"/>
      </w:pPr>
    </w:lvl>
    <w:lvl w:ilvl="8" w:tplc="647692BC">
      <w:start w:val="1"/>
      <w:numFmt w:val="decimal"/>
      <w:lvlText w:val="%9."/>
      <w:lvlJc w:val="left"/>
      <w:pPr>
        <w:ind w:left="1020" w:hanging="360"/>
      </w:pPr>
    </w:lvl>
  </w:abstractNum>
  <w:abstractNum w:abstractNumId="34" w15:restartNumberingAfterBreak="0">
    <w:nsid w:val="66FB7032"/>
    <w:multiLevelType w:val="hybridMultilevel"/>
    <w:tmpl w:val="7206F1F6"/>
    <w:lvl w:ilvl="0" w:tplc="344CCBE0">
      <w:start w:val="1"/>
      <w:numFmt w:val="bullet"/>
      <w:lvlText w:val=""/>
      <w:lvlJc w:val="left"/>
      <w:pPr>
        <w:ind w:left="720" w:hanging="360"/>
      </w:pPr>
      <w:rPr>
        <w:rFonts w:ascii="Symbol" w:hAnsi="Symbol" w:hint="default"/>
      </w:rPr>
    </w:lvl>
    <w:lvl w:ilvl="1" w:tplc="C57CC4A6">
      <w:start w:val="1"/>
      <w:numFmt w:val="bullet"/>
      <w:lvlText w:val="o"/>
      <w:lvlJc w:val="left"/>
      <w:pPr>
        <w:ind w:left="1440" w:hanging="360"/>
      </w:pPr>
      <w:rPr>
        <w:rFonts w:ascii="Courier New" w:hAnsi="Courier New" w:hint="default"/>
      </w:rPr>
    </w:lvl>
    <w:lvl w:ilvl="2" w:tplc="BC4EB008">
      <w:start w:val="1"/>
      <w:numFmt w:val="bullet"/>
      <w:lvlText w:val=""/>
      <w:lvlJc w:val="left"/>
      <w:pPr>
        <w:ind w:left="2160" w:hanging="360"/>
      </w:pPr>
      <w:rPr>
        <w:rFonts w:ascii="Wingdings" w:hAnsi="Wingdings" w:hint="default"/>
      </w:rPr>
    </w:lvl>
    <w:lvl w:ilvl="3" w:tplc="D5CEBF2E">
      <w:start w:val="1"/>
      <w:numFmt w:val="bullet"/>
      <w:lvlText w:val=""/>
      <w:lvlJc w:val="left"/>
      <w:pPr>
        <w:ind w:left="2880" w:hanging="360"/>
      </w:pPr>
      <w:rPr>
        <w:rFonts w:ascii="Symbol" w:hAnsi="Symbol" w:hint="default"/>
      </w:rPr>
    </w:lvl>
    <w:lvl w:ilvl="4" w:tplc="BA7EF9CE">
      <w:start w:val="1"/>
      <w:numFmt w:val="bullet"/>
      <w:lvlText w:val="o"/>
      <w:lvlJc w:val="left"/>
      <w:pPr>
        <w:ind w:left="3600" w:hanging="360"/>
      </w:pPr>
      <w:rPr>
        <w:rFonts w:ascii="Courier New" w:hAnsi="Courier New" w:hint="default"/>
      </w:rPr>
    </w:lvl>
    <w:lvl w:ilvl="5" w:tplc="FDB489AE">
      <w:start w:val="1"/>
      <w:numFmt w:val="bullet"/>
      <w:lvlText w:val=""/>
      <w:lvlJc w:val="left"/>
      <w:pPr>
        <w:ind w:left="4320" w:hanging="360"/>
      </w:pPr>
      <w:rPr>
        <w:rFonts w:ascii="Wingdings" w:hAnsi="Wingdings" w:hint="default"/>
      </w:rPr>
    </w:lvl>
    <w:lvl w:ilvl="6" w:tplc="82CADD96">
      <w:start w:val="1"/>
      <w:numFmt w:val="bullet"/>
      <w:lvlText w:val=""/>
      <w:lvlJc w:val="left"/>
      <w:pPr>
        <w:ind w:left="5040" w:hanging="360"/>
      </w:pPr>
      <w:rPr>
        <w:rFonts w:ascii="Symbol" w:hAnsi="Symbol" w:hint="default"/>
      </w:rPr>
    </w:lvl>
    <w:lvl w:ilvl="7" w:tplc="4DB6C6A8">
      <w:start w:val="1"/>
      <w:numFmt w:val="bullet"/>
      <w:lvlText w:val="o"/>
      <w:lvlJc w:val="left"/>
      <w:pPr>
        <w:ind w:left="5760" w:hanging="360"/>
      </w:pPr>
      <w:rPr>
        <w:rFonts w:ascii="Courier New" w:hAnsi="Courier New" w:hint="default"/>
      </w:rPr>
    </w:lvl>
    <w:lvl w:ilvl="8" w:tplc="9D0C3BC8">
      <w:start w:val="1"/>
      <w:numFmt w:val="bullet"/>
      <w:lvlText w:val=""/>
      <w:lvlJc w:val="left"/>
      <w:pPr>
        <w:ind w:left="6480" w:hanging="360"/>
      </w:pPr>
      <w:rPr>
        <w:rFonts w:ascii="Wingdings" w:hAnsi="Wingdings" w:hint="default"/>
      </w:rPr>
    </w:lvl>
  </w:abstractNum>
  <w:abstractNum w:abstractNumId="35" w15:restartNumberingAfterBreak="0">
    <w:nsid w:val="681D6463"/>
    <w:multiLevelType w:val="hybridMultilevel"/>
    <w:tmpl w:val="0A20B3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8486355"/>
    <w:multiLevelType w:val="hybridMultilevel"/>
    <w:tmpl w:val="39A4CCAC"/>
    <w:lvl w:ilvl="0" w:tplc="8BD86456">
      <w:start w:val="1"/>
      <w:numFmt w:val="decimal"/>
      <w:lvlText w:val="%1."/>
      <w:lvlJc w:val="left"/>
      <w:pPr>
        <w:ind w:left="1080" w:hanging="360"/>
      </w:pPr>
    </w:lvl>
    <w:lvl w:ilvl="1" w:tplc="B05A03E8" w:tentative="1">
      <w:start w:val="1"/>
      <w:numFmt w:val="lowerLetter"/>
      <w:lvlText w:val="%2."/>
      <w:lvlJc w:val="left"/>
      <w:pPr>
        <w:ind w:left="1800" w:hanging="360"/>
      </w:pPr>
    </w:lvl>
    <w:lvl w:ilvl="2" w:tplc="466E4A14" w:tentative="1">
      <w:start w:val="1"/>
      <w:numFmt w:val="lowerRoman"/>
      <w:lvlText w:val="%3."/>
      <w:lvlJc w:val="right"/>
      <w:pPr>
        <w:ind w:left="2520" w:hanging="180"/>
      </w:pPr>
    </w:lvl>
    <w:lvl w:ilvl="3" w:tplc="66BA4B28" w:tentative="1">
      <w:start w:val="1"/>
      <w:numFmt w:val="decimal"/>
      <w:lvlText w:val="%4."/>
      <w:lvlJc w:val="left"/>
      <w:pPr>
        <w:ind w:left="3240" w:hanging="360"/>
      </w:pPr>
    </w:lvl>
    <w:lvl w:ilvl="4" w:tplc="8BBC1C1C" w:tentative="1">
      <w:start w:val="1"/>
      <w:numFmt w:val="lowerLetter"/>
      <w:lvlText w:val="%5."/>
      <w:lvlJc w:val="left"/>
      <w:pPr>
        <w:ind w:left="3960" w:hanging="360"/>
      </w:pPr>
    </w:lvl>
    <w:lvl w:ilvl="5" w:tplc="C2084ADA" w:tentative="1">
      <w:start w:val="1"/>
      <w:numFmt w:val="lowerRoman"/>
      <w:lvlText w:val="%6."/>
      <w:lvlJc w:val="right"/>
      <w:pPr>
        <w:ind w:left="4680" w:hanging="180"/>
      </w:pPr>
    </w:lvl>
    <w:lvl w:ilvl="6" w:tplc="0636A620" w:tentative="1">
      <w:start w:val="1"/>
      <w:numFmt w:val="decimal"/>
      <w:lvlText w:val="%7."/>
      <w:lvlJc w:val="left"/>
      <w:pPr>
        <w:ind w:left="5400" w:hanging="360"/>
      </w:pPr>
    </w:lvl>
    <w:lvl w:ilvl="7" w:tplc="9D206E00" w:tentative="1">
      <w:start w:val="1"/>
      <w:numFmt w:val="lowerLetter"/>
      <w:lvlText w:val="%8."/>
      <w:lvlJc w:val="left"/>
      <w:pPr>
        <w:ind w:left="6120" w:hanging="360"/>
      </w:pPr>
    </w:lvl>
    <w:lvl w:ilvl="8" w:tplc="8E98C714" w:tentative="1">
      <w:start w:val="1"/>
      <w:numFmt w:val="lowerRoman"/>
      <w:lvlText w:val="%9."/>
      <w:lvlJc w:val="right"/>
      <w:pPr>
        <w:ind w:left="6840" w:hanging="180"/>
      </w:pPr>
    </w:lvl>
  </w:abstractNum>
  <w:abstractNum w:abstractNumId="37" w15:restartNumberingAfterBreak="0">
    <w:nsid w:val="6B01610D"/>
    <w:multiLevelType w:val="hybridMultilevel"/>
    <w:tmpl w:val="D9C63F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B13157D"/>
    <w:multiLevelType w:val="hybridMultilevel"/>
    <w:tmpl w:val="FFFFFFFF"/>
    <w:lvl w:ilvl="0" w:tplc="508ECFCA">
      <w:start w:val="1"/>
      <w:numFmt w:val="bullet"/>
      <w:lvlText w:val="·"/>
      <w:lvlJc w:val="left"/>
      <w:pPr>
        <w:ind w:left="720" w:hanging="360"/>
      </w:pPr>
      <w:rPr>
        <w:rFonts w:ascii="Symbol" w:hAnsi="Symbol" w:hint="default"/>
      </w:rPr>
    </w:lvl>
    <w:lvl w:ilvl="1" w:tplc="21703F56">
      <w:start w:val="1"/>
      <w:numFmt w:val="bullet"/>
      <w:lvlText w:val="o"/>
      <w:lvlJc w:val="left"/>
      <w:pPr>
        <w:ind w:left="1440" w:hanging="360"/>
      </w:pPr>
      <w:rPr>
        <w:rFonts w:ascii="Courier New" w:hAnsi="Courier New" w:hint="default"/>
      </w:rPr>
    </w:lvl>
    <w:lvl w:ilvl="2" w:tplc="432C3D2C">
      <w:start w:val="1"/>
      <w:numFmt w:val="bullet"/>
      <w:lvlText w:val=""/>
      <w:lvlJc w:val="left"/>
      <w:pPr>
        <w:ind w:left="2160" w:hanging="360"/>
      </w:pPr>
      <w:rPr>
        <w:rFonts w:ascii="Wingdings" w:hAnsi="Wingdings" w:hint="default"/>
      </w:rPr>
    </w:lvl>
    <w:lvl w:ilvl="3" w:tplc="495CAC4C">
      <w:start w:val="1"/>
      <w:numFmt w:val="bullet"/>
      <w:lvlText w:val=""/>
      <w:lvlJc w:val="left"/>
      <w:pPr>
        <w:ind w:left="2880" w:hanging="360"/>
      </w:pPr>
      <w:rPr>
        <w:rFonts w:ascii="Symbol" w:hAnsi="Symbol" w:hint="default"/>
      </w:rPr>
    </w:lvl>
    <w:lvl w:ilvl="4" w:tplc="59B60DE6">
      <w:start w:val="1"/>
      <w:numFmt w:val="bullet"/>
      <w:lvlText w:val="o"/>
      <w:lvlJc w:val="left"/>
      <w:pPr>
        <w:ind w:left="3600" w:hanging="360"/>
      </w:pPr>
      <w:rPr>
        <w:rFonts w:ascii="Courier New" w:hAnsi="Courier New" w:hint="default"/>
      </w:rPr>
    </w:lvl>
    <w:lvl w:ilvl="5" w:tplc="919477CA">
      <w:start w:val="1"/>
      <w:numFmt w:val="bullet"/>
      <w:lvlText w:val=""/>
      <w:lvlJc w:val="left"/>
      <w:pPr>
        <w:ind w:left="4320" w:hanging="360"/>
      </w:pPr>
      <w:rPr>
        <w:rFonts w:ascii="Wingdings" w:hAnsi="Wingdings" w:hint="default"/>
      </w:rPr>
    </w:lvl>
    <w:lvl w:ilvl="6" w:tplc="F42E1BD8">
      <w:start w:val="1"/>
      <w:numFmt w:val="bullet"/>
      <w:lvlText w:val=""/>
      <w:lvlJc w:val="left"/>
      <w:pPr>
        <w:ind w:left="5040" w:hanging="360"/>
      </w:pPr>
      <w:rPr>
        <w:rFonts w:ascii="Symbol" w:hAnsi="Symbol" w:hint="default"/>
      </w:rPr>
    </w:lvl>
    <w:lvl w:ilvl="7" w:tplc="73AE6494">
      <w:start w:val="1"/>
      <w:numFmt w:val="bullet"/>
      <w:lvlText w:val="o"/>
      <w:lvlJc w:val="left"/>
      <w:pPr>
        <w:ind w:left="5760" w:hanging="360"/>
      </w:pPr>
      <w:rPr>
        <w:rFonts w:ascii="Courier New" w:hAnsi="Courier New" w:hint="default"/>
      </w:rPr>
    </w:lvl>
    <w:lvl w:ilvl="8" w:tplc="15108DEA">
      <w:start w:val="1"/>
      <w:numFmt w:val="bullet"/>
      <w:lvlText w:val=""/>
      <w:lvlJc w:val="left"/>
      <w:pPr>
        <w:ind w:left="6480" w:hanging="360"/>
      </w:pPr>
      <w:rPr>
        <w:rFonts w:ascii="Wingdings" w:hAnsi="Wingdings" w:hint="default"/>
      </w:rPr>
    </w:lvl>
  </w:abstractNum>
  <w:abstractNum w:abstractNumId="39" w15:restartNumberingAfterBreak="0">
    <w:nsid w:val="6B4E6E8E"/>
    <w:multiLevelType w:val="hybridMultilevel"/>
    <w:tmpl w:val="5472EDAC"/>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6D1920EA"/>
    <w:multiLevelType w:val="hybridMultilevel"/>
    <w:tmpl w:val="EF809F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E7033B6"/>
    <w:multiLevelType w:val="hybridMultilevel"/>
    <w:tmpl w:val="C22454BC"/>
    <w:lvl w:ilvl="0" w:tplc="08087814">
      <w:start w:val="1"/>
      <w:numFmt w:val="bullet"/>
      <w:lvlText w:val="·"/>
      <w:lvlJc w:val="left"/>
      <w:pPr>
        <w:ind w:left="720" w:hanging="360"/>
      </w:pPr>
      <w:rPr>
        <w:rFonts w:ascii="Symbol" w:hAnsi="Symbol" w:hint="default"/>
      </w:rPr>
    </w:lvl>
    <w:lvl w:ilvl="1" w:tplc="1FC4F96A">
      <w:start w:val="1"/>
      <w:numFmt w:val="bullet"/>
      <w:lvlText w:val="o"/>
      <w:lvlJc w:val="left"/>
      <w:pPr>
        <w:ind w:left="1440" w:hanging="360"/>
      </w:pPr>
      <w:rPr>
        <w:rFonts w:ascii="Courier New" w:hAnsi="Courier New" w:hint="default"/>
      </w:rPr>
    </w:lvl>
    <w:lvl w:ilvl="2" w:tplc="F0FA61F8">
      <w:start w:val="1"/>
      <w:numFmt w:val="bullet"/>
      <w:lvlText w:val=""/>
      <w:lvlJc w:val="left"/>
      <w:pPr>
        <w:ind w:left="2160" w:hanging="360"/>
      </w:pPr>
      <w:rPr>
        <w:rFonts w:ascii="Wingdings" w:hAnsi="Wingdings" w:hint="default"/>
      </w:rPr>
    </w:lvl>
    <w:lvl w:ilvl="3" w:tplc="E4FAD152">
      <w:start w:val="1"/>
      <w:numFmt w:val="bullet"/>
      <w:lvlText w:val=""/>
      <w:lvlJc w:val="left"/>
      <w:pPr>
        <w:ind w:left="2880" w:hanging="360"/>
      </w:pPr>
      <w:rPr>
        <w:rFonts w:ascii="Symbol" w:hAnsi="Symbol" w:hint="default"/>
      </w:rPr>
    </w:lvl>
    <w:lvl w:ilvl="4" w:tplc="E856D3E0">
      <w:start w:val="1"/>
      <w:numFmt w:val="bullet"/>
      <w:lvlText w:val="o"/>
      <w:lvlJc w:val="left"/>
      <w:pPr>
        <w:ind w:left="3600" w:hanging="360"/>
      </w:pPr>
      <w:rPr>
        <w:rFonts w:ascii="Courier New" w:hAnsi="Courier New" w:hint="default"/>
      </w:rPr>
    </w:lvl>
    <w:lvl w:ilvl="5" w:tplc="E80483F2">
      <w:start w:val="1"/>
      <w:numFmt w:val="bullet"/>
      <w:lvlText w:val=""/>
      <w:lvlJc w:val="left"/>
      <w:pPr>
        <w:ind w:left="4320" w:hanging="360"/>
      </w:pPr>
      <w:rPr>
        <w:rFonts w:ascii="Wingdings" w:hAnsi="Wingdings" w:hint="default"/>
      </w:rPr>
    </w:lvl>
    <w:lvl w:ilvl="6" w:tplc="79C28466">
      <w:start w:val="1"/>
      <w:numFmt w:val="bullet"/>
      <w:lvlText w:val=""/>
      <w:lvlJc w:val="left"/>
      <w:pPr>
        <w:ind w:left="5040" w:hanging="360"/>
      </w:pPr>
      <w:rPr>
        <w:rFonts w:ascii="Symbol" w:hAnsi="Symbol" w:hint="default"/>
      </w:rPr>
    </w:lvl>
    <w:lvl w:ilvl="7" w:tplc="A138684E">
      <w:start w:val="1"/>
      <w:numFmt w:val="bullet"/>
      <w:lvlText w:val="o"/>
      <w:lvlJc w:val="left"/>
      <w:pPr>
        <w:ind w:left="5760" w:hanging="360"/>
      </w:pPr>
      <w:rPr>
        <w:rFonts w:ascii="Courier New" w:hAnsi="Courier New" w:hint="default"/>
      </w:rPr>
    </w:lvl>
    <w:lvl w:ilvl="8" w:tplc="00F2802C">
      <w:start w:val="1"/>
      <w:numFmt w:val="bullet"/>
      <w:lvlText w:val=""/>
      <w:lvlJc w:val="left"/>
      <w:pPr>
        <w:ind w:left="6480" w:hanging="360"/>
      </w:pPr>
      <w:rPr>
        <w:rFonts w:ascii="Wingdings" w:hAnsi="Wingdings" w:hint="default"/>
      </w:rPr>
    </w:lvl>
  </w:abstractNum>
  <w:abstractNum w:abstractNumId="42" w15:restartNumberingAfterBreak="0">
    <w:nsid w:val="75185CE9"/>
    <w:multiLevelType w:val="hybridMultilevel"/>
    <w:tmpl w:val="B194F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9213634"/>
    <w:multiLevelType w:val="hybridMultilevel"/>
    <w:tmpl w:val="3EEEC1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B455AFB"/>
    <w:multiLevelType w:val="hybridMultilevel"/>
    <w:tmpl w:val="2B78EC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D644BE6"/>
    <w:multiLevelType w:val="hybridMultilevel"/>
    <w:tmpl w:val="D25EDA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E1859A8"/>
    <w:multiLevelType w:val="hybridMultilevel"/>
    <w:tmpl w:val="FFFFFFFF"/>
    <w:lvl w:ilvl="0" w:tplc="7B4C703E">
      <w:start w:val="1"/>
      <w:numFmt w:val="bullet"/>
      <w:lvlText w:val=""/>
      <w:lvlJc w:val="left"/>
      <w:pPr>
        <w:ind w:left="720" w:hanging="360"/>
      </w:pPr>
      <w:rPr>
        <w:rFonts w:ascii="Symbol" w:hAnsi="Symbol" w:hint="default"/>
      </w:rPr>
    </w:lvl>
    <w:lvl w:ilvl="1" w:tplc="6ADE544E">
      <w:start w:val="1"/>
      <w:numFmt w:val="bullet"/>
      <w:lvlText w:val="o"/>
      <w:lvlJc w:val="left"/>
      <w:pPr>
        <w:ind w:left="1440" w:hanging="360"/>
      </w:pPr>
      <w:rPr>
        <w:rFonts w:ascii="Courier New" w:hAnsi="Courier New" w:hint="default"/>
      </w:rPr>
    </w:lvl>
    <w:lvl w:ilvl="2" w:tplc="AB80D3BE">
      <w:start w:val="1"/>
      <w:numFmt w:val="bullet"/>
      <w:lvlText w:val=""/>
      <w:lvlJc w:val="left"/>
      <w:pPr>
        <w:ind w:left="2160" w:hanging="360"/>
      </w:pPr>
      <w:rPr>
        <w:rFonts w:ascii="Wingdings" w:hAnsi="Wingdings" w:hint="default"/>
      </w:rPr>
    </w:lvl>
    <w:lvl w:ilvl="3" w:tplc="A09C2DDC">
      <w:start w:val="1"/>
      <w:numFmt w:val="bullet"/>
      <w:lvlText w:val=""/>
      <w:lvlJc w:val="left"/>
      <w:pPr>
        <w:ind w:left="2880" w:hanging="360"/>
      </w:pPr>
      <w:rPr>
        <w:rFonts w:ascii="Symbol" w:hAnsi="Symbol" w:hint="default"/>
      </w:rPr>
    </w:lvl>
    <w:lvl w:ilvl="4" w:tplc="9D9E5698">
      <w:start w:val="1"/>
      <w:numFmt w:val="bullet"/>
      <w:lvlText w:val="o"/>
      <w:lvlJc w:val="left"/>
      <w:pPr>
        <w:ind w:left="3600" w:hanging="360"/>
      </w:pPr>
      <w:rPr>
        <w:rFonts w:ascii="Courier New" w:hAnsi="Courier New" w:hint="default"/>
      </w:rPr>
    </w:lvl>
    <w:lvl w:ilvl="5" w:tplc="59D4B2B4">
      <w:start w:val="1"/>
      <w:numFmt w:val="bullet"/>
      <w:lvlText w:val=""/>
      <w:lvlJc w:val="left"/>
      <w:pPr>
        <w:ind w:left="4320" w:hanging="360"/>
      </w:pPr>
      <w:rPr>
        <w:rFonts w:ascii="Wingdings" w:hAnsi="Wingdings" w:hint="default"/>
      </w:rPr>
    </w:lvl>
    <w:lvl w:ilvl="6" w:tplc="1D42E678">
      <w:start w:val="1"/>
      <w:numFmt w:val="bullet"/>
      <w:lvlText w:val=""/>
      <w:lvlJc w:val="left"/>
      <w:pPr>
        <w:ind w:left="5040" w:hanging="360"/>
      </w:pPr>
      <w:rPr>
        <w:rFonts w:ascii="Symbol" w:hAnsi="Symbol" w:hint="default"/>
      </w:rPr>
    </w:lvl>
    <w:lvl w:ilvl="7" w:tplc="11483DE6">
      <w:start w:val="1"/>
      <w:numFmt w:val="bullet"/>
      <w:lvlText w:val="o"/>
      <w:lvlJc w:val="left"/>
      <w:pPr>
        <w:ind w:left="5760" w:hanging="360"/>
      </w:pPr>
      <w:rPr>
        <w:rFonts w:ascii="Courier New" w:hAnsi="Courier New" w:hint="default"/>
      </w:rPr>
    </w:lvl>
    <w:lvl w:ilvl="8" w:tplc="0A08380C">
      <w:start w:val="1"/>
      <w:numFmt w:val="bullet"/>
      <w:lvlText w:val=""/>
      <w:lvlJc w:val="left"/>
      <w:pPr>
        <w:ind w:left="6480" w:hanging="360"/>
      </w:pPr>
      <w:rPr>
        <w:rFonts w:ascii="Wingdings" w:hAnsi="Wingdings" w:hint="default"/>
      </w:rPr>
    </w:lvl>
  </w:abstractNum>
  <w:num w:numId="1">
    <w:abstractNumId w:val="32"/>
  </w:num>
  <w:num w:numId="2">
    <w:abstractNumId w:val="26"/>
  </w:num>
  <w:num w:numId="3">
    <w:abstractNumId w:val="16"/>
  </w:num>
  <w:num w:numId="4">
    <w:abstractNumId w:val="46"/>
  </w:num>
  <w:num w:numId="5">
    <w:abstractNumId w:val="23"/>
  </w:num>
  <w:num w:numId="6">
    <w:abstractNumId w:val="10"/>
  </w:num>
  <w:num w:numId="7">
    <w:abstractNumId w:val="4"/>
  </w:num>
  <w:num w:numId="8">
    <w:abstractNumId w:val="34"/>
  </w:num>
  <w:num w:numId="9">
    <w:abstractNumId w:val="1"/>
  </w:num>
  <w:num w:numId="10">
    <w:abstractNumId w:val="28"/>
  </w:num>
  <w:num w:numId="11">
    <w:abstractNumId w:val="24"/>
  </w:num>
  <w:num w:numId="12">
    <w:abstractNumId w:val="20"/>
  </w:num>
  <w:num w:numId="13">
    <w:abstractNumId w:val="17"/>
  </w:num>
  <w:num w:numId="14">
    <w:abstractNumId w:val="7"/>
  </w:num>
  <w:num w:numId="15">
    <w:abstractNumId w:val="2"/>
  </w:num>
  <w:num w:numId="16">
    <w:abstractNumId w:val="21"/>
  </w:num>
  <w:num w:numId="17">
    <w:abstractNumId w:val="41"/>
  </w:num>
  <w:num w:numId="18">
    <w:abstractNumId w:val="44"/>
  </w:num>
  <w:num w:numId="19">
    <w:abstractNumId w:val="42"/>
  </w:num>
  <w:num w:numId="20">
    <w:abstractNumId w:val="19"/>
  </w:num>
  <w:num w:numId="21">
    <w:abstractNumId w:val="38"/>
  </w:num>
  <w:num w:numId="22">
    <w:abstractNumId w:val="25"/>
  </w:num>
  <w:num w:numId="23">
    <w:abstractNumId w:val="9"/>
  </w:num>
  <w:num w:numId="24">
    <w:abstractNumId w:val="35"/>
  </w:num>
  <w:num w:numId="25">
    <w:abstractNumId w:val="8"/>
  </w:num>
  <w:num w:numId="26">
    <w:abstractNumId w:val="6"/>
  </w:num>
  <w:num w:numId="27">
    <w:abstractNumId w:val="27"/>
  </w:num>
  <w:num w:numId="28">
    <w:abstractNumId w:val="22"/>
  </w:num>
  <w:num w:numId="29">
    <w:abstractNumId w:val="15"/>
  </w:num>
  <w:num w:numId="30">
    <w:abstractNumId w:val="33"/>
  </w:num>
  <w:num w:numId="31">
    <w:abstractNumId w:val="11"/>
  </w:num>
  <w:num w:numId="32">
    <w:abstractNumId w:val="29"/>
  </w:num>
  <w:num w:numId="33">
    <w:abstractNumId w:val="13"/>
  </w:num>
  <w:num w:numId="34">
    <w:abstractNumId w:val="12"/>
  </w:num>
  <w:num w:numId="35">
    <w:abstractNumId w:val="0"/>
  </w:num>
  <w:num w:numId="36">
    <w:abstractNumId w:val="31"/>
  </w:num>
  <w:num w:numId="37">
    <w:abstractNumId w:val="36"/>
  </w:num>
  <w:num w:numId="38">
    <w:abstractNumId w:val="3"/>
  </w:num>
  <w:num w:numId="39">
    <w:abstractNumId w:val="14"/>
  </w:num>
  <w:num w:numId="40">
    <w:abstractNumId w:val="40"/>
  </w:num>
  <w:num w:numId="41">
    <w:abstractNumId w:val="5"/>
  </w:num>
  <w:num w:numId="42">
    <w:abstractNumId w:val="43"/>
  </w:num>
  <w:num w:numId="43">
    <w:abstractNumId w:val="18"/>
  </w:num>
  <w:num w:numId="44">
    <w:abstractNumId w:val="30"/>
  </w:num>
  <w:num w:numId="45">
    <w:abstractNumId w:val="45"/>
  </w:num>
  <w:num w:numId="46">
    <w:abstractNumId w:val="37"/>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F44520C-FDA6-4ADE-BF7B-76E3701284BA"/>
    <w:docVar w:name="LW_COVERPAGE_TYPE" w:val="1"/>
    <w:docVar w:name="LW_CROSSREFERENCE" w:val="&lt;UNUSED&gt;"/>
    <w:docVar w:name="LW_DocType" w:val="NORMAL"/>
    <w:docVar w:name="LW_EMISSION" w:val="9.9.2025"/>
    <w:docVar w:name="LW_EMISSION_ISODATE" w:val="2025-09-0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Bold&gt;privind progresele înregistrate în realizarea obiectivelor prev\u259?zute de Regulamentul&lt;/FMT&gt;&lt;FMT:Font=Calibri,Bold&gt; (UE) 2024/792 al Parlamentului European \u537?i al Consiliului din 29 februarie 2024 de instituire a Mecanismului pentru Ucraina&lt;/FMT&gt;&lt;FMT:Font=Calibri&gt;_x000d__x000d_&lt;/FMT&gt;_x000d__x000b_"/>
    <w:docVar w:name="LW_TYPE.DOC.CP" w:val="RAPORT AL COMISIEI C\u258?TRE PARLAMENTUL EUROPEAN \u536?I CONSILIU"/>
    <w:docVar w:name="LwApiVersions" w:val="LW4CoDe 1.24.5.0; LW 9.0, Build 20240221"/>
    <w:docVar w:name="Stamp" w:val="\\dossiers.dgt.cec.eu.int\dossiers\ENEST\ENEST-2025-00209\ENEST-2025-00209-00-00-EN-EDT-00.202506030839581378786.DOCX"/>
  </w:docVars>
  <w:rsids>
    <w:rsidRoot w:val="00596DAB"/>
    <w:rsid w:val="00000C26"/>
    <w:rsid w:val="00000E1B"/>
    <w:rsid w:val="00001434"/>
    <w:rsid w:val="00001A0F"/>
    <w:rsid w:val="00001B5D"/>
    <w:rsid w:val="00001EB2"/>
    <w:rsid w:val="000020D8"/>
    <w:rsid w:val="000023DE"/>
    <w:rsid w:val="00002E61"/>
    <w:rsid w:val="000030F5"/>
    <w:rsid w:val="00003375"/>
    <w:rsid w:val="000038E7"/>
    <w:rsid w:val="000048A5"/>
    <w:rsid w:val="000078E0"/>
    <w:rsid w:val="00007BE4"/>
    <w:rsid w:val="00010C1F"/>
    <w:rsid w:val="000115A7"/>
    <w:rsid w:val="00011A07"/>
    <w:rsid w:val="00011F64"/>
    <w:rsid w:val="00012BCD"/>
    <w:rsid w:val="00013784"/>
    <w:rsid w:val="00013D18"/>
    <w:rsid w:val="00014052"/>
    <w:rsid w:val="00016153"/>
    <w:rsid w:val="00016494"/>
    <w:rsid w:val="00016B54"/>
    <w:rsid w:val="000176FA"/>
    <w:rsid w:val="00017CAC"/>
    <w:rsid w:val="00017D9E"/>
    <w:rsid w:val="00020E9F"/>
    <w:rsid w:val="0002117E"/>
    <w:rsid w:val="00021989"/>
    <w:rsid w:val="00021C13"/>
    <w:rsid w:val="00021C87"/>
    <w:rsid w:val="000221E9"/>
    <w:rsid w:val="00022622"/>
    <w:rsid w:val="0002278E"/>
    <w:rsid w:val="00022D91"/>
    <w:rsid w:val="00023174"/>
    <w:rsid w:val="00023862"/>
    <w:rsid w:val="00023D53"/>
    <w:rsid w:val="00025F47"/>
    <w:rsid w:val="00025F78"/>
    <w:rsid w:val="00026316"/>
    <w:rsid w:val="0002694A"/>
    <w:rsid w:val="00026CB2"/>
    <w:rsid w:val="00026D13"/>
    <w:rsid w:val="00026F76"/>
    <w:rsid w:val="0002713D"/>
    <w:rsid w:val="00027712"/>
    <w:rsid w:val="00027881"/>
    <w:rsid w:val="00027C5A"/>
    <w:rsid w:val="000304C5"/>
    <w:rsid w:val="00030650"/>
    <w:rsid w:val="00030ED9"/>
    <w:rsid w:val="00030F70"/>
    <w:rsid w:val="00032A87"/>
    <w:rsid w:val="000335FA"/>
    <w:rsid w:val="00034345"/>
    <w:rsid w:val="00034441"/>
    <w:rsid w:val="000344F5"/>
    <w:rsid w:val="0003459D"/>
    <w:rsid w:val="00034777"/>
    <w:rsid w:val="00035B46"/>
    <w:rsid w:val="00036E73"/>
    <w:rsid w:val="000370DF"/>
    <w:rsid w:val="0003718E"/>
    <w:rsid w:val="000372CB"/>
    <w:rsid w:val="00037545"/>
    <w:rsid w:val="000408B8"/>
    <w:rsid w:val="0004092E"/>
    <w:rsid w:val="00040BD4"/>
    <w:rsid w:val="00040E8A"/>
    <w:rsid w:val="00040FB4"/>
    <w:rsid w:val="00040FBE"/>
    <w:rsid w:val="000413A8"/>
    <w:rsid w:val="00041973"/>
    <w:rsid w:val="00043386"/>
    <w:rsid w:val="00043991"/>
    <w:rsid w:val="00044167"/>
    <w:rsid w:val="000444A9"/>
    <w:rsid w:val="00044E42"/>
    <w:rsid w:val="00045E62"/>
    <w:rsid w:val="00046EDA"/>
    <w:rsid w:val="00046F48"/>
    <w:rsid w:val="00047032"/>
    <w:rsid w:val="0004748C"/>
    <w:rsid w:val="000474B6"/>
    <w:rsid w:val="000479A8"/>
    <w:rsid w:val="00050890"/>
    <w:rsid w:val="00050AC2"/>
    <w:rsid w:val="00050D00"/>
    <w:rsid w:val="00050F66"/>
    <w:rsid w:val="00051386"/>
    <w:rsid w:val="000532DF"/>
    <w:rsid w:val="00054DA3"/>
    <w:rsid w:val="0005565A"/>
    <w:rsid w:val="00055B57"/>
    <w:rsid w:val="00055C53"/>
    <w:rsid w:val="00057C5D"/>
    <w:rsid w:val="000596F1"/>
    <w:rsid w:val="00060AB5"/>
    <w:rsid w:val="000616C5"/>
    <w:rsid w:val="00061AC6"/>
    <w:rsid w:val="00061D8C"/>
    <w:rsid w:val="00061EB7"/>
    <w:rsid w:val="00062058"/>
    <w:rsid w:val="00062558"/>
    <w:rsid w:val="000626BE"/>
    <w:rsid w:val="00062DC4"/>
    <w:rsid w:val="0006308D"/>
    <w:rsid w:val="00063749"/>
    <w:rsid w:val="000646E1"/>
    <w:rsid w:val="00064AED"/>
    <w:rsid w:val="00064B9C"/>
    <w:rsid w:val="000651E5"/>
    <w:rsid w:val="000653B1"/>
    <w:rsid w:val="00065BCF"/>
    <w:rsid w:val="00066FD6"/>
    <w:rsid w:val="000678D7"/>
    <w:rsid w:val="000703D4"/>
    <w:rsid w:val="000704E8"/>
    <w:rsid w:val="000705D7"/>
    <w:rsid w:val="00070D61"/>
    <w:rsid w:val="00071EA8"/>
    <w:rsid w:val="000731AB"/>
    <w:rsid w:val="00074113"/>
    <w:rsid w:val="00074A78"/>
    <w:rsid w:val="00074D1C"/>
    <w:rsid w:val="000750E5"/>
    <w:rsid w:val="0007562C"/>
    <w:rsid w:val="000758D7"/>
    <w:rsid w:val="00076117"/>
    <w:rsid w:val="00081284"/>
    <w:rsid w:val="000813FA"/>
    <w:rsid w:val="00082521"/>
    <w:rsid w:val="0008260F"/>
    <w:rsid w:val="00083E2C"/>
    <w:rsid w:val="00084403"/>
    <w:rsid w:val="000855F2"/>
    <w:rsid w:val="000859D5"/>
    <w:rsid w:val="00085AC0"/>
    <w:rsid w:val="00086565"/>
    <w:rsid w:val="00086BBC"/>
    <w:rsid w:val="0008708D"/>
    <w:rsid w:val="00090849"/>
    <w:rsid w:val="00091186"/>
    <w:rsid w:val="00091A2D"/>
    <w:rsid w:val="00091BA7"/>
    <w:rsid w:val="00091E68"/>
    <w:rsid w:val="00092EF7"/>
    <w:rsid w:val="00094071"/>
    <w:rsid w:val="00094178"/>
    <w:rsid w:val="000942B6"/>
    <w:rsid w:val="000942EF"/>
    <w:rsid w:val="00094E89"/>
    <w:rsid w:val="00095922"/>
    <w:rsid w:val="00095CCC"/>
    <w:rsid w:val="00095DD8"/>
    <w:rsid w:val="00095E2A"/>
    <w:rsid w:val="00095E52"/>
    <w:rsid w:val="00095F18"/>
    <w:rsid w:val="00096DE9"/>
    <w:rsid w:val="00097976"/>
    <w:rsid w:val="000A0281"/>
    <w:rsid w:val="000A056A"/>
    <w:rsid w:val="000A0676"/>
    <w:rsid w:val="000A0777"/>
    <w:rsid w:val="000A0A17"/>
    <w:rsid w:val="000A0AD8"/>
    <w:rsid w:val="000A0BD6"/>
    <w:rsid w:val="000A28D8"/>
    <w:rsid w:val="000A4356"/>
    <w:rsid w:val="000A43FF"/>
    <w:rsid w:val="000A514B"/>
    <w:rsid w:val="000A55AA"/>
    <w:rsid w:val="000A67C6"/>
    <w:rsid w:val="000A6ABF"/>
    <w:rsid w:val="000A72E2"/>
    <w:rsid w:val="000A7CD4"/>
    <w:rsid w:val="000B077C"/>
    <w:rsid w:val="000B12D3"/>
    <w:rsid w:val="000B1742"/>
    <w:rsid w:val="000B1A89"/>
    <w:rsid w:val="000B1D0C"/>
    <w:rsid w:val="000B1F9F"/>
    <w:rsid w:val="000B2313"/>
    <w:rsid w:val="000B23AA"/>
    <w:rsid w:val="000B276C"/>
    <w:rsid w:val="000B2EA3"/>
    <w:rsid w:val="000B44E7"/>
    <w:rsid w:val="000B45A7"/>
    <w:rsid w:val="000B5B8A"/>
    <w:rsid w:val="000B6074"/>
    <w:rsid w:val="000B66AF"/>
    <w:rsid w:val="000B686A"/>
    <w:rsid w:val="000B6BCF"/>
    <w:rsid w:val="000B6BE0"/>
    <w:rsid w:val="000B6D1B"/>
    <w:rsid w:val="000B75FA"/>
    <w:rsid w:val="000B7A0A"/>
    <w:rsid w:val="000B7C9B"/>
    <w:rsid w:val="000B7DED"/>
    <w:rsid w:val="000C003F"/>
    <w:rsid w:val="000C113A"/>
    <w:rsid w:val="000C2EE5"/>
    <w:rsid w:val="000C538D"/>
    <w:rsid w:val="000C565E"/>
    <w:rsid w:val="000C6C2C"/>
    <w:rsid w:val="000C6E7B"/>
    <w:rsid w:val="000C6F38"/>
    <w:rsid w:val="000C7ECA"/>
    <w:rsid w:val="000D054F"/>
    <w:rsid w:val="000D13A4"/>
    <w:rsid w:val="000D14A7"/>
    <w:rsid w:val="000D2320"/>
    <w:rsid w:val="000D2641"/>
    <w:rsid w:val="000D2A76"/>
    <w:rsid w:val="000D2DE7"/>
    <w:rsid w:val="000D452E"/>
    <w:rsid w:val="000D4E3F"/>
    <w:rsid w:val="000D4EDB"/>
    <w:rsid w:val="000D4FDE"/>
    <w:rsid w:val="000D5ECC"/>
    <w:rsid w:val="000D5F31"/>
    <w:rsid w:val="000D70A0"/>
    <w:rsid w:val="000D75A6"/>
    <w:rsid w:val="000D75BA"/>
    <w:rsid w:val="000E09C6"/>
    <w:rsid w:val="000E0EC6"/>
    <w:rsid w:val="000E1E6F"/>
    <w:rsid w:val="000E2688"/>
    <w:rsid w:val="000E2CF2"/>
    <w:rsid w:val="000E2CF9"/>
    <w:rsid w:val="000E4233"/>
    <w:rsid w:val="000E4474"/>
    <w:rsid w:val="000E4CA3"/>
    <w:rsid w:val="000E52BC"/>
    <w:rsid w:val="000E536F"/>
    <w:rsid w:val="000E552B"/>
    <w:rsid w:val="000E78D6"/>
    <w:rsid w:val="000E7CB5"/>
    <w:rsid w:val="000E7CB8"/>
    <w:rsid w:val="000F044E"/>
    <w:rsid w:val="000F0DD6"/>
    <w:rsid w:val="000F1015"/>
    <w:rsid w:val="000F11BD"/>
    <w:rsid w:val="000F1E5B"/>
    <w:rsid w:val="000F1FB5"/>
    <w:rsid w:val="000F2532"/>
    <w:rsid w:val="000F2B6C"/>
    <w:rsid w:val="000F3260"/>
    <w:rsid w:val="000F32CA"/>
    <w:rsid w:val="000F4A4D"/>
    <w:rsid w:val="000F5017"/>
    <w:rsid w:val="000F5E2C"/>
    <w:rsid w:val="000F6964"/>
    <w:rsid w:val="000F6DF5"/>
    <w:rsid w:val="000F6EEC"/>
    <w:rsid w:val="000F7C4E"/>
    <w:rsid w:val="001007BF"/>
    <w:rsid w:val="00101FC8"/>
    <w:rsid w:val="00102156"/>
    <w:rsid w:val="00102EA1"/>
    <w:rsid w:val="00104177"/>
    <w:rsid w:val="00104320"/>
    <w:rsid w:val="00104A9D"/>
    <w:rsid w:val="00105349"/>
    <w:rsid w:val="00105DC3"/>
    <w:rsid w:val="001064ED"/>
    <w:rsid w:val="001102C0"/>
    <w:rsid w:val="00110554"/>
    <w:rsid w:val="00110752"/>
    <w:rsid w:val="00112883"/>
    <w:rsid w:val="001135D3"/>
    <w:rsid w:val="00116A80"/>
    <w:rsid w:val="00116AFD"/>
    <w:rsid w:val="0011713E"/>
    <w:rsid w:val="001209C3"/>
    <w:rsid w:val="0012169E"/>
    <w:rsid w:val="00122248"/>
    <w:rsid w:val="00122B04"/>
    <w:rsid w:val="00123C4A"/>
    <w:rsid w:val="00123DC7"/>
    <w:rsid w:val="001247D7"/>
    <w:rsid w:val="00124E90"/>
    <w:rsid w:val="00125A01"/>
    <w:rsid w:val="00125B41"/>
    <w:rsid w:val="00125E20"/>
    <w:rsid w:val="00126840"/>
    <w:rsid w:val="00127440"/>
    <w:rsid w:val="001302AB"/>
    <w:rsid w:val="00130701"/>
    <w:rsid w:val="00130CA4"/>
    <w:rsid w:val="0013141E"/>
    <w:rsid w:val="00131918"/>
    <w:rsid w:val="00131B74"/>
    <w:rsid w:val="00131EF8"/>
    <w:rsid w:val="001322A5"/>
    <w:rsid w:val="001326EC"/>
    <w:rsid w:val="0013319E"/>
    <w:rsid w:val="00133BF7"/>
    <w:rsid w:val="00133C03"/>
    <w:rsid w:val="0013466F"/>
    <w:rsid w:val="0013499F"/>
    <w:rsid w:val="00134BFD"/>
    <w:rsid w:val="001360E7"/>
    <w:rsid w:val="001363E9"/>
    <w:rsid w:val="00136742"/>
    <w:rsid w:val="00136FCD"/>
    <w:rsid w:val="00140227"/>
    <w:rsid w:val="00140831"/>
    <w:rsid w:val="00140850"/>
    <w:rsid w:val="001412A9"/>
    <w:rsid w:val="001412BE"/>
    <w:rsid w:val="00141529"/>
    <w:rsid w:val="00142787"/>
    <w:rsid w:val="00142DF2"/>
    <w:rsid w:val="0014311B"/>
    <w:rsid w:val="0014465F"/>
    <w:rsid w:val="0014467A"/>
    <w:rsid w:val="00144C4B"/>
    <w:rsid w:val="00144C96"/>
    <w:rsid w:val="001469B3"/>
    <w:rsid w:val="00146B54"/>
    <w:rsid w:val="00147310"/>
    <w:rsid w:val="001473CC"/>
    <w:rsid w:val="00150AE0"/>
    <w:rsid w:val="0015111C"/>
    <w:rsid w:val="001515AF"/>
    <w:rsid w:val="001517DA"/>
    <w:rsid w:val="00152370"/>
    <w:rsid w:val="00152634"/>
    <w:rsid w:val="00152753"/>
    <w:rsid w:val="001536F1"/>
    <w:rsid w:val="0015398E"/>
    <w:rsid w:val="00153B3E"/>
    <w:rsid w:val="00155539"/>
    <w:rsid w:val="00156A74"/>
    <w:rsid w:val="00157F21"/>
    <w:rsid w:val="00157F92"/>
    <w:rsid w:val="00160286"/>
    <w:rsid w:val="00160B64"/>
    <w:rsid w:val="00160F8C"/>
    <w:rsid w:val="00161277"/>
    <w:rsid w:val="00161306"/>
    <w:rsid w:val="00161D68"/>
    <w:rsid w:val="001628DA"/>
    <w:rsid w:val="001640CC"/>
    <w:rsid w:val="001641B0"/>
    <w:rsid w:val="001650A0"/>
    <w:rsid w:val="00165B26"/>
    <w:rsid w:val="00165E37"/>
    <w:rsid w:val="0016782A"/>
    <w:rsid w:val="00170997"/>
    <w:rsid w:val="00170DC2"/>
    <w:rsid w:val="00170F4F"/>
    <w:rsid w:val="00170F5F"/>
    <w:rsid w:val="0017168D"/>
    <w:rsid w:val="00171C97"/>
    <w:rsid w:val="00172609"/>
    <w:rsid w:val="00173ED6"/>
    <w:rsid w:val="00174A95"/>
    <w:rsid w:val="001758D8"/>
    <w:rsid w:val="00175C2A"/>
    <w:rsid w:val="00175F7A"/>
    <w:rsid w:val="0017619C"/>
    <w:rsid w:val="00176986"/>
    <w:rsid w:val="00176DA1"/>
    <w:rsid w:val="00177EBA"/>
    <w:rsid w:val="001809BD"/>
    <w:rsid w:val="00181E41"/>
    <w:rsid w:val="00182B98"/>
    <w:rsid w:val="00184729"/>
    <w:rsid w:val="00185190"/>
    <w:rsid w:val="001852CB"/>
    <w:rsid w:val="00185EF8"/>
    <w:rsid w:val="0018696D"/>
    <w:rsid w:val="0018697C"/>
    <w:rsid w:val="001876A2"/>
    <w:rsid w:val="0018791A"/>
    <w:rsid w:val="00187B52"/>
    <w:rsid w:val="0019157A"/>
    <w:rsid w:val="0019190A"/>
    <w:rsid w:val="00192D3F"/>
    <w:rsid w:val="001930D5"/>
    <w:rsid w:val="00193619"/>
    <w:rsid w:val="00193726"/>
    <w:rsid w:val="00194A51"/>
    <w:rsid w:val="00195149"/>
    <w:rsid w:val="00195D23"/>
    <w:rsid w:val="00195E15"/>
    <w:rsid w:val="001969C1"/>
    <w:rsid w:val="00196CFE"/>
    <w:rsid w:val="00196E74"/>
    <w:rsid w:val="00197398"/>
    <w:rsid w:val="001A0DE1"/>
    <w:rsid w:val="001A1114"/>
    <w:rsid w:val="001A1562"/>
    <w:rsid w:val="001A2BF8"/>
    <w:rsid w:val="001A3426"/>
    <w:rsid w:val="001A36B9"/>
    <w:rsid w:val="001A39DA"/>
    <w:rsid w:val="001A3B0A"/>
    <w:rsid w:val="001A3EC4"/>
    <w:rsid w:val="001A3F32"/>
    <w:rsid w:val="001A4066"/>
    <w:rsid w:val="001A6811"/>
    <w:rsid w:val="001A7812"/>
    <w:rsid w:val="001B0567"/>
    <w:rsid w:val="001B158D"/>
    <w:rsid w:val="001B1857"/>
    <w:rsid w:val="001B2627"/>
    <w:rsid w:val="001B3959"/>
    <w:rsid w:val="001B4388"/>
    <w:rsid w:val="001B4A8F"/>
    <w:rsid w:val="001B56D0"/>
    <w:rsid w:val="001B5D36"/>
    <w:rsid w:val="001B5EB5"/>
    <w:rsid w:val="001B6181"/>
    <w:rsid w:val="001B62CA"/>
    <w:rsid w:val="001B6B59"/>
    <w:rsid w:val="001B6E21"/>
    <w:rsid w:val="001C0334"/>
    <w:rsid w:val="001C0EA2"/>
    <w:rsid w:val="001C13F0"/>
    <w:rsid w:val="001C1840"/>
    <w:rsid w:val="001C1F90"/>
    <w:rsid w:val="001C25DA"/>
    <w:rsid w:val="001C2C5D"/>
    <w:rsid w:val="001C2EFE"/>
    <w:rsid w:val="001C3C96"/>
    <w:rsid w:val="001C4544"/>
    <w:rsid w:val="001C4DA0"/>
    <w:rsid w:val="001C4DC9"/>
    <w:rsid w:val="001C4E32"/>
    <w:rsid w:val="001C5873"/>
    <w:rsid w:val="001C6132"/>
    <w:rsid w:val="001C6324"/>
    <w:rsid w:val="001C7B58"/>
    <w:rsid w:val="001C7BC7"/>
    <w:rsid w:val="001C7CF6"/>
    <w:rsid w:val="001D0409"/>
    <w:rsid w:val="001D13AA"/>
    <w:rsid w:val="001D1ACE"/>
    <w:rsid w:val="001D223C"/>
    <w:rsid w:val="001D2537"/>
    <w:rsid w:val="001D276E"/>
    <w:rsid w:val="001D3408"/>
    <w:rsid w:val="001D5772"/>
    <w:rsid w:val="001D5A45"/>
    <w:rsid w:val="001D5C92"/>
    <w:rsid w:val="001D6145"/>
    <w:rsid w:val="001D6A4B"/>
    <w:rsid w:val="001E021C"/>
    <w:rsid w:val="001E0815"/>
    <w:rsid w:val="001E0831"/>
    <w:rsid w:val="001E1351"/>
    <w:rsid w:val="001E149E"/>
    <w:rsid w:val="001E15AD"/>
    <w:rsid w:val="001E2A3B"/>
    <w:rsid w:val="001E2D44"/>
    <w:rsid w:val="001E4B7E"/>
    <w:rsid w:val="001E5120"/>
    <w:rsid w:val="001E590D"/>
    <w:rsid w:val="001E5E62"/>
    <w:rsid w:val="001E6B1E"/>
    <w:rsid w:val="001E7EBC"/>
    <w:rsid w:val="001F0425"/>
    <w:rsid w:val="001F1733"/>
    <w:rsid w:val="001F21FD"/>
    <w:rsid w:val="001F2C0E"/>
    <w:rsid w:val="001F302A"/>
    <w:rsid w:val="001F3EBB"/>
    <w:rsid w:val="001F4D39"/>
    <w:rsid w:val="001F4FC5"/>
    <w:rsid w:val="001F6110"/>
    <w:rsid w:val="001F654F"/>
    <w:rsid w:val="001F65BC"/>
    <w:rsid w:val="001F67D1"/>
    <w:rsid w:val="001F7332"/>
    <w:rsid w:val="001F798E"/>
    <w:rsid w:val="0020019B"/>
    <w:rsid w:val="00200338"/>
    <w:rsid w:val="00200DE7"/>
    <w:rsid w:val="00201361"/>
    <w:rsid w:val="0020238B"/>
    <w:rsid w:val="00203C94"/>
    <w:rsid w:val="00205251"/>
    <w:rsid w:val="0020542D"/>
    <w:rsid w:val="00205E45"/>
    <w:rsid w:val="00205FDA"/>
    <w:rsid w:val="00206498"/>
    <w:rsid w:val="002074C6"/>
    <w:rsid w:val="00207D1B"/>
    <w:rsid w:val="00210F87"/>
    <w:rsid w:val="00210F88"/>
    <w:rsid w:val="002110AB"/>
    <w:rsid w:val="0021135C"/>
    <w:rsid w:val="00211814"/>
    <w:rsid w:val="0021192B"/>
    <w:rsid w:val="00211DCC"/>
    <w:rsid w:val="002125B4"/>
    <w:rsid w:val="00212966"/>
    <w:rsid w:val="00212A2D"/>
    <w:rsid w:val="00212C31"/>
    <w:rsid w:val="00212FCA"/>
    <w:rsid w:val="00213267"/>
    <w:rsid w:val="002132B1"/>
    <w:rsid w:val="00214FBC"/>
    <w:rsid w:val="0021504A"/>
    <w:rsid w:val="00215FB6"/>
    <w:rsid w:val="00215FF4"/>
    <w:rsid w:val="00216007"/>
    <w:rsid w:val="002174C7"/>
    <w:rsid w:val="00217EB2"/>
    <w:rsid w:val="002202B3"/>
    <w:rsid w:val="002202E7"/>
    <w:rsid w:val="002214A0"/>
    <w:rsid w:val="00221B0B"/>
    <w:rsid w:val="00221D30"/>
    <w:rsid w:val="00221E83"/>
    <w:rsid w:val="0022230B"/>
    <w:rsid w:val="00222D42"/>
    <w:rsid w:val="00222FC0"/>
    <w:rsid w:val="0022322E"/>
    <w:rsid w:val="0022330C"/>
    <w:rsid w:val="00223A94"/>
    <w:rsid w:val="002246C5"/>
    <w:rsid w:val="00225EFB"/>
    <w:rsid w:val="00227902"/>
    <w:rsid w:val="00227EE6"/>
    <w:rsid w:val="002319CD"/>
    <w:rsid w:val="00231A92"/>
    <w:rsid w:val="00232662"/>
    <w:rsid w:val="00233264"/>
    <w:rsid w:val="00233851"/>
    <w:rsid w:val="00233D90"/>
    <w:rsid w:val="00234E01"/>
    <w:rsid w:val="0023554C"/>
    <w:rsid w:val="00235596"/>
    <w:rsid w:val="0023607F"/>
    <w:rsid w:val="002364E2"/>
    <w:rsid w:val="00236D32"/>
    <w:rsid w:val="00236DD2"/>
    <w:rsid w:val="00237DEC"/>
    <w:rsid w:val="00237DFA"/>
    <w:rsid w:val="0023BC92"/>
    <w:rsid w:val="0023E2EE"/>
    <w:rsid w:val="002419A6"/>
    <w:rsid w:val="00242EF4"/>
    <w:rsid w:val="002432D0"/>
    <w:rsid w:val="002432EA"/>
    <w:rsid w:val="00243452"/>
    <w:rsid w:val="00244A31"/>
    <w:rsid w:val="00244B04"/>
    <w:rsid w:val="00245D4B"/>
    <w:rsid w:val="00246034"/>
    <w:rsid w:val="002461E1"/>
    <w:rsid w:val="00246B3F"/>
    <w:rsid w:val="00246C9D"/>
    <w:rsid w:val="00246DFF"/>
    <w:rsid w:val="00247D10"/>
    <w:rsid w:val="00247DF4"/>
    <w:rsid w:val="00250621"/>
    <w:rsid w:val="00250682"/>
    <w:rsid w:val="00250C12"/>
    <w:rsid w:val="00251922"/>
    <w:rsid w:val="00251BF7"/>
    <w:rsid w:val="00251D93"/>
    <w:rsid w:val="00252CAE"/>
    <w:rsid w:val="00252CCF"/>
    <w:rsid w:val="00255670"/>
    <w:rsid w:val="0025578E"/>
    <w:rsid w:val="00255A80"/>
    <w:rsid w:val="002563E0"/>
    <w:rsid w:val="00256A34"/>
    <w:rsid w:val="002574A5"/>
    <w:rsid w:val="002575F7"/>
    <w:rsid w:val="00257D3A"/>
    <w:rsid w:val="00260094"/>
    <w:rsid w:val="002604C5"/>
    <w:rsid w:val="0026078F"/>
    <w:rsid w:val="00262317"/>
    <w:rsid w:val="0026358A"/>
    <w:rsid w:val="002637CC"/>
    <w:rsid w:val="00263B40"/>
    <w:rsid w:val="002648A5"/>
    <w:rsid w:val="00264E73"/>
    <w:rsid w:val="00265560"/>
    <w:rsid w:val="002656B4"/>
    <w:rsid w:val="002666BA"/>
    <w:rsid w:val="00267410"/>
    <w:rsid w:val="00267BF6"/>
    <w:rsid w:val="00267D33"/>
    <w:rsid w:val="002706E3"/>
    <w:rsid w:val="002708EB"/>
    <w:rsid w:val="00270CE4"/>
    <w:rsid w:val="002710F6"/>
    <w:rsid w:val="00271448"/>
    <w:rsid w:val="0027168C"/>
    <w:rsid w:val="002732AD"/>
    <w:rsid w:val="00273C8B"/>
    <w:rsid w:val="00274C26"/>
    <w:rsid w:val="002756C6"/>
    <w:rsid w:val="0027655C"/>
    <w:rsid w:val="002769A8"/>
    <w:rsid w:val="0027717C"/>
    <w:rsid w:val="00277D9A"/>
    <w:rsid w:val="002815AD"/>
    <w:rsid w:val="002816BC"/>
    <w:rsid w:val="002825A9"/>
    <w:rsid w:val="002829E6"/>
    <w:rsid w:val="00282A2C"/>
    <w:rsid w:val="0028363B"/>
    <w:rsid w:val="00283691"/>
    <w:rsid w:val="00284433"/>
    <w:rsid w:val="0028481E"/>
    <w:rsid w:val="00284FBA"/>
    <w:rsid w:val="00285A4D"/>
    <w:rsid w:val="00285CD5"/>
    <w:rsid w:val="00286CF5"/>
    <w:rsid w:val="00287496"/>
    <w:rsid w:val="0029058E"/>
    <w:rsid w:val="002907CF"/>
    <w:rsid w:val="002910BB"/>
    <w:rsid w:val="002938CC"/>
    <w:rsid w:val="00297145"/>
    <w:rsid w:val="002972E8"/>
    <w:rsid w:val="0029769A"/>
    <w:rsid w:val="00297849"/>
    <w:rsid w:val="002A0A61"/>
    <w:rsid w:val="002A114C"/>
    <w:rsid w:val="002A117D"/>
    <w:rsid w:val="002A1577"/>
    <w:rsid w:val="002A163C"/>
    <w:rsid w:val="002A2585"/>
    <w:rsid w:val="002A3131"/>
    <w:rsid w:val="002A3A94"/>
    <w:rsid w:val="002A3B97"/>
    <w:rsid w:val="002A3DD9"/>
    <w:rsid w:val="002A3F30"/>
    <w:rsid w:val="002A4EB6"/>
    <w:rsid w:val="002A50A1"/>
    <w:rsid w:val="002A5977"/>
    <w:rsid w:val="002A59C0"/>
    <w:rsid w:val="002A5B7A"/>
    <w:rsid w:val="002A5F50"/>
    <w:rsid w:val="002A6292"/>
    <w:rsid w:val="002A6367"/>
    <w:rsid w:val="002A69FC"/>
    <w:rsid w:val="002A7C56"/>
    <w:rsid w:val="002B0E13"/>
    <w:rsid w:val="002B0E23"/>
    <w:rsid w:val="002B12DE"/>
    <w:rsid w:val="002B1A81"/>
    <w:rsid w:val="002B1AEA"/>
    <w:rsid w:val="002B2997"/>
    <w:rsid w:val="002B2A1E"/>
    <w:rsid w:val="002B398A"/>
    <w:rsid w:val="002B4999"/>
    <w:rsid w:val="002B50BC"/>
    <w:rsid w:val="002B59FC"/>
    <w:rsid w:val="002B5B40"/>
    <w:rsid w:val="002B5CCC"/>
    <w:rsid w:val="002B686E"/>
    <w:rsid w:val="002C0236"/>
    <w:rsid w:val="002C14D4"/>
    <w:rsid w:val="002C159B"/>
    <w:rsid w:val="002C1EC5"/>
    <w:rsid w:val="002C2E72"/>
    <w:rsid w:val="002C2EC1"/>
    <w:rsid w:val="002C30FE"/>
    <w:rsid w:val="002C3299"/>
    <w:rsid w:val="002C3415"/>
    <w:rsid w:val="002C4D51"/>
    <w:rsid w:val="002C4F2F"/>
    <w:rsid w:val="002C575D"/>
    <w:rsid w:val="002C58B8"/>
    <w:rsid w:val="002C5FF3"/>
    <w:rsid w:val="002C6360"/>
    <w:rsid w:val="002C68EF"/>
    <w:rsid w:val="002C7319"/>
    <w:rsid w:val="002C73BA"/>
    <w:rsid w:val="002C73D7"/>
    <w:rsid w:val="002D02B6"/>
    <w:rsid w:val="002D0497"/>
    <w:rsid w:val="002D2A7D"/>
    <w:rsid w:val="002D30AA"/>
    <w:rsid w:val="002D32DE"/>
    <w:rsid w:val="002D3965"/>
    <w:rsid w:val="002D3AED"/>
    <w:rsid w:val="002D46A8"/>
    <w:rsid w:val="002D4E4A"/>
    <w:rsid w:val="002D522D"/>
    <w:rsid w:val="002D5B03"/>
    <w:rsid w:val="002D67BA"/>
    <w:rsid w:val="002D6A58"/>
    <w:rsid w:val="002D703B"/>
    <w:rsid w:val="002D751B"/>
    <w:rsid w:val="002D7583"/>
    <w:rsid w:val="002E010C"/>
    <w:rsid w:val="002E0AAF"/>
    <w:rsid w:val="002E152E"/>
    <w:rsid w:val="002E228D"/>
    <w:rsid w:val="002E2A19"/>
    <w:rsid w:val="002E2F5F"/>
    <w:rsid w:val="002E30F8"/>
    <w:rsid w:val="002E3549"/>
    <w:rsid w:val="002E3900"/>
    <w:rsid w:val="002E3F2B"/>
    <w:rsid w:val="002E44D9"/>
    <w:rsid w:val="002E4C8D"/>
    <w:rsid w:val="002E56DC"/>
    <w:rsid w:val="002E58AB"/>
    <w:rsid w:val="002E698F"/>
    <w:rsid w:val="002E6FF5"/>
    <w:rsid w:val="002E76E0"/>
    <w:rsid w:val="002F0A0A"/>
    <w:rsid w:val="002F0C89"/>
    <w:rsid w:val="002F11C2"/>
    <w:rsid w:val="002F1C89"/>
    <w:rsid w:val="002F1D82"/>
    <w:rsid w:val="002F2308"/>
    <w:rsid w:val="002F27DF"/>
    <w:rsid w:val="002F299A"/>
    <w:rsid w:val="002F3857"/>
    <w:rsid w:val="002F5BD6"/>
    <w:rsid w:val="002F60E9"/>
    <w:rsid w:val="002F62A8"/>
    <w:rsid w:val="002F6461"/>
    <w:rsid w:val="002F79F2"/>
    <w:rsid w:val="00300A2E"/>
    <w:rsid w:val="00300C73"/>
    <w:rsid w:val="003025AF"/>
    <w:rsid w:val="00303043"/>
    <w:rsid w:val="00303985"/>
    <w:rsid w:val="003045CE"/>
    <w:rsid w:val="003048BB"/>
    <w:rsid w:val="00306B2C"/>
    <w:rsid w:val="0031033C"/>
    <w:rsid w:val="003107A1"/>
    <w:rsid w:val="00310B11"/>
    <w:rsid w:val="0031318F"/>
    <w:rsid w:val="0031371E"/>
    <w:rsid w:val="00313B08"/>
    <w:rsid w:val="003144FD"/>
    <w:rsid w:val="003149C1"/>
    <w:rsid w:val="00314B24"/>
    <w:rsid w:val="00314B4F"/>
    <w:rsid w:val="00314B6D"/>
    <w:rsid w:val="003151F8"/>
    <w:rsid w:val="0031538E"/>
    <w:rsid w:val="0031626E"/>
    <w:rsid w:val="0031671E"/>
    <w:rsid w:val="003167DC"/>
    <w:rsid w:val="0031698A"/>
    <w:rsid w:val="0031755E"/>
    <w:rsid w:val="00317D41"/>
    <w:rsid w:val="00317DE2"/>
    <w:rsid w:val="0032102A"/>
    <w:rsid w:val="00321A9D"/>
    <w:rsid w:val="003223DB"/>
    <w:rsid w:val="0032275D"/>
    <w:rsid w:val="00322981"/>
    <w:rsid w:val="00323BEC"/>
    <w:rsid w:val="00324437"/>
    <w:rsid w:val="00325055"/>
    <w:rsid w:val="0032558B"/>
    <w:rsid w:val="0032608A"/>
    <w:rsid w:val="0032664D"/>
    <w:rsid w:val="00326878"/>
    <w:rsid w:val="00327418"/>
    <w:rsid w:val="00327532"/>
    <w:rsid w:val="00327981"/>
    <w:rsid w:val="00327FD3"/>
    <w:rsid w:val="00330DD8"/>
    <w:rsid w:val="0033151D"/>
    <w:rsid w:val="00331BCC"/>
    <w:rsid w:val="00331C85"/>
    <w:rsid w:val="00332C0C"/>
    <w:rsid w:val="00332EF5"/>
    <w:rsid w:val="003334BF"/>
    <w:rsid w:val="003357CA"/>
    <w:rsid w:val="0033619B"/>
    <w:rsid w:val="00336335"/>
    <w:rsid w:val="00336451"/>
    <w:rsid w:val="003366DD"/>
    <w:rsid w:val="00337031"/>
    <w:rsid w:val="00337BE8"/>
    <w:rsid w:val="00337E11"/>
    <w:rsid w:val="00342635"/>
    <w:rsid w:val="00344A8A"/>
    <w:rsid w:val="003450EC"/>
    <w:rsid w:val="00347307"/>
    <w:rsid w:val="003476FE"/>
    <w:rsid w:val="0035009D"/>
    <w:rsid w:val="003516D3"/>
    <w:rsid w:val="00352528"/>
    <w:rsid w:val="00352A76"/>
    <w:rsid w:val="00353590"/>
    <w:rsid w:val="00353ADB"/>
    <w:rsid w:val="003545BA"/>
    <w:rsid w:val="0035472A"/>
    <w:rsid w:val="00354BA3"/>
    <w:rsid w:val="00356EA1"/>
    <w:rsid w:val="0036084B"/>
    <w:rsid w:val="00360FCC"/>
    <w:rsid w:val="00361186"/>
    <w:rsid w:val="00362172"/>
    <w:rsid w:val="00362A40"/>
    <w:rsid w:val="00362D75"/>
    <w:rsid w:val="00363633"/>
    <w:rsid w:val="00363BAA"/>
    <w:rsid w:val="00364315"/>
    <w:rsid w:val="00364399"/>
    <w:rsid w:val="003643A8"/>
    <w:rsid w:val="00364512"/>
    <w:rsid w:val="0036478A"/>
    <w:rsid w:val="00364882"/>
    <w:rsid w:val="0036531E"/>
    <w:rsid w:val="0036614E"/>
    <w:rsid w:val="00366293"/>
    <w:rsid w:val="003663F2"/>
    <w:rsid w:val="003664D4"/>
    <w:rsid w:val="00366F68"/>
    <w:rsid w:val="0036774F"/>
    <w:rsid w:val="00367B71"/>
    <w:rsid w:val="00367D97"/>
    <w:rsid w:val="003710DF"/>
    <w:rsid w:val="003712EA"/>
    <w:rsid w:val="003712FF"/>
    <w:rsid w:val="00371FE5"/>
    <w:rsid w:val="00372080"/>
    <w:rsid w:val="0037244B"/>
    <w:rsid w:val="00372896"/>
    <w:rsid w:val="00373329"/>
    <w:rsid w:val="00373436"/>
    <w:rsid w:val="003749FD"/>
    <w:rsid w:val="003756BF"/>
    <w:rsid w:val="00375D9D"/>
    <w:rsid w:val="0037731F"/>
    <w:rsid w:val="003775C9"/>
    <w:rsid w:val="00377E4C"/>
    <w:rsid w:val="00380264"/>
    <w:rsid w:val="00380424"/>
    <w:rsid w:val="00380E71"/>
    <w:rsid w:val="00381AE2"/>
    <w:rsid w:val="00381D1B"/>
    <w:rsid w:val="003823C8"/>
    <w:rsid w:val="0038251F"/>
    <w:rsid w:val="00382779"/>
    <w:rsid w:val="00383348"/>
    <w:rsid w:val="0038340C"/>
    <w:rsid w:val="00384E62"/>
    <w:rsid w:val="00384F52"/>
    <w:rsid w:val="00385224"/>
    <w:rsid w:val="003862CA"/>
    <w:rsid w:val="003867E0"/>
    <w:rsid w:val="00386928"/>
    <w:rsid w:val="00387905"/>
    <w:rsid w:val="0039018C"/>
    <w:rsid w:val="003904AC"/>
    <w:rsid w:val="00390ECE"/>
    <w:rsid w:val="00391FA5"/>
    <w:rsid w:val="00393069"/>
    <w:rsid w:val="0039318B"/>
    <w:rsid w:val="00393DF5"/>
    <w:rsid w:val="00393ECC"/>
    <w:rsid w:val="00395672"/>
    <w:rsid w:val="00395EFC"/>
    <w:rsid w:val="00396660"/>
    <w:rsid w:val="00396A56"/>
    <w:rsid w:val="00396F5D"/>
    <w:rsid w:val="003975BC"/>
    <w:rsid w:val="003A013D"/>
    <w:rsid w:val="003A08AA"/>
    <w:rsid w:val="003A15F9"/>
    <w:rsid w:val="003A1665"/>
    <w:rsid w:val="003A19EE"/>
    <w:rsid w:val="003A1D7F"/>
    <w:rsid w:val="003A37D0"/>
    <w:rsid w:val="003A38BB"/>
    <w:rsid w:val="003A4C89"/>
    <w:rsid w:val="003A5F04"/>
    <w:rsid w:val="003A6582"/>
    <w:rsid w:val="003A683D"/>
    <w:rsid w:val="003A6BA1"/>
    <w:rsid w:val="003A7383"/>
    <w:rsid w:val="003A74D7"/>
    <w:rsid w:val="003B0364"/>
    <w:rsid w:val="003B09F6"/>
    <w:rsid w:val="003B20C7"/>
    <w:rsid w:val="003B23FD"/>
    <w:rsid w:val="003B49C5"/>
    <w:rsid w:val="003B5003"/>
    <w:rsid w:val="003B5133"/>
    <w:rsid w:val="003B555D"/>
    <w:rsid w:val="003B57EB"/>
    <w:rsid w:val="003B5A9E"/>
    <w:rsid w:val="003B6FFC"/>
    <w:rsid w:val="003B7934"/>
    <w:rsid w:val="003B7A19"/>
    <w:rsid w:val="003C12F3"/>
    <w:rsid w:val="003C1E92"/>
    <w:rsid w:val="003C2E44"/>
    <w:rsid w:val="003C30C4"/>
    <w:rsid w:val="003C3109"/>
    <w:rsid w:val="003C322E"/>
    <w:rsid w:val="003C371B"/>
    <w:rsid w:val="003C38E9"/>
    <w:rsid w:val="003C6993"/>
    <w:rsid w:val="003D069B"/>
    <w:rsid w:val="003D1764"/>
    <w:rsid w:val="003D1E55"/>
    <w:rsid w:val="003D2122"/>
    <w:rsid w:val="003D23B1"/>
    <w:rsid w:val="003D240E"/>
    <w:rsid w:val="003D2BE8"/>
    <w:rsid w:val="003D390C"/>
    <w:rsid w:val="003D3C87"/>
    <w:rsid w:val="003D47E0"/>
    <w:rsid w:val="003D59D6"/>
    <w:rsid w:val="003D5CCE"/>
    <w:rsid w:val="003D791A"/>
    <w:rsid w:val="003D7C5D"/>
    <w:rsid w:val="003E0761"/>
    <w:rsid w:val="003E0EA0"/>
    <w:rsid w:val="003E12C4"/>
    <w:rsid w:val="003E2217"/>
    <w:rsid w:val="003E22B3"/>
    <w:rsid w:val="003E27BF"/>
    <w:rsid w:val="003E2975"/>
    <w:rsid w:val="003E3734"/>
    <w:rsid w:val="003E396C"/>
    <w:rsid w:val="003E3D52"/>
    <w:rsid w:val="003E44F5"/>
    <w:rsid w:val="003E4761"/>
    <w:rsid w:val="003E5AA3"/>
    <w:rsid w:val="003E6336"/>
    <w:rsid w:val="003E67AA"/>
    <w:rsid w:val="003E69B3"/>
    <w:rsid w:val="003E6EEE"/>
    <w:rsid w:val="003F198C"/>
    <w:rsid w:val="003F199F"/>
    <w:rsid w:val="003F1A8E"/>
    <w:rsid w:val="003F242E"/>
    <w:rsid w:val="003F321B"/>
    <w:rsid w:val="003F45D5"/>
    <w:rsid w:val="003F4AC9"/>
    <w:rsid w:val="003F4D68"/>
    <w:rsid w:val="003F4FA1"/>
    <w:rsid w:val="003F5BDA"/>
    <w:rsid w:val="003F609A"/>
    <w:rsid w:val="003F62F2"/>
    <w:rsid w:val="003F631F"/>
    <w:rsid w:val="003F673E"/>
    <w:rsid w:val="003F6E0E"/>
    <w:rsid w:val="003F71FD"/>
    <w:rsid w:val="003F722A"/>
    <w:rsid w:val="003F9CFD"/>
    <w:rsid w:val="004008EB"/>
    <w:rsid w:val="00400B19"/>
    <w:rsid w:val="00400C12"/>
    <w:rsid w:val="00401EF7"/>
    <w:rsid w:val="0040263D"/>
    <w:rsid w:val="0040292E"/>
    <w:rsid w:val="004030FD"/>
    <w:rsid w:val="00404DE8"/>
    <w:rsid w:val="00405900"/>
    <w:rsid w:val="00405BED"/>
    <w:rsid w:val="004069BB"/>
    <w:rsid w:val="00406B49"/>
    <w:rsid w:val="00406FDD"/>
    <w:rsid w:val="004072EB"/>
    <w:rsid w:val="00407808"/>
    <w:rsid w:val="00410B9C"/>
    <w:rsid w:val="00410C13"/>
    <w:rsid w:val="004115BB"/>
    <w:rsid w:val="00411865"/>
    <w:rsid w:val="0041211D"/>
    <w:rsid w:val="00412A47"/>
    <w:rsid w:val="00412E96"/>
    <w:rsid w:val="00413336"/>
    <w:rsid w:val="00413D80"/>
    <w:rsid w:val="00413E7D"/>
    <w:rsid w:val="004157EE"/>
    <w:rsid w:val="00415A56"/>
    <w:rsid w:val="00415D79"/>
    <w:rsid w:val="00417394"/>
    <w:rsid w:val="0042056D"/>
    <w:rsid w:val="004206BC"/>
    <w:rsid w:val="00420FAD"/>
    <w:rsid w:val="00422FCA"/>
    <w:rsid w:val="00423042"/>
    <w:rsid w:val="004230CA"/>
    <w:rsid w:val="004240FF"/>
    <w:rsid w:val="00424376"/>
    <w:rsid w:val="00424DF1"/>
    <w:rsid w:val="00425073"/>
    <w:rsid w:val="00425498"/>
    <w:rsid w:val="00425E77"/>
    <w:rsid w:val="004260FC"/>
    <w:rsid w:val="00430201"/>
    <w:rsid w:val="0043158E"/>
    <w:rsid w:val="00431905"/>
    <w:rsid w:val="00431EAC"/>
    <w:rsid w:val="00432347"/>
    <w:rsid w:val="00432AB4"/>
    <w:rsid w:val="00433029"/>
    <w:rsid w:val="004332CF"/>
    <w:rsid w:val="004334BB"/>
    <w:rsid w:val="00433B0B"/>
    <w:rsid w:val="0043412C"/>
    <w:rsid w:val="00434206"/>
    <w:rsid w:val="00434438"/>
    <w:rsid w:val="00434AEB"/>
    <w:rsid w:val="004352C3"/>
    <w:rsid w:val="004362D8"/>
    <w:rsid w:val="0044067D"/>
    <w:rsid w:val="0044168D"/>
    <w:rsid w:val="00441703"/>
    <w:rsid w:val="00441C3E"/>
    <w:rsid w:val="004437D1"/>
    <w:rsid w:val="00443B27"/>
    <w:rsid w:val="00444FB1"/>
    <w:rsid w:val="004450C1"/>
    <w:rsid w:val="0044594C"/>
    <w:rsid w:val="00446054"/>
    <w:rsid w:val="004463AC"/>
    <w:rsid w:val="0044718E"/>
    <w:rsid w:val="00447215"/>
    <w:rsid w:val="00447C57"/>
    <w:rsid w:val="00450424"/>
    <w:rsid w:val="00450536"/>
    <w:rsid w:val="00450638"/>
    <w:rsid w:val="004509B7"/>
    <w:rsid w:val="00450A60"/>
    <w:rsid w:val="004516E4"/>
    <w:rsid w:val="00451E3B"/>
    <w:rsid w:val="00452551"/>
    <w:rsid w:val="0045265E"/>
    <w:rsid w:val="00452C94"/>
    <w:rsid w:val="00452D95"/>
    <w:rsid w:val="00453BFE"/>
    <w:rsid w:val="004543D8"/>
    <w:rsid w:val="004548FE"/>
    <w:rsid w:val="00456875"/>
    <w:rsid w:val="00456F47"/>
    <w:rsid w:val="004571F7"/>
    <w:rsid w:val="00457373"/>
    <w:rsid w:val="00457A36"/>
    <w:rsid w:val="00457C79"/>
    <w:rsid w:val="004603E7"/>
    <w:rsid w:val="0046049E"/>
    <w:rsid w:val="004609AF"/>
    <w:rsid w:val="004611D4"/>
    <w:rsid w:val="0046161E"/>
    <w:rsid w:val="00461998"/>
    <w:rsid w:val="00461B3F"/>
    <w:rsid w:val="00462437"/>
    <w:rsid w:val="004639BC"/>
    <w:rsid w:val="00465BDC"/>
    <w:rsid w:val="00465E8F"/>
    <w:rsid w:val="00466222"/>
    <w:rsid w:val="00466380"/>
    <w:rsid w:val="00466C3F"/>
    <w:rsid w:val="00466F7A"/>
    <w:rsid w:val="0046795A"/>
    <w:rsid w:val="00470976"/>
    <w:rsid w:val="00470B91"/>
    <w:rsid w:val="00471202"/>
    <w:rsid w:val="00471658"/>
    <w:rsid w:val="00471A8A"/>
    <w:rsid w:val="0047213D"/>
    <w:rsid w:val="0047217B"/>
    <w:rsid w:val="00472302"/>
    <w:rsid w:val="00472649"/>
    <w:rsid w:val="004732A5"/>
    <w:rsid w:val="00474080"/>
    <w:rsid w:val="00474DD6"/>
    <w:rsid w:val="00474FC2"/>
    <w:rsid w:val="004756FF"/>
    <w:rsid w:val="004759FF"/>
    <w:rsid w:val="00475FF1"/>
    <w:rsid w:val="00476DD5"/>
    <w:rsid w:val="004775B4"/>
    <w:rsid w:val="00477A28"/>
    <w:rsid w:val="004815E6"/>
    <w:rsid w:val="004816F4"/>
    <w:rsid w:val="00481B20"/>
    <w:rsid w:val="00481EC1"/>
    <w:rsid w:val="0048228A"/>
    <w:rsid w:val="0048281E"/>
    <w:rsid w:val="00482DFD"/>
    <w:rsid w:val="00483D65"/>
    <w:rsid w:val="00484640"/>
    <w:rsid w:val="004847EA"/>
    <w:rsid w:val="00484BE1"/>
    <w:rsid w:val="00484D09"/>
    <w:rsid w:val="00484F6F"/>
    <w:rsid w:val="00486E70"/>
    <w:rsid w:val="00486ED0"/>
    <w:rsid w:val="0048723C"/>
    <w:rsid w:val="00490192"/>
    <w:rsid w:val="00491D0E"/>
    <w:rsid w:val="00492409"/>
    <w:rsid w:val="00492552"/>
    <w:rsid w:val="004928F1"/>
    <w:rsid w:val="00492D1B"/>
    <w:rsid w:val="00492F1E"/>
    <w:rsid w:val="00493F3C"/>
    <w:rsid w:val="0049424F"/>
    <w:rsid w:val="00494E17"/>
    <w:rsid w:val="00495749"/>
    <w:rsid w:val="004959A6"/>
    <w:rsid w:val="00496B8E"/>
    <w:rsid w:val="00497324"/>
    <w:rsid w:val="0049777E"/>
    <w:rsid w:val="004A087A"/>
    <w:rsid w:val="004A1B61"/>
    <w:rsid w:val="004A208F"/>
    <w:rsid w:val="004A220A"/>
    <w:rsid w:val="004A2494"/>
    <w:rsid w:val="004A29DD"/>
    <w:rsid w:val="004A3D90"/>
    <w:rsid w:val="004A445E"/>
    <w:rsid w:val="004A44AE"/>
    <w:rsid w:val="004A52F8"/>
    <w:rsid w:val="004A57AF"/>
    <w:rsid w:val="004A60E9"/>
    <w:rsid w:val="004A65FD"/>
    <w:rsid w:val="004A6F73"/>
    <w:rsid w:val="004A7137"/>
    <w:rsid w:val="004A7D9A"/>
    <w:rsid w:val="004B0381"/>
    <w:rsid w:val="004B0A92"/>
    <w:rsid w:val="004B0E09"/>
    <w:rsid w:val="004B0EA6"/>
    <w:rsid w:val="004B213B"/>
    <w:rsid w:val="004B3308"/>
    <w:rsid w:val="004B3601"/>
    <w:rsid w:val="004B3B70"/>
    <w:rsid w:val="004B3BF5"/>
    <w:rsid w:val="004B4B62"/>
    <w:rsid w:val="004B544E"/>
    <w:rsid w:val="004B587A"/>
    <w:rsid w:val="004B650D"/>
    <w:rsid w:val="004B72CF"/>
    <w:rsid w:val="004B7814"/>
    <w:rsid w:val="004B7F66"/>
    <w:rsid w:val="004B7FCC"/>
    <w:rsid w:val="004C0070"/>
    <w:rsid w:val="004C0997"/>
    <w:rsid w:val="004C0F77"/>
    <w:rsid w:val="004C1802"/>
    <w:rsid w:val="004C228D"/>
    <w:rsid w:val="004C23DA"/>
    <w:rsid w:val="004C25EE"/>
    <w:rsid w:val="004C3140"/>
    <w:rsid w:val="004C41F7"/>
    <w:rsid w:val="004C481D"/>
    <w:rsid w:val="004C5266"/>
    <w:rsid w:val="004C5301"/>
    <w:rsid w:val="004C54F4"/>
    <w:rsid w:val="004C6BAB"/>
    <w:rsid w:val="004D00B3"/>
    <w:rsid w:val="004D01AC"/>
    <w:rsid w:val="004D08B8"/>
    <w:rsid w:val="004D1151"/>
    <w:rsid w:val="004D1441"/>
    <w:rsid w:val="004D1A60"/>
    <w:rsid w:val="004D1E5C"/>
    <w:rsid w:val="004D23AD"/>
    <w:rsid w:val="004D2B4D"/>
    <w:rsid w:val="004D2F02"/>
    <w:rsid w:val="004D3B70"/>
    <w:rsid w:val="004D3DE4"/>
    <w:rsid w:val="004D54FE"/>
    <w:rsid w:val="004D5648"/>
    <w:rsid w:val="004D5677"/>
    <w:rsid w:val="004D5839"/>
    <w:rsid w:val="004D60A0"/>
    <w:rsid w:val="004D72C5"/>
    <w:rsid w:val="004D7934"/>
    <w:rsid w:val="004D7D87"/>
    <w:rsid w:val="004E2370"/>
    <w:rsid w:val="004E25DB"/>
    <w:rsid w:val="004E39E8"/>
    <w:rsid w:val="004E3D47"/>
    <w:rsid w:val="004E3F0B"/>
    <w:rsid w:val="004E430C"/>
    <w:rsid w:val="004E434E"/>
    <w:rsid w:val="004E44B7"/>
    <w:rsid w:val="004E5970"/>
    <w:rsid w:val="004E645C"/>
    <w:rsid w:val="004E6D5A"/>
    <w:rsid w:val="004E70AA"/>
    <w:rsid w:val="004E7BC4"/>
    <w:rsid w:val="004E7F24"/>
    <w:rsid w:val="004F112B"/>
    <w:rsid w:val="004F142C"/>
    <w:rsid w:val="004F21B8"/>
    <w:rsid w:val="004F267B"/>
    <w:rsid w:val="004F312E"/>
    <w:rsid w:val="004F3A41"/>
    <w:rsid w:val="004F3AB0"/>
    <w:rsid w:val="004F3C59"/>
    <w:rsid w:val="004F3FD9"/>
    <w:rsid w:val="004F44BA"/>
    <w:rsid w:val="004F4A0B"/>
    <w:rsid w:val="004F4CED"/>
    <w:rsid w:val="004F5F48"/>
    <w:rsid w:val="004F67C7"/>
    <w:rsid w:val="004F716B"/>
    <w:rsid w:val="004F747B"/>
    <w:rsid w:val="00500620"/>
    <w:rsid w:val="005007FD"/>
    <w:rsid w:val="00500DF7"/>
    <w:rsid w:val="0050341B"/>
    <w:rsid w:val="0050347B"/>
    <w:rsid w:val="00504031"/>
    <w:rsid w:val="00504107"/>
    <w:rsid w:val="0050513D"/>
    <w:rsid w:val="005052E6"/>
    <w:rsid w:val="005058D8"/>
    <w:rsid w:val="0050657F"/>
    <w:rsid w:val="0050694F"/>
    <w:rsid w:val="00507056"/>
    <w:rsid w:val="005070C5"/>
    <w:rsid w:val="0050735F"/>
    <w:rsid w:val="0050795C"/>
    <w:rsid w:val="00510707"/>
    <w:rsid w:val="00510AE1"/>
    <w:rsid w:val="00510B73"/>
    <w:rsid w:val="00510CFC"/>
    <w:rsid w:val="00511242"/>
    <w:rsid w:val="00511379"/>
    <w:rsid w:val="00511460"/>
    <w:rsid w:val="005116D5"/>
    <w:rsid w:val="00511E40"/>
    <w:rsid w:val="00511F19"/>
    <w:rsid w:val="0051240A"/>
    <w:rsid w:val="0051316A"/>
    <w:rsid w:val="005136E0"/>
    <w:rsid w:val="005147C4"/>
    <w:rsid w:val="00514FF6"/>
    <w:rsid w:val="0051510A"/>
    <w:rsid w:val="0051516E"/>
    <w:rsid w:val="005151AE"/>
    <w:rsid w:val="00515223"/>
    <w:rsid w:val="0051620D"/>
    <w:rsid w:val="00517460"/>
    <w:rsid w:val="005179DE"/>
    <w:rsid w:val="00517A03"/>
    <w:rsid w:val="00517C46"/>
    <w:rsid w:val="00517FB3"/>
    <w:rsid w:val="00520203"/>
    <w:rsid w:val="0052065D"/>
    <w:rsid w:val="00521132"/>
    <w:rsid w:val="00521136"/>
    <w:rsid w:val="005232F4"/>
    <w:rsid w:val="00524C00"/>
    <w:rsid w:val="00524FE1"/>
    <w:rsid w:val="00525728"/>
    <w:rsid w:val="00527204"/>
    <w:rsid w:val="0053216B"/>
    <w:rsid w:val="00532338"/>
    <w:rsid w:val="005326D8"/>
    <w:rsid w:val="00532AEF"/>
    <w:rsid w:val="005335CE"/>
    <w:rsid w:val="00533782"/>
    <w:rsid w:val="00533E10"/>
    <w:rsid w:val="0053438F"/>
    <w:rsid w:val="005347B9"/>
    <w:rsid w:val="00534A94"/>
    <w:rsid w:val="0053537A"/>
    <w:rsid w:val="00535611"/>
    <w:rsid w:val="005372C4"/>
    <w:rsid w:val="00537713"/>
    <w:rsid w:val="00537959"/>
    <w:rsid w:val="00540504"/>
    <w:rsid w:val="00540A71"/>
    <w:rsid w:val="005413FE"/>
    <w:rsid w:val="00541AFD"/>
    <w:rsid w:val="005425A7"/>
    <w:rsid w:val="005426FD"/>
    <w:rsid w:val="005429E7"/>
    <w:rsid w:val="00543584"/>
    <w:rsid w:val="0054493B"/>
    <w:rsid w:val="0054549D"/>
    <w:rsid w:val="005459D6"/>
    <w:rsid w:val="00545B47"/>
    <w:rsid w:val="00545D18"/>
    <w:rsid w:val="005471E9"/>
    <w:rsid w:val="00550B30"/>
    <w:rsid w:val="00550FA3"/>
    <w:rsid w:val="00551425"/>
    <w:rsid w:val="00551485"/>
    <w:rsid w:val="00553019"/>
    <w:rsid w:val="0055352D"/>
    <w:rsid w:val="00555CF6"/>
    <w:rsid w:val="005560E5"/>
    <w:rsid w:val="005568DF"/>
    <w:rsid w:val="0055749D"/>
    <w:rsid w:val="00557501"/>
    <w:rsid w:val="005600C4"/>
    <w:rsid w:val="0056035A"/>
    <w:rsid w:val="00560FC9"/>
    <w:rsid w:val="00562E55"/>
    <w:rsid w:val="00563434"/>
    <w:rsid w:val="0056360A"/>
    <w:rsid w:val="0056371E"/>
    <w:rsid w:val="00563A1C"/>
    <w:rsid w:val="00564256"/>
    <w:rsid w:val="005644DA"/>
    <w:rsid w:val="0056483E"/>
    <w:rsid w:val="00564D72"/>
    <w:rsid w:val="005662B5"/>
    <w:rsid w:val="005667C2"/>
    <w:rsid w:val="00567BB4"/>
    <w:rsid w:val="005708F3"/>
    <w:rsid w:val="005708FC"/>
    <w:rsid w:val="00571275"/>
    <w:rsid w:val="00571C9B"/>
    <w:rsid w:val="00571D33"/>
    <w:rsid w:val="005720E4"/>
    <w:rsid w:val="00573020"/>
    <w:rsid w:val="005746F9"/>
    <w:rsid w:val="0057516B"/>
    <w:rsid w:val="0057554C"/>
    <w:rsid w:val="005757A0"/>
    <w:rsid w:val="00577AD1"/>
    <w:rsid w:val="005827C1"/>
    <w:rsid w:val="0058300F"/>
    <w:rsid w:val="0058308C"/>
    <w:rsid w:val="00583422"/>
    <w:rsid w:val="005835D9"/>
    <w:rsid w:val="00583CDC"/>
    <w:rsid w:val="00583E0C"/>
    <w:rsid w:val="00584099"/>
    <w:rsid w:val="005849E5"/>
    <w:rsid w:val="00584DDD"/>
    <w:rsid w:val="00585917"/>
    <w:rsid w:val="005864F3"/>
    <w:rsid w:val="00586508"/>
    <w:rsid w:val="00586805"/>
    <w:rsid w:val="0058743E"/>
    <w:rsid w:val="005876CB"/>
    <w:rsid w:val="005908F3"/>
    <w:rsid w:val="005917B8"/>
    <w:rsid w:val="00592036"/>
    <w:rsid w:val="0059219A"/>
    <w:rsid w:val="005936A8"/>
    <w:rsid w:val="00594C53"/>
    <w:rsid w:val="00595379"/>
    <w:rsid w:val="00595955"/>
    <w:rsid w:val="00595A22"/>
    <w:rsid w:val="00595EC3"/>
    <w:rsid w:val="00595F72"/>
    <w:rsid w:val="005961C0"/>
    <w:rsid w:val="005963D9"/>
    <w:rsid w:val="00596DAB"/>
    <w:rsid w:val="00597580"/>
    <w:rsid w:val="00597D8D"/>
    <w:rsid w:val="00597F91"/>
    <w:rsid w:val="005A2067"/>
    <w:rsid w:val="005A232C"/>
    <w:rsid w:val="005A2686"/>
    <w:rsid w:val="005A32B8"/>
    <w:rsid w:val="005A3604"/>
    <w:rsid w:val="005A3647"/>
    <w:rsid w:val="005A3BBC"/>
    <w:rsid w:val="005A46A1"/>
    <w:rsid w:val="005A5873"/>
    <w:rsid w:val="005A5B12"/>
    <w:rsid w:val="005A767B"/>
    <w:rsid w:val="005A7E9F"/>
    <w:rsid w:val="005A7ECD"/>
    <w:rsid w:val="005A7F17"/>
    <w:rsid w:val="005B05BE"/>
    <w:rsid w:val="005B1635"/>
    <w:rsid w:val="005B1D67"/>
    <w:rsid w:val="005B2981"/>
    <w:rsid w:val="005B2FDB"/>
    <w:rsid w:val="005B45BE"/>
    <w:rsid w:val="005B4B7C"/>
    <w:rsid w:val="005B537B"/>
    <w:rsid w:val="005B5961"/>
    <w:rsid w:val="005B5BBC"/>
    <w:rsid w:val="005B640B"/>
    <w:rsid w:val="005B7F29"/>
    <w:rsid w:val="005C009C"/>
    <w:rsid w:val="005C0590"/>
    <w:rsid w:val="005C0B8E"/>
    <w:rsid w:val="005C14E7"/>
    <w:rsid w:val="005C165A"/>
    <w:rsid w:val="005C2E48"/>
    <w:rsid w:val="005C2F12"/>
    <w:rsid w:val="005C34E0"/>
    <w:rsid w:val="005C48A7"/>
    <w:rsid w:val="005C573D"/>
    <w:rsid w:val="005C5798"/>
    <w:rsid w:val="005C5AAE"/>
    <w:rsid w:val="005C5CFB"/>
    <w:rsid w:val="005C60B6"/>
    <w:rsid w:val="005C63EC"/>
    <w:rsid w:val="005C747A"/>
    <w:rsid w:val="005D23BA"/>
    <w:rsid w:val="005D2C15"/>
    <w:rsid w:val="005D2D8D"/>
    <w:rsid w:val="005D2F10"/>
    <w:rsid w:val="005D2F2F"/>
    <w:rsid w:val="005D3383"/>
    <w:rsid w:val="005D3E27"/>
    <w:rsid w:val="005D4956"/>
    <w:rsid w:val="005D4F82"/>
    <w:rsid w:val="005D53AB"/>
    <w:rsid w:val="005D5426"/>
    <w:rsid w:val="005D5918"/>
    <w:rsid w:val="005D5983"/>
    <w:rsid w:val="005D6814"/>
    <w:rsid w:val="005D6B49"/>
    <w:rsid w:val="005D6C94"/>
    <w:rsid w:val="005D7203"/>
    <w:rsid w:val="005E039F"/>
    <w:rsid w:val="005E0D59"/>
    <w:rsid w:val="005E1215"/>
    <w:rsid w:val="005E2CE1"/>
    <w:rsid w:val="005E3A14"/>
    <w:rsid w:val="005E407E"/>
    <w:rsid w:val="005E42CC"/>
    <w:rsid w:val="005E51D6"/>
    <w:rsid w:val="005E5AAD"/>
    <w:rsid w:val="005E7D1B"/>
    <w:rsid w:val="005E7F18"/>
    <w:rsid w:val="005F0112"/>
    <w:rsid w:val="005F0E12"/>
    <w:rsid w:val="005F3673"/>
    <w:rsid w:val="005F36AE"/>
    <w:rsid w:val="005F3E92"/>
    <w:rsid w:val="005F5BB2"/>
    <w:rsid w:val="005F5F43"/>
    <w:rsid w:val="005F61EA"/>
    <w:rsid w:val="005F6FE1"/>
    <w:rsid w:val="005F717A"/>
    <w:rsid w:val="005F7262"/>
    <w:rsid w:val="005F77EA"/>
    <w:rsid w:val="006001EB"/>
    <w:rsid w:val="006003CB"/>
    <w:rsid w:val="00601FA8"/>
    <w:rsid w:val="00602FE5"/>
    <w:rsid w:val="00603BE0"/>
    <w:rsid w:val="006042DE"/>
    <w:rsid w:val="00604536"/>
    <w:rsid w:val="00610CE3"/>
    <w:rsid w:val="006116A7"/>
    <w:rsid w:val="00611F70"/>
    <w:rsid w:val="00612844"/>
    <w:rsid w:val="0061379F"/>
    <w:rsid w:val="006140E2"/>
    <w:rsid w:val="006143B0"/>
    <w:rsid w:val="00614E67"/>
    <w:rsid w:val="00614F7D"/>
    <w:rsid w:val="0061575C"/>
    <w:rsid w:val="00615BCD"/>
    <w:rsid w:val="0061604E"/>
    <w:rsid w:val="00616715"/>
    <w:rsid w:val="00616A48"/>
    <w:rsid w:val="00617126"/>
    <w:rsid w:val="0061760C"/>
    <w:rsid w:val="00620C05"/>
    <w:rsid w:val="00621895"/>
    <w:rsid w:val="006221A6"/>
    <w:rsid w:val="00622B0B"/>
    <w:rsid w:val="00622FBF"/>
    <w:rsid w:val="00623ED4"/>
    <w:rsid w:val="00623EEF"/>
    <w:rsid w:val="0062448C"/>
    <w:rsid w:val="00625434"/>
    <w:rsid w:val="00626729"/>
    <w:rsid w:val="006268F7"/>
    <w:rsid w:val="00626A8B"/>
    <w:rsid w:val="006276EB"/>
    <w:rsid w:val="00627A9A"/>
    <w:rsid w:val="00627C2B"/>
    <w:rsid w:val="00627E25"/>
    <w:rsid w:val="00630B20"/>
    <w:rsid w:val="00630DB0"/>
    <w:rsid w:val="00632B7A"/>
    <w:rsid w:val="00633C54"/>
    <w:rsid w:val="00634986"/>
    <w:rsid w:val="00634A05"/>
    <w:rsid w:val="00634C63"/>
    <w:rsid w:val="00634E44"/>
    <w:rsid w:val="006358BA"/>
    <w:rsid w:val="00635D52"/>
    <w:rsid w:val="00636167"/>
    <w:rsid w:val="0063645F"/>
    <w:rsid w:val="00636E21"/>
    <w:rsid w:val="00636FCC"/>
    <w:rsid w:val="006371F5"/>
    <w:rsid w:val="0063731C"/>
    <w:rsid w:val="00640D1E"/>
    <w:rsid w:val="00641897"/>
    <w:rsid w:val="00641A13"/>
    <w:rsid w:val="00641A3A"/>
    <w:rsid w:val="00641AAD"/>
    <w:rsid w:val="00641CAD"/>
    <w:rsid w:val="00641D09"/>
    <w:rsid w:val="006427D0"/>
    <w:rsid w:val="00642FB0"/>
    <w:rsid w:val="006439A8"/>
    <w:rsid w:val="00643CA7"/>
    <w:rsid w:val="00644683"/>
    <w:rsid w:val="00644D6B"/>
    <w:rsid w:val="0064549C"/>
    <w:rsid w:val="00645CBD"/>
    <w:rsid w:val="006461D3"/>
    <w:rsid w:val="006470D2"/>
    <w:rsid w:val="0064771A"/>
    <w:rsid w:val="006505A2"/>
    <w:rsid w:val="006508CB"/>
    <w:rsid w:val="006511F9"/>
    <w:rsid w:val="00652049"/>
    <w:rsid w:val="00652CF6"/>
    <w:rsid w:val="00652DFF"/>
    <w:rsid w:val="00654350"/>
    <w:rsid w:val="006544EE"/>
    <w:rsid w:val="00654996"/>
    <w:rsid w:val="006549D9"/>
    <w:rsid w:val="00654C57"/>
    <w:rsid w:val="00655B3E"/>
    <w:rsid w:val="00655B88"/>
    <w:rsid w:val="00655CFF"/>
    <w:rsid w:val="006560CA"/>
    <w:rsid w:val="00656148"/>
    <w:rsid w:val="006563E1"/>
    <w:rsid w:val="0065668D"/>
    <w:rsid w:val="00656E48"/>
    <w:rsid w:val="0066073B"/>
    <w:rsid w:val="006614EB"/>
    <w:rsid w:val="00662767"/>
    <w:rsid w:val="00662DB2"/>
    <w:rsid w:val="006635BB"/>
    <w:rsid w:val="00663881"/>
    <w:rsid w:val="00663F2F"/>
    <w:rsid w:val="00664152"/>
    <w:rsid w:val="00664C36"/>
    <w:rsid w:val="00666413"/>
    <w:rsid w:val="006664A0"/>
    <w:rsid w:val="00667127"/>
    <w:rsid w:val="00667FD3"/>
    <w:rsid w:val="00670331"/>
    <w:rsid w:val="00670407"/>
    <w:rsid w:val="0067043B"/>
    <w:rsid w:val="006706F2"/>
    <w:rsid w:val="00670782"/>
    <w:rsid w:val="006710AF"/>
    <w:rsid w:val="006710B0"/>
    <w:rsid w:val="00671E54"/>
    <w:rsid w:val="0067330A"/>
    <w:rsid w:val="0067376E"/>
    <w:rsid w:val="0067398D"/>
    <w:rsid w:val="00673BF8"/>
    <w:rsid w:val="00674180"/>
    <w:rsid w:val="00674991"/>
    <w:rsid w:val="00674EE6"/>
    <w:rsid w:val="00675318"/>
    <w:rsid w:val="0067539D"/>
    <w:rsid w:val="00675BF8"/>
    <w:rsid w:val="006760D6"/>
    <w:rsid w:val="00676271"/>
    <w:rsid w:val="00680E09"/>
    <w:rsid w:val="0068142C"/>
    <w:rsid w:val="00681917"/>
    <w:rsid w:val="00681998"/>
    <w:rsid w:val="00682A31"/>
    <w:rsid w:val="00682B31"/>
    <w:rsid w:val="0068354A"/>
    <w:rsid w:val="00683714"/>
    <w:rsid w:val="006839B0"/>
    <w:rsid w:val="00684039"/>
    <w:rsid w:val="00684578"/>
    <w:rsid w:val="00685671"/>
    <w:rsid w:val="00686107"/>
    <w:rsid w:val="00686E7E"/>
    <w:rsid w:val="00687692"/>
    <w:rsid w:val="006879B8"/>
    <w:rsid w:val="006909D1"/>
    <w:rsid w:val="00691345"/>
    <w:rsid w:val="0069227A"/>
    <w:rsid w:val="00692A65"/>
    <w:rsid w:val="00693757"/>
    <w:rsid w:val="00694AA1"/>
    <w:rsid w:val="00694EFF"/>
    <w:rsid w:val="00695EC8"/>
    <w:rsid w:val="00696928"/>
    <w:rsid w:val="0069709B"/>
    <w:rsid w:val="0069754C"/>
    <w:rsid w:val="006A0018"/>
    <w:rsid w:val="006A0533"/>
    <w:rsid w:val="006A054D"/>
    <w:rsid w:val="006A0939"/>
    <w:rsid w:val="006A159A"/>
    <w:rsid w:val="006A18B4"/>
    <w:rsid w:val="006A196A"/>
    <w:rsid w:val="006A1F08"/>
    <w:rsid w:val="006A2829"/>
    <w:rsid w:val="006A37AD"/>
    <w:rsid w:val="006A3C15"/>
    <w:rsid w:val="006A4669"/>
    <w:rsid w:val="006A49B2"/>
    <w:rsid w:val="006A4F3F"/>
    <w:rsid w:val="006A4FF1"/>
    <w:rsid w:val="006A6474"/>
    <w:rsid w:val="006A665E"/>
    <w:rsid w:val="006A697A"/>
    <w:rsid w:val="006A709E"/>
    <w:rsid w:val="006A7106"/>
    <w:rsid w:val="006A7AC1"/>
    <w:rsid w:val="006A7E50"/>
    <w:rsid w:val="006B16E1"/>
    <w:rsid w:val="006B1C75"/>
    <w:rsid w:val="006B1E73"/>
    <w:rsid w:val="006B2DE0"/>
    <w:rsid w:val="006B2E66"/>
    <w:rsid w:val="006B37E1"/>
    <w:rsid w:val="006B3B28"/>
    <w:rsid w:val="006B44EF"/>
    <w:rsid w:val="006B50AF"/>
    <w:rsid w:val="006B545C"/>
    <w:rsid w:val="006B5D45"/>
    <w:rsid w:val="006B5DB4"/>
    <w:rsid w:val="006B61F4"/>
    <w:rsid w:val="006B6D86"/>
    <w:rsid w:val="006C0655"/>
    <w:rsid w:val="006C0A22"/>
    <w:rsid w:val="006C1301"/>
    <w:rsid w:val="006C1BEF"/>
    <w:rsid w:val="006C1FAD"/>
    <w:rsid w:val="006C391E"/>
    <w:rsid w:val="006C39EA"/>
    <w:rsid w:val="006C4483"/>
    <w:rsid w:val="006C4DE4"/>
    <w:rsid w:val="006C4E81"/>
    <w:rsid w:val="006C565E"/>
    <w:rsid w:val="006C5BAE"/>
    <w:rsid w:val="006C6676"/>
    <w:rsid w:val="006C6B1C"/>
    <w:rsid w:val="006C7DFC"/>
    <w:rsid w:val="006D132B"/>
    <w:rsid w:val="006D156C"/>
    <w:rsid w:val="006D1FEB"/>
    <w:rsid w:val="006D2252"/>
    <w:rsid w:val="006D3206"/>
    <w:rsid w:val="006D3EC8"/>
    <w:rsid w:val="006D4912"/>
    <w:rsid w:val="006D4EEB"/>
    <w:rsid w:val="006D4FED"/>
    <w:rsid w:val="006D5A96"/>
    <w:rsid w:val="006D6B78"/>
    <w:rsid w:val="006E1DD4"/>
    <w:rsid w:val="006E245E"/>
    <w:rsid w:val="006E299D"/>
    <w:rsid w:val="006E2FD0"/>
    <w:rsid w:val="006E329D"/>
    <w:rsid w:val="006E416E"/>
    <w:rsid w:val="006E4CB9"/>
    <w:rsid w:val="006E52F4"/>
    <w:rsid w:val="006E57B8"/>
    <w:rsid w:val="006E5EFA"/>
    <w:rsid w:val="006E64F7"/>
    <w:rsid w:val="006E6A74"/>
    <w:rsid w:val="006E6B52"/>
    <w:rsid w:val="006E6BE2"/>
    <w:rsid w:val="006E782A"/>
    <w:rsid w:val="006E7F0F"/>
    <w:rsid w:val="006F0068"/>
    <w:rsid w:val="006F0549"/>
    <w:rsid w:val="006F0ADB"/>
    <w:rsid w:val="006F0D36"/>
    <w:rsid w:val="006F1656"/>
    <w:rsid w:val="006F194A"/>
    <w:rsid w:val="006F1AE6"/>
    <w:rsid w:val="006F1DC7"/>
    <w:rsid w:val="006F28C8"/>
    <w:rsid w:val="006F6E85"/>
    <w:rsid w:val="006F7CFA"/>
    <w:rsid w:val="00700EA2"/>
    <w:rsid w:val="007013A8"/>
    <w:rsid w:val="0070192A"/>
    <w:rsid w:val="00701E12"/>
    <w:rsid w:val="0070207B"/>
    <w:rsid w:val="00702194"/>
    <w:rsid w:val="007021E1"/>
    <w:rsid w:val="00702271"/>
    <w:rsid w:val="00702EB4"/>
    <w:rsid w:val="00703AAD"/>
    <w:rsid w:val="00704E4B"/>
    <w:rsid w:val="0070536A"/>
    <w:rsid w:val="00705718"/>
    <w:rsid w:val="00705996"/>
    <w:rsid w:val="0070799B"/>
    <w:rsid w:val="00707B05"/>
    <w:rsid w:val="00707BAE"/>
    <w:rsid w:val="00707E36"/>
    <w:rsid w:val="0070CBF6"/>
    <w:rsid w:val="007101FC"/>
    <w:rsid w:val="0071028A"/>
    <w:rsid w:val="007105A8"/>
    <w:rsid w:val="00711013"/>
    <w:rsid w:val="007112DC"/>
    <w:rsid w:val="0071229B"/>
    <w:rsid w:val="00712BCB"/>
    <w:rsid w:val="007131BF"/>
    <w:rsid w:val="007135E4"/>
    <w:rsid w:val="007137B9"/>
    <w:rsid w:val="00714DFE"/>
    <w:rsid w:val="0071581E"/>
    <w:rsid w:val="00715AB5"/>
    <w:rsid w:val="00715BFB"/>
    <w:rsid w:val="0071625C"/>
    <w:rsid w:val="007165DC"/>
    <w:rsid w:val="00716795"/>
    <w:rsid w:val="00717B6E"/>
    <w:rsid w:val="00717F22"/>
    <w:rsid w:val="00720A82"/>
    <w:rsid w:val="007211CC"/>
    <w:rsid w:val="00721DCB"/>
    <w:rsid w:val="00722B75"/>
    <w:rsid w:val="00723DB6"/>
    <w:rsid w:val="0072414D"/>
    <w:rsid w:val="007242EA"/>
    <w:rsid w:val="0072468D"/>
    <w:rsid w:val="00724C52"/>
    <w:rsid w:val="0072501D"/>
    <w:rsid w:val="007252C8"/>
    <w:rsid w:val="00725733"/>
    <w:rsid w:val="00725DCE"/>
    <w:rsid w:val="00726658"/>
    <w:rsid w:val="007267B8"/>
    <w:rsid w:val="00726970"/>
    <w:rsid w:val="007269C0"/>
    <w:rsid w:val="00726AC7"/>
    <w:rsid w:val="007274F9"/>
    <w:rsid w:val="0073031D"/>
    <w:rsid w:val="0073190E"/>
    <w:rsid w:val="00731AA3"/>
    <w:rsid w:val="00731D69"/>
    <w:rsid w:val="00733EE1"/>
    <w:rsid w:val="0073443C"/>
    <w:rsid w:val="00734515"/>
    <w:rsid w:val="007357F9"/>
    <w:rsid w:val="00735E95"/>
    <w:rsid w:val="00736015"/>
    <w:rsid w:val="007365DB"/>
    <w:rsid w:val="007371E2"/>
    <w:rsid w:val="0073737B"/>
    <w:rsid w:val="00737676"/>
    <w:rsid w:val="00737BA7"/>
    <w:rsid w:val="00740285"/>
    <w:rsid w:val="00740D53"/>
    <w:rsid w:val="007410B2"/>
    <w:rsid w:val="007420FB"/>
    <w:rsid w:val="00742918"/>
    <w:rsid w:val="00743418"/>
    <w:rsid w:val="007436A4"/>
    <w:rsid w:val="00743BA5"/>
    <w:rsid w:val="00743F0E"/>
    <w:rsid w:val="00744942"/>
    <w:rsid w:val="00744F46"/>
    <w:rsid w:val="00746976"/>
    <w:rsid w:val="00746E4A"/>
    <w:rsid w:val="00747731"/>
    <w:rsid w:val="007479B2"/>
    <w:rsid w:val="00747DE8"/>
    <w:rsid w:val="00750019"/>
    <w:rsid w:val="007504D0"/>
    <w:rsid w:val="007505D1"/>
    <w:rsid w:val="00751445"/>
    <w:rsid w:val="00751644"/>
    <w:rsid w:val="00751F87"/>
    <w:rsid w:val="00752266"/>
    <w:rsid w:val="007522AB"/>
    <w:rsid w:val="00752373"/>
    <w:rsid w:val="007529FC"/>
    <w:rsid w:val="00752A10"/>
    <w:rsid w:val="00752D89"/>
    <w:rsid w:val="007530BC"/>
    <w:rsid w:val="00753C3C"/>
    <w:rsid w:val="00753FFC"/>
    <w:rsid w:val="00754303"/>
    <w:rsid w:val="00754FA6"/>
    <w:rsid w:val="0075569E"/>
    <w:rsid w:val="00755BE7"/>
    <w:rsid w:val="00755F7D"/>
    <w:rsid w:val="0075665E"/>
    <w:rsid w:val="007569E6"/>
    <w:rsid w:val="00757242"/>
    <w:rsid w:val="00757A62"/>
    <w:rsid w:val="00757B3F"/>
    <w:rsid w:val="00757D7E"/>
    <w:rsid w:val="00757EDE"/>
    <w:rsid w:val="007603D1"/>
    <w:rsid w:val="0076093D"/>
    <w:rsid w:val="00760E3D"/>
    <w:rsid w:val="00761B5F"/>
    <w:rsid w:val="00762811"/>
    <w:rsid w:val="00762E22"/>
    <w:rsid w:val="007631D4"/>
    <w:rsid w:val="00763C45"/>
    <w:rsid w:val="00764571"/>
    <w:rsid w:val="007648B0"/>
    <w:rsid w:val="007648BB"/>
    <w:rsid w:val="00764BCD"/>
    <w:rsid w:val="0076513A"/>
    <w:rsid w:val="00765829"/>
    <w:rsid w:val="00765A07"/>
    <w:rsid w:val="00765D76"/>
    <w:rsid w:val="00766CCD"/>
    <w:rsid w:val="00766F5A"/>
    <w:rsid w:val="007709EF"/>
    <w:rsid w:val="0077206E"/>
    <w:rsid w:val="00772962"/>
    <w:rsid w:val="00772ED3"/>
    <w:rsid w:val="00773AD6"/>
    <w:rsid w:val="00773F8C"/>
    <w:rsid w:val="007746FF"/>
    <w:rsid w:val="0077498A"/>
    <w:rsid w:val="00774ADD"/>
    <w:rsid w:val="00774B9C"/>
    <w:rsid w:val="00774F2A"/>
    <w:rsid w:val="007762B9"/>
    <w:rsid w:val="0077649B"/>
    <w:rsid w:val="007800ED"/>
    <w:rsid w:val="00780BCD"/>
    <w:rsid w:val="00781AF1"/>
    <w:rsid w:val="00781D9F"/>
    <w:rsid w:val="0078226E"/>
    <w:rsid w:val="007836FC"/>
    <w:rsid w:val="00783B42"/>
    <w:rsid w:val="00784653"/>
    <w:rsid w:val="0078468D"/>
    <w:rsid w:val="00785C38"/>
    <w:rsid w:val="007869F5"/>
    <w:rsid w:val="00786A1C"/>
    <w:rsid w:val="0078733B"/>
    <w:rsid w:val="00787C4C"/>
    <w:rsid w:val="0079137D"/>
    <w:rsid w:val="0079234B"/>
    <w:rsid w:val="00792743"/>
    <w:rsid w:val="00792C2B"/>
    <w:rsid w:val="0079316B"/>
    <w:rsid w:val="0079348F"/>
    <w:rsid w:val="00793C9F"/>
    <w:rsid w:val="00793ED2"/>
    <w:rsid w:val="00794077"/>
    <w:rsid w:val="007940EA"/>
    <w:rsid w:val="007957A2"/>
    <w:rsid w:val="00796347"/>
    <w:rsid w:val="00796DD8"/>
    <w:rsid w:val="007A0420"/>
    <w:rsid w:val="007A13C5"/>
    <w:rsid w:val="007A14CC"/>
    <w:rsid w:val="007A1778"/>
    <w:rsid w:val="007A17B0"/>
    <w:rsid w:val="007A1A8E"/>
    <w:rsid w:val="007A28AC"/>
    <w:rsid w:val="007A2A0B"/>
    <w:rsid w:val="007A3928"/>
    <w:rsid w:val="007A4760"/>
    <w:rsid w:val="007A5649"/>
    <w:rsid w:val="007A6765"/>
    <w:rsid w:val="007A6D94"/>
    <w:rsid w:val="007A7AA3"/>
    <w:rsid w:val="007A7AA7"/>
    <w:rsid w:val="007B086D"/>
    <w:rsid w:val="007B0930"/>
    <w:rsid w:val="007B095E"/>
    <w:rsid w:val="007B0B29"/>
    <w:rsid w:val="007B24A9"/>
    <w:rsid w:val="007B375C"/>
    <w:rsid w:val="007B3DB6"/>
    <w:rsid w:val="007B4A40"/>
    <w:rsid w:val="007B53B1"/>
    <w:rsid w:val="007B57FC"/>
    <w:rsid w:val="007B67B3"/>
    <w:rsid w:val="007B6AF6"/>
    <w:rsid w:val="007B6EAD"/>
    <w:rsid w:val="007B7E30"/>
    <w:rsid w:val="007C0787"/>
    <w:rsid w:val="007C1D83"/>
    <w:rsid w:val="007C289F"/>
    <w:rsid w:val="007C29D2"/>
    <w:rsid w:val="007C2A41"/>
    <w:rsid w:val="007C2DE2"/>
    <w:rsid w:val="007C2DF8"/>
    <w:rsid w:val="007C3A26"/>
    <w:rsid w:val="007C3D17"/>
    <w:rsid w:val="007C4433"/>
    <w:rsid w:val="007C4875"/>
    <w:rsid w:val="007C4A63"/>
    <w:rsid w:val="007C5559"/>
    <w:rsid w:val="007C58B6"/>
    <w:rsid w:val="007C7CE0"/>
    <w:rsid w:val="007C7F45"/>
    <w:rsid w:val="007D0188"/>
    <w:rsid w:val="007D0857"/>
    <w:rsid w:val="007D11B8"/>
    <w:rsid w:val="007D143C"/>
    <w:rsid w:val="007D15B9"/>
    <w:rsid w:val="007D15C1"/>
    <w:rsid w:val="007D24CD"/>
    <w:rsid w:val="007D2529"/>
    <w:rsid w:val="007D26C7"/>
    <w:rsid w:val="007D2E73"/>
    <w:rsid w:val="007D3587"/>
    <w:rsid w:val="007D35E7"/>
    <w:rsid w:val="007D42D2"/>
    <w:rsid w:val="007D59C7"/>
    <w:rsid w:val="007D5DC0"/>
    <w:rsid w:val="007D5F3B"/>
    <w:rsid w:val="007D6D09"/>
    <w:rsid w:val="007D76F6"/>
    <w:rsid w:val="007D782C"/>
    <w:rsid w:val="007D7BB7"/>
    <w:rsid w:val="007D7EEA"/>
    <w:rsid w:val="007E050D"/>
    <w:rsid w:val="007E0A06"/>
    <w:rsid w:val="007E20BF"/>
    <w:rsid w:val="007E2AFE"/>
    <w:rsid w:val="007E366F"/>
    <w:rsid w:val="007E3C27"/>
    <w:rsid w:val="007E45D0"/>
    <w:rsid w:val="007E4A0A"/>
    <w:rsid w:val="007E4DDC"/>
    <w:rsid w:val="007E4F2C"/>
    <w:rsid w:val="007E596F"/>
    <w:rsid w:val="007E5A90"/>
    <w:rsid w:val="007E60ED"/>
    <w:rsid w:val="007E6442"/>
    <w:rsid w:val="007E6476"/>
    <w:rsid w:val="007E7459"/>
    <w:rsid w:val="007F05EF"/>
    <w:rsid w:val="007F0C0B"/>
    <w:rsid w:val="007F12CE"/>
    <w:rsid w:val="007F12FA"/>
    <w:rsid w:val="007F1464"/>
    <w:rsid w:val="007F1485"/>
    <w:rsid w:val="007F19C5"/>
    <w:rsid w:val="007F2890"/>
    <w:rsid w:val="007F2930"/>
    <w:rsid w:val="007F2E53"/>
    <w:rsid w:val="007F2EFC"/>
    <w:rsid w:val="007F3D80"/>
    <w:rsid w:val="007F4A8B"/>
    <w:rsid w:val="007F4F39"/>
    <w:rsid w:val="007F56DD"/>
    <w:rsid w:val="007F5E13"/>
    <w:rsid w:val="007F5F97"/>
    <w:rsid w:val="007F6255"/>
    <w:rsid w:val="007F6EC1"/>
    <w:rsid w:val="007F6F00"/>
    <w:rsid w:val="007F7570"/>
    <w:rsid w:val="007F75A4"/>
    <w:rsid w:val="007F7AB7"/>
    <w:rsid w:val="00800335"/>
    <w:rsid w:val="008004D4"/>
    <w:rsid w:val="00800BB6"/>
    <w:rsid w:val="00800ECF"/>
    <w:rsid w:val="008010F1"/>
    <w:rsid w:val="008018D8"/>
    <w:rsid w:val="008022C2"/>
    <w:rsid w:val="008031C6"/>
    <w:rsid w:val="00803F0C"/>
    <w:rsid w:val="00804488"/>
    <w:rsid w:val="008050CA"/>
    <w:rsid w:val="00805339"/>
    <w:rsid w:val="008057CE"/>
    <w:rsid w:val="0080634D"/>
    <w:rsid w:val="008104CC"/>
    <w:rsid w:val="00810B7E"/>
    <w:rsid w:val="00810E52"/>
    <w:rsid w:val="008110C5"/>
    <w:rsid w:val="00811B15"/>
    <w:rsid w:val="00812DE5"/>
    <w:rsid w:val="00813E75"/>
    <w:rsid w:val="00814E9F"/>
    <w:rsid w:val="00815C5D"/>
    <w:rsid w:val="008161B5"/>
    <w:rsid w:val="00816512"/>
    <w:rsid w:val="00816590"/>
    <w:rsid w:val="0081686D"/>
    <w:rsid w:val="008169EF"/>
    <w:rsid w:val="00816A46"/>
    <w:rsid w:val="00816CCC"/>
    <w:rsid w:val="00816EBA"/>
    <w:rsid w:val="00816FD4"/>
    <w:rsid w:val="00820689"/>
    <w:rsid w:val="0082124D"/>
    <w:rsid w:val="0082179C"/>
    <w:rsid w:val="00822270"/>
    <w:rsid w:val="0082235E"/>
    <w:rsid w:val="00823A0F"/>
    <w:rsid w:val="00823AFD"/>
    <w:rsid w:val="00823F15"/>
    <w:rsid w:val="00824324"/>
    <w:rsid w:val="00824684"/>
    <w:rsid w:val="00824A79"/>
    <w:rsid w:val="00824ABF"/>
    <w:rsid w:val="00825407"/>
    <w:rsid w:val="00825432"/>
    <w:rsid w:val="0082563C"/>
    <w:rsid w:val="00825913"/>
    <w:rsid w:val="008267A1"/>
    <w:rsid w:val="008269CA"/>
    <w:rsid w:val="00826D6D"/>
    <w:rsid w:val="00826F55"/>
    <w:rsid w:val="00827275"/>
    <w:rsid w:val="008274DD"/>
    <w:rsid w:val="00827826"/>
    <w:rsid w:val="00827948"/>
    <w:rsid w:val="008303C6"/>
    <w:rsid w:val="00831935"/>
    <w:rsid w:val="00832C51"/>
    <w:rsid w:val="00832C96"/>
    <w:rsid w:val="00833017"/>
    <w:rsid w:val="00833B99"/>
    <w:rsid w:val="008344CE"/>
    <w:rsid w:val="00834992"/>
    <w:rsid w:val="00835266"/>
    <w:rsid w:val="008357B8"/>
    <w:rsid w:val="00836188"/>
    <w:rsid w:val="0083625C"/>
    <w:rsid w:val="00837005"/>
    <w:rsid w:val="0084044D"/>
    <w:rsid w:val="0084088A"/>
    <w:rsid w:val="00840970"/>
    <w:rsid w:val="00840D74"/>
    <w:rsid w:val="00841651"/>
    <w:rsid w:val="00841B8E"/>
    <w:rsid w:val="00842222"/>
    <w:rsid w:val="008429C1"/>
    <w:rsid w:val="00843106"/>
    <w:rsid w:val="0084337A"/>
    <w:rsid w:val="008433E7"/>
    <w:rsid w:val="008437CA"/>
    <w:rsid w:val="008438E1"/>
    <w:rsid w:val="00843CC6"/>
    <w:rsid w:val="00845C35"/>
    <w:rsid w:val="00845FAD"/>
    <w:rsid w:val="008460B7"/>
    <w:rsid w:val="008462D3"/>
    <w:rsid w:val="008466EA"/>
    <w:rsid w:val="00847029"/>
    <w:rsid w:val="00847069"/>
    <w:rsid w:val="008472F4"/>
    <w:rsid w:val="00847BAB"/>
    <w:rsid w:val="008503EC"/>
    <w:rsid w:val="008504B1"/>
    <w:rsid w:val="00850C48"/>
    <w:rsid w:val="0085103A"/>
    <w:rsid w:val="00851C7B"/>
    <w:rsid w:val="00852392"/>
    <w:rsid w:val="00852715"/>
    <w:rsid w:val="00852E04"/>
    <w:rsid w:val="00853181"/>
    <w:rsid w:val="008533B3"/>
    <w:rsid w:val="0085363D"/>
    <w:rsid w:val="008547F6"/>
    <w:rsid w:val="00854999"/>
    <w:rsid w:val="00854AE7"/>
    <w:rsid w:val="008565DE"/>
    <w:rsid w:val="0085664D"/>
    <w:rsid w:val="00857172"/>
    <w:rsid w:val="008572AD"/>
    <w:rsid w:val="008579F6"/>
    <w:rsid w:val="00857EB1"/>
    <w:rsid w:val="00860190"/>
    <w:rsid w:val="008601D6"/>
    <w:rsid w:val="008618AC"/>
    <w:rsid w:val="00861BDB"/>
    <w:rsid w:val="00861C9A"/>
    <w:rsid w:val="00862EA3"/>
    <w:rsid w:val="00863B28"/>
    <w:rsid w:val="00864089"/>
    <w:rsid w:val="0086415D"/>
    <w:rsid w:val="008641A4"/>
    <w:rsid w:val="008644C6"/>
    <w:rsid w:val="008648F1"/>
    <w:rsid w:val="008657A9"/>
    <w:rsid w:val="00865B08"/>
    <w:rsid w:val="00866937"/>
    <w:rsid w:val="008677E9"/>
    <w:rsid w:val="00867D0B"/>
    <w:rsid w:val="008704ED"/>
    <w:rsid w:val="00870BFA"/>
    <w:rsid w:val="00872832"/>
    <w:rsid w:val="00872BA2"/>
    <w:rsid w:val="00872F4D"/>
    <w:rsid w:val="00873872"/>
    <w:rsid w:val="0087404E"/>
    <w:rsid w:val="00874B36"/>
    <w:rsid w:val="00874F65"/>
    <w:rsid w:val="008755E8"/>
    <w:rsid w:val="008758DB"/>
    <w:rsid w:val="008765DA"/>
    <w:rsid w:val="00877DE9"/>
    <w:rsid w:val="0088083B"/>
    <w:rsid w:val="00880A91"/>
    <w:rsid w:val="0088106E"/>
    <w:rsid w:val="008810F0"/>
    <w:rsid w:val="00881521"/>
    <w:rsid w:val="008821A5"/>
    <w:rsid w:val="00882617"/>
    <w:rsid w:val="0088266A"/>
    <w:rsid w:val="00882964"/>
    <w:rsid w:val="00882B91"/>
    <w:rsid w:val="008841FE"/>
    <w:rsid w:val="0088426C"/>
    <w:rsid w:val="00884861"/>
    <w:rsid w:val="00884EBC"/>
    <w:rsid w:val="00885C3F"/>
    <w:rsid w:val="00886516"/>
    <w:rsid w:val="00887AE1"/>
    <w:rsid w:val="00887F50"/>
    <w:rsid w:val="00890784"/>
    <w:rsid w:val="00891318"/>
    <w:rsid w:val="00891F46"/>
    <w:rsid w:val="008920F2"/>
    <w:rsid w:val="0089248A"/>
    <w:rsid w:val="008924BD"/>
    <w:rsid w:val="00892A79"/>
    <w:rsid w:val="00892F75"/>
    <w:rsid w:val="008931A3"/>
    <w:rsid w:val="00894514"/>
    <w:rsid w:val="0089570A"/>
    <w:rsid w:val="00895D02"/>
    <w:rsid w:val="00895F31"/>
    <w:rsid w:val="008964B8"/>
    <w:rsid w:val="0089697B"/>
    <w:rsid w:val="00896AA5"/>
    <w:rsid w:val="00897613"/>
    <w:rsid w:val="008A0B6E"/>
    <w:rsid w:val="008A0DD1"/>
    <w:rsid w:val="008A171D"/>
    <w:rsid w:val="008A19EC"/>
    <w:rsid w:val="008A2955"/>
    <w:rsid w:val="008A3068"/>
    <w:rsid w:val="008A30C1"/>
    <w:rsid w:val="008A33D6"/>
    <w:rsid w:val="008A3511"/>
    <w:rsid w:val="008A35BE"/>
    <w:rsid w:val="008A42CC"/>
    <w:rsid w:val="008A43EE"/>
    <w:rsid w:val="008A64AF"/>
    <w:rsid w:val="008A6EE5"/>
    <w:rsid w:val="008A727C"/>
    <w:rsid w:val="008A7E6E"/>
    <w:rsid w:val="008B0B9F"/>
    <w:rsid w:val="008B0D4B"/>
    <w:rsid w:val="008B2036"/>
    <w:rsid w:val="008B27CD"/>
    <w:rsid w:val="008B2AFC"/>
    <w:rsid w:val="008B319F"/>
    <w:rsid w:val="008B348B"/>
    <w:rsid w:val="008B3ABA"/>
    <w:rsid w:val="008B3EBC"/>
    <w:rsid w:val="008B44F6"/>
    <w:rsid w:val="008B4B1D"/>
    <w:rsid w:val="008B4DC0"/>
    <w:rsid w:val="008B5034"/>
    <w:rsid w:val="008B5481"/>
    <w:rsid w:val="008B55EC"/>
    <w:rsid w:val="008B5AE1"/>
    <w:rsid w:val="008B5B02"/>
    <w:rsid w:val="008B5BD2"/>
    <w:rsid w:val="008B7A8A"/>
    <w:rsid w:val="008C06F2"/>
    <w:rsid w:val="008C0D3E"/>
    <w:rsid w:val="008C15ED"/>
    <w:rsid w:val="008C1FC2"/>
    <w:rsid w:val="008C26A6"/>
    <w:rsid w:val="008C37D0"/>
    <w:rsid w:val="008C4BC2"/>
    <w:rsid w:val="008C4EDF"/>
    <w:rsid w:val="008C59C0"/>
    <w:rsid w:val="008C6CB9"/>
    <w:rsid w:val="008C6F23"/>
    <w:rsid w:val="008C7683"/>
    <w:rsid w:val="008C76A6"/>
    <w:rsid w:val="008D03C0"/>
    <w:rsid w:val="008D06A8"/>
    <w:rsid w:val="008D08F5"/>
    <w:rsid w:val="008D097A"/>
    <w:rsid w:val="008D14EC"/>
    <w:rsid w:val="008D18AB"/>
    <w:rsid w:val="008D3885"/>
    <w:rsid w:val="008D3D17"/>
    <w:rsid w:val="008D44D4"/>
    <w:rsid w:val="008D495D"/>
    <w:rsid w:val="008D5235"/>
    <w:rsid w:val="008D54C5"/>
    <w:rsid w:val="008D5662"/>
    <w:rsid w:val="008D5B49"/>
    <w:rsid w:val="008D63B1"/>
    <w:rsid w:val="008D6794"/>
    <w:rsid w:val="008D6C6C"/>
    <w:rsid w:val="008D7B92"/>
    <w:rsid w:val="008E0153"/>
    <w:rsid w:val="008E05EC"/>
    <w:rsid w:val="008E069F"/>
    <w:rsid w:val="008E094F"/>
    <w:rsid w:val="008E1188"/>
    <w:rsid w:val="008E1985"/>
    <w:rsid w:val="008E24C4"/>
    <w:rsid w:val="008E27A2"/>
    <w:rsid w:val="008E2992"/>
    <w:rsid w:val="008E2C02"/>
    <w:rsid w:val="008E383D"/>
    <w:rsid w:val="008E38DD"/>
    <w:rsid w:val="008E3AF7"/>
    <w:rsid w:val="008E3E7F"/>
    <w:rsid w:val="008E40A0"/>
    <w:rsid w:val="008E40E0"/>
    <w:rsid w:val="008E495A"/>
    <w:rsid w:val="008E5768"/>
    <w:rsid w:val="008E57C8"/>
    <w:rsid w:val="008E587B"/>
    <w:rsid w:val="008E73A2"/>
    <w:rsid w:val="008F092D"/>
    <w:rsid w:val="008F094A"/>
    <w:rsid w:val="008F0FD0"/>
    <w:rsid w:val="008F1847"/>
    <w:rsid w:val="008F18E3"/>
    <w:rsid w:val="008F1975"/>
    <w:rsid w:val="008F1992"/>
    <w:rsid w:val="008F1CE3"/>
    <w:rsid w:val="008F1EB2"/>
    <w:rsid w:val="008F20B5"/>
    <w:rsid w:val="008F2ECE"/>
    <w:rsid w:val="008F3183"/>
    <w:rsid w:val="008F32C1"/>
    <w:rsid w:val="008F3948"/>
    <w:rsid w:val="008F471E"/>
    <w:rsid w:val="008F4A82"/>
    <w:rsid w:val="008F4B82"/>
    <w:rsid w:val="008F599D"/>
    <w:rsid w:val="008F7897"/>
    <w:rsid w:val="0090093D"/>
    <w:rsid w:val="009012B1"/>
    <w:rsid w:val="00901558"/>
    <w:rsid w:val="00901CBE"/>
    <w:rsid w:val="00902197"/>
    <w:rsid w:val="00902749"/>
    <w:rsid w:val="00902FB0"/>
    <w:rsid w:val="00904438"/>
    <w:rsid w:val="00905EA6"/>
    <w:rsid w:val="0090712D"/>
    <w:rsid w:val="0090791D"/>
    <w:rsid w:val="0090797E"/>
    <w:rsid w:val="00907C57"/>
    <w:rsid w:val="00910677"/>
    <w:rsid w:val="009106DC"/>
    <w:rsid w:val="00910BFC"/>
    <w:rsid w:val="00911468"/>
    <w:rsid w:val="009117BA"/>
    <w:rsid w:val="00911B01"/>
    <w:rsid w:val="00911D09"/>
    <w:rsid w:val="00912652"/>
    <w:rsid w:val="0091393A"/>
    <w:rsid w:val="00913978"/>
    <w:rsid w:val="00913CC3"/>
    <w:rsid w:val="00913F15"/>
    <w:rsid w:val="009142B6"/>
    <w:rsid w:val="0091468D"/>
    <w:rsid w:val="00914B94"/>
    <w:rsid w:val="00915175"/>
    <w:rsid w:val="0091561A"/>
    <w:rsid w:val="009157E5"/>
    <w:rsid w:val="0091619C"/>
    <w:rsid w:val="009161C5"/>
    <w:rsid w:val="00916530"/>
    <w:rsid w:val="0091654C"/>
    <w:rsid w:val="009170D5"/>
    <w:rsid w:val="00917D42"/>
    <w:rsid w:val="00917E96"/>
    <w:rsid w:val="00917F96"/>
    <w:rsid w:val="00920AE3"/>
    <w:rsid w:val="009214E8"/>
    <w:rsid w:val="009217AA"/>
    <w:rsid w:val="00922105"/>
    <w:rsid w:val="00923FFF"/>
    <w:rsid w:val="009240D9"/>
    <w:rsid w:val="009247A8"/>
    <w:rsid w:val="00925310"/>
    <w:rsid w:val="00926049"/>
    <w:rsid w:val="00926105"/>
    <w:rsid w:val="009269D1"/>
    <w:rsid w:val="00926A61"/>
    <w:rsid w:val="00926B82"/>
    <w:rsid w:val="0092753A"/>
    <w:rsid w:val="00927A20"/>
    <w:rsid w:val="00927F07"/>
    <w:rsid w:val="00932195"/>
    <w:rsid w:val="009330CC"/>
    <w:rsid w:val="00933423"/>
    <w:rsid w:val="009334D6"/>
    <w:rsid w:val="009338D3"/>
    <w:rsid w:val="00933935"/>
    <w:rsid w:val="009341E3"/>
    <w:rsid w:val="0093549B"/>
    <w:rsid w:val="0093589C"/>
    <w:rsid w:val="00936426"/>
    <w:rsid w:val="00936536"/>
    <w:rsid w:val="00936955"/>
    <w:rsid w:val="00936E4D"/>
    <w:rsid w:val="0093763D"/>
    <w:rsid w:val="009376E2"/>
    <w:rsid w:val="009377E3"/>
    <w:rsid w:val="009379C6"/>
    <w:rsid w:val="00937B70"/>
    <w:rsid w:val="009401FF"/>
    <w:rsid w:val="0094246E"/>
    <w:rsid w:val="0094248A"/>
    <w:rsid w:val="009434FD"/>
    <w:rsid w:val="00943B95"/>
    <w:rsid w:val="00944701"/>
    <w:rsid w:val="00945909"/>
    <w:rsid w:val="00945917"/>
    <w:rsid w:val="00945B01"/>
    <w:rsid w:val="00945CD1"/>
    <w:rsid w:val="00946658"/>
    <w:rsid w:val="009478DC"/>
    <w:rsid w:val="00947FD5"/>
    <w:rsid w:val="00950038"/>
    <w:rsid w:val="00950E97"/>
    <w:rsid w:val="0095320A"/>
    <w:rsid w:val="00955641"/>
    <w:rsid w:val="00955814"/>
    <w:rsid w:val="00955DC9"/>
    <w:rsid w:val="009572E2"/>
    <w:rsid w:val="00957409"/>
    <w:rsid w:val="0095797B"/>
    <w:rsid w:val="00960C64"/>
    <w:rsid w:val="00960F20"/>
    <w:rsid w:val="009612FF"/>
    <w:rsid w:val="009619D1"/>
    <w:rsid w:val="00961C14"/>
    <w:rsid w:val="009626DF"/>
    <w:rsid w:val="00962DEE"/>
    <w:rsid w:val="00963BFC"/>
    <w:rsid w:val="00964081"/>
    <w:rsid w:val="00964512"/>
    <w:rsid w:val="009647ED"/>
    <w:rsid w:val="0096521C"/>
    <w:rsid w:val="00965903"/>
    <w:rsid w:val="00965909"/>
    <w:rsid w:val="00966022"/>
    <w:rsid w:val="0096721B"/>
    <w:rsid w:val="009711D9"/>
    <w:rsid w:val="009714EC"/>
    <w:rsid w:val="00971B06"/>
    <w:rsid w:val="009720A7"/>
    <w:rsid w:val="00972597"/>
    <w:rsid w:val="0097266A"/>
    <w:rsid w:val="009735C3"/>
    <w:rsid w:val="00974B25"/>
    <w:rsid w:val="0097520E"/>
    <w:rsid w:val="009756FB"/>
    <w:rsid w:val="00975A6E"/>
    <w:rsid w:val="00976556"/>
    <w:rsid w:val="0097680B"/>
    <w:rsid w:val="009800DC"/>
    <w:rsid w:val="0098058F"/>
    <w:rsid w:val="00983D4E"/>
    <w:rsid w:val="0098599C"/>
    <w:rsid w:val="00986A83"/>
    <w:rsid w:val="009872F2"/>
    <w:rsid w:val="009879F0"/>
    <w:rsid w:val="00987ACD"/>
    <w:rsid w:val="00990AF1"/>
    <w:rsid w:val="0099105C"/>
    <w:rsid w:val="00991681"/>
    <w:rsid w:val="00991DD4"/>
    <w:rsid w:val="00991E88"/>
    <w:rsid w:val="009924AD"/>
    <w:rsid w:val="00992598"/>
    <w:rsid w:val="00992CBC"/>
    <w:rsid w:val="00992FC6"/>
    <w:rsid w:val="00993799"/>
    <w:rsid w:val="00993C59"/>
    <w:rsid w:val="00993E85"/>
    <w:rsid w:val="00993FD7"/>
    <w:rsid w:val="009946FF"/>
    <w:rsid w:val="00994D88"/>
    <w:rsid w:val="009956B6"/>
    <w:rsid w:val="009956FC"/>
    <w:rsid w:val="00995C2E"/>
    <w:rsid w:val="00995D06"/>
    <w:rsid w:val="00996D67"/>
    <w:rsid w:val="009978CA"/>
    <w:rsid w:val="00997E7A"/>
    <w:rsid w:val="009A00B2"/>
    <w:rsid w:val="009A030A"/>
    <w:rsid w:val="009A0B1E"/>
    <w:rsid w:val="009A0DE8"/>
    <w:rsid w:val="009A1195"/>
    <w:rsid w:val="009A1AB5"/>
    <w:rsid w:val="009A2784"/>
    <w:rsid w:val="009A2FB9"/>
    <w:rsid w:val="009A4143"/>
    <w:rsid w:val="009A43D7"/>
    <w:rsid w:val="009A45DA"/>
    <w:rsid w:val="009A4A10"/>
    <w:rsid w:val="009A5069"/>
    <w:rsid w:val="009A567E"/>
    <w:rsid w:val="009A59E8"/>
    <w:rsid w:val="009A5C12"/>
    <w:rsid w:val="009A78F0"/>
    <w:rsid w:val="009A9269"/>
    <w:rsid w:val="009B0A51"/>
    <w:rsid w:val="009B0B7F"/>
    <w:rsid w:val="009B0E8F"/>
    <w:rsid w:val="009B2EF4"/>
    <w:rsid w:val="009B3737"/>
    <w:rsid w:val="009B3FB2"/>
    <w:rsid w:val="009B403F"/>
    <w:rsid w:val="009B456A"/>
    <w:rsid w:val="009B480E"/>
    <w:rsid w:val="009B5585"/>
    <w:rsid w:val="009B58FF"/>
    <w:rsid w:val="009B5CF5"/>
    <w:rsid w:val="009B6368"/>
    <w:rsid w:val="009B7204"/>
    <w:rsid w:val="009C011B"/>
    <w:rsid w:val="009C13C8"/>
    <w:rsid w:val="009C259C"/>
    <w:rsid w:val="009C3F84"/>
    <w:rsid w:val="009C531A"/>
    <w:rsid w:val="009C5730"/>
    <w:rsid w:val="009C7403"/>
    <w:rsid w:val="009C7682"/>
    <w:rsid w:val="009D0170"/>
    <w:rsid w:val="009D08FB"/>
    <w:rsid w:val="009D1704"/>
    <w:rsid w:val="009D1732"/>
    <w:rsid w:val="009D1A00"/>
    <w:rsid w:val="009D1FA3"/>
    <w:rsid w:val="009D2300"/>
    <w:rsid w:val="009D233E"/>
    <w:rsid w:val="009D40A3"/>
    <w:rsid w:val="009D458A"/>
    <w:rsid w:val="009D482B"/>
    <w:rsid w:val="009D49F2"/>
    <w:rsid w:val="009D4D79"/>
    <w:rsid w:val="009D534F"/>
    <w:rsid w:val="009D5429"/>
    <w:rsid w:val="009D749F"/>
    <w:rsid w:val="009D7533"/>
    <w:rsid w:val="009D7807"/>
    <w:rsid w:val="009D7A27"/>
    <w:rsid w:val="009D7B29"/>
    <w:rsid w:val="009E12A1"/>
    <w:rsid w:val="009E27C1"/>
    <w:rsid w:val="009E2A0C"/>
    <w:rsid w:val="009E3D77"/>
    <w:rsid w:val="009E4DD0"/>
    <w:rsid w:val="009E546F"/>
    <w:rsid w:val="009E5B6E"/>
    <w:rsid w:val="009E62F2"/>
    <w:rsid w:val="009E670F"/>
    <w:rsid w:val="009E68BB"/>
    <w:rsid w:val="009E694A"/>
    <w:rsid w:val="009E69C7"/>
    <w:rsid w:val="009E6D09"/>
    <w:rsid w:val="009E7814"/>
    <w:rsid w:val="009E793A"/>
    <w:rsid w:val="009E7B88"/>
    <w:rsid w:val="009F0160"/>
    <w:rsid w:val="009F01FD"/>
    <w:rsid w:val="009F0EB8"/>
    <w:rsid w:val="009F24E1"/>
    <w:rsid w:val="009F33B5"/>
    <w:rsid w:val="009F3778"/>
    <w:rsid w:val="009F3B89"/>
    <w:rsid w:val="009F46AB"/>
    <w:rsid w:val="009F6507"/>
    <w:rsid w:val="009F6E84"/>
    <w:rsid w:val="009F70E9"/>
    <w:rsid w:val="009F7C84"/>
    <w:rsid w:val="009F7CAF"/>
    <w:rsid w:val="009F7E0D"/>
    <w:rsid w:val="00A0002E"/>
    <w:rsid w:val="00A00163"/>
    <w:rsid w:val="00A002A4"/>
    <w:rsid w:val="00A00585"/>
    <w:rsid w:val="00A0070C"/>
    <w:rsid w:val="00A01BD0"/>
    <w:rsid w:val="00A02BA7"/>
    <w:rsid w:val="00A030C7"/>
    <w:rsid w:val="00A03780"/>
    <w:rsid w:val="00A0481F"/>
    <w:rsid w:val="00A07D64"/>
    <w:rsid w:val="00A118B5"/>
    <w:rsid w:val="00A13452"/>
    <w:rsid w:val="00A137BF"/>
    <w:rsid w:val="00A13F46"/>
    <w:rsid w:val="00A144E3"/>
    <w:rsid w:val="00A14B07"/>
    <w:rsid w:val="00A159DB"/>
    <w:rsid w:val="00A15A48"/>
    <w:rsid w:val="00A16E8F"/>
    <w:rsid w:val="00A20010"/>
    <w:rsid w:val="00A20C41"/>
    <w:rsid w:val="00A22FBE"/>
    <w:rsid w:val="00A23851"/>
    <w:rsid w:val="00A239F1"/>
    <w:rsid w:val="00A23E66"/>
    <w:rsid w:val="00A24397"/>
    <w:rsid w:val="00A2511D"/>
    <w:rsid w:val="00A2541F"/>
    <w:rsid w:val="00A2619E"/>
    <w:rsid w:val="00A26753"/>
    <w:rsid w:val="00A30B43"/>
    <w:rsid w:val="00A30EA5"/>
    <w:rsid w:val="00A310C4"/>
    <w:rsid w:val="00A32E9D"/>
    <w:rsid w:val="00A33E39"/>
    <w:rsid w:val="00A348C0"/>
    <w:rsid w:val="00A35E89"/>
    <w:rsid w:val="00A36890"/>
    <w:rsid w:val="00A36AC2"/>
    <w:rsid w:val="00A36B06"/>
    <w:rsid w:val="00A370BD"/>
    <w:rsid w:val="00A37E65"/>
    <w:rsid w:val="00A40012"/>
    <w:rsid w:val="00A40055"/>
    <w:rsid w:val="00A402C8"/>
    <w:rsid w:val="00A40338"/>
    <w:rsid w:val="00A409DE"/>
    <w:rsid w:val="00A40D0F"/>
    <w:rsid w:val="00A42456"/>
    <w:rsid w:val="00A433F0"/>
    <w:rsid w:val="00A43D33"/>
    <w:rsid w:val="00A44601"/>
    <w:rsid w:val="00A44DC5"/>
    <w:rsid w:val="00A4503C"/>
    <w:rsid w:val="00A45BFF"/>
    <w:rsid w:val="00A45D0E"/>
    <w:rsid w:val="00A45DE2"/>
    <w:rsid w:val="00A460BE"/>
    <w:rsid w:val="00A4619A"/>
    <w:rsid w:val="00A47472"/>
    <w:rsid w:val="00A476E4"/>
    <w:rsid w:val="00A50A42"/>
    <w:rsid w:val="00A50B19"/>
    <w:rsid w:val="00A51E20"/>
    <w:rsid w:val="00A51E75"/>
    <w:rsid w:val="00A53289"/>
    <w:rsid w:val="00A537F5"/>
    <w:rsid w:val="00A54A46"/>
    <w:rsid w:val="00A54C45"/>
    <w:rsid w:val="00A55A04"/>
    <w:rsid w:val="00A55F45"/>
    <w:rsid w:val="00A56B0C"/>
    <w:rsid w:val="00A56E8B"/>
    <w:rsid w:val="00A57357"/>
    <w:rsid w:val="00A57570"/>
    <w:rsid w:val="00A60386"/>
    <w:rsid w:val="00A60576"/>
    <w:rsid w:val="00A60C33"/>
    <w:rsid w:val="00A61324"/>
    <w:rsid w:val="00A6214B"/>
    <w:rsid w:val="00A625A9"/>
    <w:rsid w:val="00A626E7"/>
    <w:rsid w:val="00A62853"/>
    <w:rsid w:val="00A64884"/>
    <w:rsid w:val="00A64B9F"/>
    <w:rsid w:val="00A6563A"/>
    <w:rsid w:val="00A65AB5"/>
    <w:rsid w:val="00A66010"/>
    <w:rsid w:val="00A66D19"/>
    <w:rsid w:val="00A67129"/>
    <w:rsid w:val="00A67237"/>
    <w:rsid w:val="00A67835"/>
    <w:rsid w:val="00A679CC"/>
    <w:rsid w:val="00A71E68"/>
    <w:rsid w:val="00A72114"/>
    <w:rsid w:val="00A7239E"/>
    <w:rsid w:val="00A72FAC"/>
    <w:rsid w:val="00A73CD0"/>
    <w:rsid w:val="00A74A4D"/>
    <w:rsid w:val="00A7513B"/>
    <w:rsid w:val="00A75359"/>
    <w:rsid w:val="00A755B9"/>
    <w:rsid w:val="00A759A7"/>
    <w:rsid w:val="00A76371"/>
    <w:rsid w:val="00A770C1"/>
    <w:rsid w:val="00A772E9"/>
    <w:rsid w:val="00A77340"/>
    <w:rsid w:val="00A80968"/>
    <w:rsid w:val="00A80C3A"/>
    <w:rsid w:val="00A80CF6"/>
    <w:rsid w:val="00A8151F"/>
    <w:rsid w:val="00A81819"/>
    <w:rsid w:val="00A82328"/>
    <w:rsid w:val="00A8282E"/>
    <w:rsid w:val="00A82F37"/>
    <w:rsid w:val="00A83072"/>
    <w:rsid w:val="00A83401"/>
    <w:rsid w:val="00A835B6"/>
    <w:rsid w:val="00A83C5B"/>
    <w:rsid w:val="00A841D2"/>
    <w:rsid w:val="00A844C8"/>
    <w:rsid w:val="00A86102"/>
    <w:rsid w:val="00A86232"/>
    <w:rsid w:val="00A8623C"/>
    <w:rsid w:val="00A868AD"/>
    <w:rsid w:val="00A90BEB"/>
    <w:rsid w:val="00A92856"/>
    <w:rsid w:val="00A9357E"/>
    <w:rsid w:val="00A936CA"/>
    <w:rsid w:val="00A93A30"/>
    <w:rsid w:val="00A94457"/>
    <w:rsid w:val="00A949E7"/>
    <w:rsid w:val="00A94BC0"/>
    <w:rsid w:val="00A95176"/>
    <w:rsid w:val="00A951CB"/>
    <w:rsid w:val="00A95D61"/>
    <w:rsid w:val="00A95EE0"/>
    <w:rsid w:val="00A963E2"/>
    <w:rsid w:val="00A96A1B"/>
    <w:rsid w:val="00AA0C4A"/>
    <w:rsid w:val="00AA130F"/>
    <w:rsid w:val="00AA13C1"/>
    <w:rsid w:val="00AA15A8"/>
    <w:rsid w:val="00AA1915"/>
    <w:rsid w:val="00AA1F09"/>
    <w:rsid w:val="00AA214B"/>
    <w:rsid w:val="00AA250B"/>
    <w:rsid w:val="00AA3112"/>
    <w:rsid w:val="00AA393E"/>
    <w:rsid w:val="00AA3BD4"/>
    <w:rsid w:val="00AA4796"/>
    <w:rsid w:val="00AA4C59"/>
    <w:rsid w:val="00AA5014"/>
    <w:rsid w:val="00AA5B24"/>
    <w:rsid w:val="00AA62EE"/>
    <w:rsid w:val="00AA74E0"/>
    <w:rsid w:val="00AA792C"/>
    <w:rsid w:val="00AB000C"/>
    <w:rsid w:val="00AB092B"/>
    <w:rsid w:val="00AB1E5A"/>
    <w:rsid w:val="00AB214D"/>
    <w:rsid w:val="00AB3321"/>
    <w:rsid w:val="00AB3766"/>
    <w:rsid w:val="00AB4523"/>
    <w:rsid w:val="00AB4817"/>
    <w:rsid w:val="00AB565B"/>
    <w:rsid w:val="00AB57CB"/>
    <w:rsid w:val="00AB661C"/>
    <w:rsid w:val="00AB66F3"/>
    <w:rsid w:val="00AB764F"/>
    <w:rsid w:val="00AC02D0"/>
    <w:rsid w:val="00AC0778"/>
    <w:rsid w:val="00AC0AA8"/>
    <w:rsid w:val="00AC0B4F"/>
    <w:rsid w:val="00AC0C69"/>
    <w:rsid w:val="00AC0FC4"/>
    <w:rsid w:val="00AC15EB"/>
    <w:rsid w:val="00AC1732"/>
    <w:rsid w:val="00AC19C7"/>
    <w:rsid w:val="00AC1DA4"/>
    <w:rsid w:val="00AC200E"/>
    <w:rsid w:val="00AC3CC2"/>
    <w:rsid w:val="00AC5292"/>
    <w:rsid w:val="00AC59D2"/>
    <w:rsid w:val="00AC7C61"/>
    <w:rsid w:val="00AD1121"/>
    <w:rsid w:val="00AD25E8"/>
    <w:rsid w:val="00AD2EBA"/>
    <w:rsid w:val="00AD2FD3"/>
    <w:rsid w:val="00AD3F1F"/>
    <w:rsid w:val="00AD42A8"/>
    <w:rsid w:val="00AD54B9"/>
    <w:rsid w:val="00AD58F0"/>
    <w:rsid w:val="00AD5E4A"/>
    <w:rsid w:val="00AD6083"/>
    <w:rsid w:val="00AD6251"/>
    <w:rsid w:val="00AD6CC8"/>
    <w:rsid w:val="00AD6CCA"/>
    <w:rsid w:val="00AD75AE"/>
    <w:rsid w:val="00AD782C"/>
    <w:rsid w:val="00AD7ED3"/>
    <w:rsid w:val="00AE0127"/>
    <w:rsid w:val="00AE0AF2"/>
    <w:rsid w:val="00AE10EE"/>
    <w:rsid w:val="00AE17B9"/>
    <w:rsid w:val="00AE290C"/>
    <w:rsid w:val="00AE2ED4"/>
    <w:rsid w:val="00AE2FF0"/>
    <w:rsid w:val="00AE39DE"/>
    <w:rsid w:val="00AE5993"/>
    <w:rsid w:val="00AE5B74"/>
    <w:rsid w:val="00AE7E34"/>
    <w:rsid w:val="00AE7F2B"/>
    <w:rsid w:val="00AF046B"/>
    <w:rsid w:val="00AF0ADE"/>
    <w:rsid w:val="00AF1997"/>
    <w:rsid w:val="00AF1EB4"/>
    <w:rsid w:val="00AF270E"/>
    <w:rsid w:val="00AF3453"/>
    <w:rsid w:val="00AF35AB"/>
    <w:rsid w:val="00AF35F9"/>
    <w:rsid w:val="00AF4337"/>
    <w:rsid w:val="00AF4AE5"/>
    <w:rsid w:val="00AF53FB"/>
    <w:rsid w:val="00AF5947"/>
    <w:rsid w:val="00AF6E16"/>
    <w:rsid w:val="00AFEF15"/>
    <w:rsid w:val="00B0039B"/>
    <w:rsid w:val="00B008AB"/>
    <w:rsid w:val="00B00EDB"/>
    <w:rsid w:val="00B0188B"/>
    <w:rsid w:val="00B02337"/>
    <w:rsid w:val="00B027D5"/>
    <w:rsid w:val="00B04339"/>
    <w:rsid w:val="00B043B7"/>
    <w:rsid w:val="00B04946"/>
    <w:rsid w:val="00B04A1E"/>
    <w:rsid w:val="00B04C37"/>
    <w:rsid w:val="00B05975"/>
    <w:rsid w:val="00B0696F"/>
    <w:rsid w:val="00B06976"/>
    <w:rsid w:val="00B07768"/>
    <w:rsid w:val="00B1066A"/>
    <w:rsid w:val="00B10D65"/>
    <w:rsid w:val="00B10D9F"/>
    <w:rsid w:val="00B10EB0"/>
    <w:rsid w:val="00B112DD"/>
    <w:rsid w:val="00B11A20"/>
    <w:rsid w:val="00B11B73"/>
    <w:rsid w:val="00B13EC5"/>
    <w:rsid w:val="00B13F49"/>
    <w:rsid w:val="00B1428F"/>
    <w:rsid w:val="00B15340"/>
    <w:rsid w:val="00B155F3"/>
    <w:rsid w:val="00B156D2"/>
    <w:rsid w:val="00B15F39"/>
    <w:rsid w:val="00B1724A"/>
    <w:rsid w:val="00B2177B"/>
    <w:rsid w:val="00B233B4"/>
    <w:rsid w:val="00B237F4"/>
    <w:rsid w:val="00B241A3"/>
    <w:rsid w:val="00B24767"/>
    <w:rsid w:val="00B24862"/>
    <w:rsid w:val="00B24927"/>
    <w:rsid w:val="00B250D3"/>
    <w:rsid w:val="00B25193"/>
    <w:rsid w:val="00B26127"/>
    <w:rsid w:val="00B266AD"/>
    <w:rsid w:val="00B27F28"/>
    <w:rsid w:val="00B308C6"/>
    <w:rsid w:val="00B32200"/>
    <w:rsid w:val="00B32452"/>
    <w:rsid w:val="00B32980"/>
    <w:rsid w:val="00B32CCB"/>
    <w:rsid w:val="00B33514"/>
    <w:rsid w:val="00B337A8"/>
    <w:rsid w:val="00B34AC7"/>
    <w:rsid w:val="00B34CEB"/>
    <w:rsid w:val="00B3527E"/>
    <w:rsid w:val="00B36194"/>
    <w:rsid w:val="00B36665"/>
    <w:rsid w:val="00B3709E"/>
    <w:rsid w:val="00B379BC"/>
    <w:rsid w:val="00B4050F"/>
    <w:rsid w:val="00B40E7E"/>
    <w:rsid w:val="00B410F2"/>
    <w:rsid w:val="00B42089"/>
    <w:rsid w:val="00B4251E"/>
    <w:rsid w:val="00B4356B"/>
    <w:rsid w:val="00B43DD5"/>
    <w:rsid w:val="00B44772"/>
    <w:rsid w:val="00B44F74"/>
    <w:rsid w:val="00B450BB"/>
    <w:rsid w:val="00B4522F"/>
    <w:rsid w:val="00B456FC"/>
    <w:rsid w:val="00B45BD1"/>
    <w:rsid w:val="00B4610D"/>
    <w:rsid w:val="00B46C1E"/>
    <w:rsid w:val="00B470A2"/>
    <w:rsid w:val="00B5028C"/>
    <w:rsid w:val="00B510A0"/>
    <w:rsid w:val="00B512D6"/>
    <w:rsid w:val="00B514A6"/>
    <w:rsid w:val="00B51A3D"/>
    <w:rsid w:val="00B51EF2"/>
    <w:rsid w:val="00B51F6C"/>
    <w:rsid w:val="00B52488"/>
    <w:rsid w:val="00B5249E"/>
    <w:rsid w:val="00B52909"/>
    <w:rsid w:val="00B52C26"/>
    <w:rsid w:val="00B54DEF"/>
    <w:rsid w:val="00B55964"/>
    <w:rsid w:val="00B56EE6"/>
    <w:rsid w:val="00B60821"/>
    <w:rsid w:val="00B6086A"/>
    <w:rsid w:val="00B60B5B"/>
    <w:rsid w:val="00B60DBF"/>
    <w:rsid w:val="00B6157E"/>
    <w:rsid w:val="00B61E6A"/>
    <w:rsid w:val="00B62195"/>
    <w:rsid w:val="00B62FA6"/>
    <w:rsid w:val="00B63A20"/>
    <w:rsid w:val="00B63B7C"/>
    <w:rsid w:val="00B6478F"/>
    <w:rsid w:val="00B64AAC"/>
    <w:rsid w:val="00B6514A"/>
    <w:rsid w:val="00B669C4"/>
    <w:rsid w:val="00B66AEB"/>
    <w:rsid w:val="00B66D69"/>
    <w:rsid w:val="00B706B6"/>
    <w:rsid w:val="00B70AC0"/>
    <w:rsid w:val="00B70DFF"/>
    <w:rsid w:val="00B70FB9"/>
    <w:rsid w:val="00B71FB2"/>
    <w:rsid w:val="00B726BB"/>
    <w:rsid w:val="00B72D68"/>
    <w:rsid w:val="00B7565C"/>
    <w:rsid w:val="00B762F4"/>
    <w:rsid w:val="00B7746A"/>
    <w:rsid w:val="00B77A7F"/>
    <w:rsid w:val="00B77D00"/>
    <w:rsid w:val="00B80724"/>
    <w:rsid w:val="00B80B8D"/>
    <w:rsid w:val="00B80CCE"/>
    <w:rsid w:val="00B80D0D"/>
    <w:rsid w:val="00B8102D"/>
    <w:rsid w:val="00B810BC"/>
    <w:rsid w:val="00B81522"/>
    <w:rsid w:val="00B81942"/>
    <w:rsid w:val="00B8222B"/>
    <w:rsid w:val="00B82427"/>
    <w:rsid w:val="00B8310D"/>
    <w:rsid w:val="00B8344A"/>
    <w:rsid w:val="00B834B7"/>
    <w:rsid w:val="00B83D4E"/>
    <w:rsid w:val="00B83F91"/>
    <w:rsid w:val="00B8418A"/>
    <w:rsid w:val="00B84ACB"/>
    <w:rsid w:val="00B84F97"/>
    <w:rsid w:val="00B859B2"/>
    <w:rsid w:val="00B85F2D"/>
    <w:rsid w:val="00B90920"/>
    <w:rsid w:val="00B90970"/>
    <w:rsid w:val="00B90ED0"/>
    <w:rsid w:val="00B90F51"/>
    <w:rsid w:val="00B91409"/>
    <w:rsid w:val="00B91F5A"/>
    <w:rsid w:val="00B9203C"/>
    <w:rsid w:val="00B929C7"/>
    <w:rsid w:val="00B93714"/>
    <w:rsid w:val="00B93742"/>
    <w:rsid w:val="00B93921"/>
    <w:rsid w:val="00B93B8F"/>
    <w:rsid w:val="00B93D74"/>
    <w:rsid w:val="00B93FBE"/>
    <w:rsid w:val="00B941B5"/>
    <w:rsid w:val="00B94AAC"/>
    <w:rsid w:val="00B955EE"/>
    <w:rsid w:val="00B961D9"/>
    <w:rsid w:val="00B966E7"/>
    <w:rsid w:val="00B97999"/>
    <w:rsid w:val="00B97D81"/>
    <w:rsid w:val="00BA0034"/>
    <w:rsid w:val="00BA0D23"/>
    <w:rsid w:val="00BA138D"/>
    <w:rsid w:val="00BA19FF"/>
    <w:rsid w:val="00BA1A69"/>
    <w:rsid w:val="00BA248E"/>
    <w:rsid w:val="00BA27E7"/>
    <w:rsid w:val="00BA2A10"/>
    <w:rsid w:val="00BA32FE"/>
    <w:rsid w:val="00BA3D58"/>
    <w:rsid w:val="00BA453D"/>
    <w:rsid w:val="00BA61A8"/>
    <w:rsid w:val="00BA64EB"/>
    <w:rsid w:val="00BA651E"/>
    <w:rsid w:val="00BA68EB"/>
    <w:rsid w:val="00BA76B5"/>
    <w:rsid w:val="00BA77F6"/>
    <w:rsid w:val="00BA7910"/>
    <w:rsid w:val="00BA7A39"/>
    <w:rsid w:val="00BA7D83"/>
    <w:rsid w:val="00BA7FB6"/>
    <w:rsid w:val="00BB0152"/>
    <w:rsid w:val="00BB0D5F"/>
    <w:rsid w:val="00BB11FA"/>
    <w:rsid w:val="00BB1434"/>
    <w:rsid w:val="00BB24D2"/>
    <w:rsid w:val="00BB2E28"/>
    <w:rsid w:val="00BB31DE"/>
    <w:rsid w:val="00BB392F"/>
    <w:rsid w:val="00BB3AA8"/>
    <w:rsid w:val="00BB4ED7"/>
    <w:rsid w:val="00BB5272"/>
    <w:rsid w:val="00BB529B"/>
    <w:rsid w:val="00BB5ABB"/>
    <w:rsid w:val="00BB5ED6"/>
    <w:rsid w:val="00BB6ED5"/>
    <w:rsid w:val="00BB79B2"/>
    <w:rsid w:val="00BC038C"/>
    <w:rsid w:val="00BC057E"/>
    <w:rsid w:val="00BC0611"/>
    <w:rsid w:val="00BC1395"/>
    <w:rsid w:val="00BC14F3"/>
    <w:rsid w:val="00BC1600"/>
    <w:rsid w:val="00BC1FC5"/>
    <w:rsid w:val="00BC217A"/>
    <w:rsid w:val="00BC2495"/>
    <w:rsid w:val="00BC2C2B"/>
    <w:rsid w:val="00BC386D"/>
    <w:rsid w:val="00BC3EB4"/>
    <w:rsid w:val="00BC3FFD"/>
    <w:rsid w:val="00BC4174"/>
    <w:rsid w:val="00BC4ED3"/>
    <w:rsid w:val="00BC505B"/>
    <w:rsid w:val="00BC5752"/>
    <w:rsid w:val="00BC5B63"/>
    <w:rsid w:val="00BC5F86"/>
    <w:rsid w:val="00BC6260"/>
    <w:rsid w:val="00BC6E64"/>
    <w:rsid w:val="00BC71A7"/>
    <w:rsid w:val="00BC79A7"/>
    <w:rsid w:val="00BD0808"/>
    <w:rsid w:val="00BD258D"/>
    <w:rsid w:val="00BD279F"/>
    <w:rsid w:val="00BD2E1A"/>
    <w:rsid w:val="00BD439D"/>
    <w:rsid w:val="00BD4744"/>
    <w:rsid w:val="00BD510D"/>
    <w:rsid w:val="00BD5A56"/>
    <w:rsid w:val="00BD62DA"/>
    <w:rsid w:val="00BD7647"/>
    <w:rsid w:val="00BD7808"/>
    <w:rsid w:val="00BD78F2"/>
    <w:rsid w:val="00BD79C4"/>
    <w:rsid w:val="00BE0709"/>
    <w:rsid w:val="00BE0CA8"/>
    <w:rsid w:val="00BE1549"/>
    <w:rsid w:val="00BE2A54"/>
    <w:rsid w:val="00BE37E2"/>
    <w:rsid w:val="00BE4AAD"/>
    <w:rsid w:val="00BE52A1"/>
    <w:rsid w:val="00BE5696"/>
    <w:rsid w:val="00BE643D"/>
    <w:rsid w:val="00BE753D"/>
    <w:rsid w:val="00BF0A1F"/>
    <w:rsid w:val="00BF0B1E"/>
    <w:rsid w:val="00BF0D2A"/>
    <w:rsid w:val="00BF0DFE"/>
    <w:rsid w:val="00BF1B54"/>
    <w:rsid w:val="00BF1B58"/>
    <w:rsid w:val="00BF2665"/>
    <w:rsid w:val="00BF3133"/>
    <w:rsid w:val="00BF3A65"/>
    <w:rsid w:val="00BF4B7E"/>
    <w:rsid w:val="00BF4FFE"/>
    <w:rsid w:val="00BF5A43"/>
    <w:rsid w:val="00BF5A64"/>
    <w:rsid w:val="00BF70F2"/>
    <w:rsid w:val="00BF746E"/>
    <w:rsid w:val="00C0104D"/>
    <w:rsid w:val="00C012CE"/>
    <w:rsid w:val="00C01515"/>
    <w:rsid w:val="00C019A6"/>
    <w:rsid w:val="00C029AA"/>
    <w:rsid w:val="00C02BA0"/>
    <w:rsid w:val="00C0335F"/>
    <w:rsid w:val="00C0361C"/>
    <w:rsid w:val="00C03636"/>
    <w:rsid w:val="00C03E50"/>
    <w:rsid w:val="00C04EB4"/>
    <w:rsid w:val="00C05FC4"/>
    <w:rsid w:val="00C06422"/>
    <w:rsid w:val="00C073C1"/>
    <w:rsid w:val="00C0753A"/>
    <w:rsid w:val="00C105C1"/>
    <w:rsid w:val="00C10F75"/>
    <w:rsid w:val="00C115AE"/>
    <w:rsid w:val="00C11B49"/>
    <w:rsid w:val="00C11DD3"/>
    <w:rsid w:val="00C12311"/>
    <w:rsid w:val="00C126E7"/>
    <w:rsid w:val="00C13A1C"/>
    <w:rsid w:val="00C14030"/>
    <w:rsid w:val="00C149BC"/>
    <w:rsid w:val="00C14B32"/>
    <w:rsid w:val="00C14C11"/>
    <w:rsid w:val="00C15173"/>
    <w:rsid w:val="00C15E2F"/>
    <w:rsid w:val="00C15F75"/>
    <w:rsid w:val="00C16371"/>
    <w:rsid w:val="00C16CBF"/>
    <w:rsid w:val="00C177B3"/>
    <w:rsid w:val="00C17A0C"/>
    <w:rsid w:val="00C20145"/>
    <w:rsid w:val="00C21397"/>
    <w:rsid w:val="00C21EEB"/>
    <w:rsid w:val="00C221FF"/>
    <w:rsid w:val="00C22529"/>
    <w:rsid w:val="00C228FD"/>
    <w:rsid w:val="00C23A8C"/>
    <w:rsid w:val="00C23D6A"/>
    <w:rsid w:val="00C23FB2"/>
    <w:rsid w:val="00C24AB4"/>
    <w:rsid w:val="00C24F76"/>
    <w:rsid w:val="00C273BC"/>
    <w:rsid w:val="00C276AC"/>
    <w:rsid w:val="00C3040B"/>
    <w:rsid w:val="00C3071B"/>
    <w:rsid w:val="00C30D5D"/>
    <w:rsid w:val="00C31A6B"/>
    <w:rsid w:val="00C3232F"/>
    <w:rsid w:val="00C32614"/>
    <w:rsid w:val="00C3515E"/>
    <w:rsid w:val="00C35598"/>
    <w:rsid w:val="00C356B4"/>
    <w:rsid w:val="00C356C7"/>
    <w:rsid w:val="00C35A01"/>
    <w:rsid w:val="00C361F5"/>
    <w:rsid w:val="00C36D7C"/>
    <w:rsid w:val="00C36DA7"/>
    <w:rsid w:val="00C370AB"/>
    <w:rsid w:val="00C37990"/>
    <w:rsid w:val="00C37A33"/>
    <w:rsid w:val="00C40726"/>
    <w:rsid w:val="00C41B2B"/>
    <w:rsid w:val="00C42D6A"/>
    <w:rsid w:val="00C42DD5"/>
    <w:rsid w:val="00C42F1F"/>
    <w:rsid w:val="00C43645"/>
    <w:rsid w:val="00C43719"/>
    <w:rsid w:val="00C438CA"/>
    <w:rsid w:val="00C4423B"/>
    <w:rsid w:val="00C4472E"/>
    <w:rsid w:val="00C44E4E"/>
    <w:rsid w:val="00C44EB8"/>
    <w:rsid w:val="00C461B4"/>
    <w:rsid w:val="00C46606"/>
    <w:rsid w:val="00C47B2A"/>
    <w:rsid w:val="00C50903"/>
    <w:rsid w:val="00C516B0"/>
    <w:rsid w:val="00C51A3E"/>
    <w:rsid w:val="00C520FC"/>
    <w:rsid w:val="00C521BD"/>
    <w:rsid w:val="00C522F8"/>
    <w:rsid w:val="00C534B0"/>
    <w:rsid w:val="00C53778"/>
    <w:rsid w:val="00C53C83"/>
    <w:rsid w:val="00C53E62"/>
    <w:rsid w:val="00C54382"/>
    <w:rsid w:val="00C5454D"/>
    <w:rsid w:val="00C546F2"/>
    <w:rsid w:val="00C552EF"/>
    <w:rsid w:val="00C557EB"/>
    <w:rsid w:val="00C57091"/>
    <w:rsid w:val="00C5750D"/>
    <w:rsid w:val="00C605D8"/>
    <w:rsid w:val="00C6064A"/>
    <w:rsid w:val="00C608A6"/>
    <w:rsid w:val="00C60997"/>
    <w:rsid w:val="00C60ACB"/>
    <w:rsid w:val="00C61B5A"/>
    <w:rsid w:val="00C61D08"/>
    <w:rsid w:val="00C62D05"/>
    <w:rsid w:val="00C62E67"/>
    <w:rsid w:val="00C63BE9"/>
    <w:rsid w:val="00C63E35"/>
    <w:rsid w:val="00C63E8C"/>
    <w:rsid w:val="00C647C7"/>
    <w:rsid w:val="00C64E6F"/>
    <w:rsid w:val="00C64F9C"/>
    <w:rsid w:val="00C652D6"/>
    <w:rsid w:val="00C65C17"/>
    <w:rsid w:val="00C65D4D"/>
    <w:rsid w:val="00C663C5"/>
    <w:rsid w:val="00C669A4"/>
    <w:rsid w:val="00C67AA6"/>
    <w:rsid w:val="00C67E09"/>
    <w:rsid w:val="00C67EB4"/>
    <w:rsid w:val="00C6A706"/>
    <w:rsid w:val="00C70B6C"/>
    <w:rsid w:val="00C70B97"/>
    <w:rsid w:val="00C71469"/>
    <w:rsid w:val="00C715E6"/>
    <w:rsid w:val="00C722D7"/>
    <w:rsid w:val="00C722EB"/>
    <w:rsid w:val="00C7265A"/>
    <w:rsid w:val="00C72CDA"/>
    <w:rsid w:val="00C72EBD"/>
    <w:rsid w:val="00C73FD1"/>
    <w:rsid w:val="00C7422E"/>
    <w:rsid w:val="00C757FB"/>
    <w:rsid w:val="00C76205"/>
    <w:rsid w:val="00C7622B"/>
    <w:rsid w:val="00C776F3"/>
    <w:rsid w:val="00C77B30"/>
    <w:rsid w:val="00C80006"/>
    <w:rsid w:val="00C81133"/>
    <w:rsid w:val="00C81E4F"/>
    <w:rsid w:val="00C82D8D"/>
    <w:rsid w:val="00C834B6"/>
    <w:rsid w:val="00C836E0"/>
    <w:rsid w:val="00C842D2"/>
    <w:rsid w:val="00C84698"/>
    <w:rsid w:val="00C85D29"/>
    <w:rsid w:val="00C86630"/>
    <w:rsid w:val="00C90E3B"/>
    <w:rsid w:val="00C914DB"/>
    <w:rsid w:val="00C91CAE"/>
    <w:rsid w:val="00C92019"/>
    <w:rsid w:val="00C9234B"/>
    <w:rsid w:val="00C934A7"/>
    <w:rsid w:val="00C9522E"/>
    <w:rsid w:val="00C953D9"/>
    <w:rsid w:val="00C95420"/>
    <w:rsid w:val="00C9559B"/>
    <w:rsid w:val="00C95F4D"/>
    <w:rsid w:val="00C960D8"/>
    <w:rsid w:val="00C97D02"/>
    <w:rsid w:val="00CA07DD"/>
    <w:rsid w:val="00CA0BC6"/>
    <w:rsid w:val="00CA0E24"/>
    <w:rsid w:val="00CA1B0A"/>
    <w:rsid w:val="00CA1D4D"/>
    <w:rsid w:val="00CA23A5"/>
    <w:rsid w:val="00CA2724"/>
    <w:rsid w:val="00CA2A70"/>
    <w:rsid w:val="00CA2AD2"/>
    <w:rsid w:val="00CA3987"/>
    <w:rsid w:val="00CA3D92"/>
    <w:rsid w:val="00CA43A1"/>
    <w:rsid w:val="00CA48B2"/>
    <w:rsid w:val="00CA4FE1"/>
    <w:rsid w:val="00CA62CA"/>
    <w:rsid w:val="00CA6D0B"/>
    <w:rsid w:val="00CA6F8A"/>
    <w:rsid w:val="00CA72AB"/>
    <w:rsid w:val="00CA78E6"/>
    <w:rsid w:val="00CA7B38"/>
    <w:rsid w:val="00CB0018"/>
    <w:rsid w:val="00CB0978"/>
    <w:rsid w:val="00CB0B26"/>
    <w:rsid w:val="00CB0F17"/>
    <w:rsid w:val="00CB107B"/>
    <w:rsid w:val="00CB15B8"/>
    <w:rsid w:val="00CB17C2"/>
    <w:rsid w:val="00CB22CD"/>
    <w:rsid w:val="00CB2B56"/>
    <w:rsid w:val="00CB2CD0"/>
    <w:rsid w:val="00CB2F8B"/>
    <w:rsid w:val="00CB3890"/>
    <w:rsid w:val="00CB38A0"/>
    <w:rsid w:val="00CB396D"/>
    <w:rsid w:val="00CB4C6E"/>
    <w:rsid w:val="00CB4E74"/>
    <w:rsid w:val="00CB5002"/>
    <w:rsid w:val="00CB59CE"/>
    <w:rsid w:val="00CB61B3"/>
    <w:rsid w:val="00CB768F"/>
    <w:rsid w:val="00CC09F6"/>
    <w:rsid w:val="00CC0E0E"/>
    <w:rsid w:val="00CC1259"/>
    <w:rsid w:val="00CC12D4"/>
    <w:rsid w:val="00CC1651"/>
    <w:rsid w:val="00CC17E7"/>
    <w:rsid w:val="00CC1A3D"/>
    <w:rsid w:val="00CC2684"/>
    <w:rsid w:val="00CC2AA0"/>
    <w:rsid w:val="00CC3234"/>
    <w:rsid w:val="00CC3A70"/>
    <w:rsid w:val="00CC4391"/>
    <w:rsid w:val="00CC44C9"/>
    <w:rsid w:val="00CC4741"/>
    <w:rsid w:val="00CC4FA0"/>
    <w:rsid w:val="00CC6E46"/>
    <w:rsid w:val="00CC7361"/>
    <w:rsid w:val="00CD001F"/>
    <w:rsid w:val="00CD1AB6"/>
    <w:rsid w:val="00CD1ABD"/>
    <w:rsid w:val="00CD1ECD"/>
    <w:rsid w:val="00CD2E0C"/>
    <w:rsid w:val="00CD379E"/>
    <w:rsid w:val="00CD37C2"/>
    <w:rsid w:val="00CD3C4D"/>
    <w:rsid w:val="00CD431B"/>
    <w:rsid w:val="00CD45EF"/>
    <w:rsid w:val="00CD4A0A"/>
    <w:rsid w:val="00CD4B1F"/>
    <w:rsid w:val="00CD5EFF"/>
    <w:rsid w:val="00CD694A"/>
    <w:rsid w:val="00CD74BD"/>
    <w:rsid w:val="00CD79B6"/>
    <w:rsid w:val="00CD7C40"/>
    <w:rsid w:val="00CD7E1D"/>
    <w:rsid w:val="00CD7ED0"/>
    <w:rsid w:val="00CE0383"/>
    <w:rsid w:val="00CE0537"/>
    <w:rsid w:val="00CE081E"/>
    <w:rsid w:val="00CE12DD"/>
    <w:rsid w:val="00CE155A"/>
    <w:rsid w:val="00CE1567"/>
    <w:rsid w:val="00CE299E"/>
    <w:rsid w:val="00CE2F0E"/>
    <w:rsid w:val="00CE358B"/>
    <w:rsid w:val="00CE362A"/>
    <w:rsid w:val="00CE3BC0"/>
    <w:rsid w:val="00CE3C49"/>
    <w:rsid w:val="00CE4ECE"/>
    <w:rsid w:val="00CE5688"/>
    <w:rsid w:val="00CE63A8"/>
    <w:rsid w:val="00CE66BC"/>
    <w:rsid w:val="00CE6B91"/>
    <w:rsid w:val="00CF005D"/>
    <w:rsid w:val="00CF034A"/>
    <w:rsid w:val="00CF07AF"/>
    <w:rsid w:val="00CF1065"/>
    <w:rsid w:val="00CF1496"/>
    <w:rsid w:val="00CF1678"/>
    <w:rsid w:val="00CF25B0"/>
    <w:rsid w:val="00CF39F4"/>
    <w:rsid w:val="00CF3F75"/>
    <w:rsid w:val="00CF5459"/>
    <w:rsid w:val="00CF583C"/>
    <w:rsid w:val="00CF5979"/>
    <w:rsid w:val="00CF6D10"/>
    <w:rsid w:val="00CF75A3"/>
    <w:rsid w:val="00CF7BC6"/>
    <w:rsid w:val="00D00C03"/>
    <w:rsid w:val="00D01553"/>
    <w:rsid w:val="00D01575"/>
    <w:rsid w:val="00D015CA"/>
    <w:rsid w:val="00D01F42"/>
    <w:rsid w:val="00D023E9"/>
    <w:rsid w:val="00D0326B"/>
    <w:rsid w:val="00D038A9"/>
    <w:rsid w:val="00D047AD"/>
    <w:rsid w:val="00D04B83"/>
    <w:rsid w:val="00D04E6A"/>
    <w:rsid w:val="00D068C9"/>
    <w:rsid w:val="00D06F89"/>
    <w:rsid w:val="00D07008"/>
    <w:rsid w:val="00D07186"/>
    <w:rsid w:val="00D07873"/>
    <w:rsid w:val="00D07B21"/>
    <w:rsid w:val="00D10B9E"/>
    <w:rsid w:val="00D1106B"/>
    <w:rsid w:val="00D1164B"/>
    <w:rsid w:val="00D11DD1"/>
    <w:rsid w:val="00D12A64"/>
    <w:rsid w:val="00D13169"/>
    <w:rsid w:val="00D132FE"/>
    <w:rsid w:val="00D13C73"/>
    <w:rsid w:val="00D13FD1"/>
    <w:rsid w:val="00D145C4"/>
    <w:rsid w:val="00D147D1"/>
    <w:rsid w:val="00D14B16"/>
    <w:rsid w:val="00D14F7E"/>
    <w:rsid w:val="00D162C8"/>
    <w:rsid w:val="00D16A8E"/>
    <w:rsid w:val="00D174CD"/>
    <w:rsid w:val="00D20607"/>
    <w:rsid w:val="00D20637"/>
    <w:rsid w:val="00D20F01"/>
    <w:rsid w:val="00D2135C"/>
    <w:rsid w:val="00D22535"/>
    <w:rsid w:val="00D22F3E"/>
    <w:rsid w:val="00D23161"/>
    <w:rsid w:val="00D2332A"/>
    <w:rsid w:val="00D23441"/>
    <w:rsid w:val="00D2357C"/>
    <w:rsid w:val="00D239DE"/>
    <w:rsid w:val="00D2447E"/>
    <w:rsid w:val="00D2580F"/>
    <w:rsid w:val="00D25C4F"/>
    <w:rsid w:val="00D2600A"/>
    <w:rsid w:val="00D2613E"/>
    <w:rsid w:val="00D26226"/>
    <w:rsid w:val="00D2639C"/>
    <w:rsid w:val="00D263B7"/>
    <w:rsid w:val="00D26D10"/>
    <w:rsid w:val="00D300D1"/>
    <w:rsid w:val="00D30201"/>
    <w:rsid w:val="00D302E3"/>
    <w:rsid w:val="00D30B11"/>
    <w:rsid w:val="00D30D91"/>
    <w:rsid w:val="00D30F82"/>
    <w:rsid w:val="00D319F5"/>
    <w:rsid w:val="00D342A6"/>
    <w:rsid w:val="00D34386"/>
    <w:rsid w:val="00D34C5F"/>
    <w:rsid w:val="00D360C2"/>
    <w:rsid w:val="00D36B7A"/>
    <w:rsid w:val="00D37948"/>
    <w:rsid w:val="00D42246"/>
    <w:rsid w:val="00D42882"/>
    <w:rsid w:val="00D4307D"/>
    <w:rsid w:val="00D4386B"/>
    <w:rsid w:val="00D44411"/>
    <w:rsid w:val="00D44852"/>
    <w:rsid w:val="00D45216"/>
    <w:rsid w:val="00D455AA"/>
    <w:rsid w:val="00D458CA"/>
    <w:rsid w:val="00D46BD1"/>
    <w:rsid w:val="00D475F8"/>
    <w:rsid w:val="00D47636"/>
    <w:rsid w:val="00D476AA"/>
    <w:rsid w:val="00D4771D"/>
    <w:rsid w:val="00D4776A"/>
    <w:rsid w:val="00D47AA1"/>
    <w:rsid w:val="00D47B07"/>
    <w:rsid w:val="00D47B34"/>
    <w:rsid w:val="00D47E5D"/>
    <w:rsid w:val="00D50EAE"/>
    <w:rsid w:val="00D50F4A"/>
    <w:rsid w:val="00D51348"/>
    <w:rsid w:val="00D5146F"/>
    <w:rsid w:val="00D52313"/>
    <w:rsid w:val="00D52432"/>
    <w:rsid w:val="00D5278E"/>
    <w:rsid w:val="00D53067"/>
    <w:rsid w:val="00D53248"/>
    <w:rsid w:val="00D541A8"/>
    <w:rsid w:val="00D54326"/>
    <w:rsid w:val="00D546D7"/>
    <w:rsid w:val="00D558D3"/>
    <w:rsid w:val="00D55B81"/>
    <w:rsid w:val="00D55D7B"/>
    <w:rsid w:val="00D5613D"/>
    <w:rsid w:val="00D56C2F"/>
    <w:rsid w:val="00D57D38"/>
    <w:rsid w:val="00D57EA3"/>
    <w:rsid w:val="00D60110"/>
    <w:rsid w:val="00D60ADC"/>
    <w:rsid w:val="00D60F15"/>
    <w:rsid w:val="00D61839"/>
    <w:rsid w:val="00D61A09"/>
    <w:rsid w:val="00D61A7D"/>
    <w:rsid w:val="00D61C80"/>
    <w:rsid w:val="00D625ED"/>
    <w:rsid w:val="00D62960"/>
    <w:rsid w:val="00D62BC1"/>
    <w:rsid w:val="00D63A15"/>
    <w:rsid w:val="00D63B20"/>
    <w:rsid w:val="00D63C9B"/>
    <w:rsid w:val="00D64064"/>
    <w:rsid w:val="00D648C1"/>
    <w:rsid w:val="00D652E5"/>
    <w:rsid w:val="00D662C7"/>
    <w:rsid w:val="00D675D4"/>
    <w:rsid w:val="00D7013D"/>
    <w:rsid w:val="00D70275"/>
    <w:rsid w:val="00D70C19"/>
    <w:rsid w:val="00D70CD2"/>
    <w:rsid w:val="00D70CFE"/>
    <w:rsid w:val="00D70E0C"/>
    <w:rsid w:val="00D71D0B"/>
    <w:rsid w:val="00D726C3"/>
    <w:rsid w:val="00D74023"/>
    <w:rsid w:val="00D744F0"/>
    <w:rsid w:val="00D74887"/>
    <w:rsid w:val="00D74CD9"/>
    <w:rsid w:val="00D75BE4"/>
    <w:rsid w:val="00D76055"/>
    <w:rsid w:val="00D761B2"/>
    <w:rsid w:val="00D7690A"/>
    <w:rsid w:val="00D80E24"/>
    <w:rsid w:val="00D80E3C"/>
    <w:rsid w:val="00D81DD7"/>
    <w:rsid w:val="00D81E19"/>
    <w:rsid w:val="00D82427"/>
    <w:rsid w:val="00D82450"/>
    <w:rsid w:val="00D8247F"/>
    <w:rsid w:val="00D8249E"/>
    <w:rsid w:val="00D830C3"/>
    <w:rsid w:val="00D83578"/>
    <w:rsid w:val="00D839C1"/>
    <w:rsid w:val="00D846A0"/>
    <w:rsid w:val="00D84D36"/>
    <w:rsid w:val="00D84D3E"/>
    <w:rsid w:val="00D8575A"/>
    <w:rsid w:val="00D859DA"/>
    <w:rsid w:val="00D861C6"/>
    <w:rsid w:val="00D86CBC"/>
    <w:rsid w:val="00D87974"/>
    <w:rsid w:val="00D90505"/>
    <w:rsid w:val="00D91847"/>
    <w:rsid w:val="00D92EDD"/>
    <w:rsid w:val="00D93406"/>
    <w:rsid w:val="00D935D0"/>
    <w:rsid w:val="00D93D51"/>
    <w:rsid w:val="00D942BB"/>
    <w:rsid w:val="00D9466E"/>
    <w:rsid w:val="00D9482C"/>
    <w:rsid w:val="00D94951"/>
    <w:rsid w:val="00D949B9"/>
    <w:rsid w:val="00D94AFB"/>
    <w:rsid w:val="00D94B7C"/>
    <w:rsid w:val="00D95F2A"/>
    <w:rsid w:val="00D96B13"/>
    <w:rsid w:val="00D97017"/>
    <w:rsid w:val="00D970D1"/>
    <w:rsid w:val="00D9758C"/>
    <w:rsid w:val="00D975E5"/>
    <w:rsid w:val="00D97E16"/>
    <w:rsid w:val="00DA06CF"/>
    <w:rsid w:val="00DA0EFF"/>
    <w:rsid w:val="00DA129A"/>
    <w:rsid w:val="00DA1619"/>
    <w:rsid w:val="00DA18BC"/>
    <w:rsid w:val="00DA18D2"/>
    <w:rsid w:val="00DA2ECD"/>
    <w:rsid w:val="00DA3310"/>
    <w:rsid w:val="00DA367C"/>
    <w:rsid w:val="00DA3932"/>
    <w:rsid w:val="00DA3B61"/>
    <w:rsid w:val="00DA3CA1"/>
    <w:rsid w:val="00DA4231"/>
    <w:rsid w:val="00DA5292"/>
    <w:rsid w:val="00DA5480"/>
    <w:rsid w:val="00DA5AD6"/>
    <w:rsid w:val="00DA5DBB"/>
    <w:rsid w:val="00DA6E19"/>
    <w:rsid w:val="00DB0284"/>
    <w:rsid w:val="00DB1139"/>
    <w:rsid w:val="00DB139C"/>
    <w:rsid w:val="00DB20D3"/>
    <w:rsid w:val="00DB266C"/>
    <w:rsid w:val="00DB28CF"/>
    <w:rsid w:val="00DB2E2C"/>
    <w:rsid w:val="00DB30B0"/>
    <w:rsid w:val="00DB43B7"/>
    <w:rsid w:val="00DB48E6"/>
    <w:rsid w:val="00DB4CE2"/>
    <w:rsid w:val="00DB5083"/>
    <w:rsid w:val="00DB5756"/>
    <w:rsid w:val="00DB5BF5"/>
    <w:rsid w:val="00DB65E6"/>
    <w:rsid w:val="00DC00FC"/>
    <w:rsid w:val="00DC1515"/>
    <w:rsid w:val="00DC1BFE"/>
    <w:rsid w:val="00DC279F"/>
    <w:rsid w:val="00DC27F7"/>
    <w:rsid w:val="00DC2B2A"/>
    <w:rsid w:val="00DC345C"/>
    <w:rsid w:val="00DC3B28"/>
    <w:rsid w:val="00DC487D"/>
    <w:rsid w:val="00DC504C"/>
    <w:rsid w:val="00DC5058"/>
    <w:rsid w:val="00DC51E9"/>
    <w:rsid w:val="00DC5D78"/>
    <w:rsid w:val="00DC6D2E"/>
    <w:rsid w:val="00DC7187"/>
    <w:rsid w:val="00DC74D3"/>
    <w:rsid w:val="00DC751C"/>
    <w:rsid w:val="00DC7C34"/>
    <w:rsid w:val="00DD079C"/>
    <w:rsid w:val="00DD0B38"/>
    <w:rsid w:val="00DD0D26"/>
    <w:rsid w:val="00DD3454"/>
    <w:rsid w:val="00DD3B15"/>
    <w:rsid w:val="00DD4133"/>
    <w:rsid w:val="00DD4201"/>
    <w:rsid w:val="00DD4526"/>
    <w:rsid w:val="00DD52CF"/>
    <w:rsid w:val="00DD5564"/>
    <w:rsid w:val="00DD5B8B"/>
    <w:rsid w:val="00DD5DE6"/>
    <w:rsid w:val="00DD6F3C"/>
    <w:rsid w:val="00DD770E"/>
    <w:rsid w:val="00DE0244"/>
    <w:rsid w:val="00DE04F0"/>
    <w:rsid w:val="00DE0538"/>
    <w:rsid w:val="00DE05EB"/>
    <w:rsid w:val="00DE166C"/>
    <w:rsid w:val="00DE294F"/>
    <w:rsid w:val="00DE2FED"/>
    <w:rsid w:val="00DE37A8"/>
    <w:rsid w:val="00DE461F"/>
    <w:rsid w:val="00DE483A"/>
    <w:rsid w:val="00DE49FE"/>
    <w:rsid w:val="00DE538A"/>
    <w:rsid w:val="00DE5A66"/>
    <w:rsid w:val="00DE5FCD"/>
    <w:rsid w:val="00DE60B7"/>
    <w:rsid w:val="00DE60E1"/>
    <w:rsid w:val="00DE66A5"/>
    <w:rsid w:val="00DE6A07"/>
    <w:rsid w:val="00DE6F3D"/>
    <w:rsid w:val="00DE7459"/>
    <w:rsid w:val="00DF18EC"/>
    <w:rsid w:val="00DF2B03"/>
    <w:rsid w:val="00DF3272"/>
    <w:rsid w:val="00DF39EF"/>
    <w:rsid w:val="00DF3F16"/>
    <w:rsid w:val="00DF4F68"/>
    <w:rsid w:val="00DF7050"/>
    <w:rsid w:val="00DF77D7"/>
    <w:rsid w:val="00E00925"/>
    <w:rsid w:val="00E01389"/>
    <w:rsid w:val="00E01819"/>
    <w:rsid w:val="00E018E9"/>
    <w:rsid w:val="00E01E89"/>
    <w:rsid w:val="00E020D3"/>
    <w:rsid w:val="00E02C38"/>
    <w:rsid w:val="00E03009"/>
    <w:rsid w:val="00E030EA"/>
    <w:rsid w:val="00E03BBD"/>
    <w:rsid w:val="00E03FCF"/>
    <w:rsid w:val="00E04218"/>
    <w:rsid w:val="00E04606"/>
    <w:rsid w:val="00E04D7C"/>
    <w:rsid w:val="00E05DA5"/>
    <w:rsid w:val="00E07607"/>
    <w:rsid w:val="00E0771E"/>
    <w:rsid w:val="00E07C69"/>
    <w:rsid w:val="00E10811"/>
    <w:rsid w:val="00E11132"/>
    <w:rsid w:val="00E11491"/>
    <w:rsid w:val="00E129F1"/>
    <w:rsid w:val="00E131B8"/>
    <w:rsid w:val="00E15F91"/>
    <w:rsid w:val="00E163D8"/>
    <w:rsid w:val="00E1663B"/>
    <w:rsid w:val="00E16E3B"/>
    <w:rsid w:val="00E2228C"/>
    <w:rsid w:val="00E227F2"/>
    <w:rsid w:val="00E22EE2"/>
    <w:rsid w:val="00E23AA6"/>
    <w:rsid w:val="00E240B4"/>
    <w:rsid w:val="00E24433"/>
    <w:rsid w:val="00E24EE5"/>
    <w:rsid w:val="00E2529C"/>
    <w:rsid w:val="00E258EF"/>
    <w:rsid w:val="00E2651E"/>
    <w:rsid w:val="00E26636"/>
    <w:rsid w:val="00E26D12"/>
    <w:rsid w:val="00E3044F"/>
    <w:rsid w:val="00E3098E"/>
    <w:rsid w:val="00E314B2"/>
    <w:rsid w:val="00E31DC3"/>
    <w:rsid w:val="00E32957"/>
    <w:rsid w:val="00E3396D"/>
    <w:rsid w:val="00E34011"/>
    <w:rsid w:val="00E34351"/>
    <w:rsid w:val="00E3451F"/>
    <w:rsid w:val="00E3515F"/>
    <w:rsid w:val="00E35552"/>
    <w:rsid w:val="00E35FA1"/>
    <w:rsid w:val="00E369DC"/>
    <w:rsid w:val="00E36A18"/>
    <w:rsid w:val="00E3739D"/>
    <w:rsid w:val="00E37DBB"/>
    <w:rsid w:val="00E37E53"/>
    <w:rsid w:val="00E40884"/>
    <w:rsid w:val="00E416C8"/>
    <w:rsid w:val="00E42CD4"/>
    <w:rsid w:val="00E43172"/>
    <w:rsid w:val="00E4343C"/>
    <w:rsid w:val="00E4368C"/>
    <w:rsid w:val="00E43C30"/>
    <w:rsid w:val="00E442FB"/>
    <w:rsid w:val="00E44314"/>
    <w:rsid w:val="00E452F0"/>
    <w:rsid w:val="00E45407"/>
    <w:rsid w:val="00E45CD2"/>
    <w:rsid w:val="00E45EF3"/>
    <w:rsid w:val="00E463D1"/>
    <w:rsid w:val="00E46658"/>
    <w:rsid w:val="00E4666B"/>
    <w:rsid w:val="00E46948"/>
    <w:rsid w:val="00E5010B"/>
    <w:rsid w:val="00E51E09"/>
    <w:rsid w:val="00E522C7"/>
    <w:rsid w:val="00E531BA"/>
    <w:rsid w:val="00E5325E"/>
    <w:rsid w:val="00E537CD"/>
    <w:rsid w:val="00E53A95"/>
    <w:rsid w:val="00E550CE"/>
    <w:rsid w:val="00E550E6"/>
    <w:rsid w:val="00E55495"/>
    <w:rsid w:val="00E55543"/>
    <w:rsid w:val="00E566C7"/>
    <w:rsid w:val="00E56C9A"/>
    <w:rsid w:val="00E5754B"/>
    <w:rsid w:val="00E57A76"/>
    <w:rsid w:val="00E57D85"/>
    <w:rsid w:val="00E60176"/>
    <w:rsid w:val="00E601D9"/>
    <w:rsid w:val="00E60C5B"/>
    <w:rsid w:val="00E60EEA"/>
    <w:rsid w:val="00E61467"/>
    <w:rsid w:val="00E6279F"/>
    <w:rsid w:val="00E63549"/>
    <w:rsid w:val="00E63F9D"/>
    <w:rsid w:val="00E6454B"/>
    <w:rsid w:val="00E65314"/>
    <w:rsid w:val="00E65721"/>
    <w:rsid w:val="00E65E3A"/>
    <w:rsid w:val="00E66229"/>
    <w:rsid w:val="00E676BD"/>
    <w:rsid w:val="00E67F48"/>
    <w:rsid w:val="00E7024F"/>
    <w:rsid w:val="00E7054B"/>
    <w:rsid w:val="00E70EB8"/>
    <w:rsid w:val="00E712C5"/>
    <w:rsid w:val="00E71318"/>
    <w:rsid w:val="00E719B4"/>
    <w:rsid w:val="00E720FC"/>
    <w:rsid w:val="00E73963"/>
    <w:rsid w:val="00E73CA0"/>
    <w:rsid w:val="00E7402F"/>
    <w:rsid w:val="00E74D32"/>
    <w:rsid w:val="00E74F64"/>
    <w:rsid w:val="00E775FC"/>
    <w:rsid w:val="00E7778F"/>
    <w:rsid w:val="00E802DE"/>
    <w:rsid w:val="00E814E0"/>
    <w:rsid w:val="00E815CB"/>
    <w:rsid w:val="00E819B3"/>
    <w:rsid w:val="00E81C7D"/>
    <w:rsid w:val="00E81FAE"/>
    <w:rsid w:val="00E827E3"/>
    <w:rsid w:val="00E82A18"/>
    <w:rsid w:val="00E836F0"/>
    <w:rsid w:val="00E83AC9"/>
    <w:rsid w:val="00E8506E"/>
    <w:rsid w:val="00E85A77"/>
    <w:rsid w:val="00E861C4"/>
    <w:rsid w:val="00E862B4"/>
    <w:rsid w:val="00E863B0"/>
    <w:rsid w:val="00E863C3"/>
    <w:rsid w:val="00E86A48"/>
    <w:rsid w:val="00E8738C"/>
    <w:rsid w:val="00E87F4C"/>
    <w:rsid w:val="00E90CEE"/>
    <w:rsid w:val="00E91EF3"/>
    <w:rsid w:val="00E92BB5"/>
    <w:rsid w:val="00E93670"/>
    <w:rsid w:val="00E93B66"/>
    <w:rsid w:val="00E93CDA"/>
    <w:rsid w:val="00E93DD3"/>
    <w:rsid w:val="00E94470"/>
    <w:rsid w:val="00E94B16"/>
    <w:rsid w:val="00E956FF"/>
    <w:rsid w:val="00E958B0"/>
    <w:rsid w:val="00E95ADF"/>
    <w:rsid w:val="00E95C27"/>
    <w:rsid w:val="00E965D4"/>
    <w:rsid w:val="00E977E9"/>
    <w:rsid w:val="00E97A49"/>
    <w:rsid w:val="00EA0376"/>
    <w:rsid w:val="00EA0A15"/>
    <w:rsid w:val="00EA0D04"/>
    <w:rsid w:val="00EA152A"/>
    <w:rsid w:val="00EA1740"/>
    <w:rsid w:val="00EA2352"/>
    <w:rsid w:val="00EA24BF"/>
    <w:rsid w:val="00EA29DD"/>
    <w:rsid w:val="00EA4561"/>
    <w:rsid w:val="00EA4CE6"/>
    <w:rsid w:val="00EA4EC6"/>
    <w:rsid w:val="00EA4F4A"/>
    <w:rsid w:val="00EA57EF"/>
    <w:rsid w:val="00EA602A"/>
    <w:rsid w:val="00EA639C"/>
    <w:rsid w:val="00EA6E60"/>
    <w:rsid w:val="00EA70D0"/>
    <w:rsid w:val="00EA7358"/>
    <w:rsid w:val="00EB0404"/>
    <w:rsid w:val="00EB0495"/>
    <w:rsid w:val="00EB0AF8"/>
    <w:rsid w:val="00EB0BC7"/>
    <w:rsid w:val="00EB0CB5"/>
    <w:rsid w:val="00EB167D"/>
    <w:rsid w:val="00EB1D8F"/>
    <w:rsid w:val="00EB21A4"/>
    <w:rsid w:val="00EB21E4"/>
    <w:rsid w:val="00EB27A5"/>
    <w:rsid w:val="00EB2831"/>
    <w:rsid w:val="00EB2AD6"/>
    <w:rsid w:val="00EB39F6"/>
    <w:rsid w:val="00EB3EE9"/>
    <w:rsid w:val="00EB5C2F"/>
    <w:rsid w:val="00EB64C6"/>
    <w:rsid w:val="00EB7AAB"/>
    <w:rsid w:val="00EC0230"/>
    <w:rsid w:val="00EC0E7D"/>
    <w:rsid w:val="00EC0FF6"/>
    <w:rsid w:val="00EC1050"/>
    <w:rsid w:val="00EC1620"/>
    <w:rsid w:val="00EC1B30"/>
    <w:rsid w:val="00EC2173"/>
    <w:rsid w:val="00EC236C"/>
    <w:rsid w:val="00EC240B"/>
    <w:rsid w:val="00EC292D"/>
    <w:rsid w:val="00EC2E62"/>
    <w:rsid w:val="00EC2F3E"/>
    <w:rsid w:val="00EC3D50"/>
    <w:rsid w:val="00EC4EEF"/>
    <w:rsid w:val="00EC555E"/>
    <w:rsid w:val="00EC5C54"/>
    <w:rsid w:val="00EC63B7"/>
    <w:rsid w:val="00EC656A"/>
    <w:rsid w:val="00EC6ACB"/>
    <w:rsid w:val="00EC7604"/>
    <w:rsid w:val="00EC7EFA"/>
    <w:rsid w:val="00ED0079"/>
    <w:rsid w:val="00ED00DE"/>
    <w:rsid w:val="00ED02EE"/>
    <w:rsid w:val="00ED0F7C"/>
    <w:rsid w:val="00ED1340"/>
    <w:rsid w:val="00ED1CBB"/>
    <w:rsid w:val="00ED1E7C"/>
    <w:rsid w:val="00ED3885"/>
    <w:rsid w:val="00ED3E2F"/>
    <w:rsid w:val="00ED3E5B"/>
    <w:rsid w:val="00ED43F1"/>
    <w:rsid w:val="00ED4574"/>
    <w:rsid w:val="00ED5007"/>
    <w:rsid w:val="00ED52FC"/>
    <w:rsid w:val="00ED540D"/>
    <w:rsid w:val="00ED63FF"/>
    <w:rsid w:val="00ED67BA"/>
    <w:rsid w:val="00ED6BF0"/>
    <w:rsid w:val="00EE07BB"/>
    <w:rsid w:val="00EE07E9"/>
    <w:rsid w:val="00EE1CB2"/>
    <w:rsid w:val="00EE3F37"/>
    <w:rsid w:val="00EE4196"/>
    <w:rsid w:val="00EE60AD"/>
    <w:rsid w:val="00EE67E4"/>
    <w:rsid w:val="00EE6851"/>
    <w:rsid w:val="00EE6B41"/>
    <w:rsid w:val="00EE73DC"/>
    <w:rsid w:val="00EE7635"/>
    <w:rsid w:val="00EF10B1"/>
    <w:rsid w:val="00EF1C24"/>
    <w:rsid w:val="00EF26B0"/>
    <w:rsid w:val="00EF3ACD"/>
    <w:rsid w:val="00EF4636"/>
    <w:rsid w:val="00EF5234"/>
    <w:rsid w:val="00EF5666"/>
    <w:rsid w:val="00EF6A7A"/>
    <w:rsid w:val="00EF71FE"/>
    <w:rsid w:val="00EF7314"/>
    <w:rsid w:val="00EF7353"/>
    <w:rsid w:val="00EF7B81"/>
    <w:rsid w:val="00F0010D"/>
    <w:rsid w:val="00F001DE"/>
    <w:rsid w:val="00F00D58"/>
    <w:rsid w:val="00F0125F"/>
    <w:rsid w:val="00F018A1"/>
    <w:rsid w:val="00F01C36"/>
    <w:rsid w:val="00F023F5"/>
    <w:rsid w:val="00F05045"/>
    <w:rsid w:val="00F05B81"/>
    <w:rsid w:val="00F070CA"/>
    <w:rsid w:val="00F07346"/>
    <w:rsid w:val="00F07883"/>
    <w:rsid w:val="00F079BE"/>
    <w:rsid w:val="00F079EF"/>
    <w:rsid w:val="00F10691"/>
    <w:rsid w:val="00F10E37"/>
    <w:rsid w:val="00F10F23"/>
    <w:rsid w:val="00F11047"/>
    <w:rsid w:val="00F1156B"/>
    <w:rsid w:val="00F11AE1"/>
    <w:rsid w:val="00F11FEA"/>
    <w:rsid w:val="00F12D7F"/>
    <w:rsid w:val="00F12E5B"/>
    <w:rsid w:val="00F14D38"/>
    <w:rsid w:val="00F15CDA"/>
    <w:rsid w:val="00F15F62"/>
    <w:rsid w:val="00F16622"/>
    <w:rsid w:val="00F168B4"/>
    <w:rsid w:val="00F17083"/>
    <w:rsid w:val="00F172E0"/>
    <w:rsid w:val="00F17F4B"/>
    <w:rsid w:val="00F208F6"/>
    <w:rsid w:val="00F20D7A"/>
    <w:rsid w:val="00F2132E"/>
    <w:rsid w:val="00F21BB4"/>
    <w:rsid w:val="00F230E4"/>
    <w:rsid w:val="00F234C6"/>
    <w:rsid w:val="00F23715"/>
    <w:rsid w:val="00F2394A"/>
    <w:rsid w:val="00F24CA9"/>
    <w:rsid w:val="00F304DC"/>
    <w:rsid w:val="00F30FFB"/>
    <w:rsid w:val="00F313FD"/>
    <w:rsid w:val="00F314F3"/>
    <w:rsid w:val="00F31BFD"/>
    <w:rsid w:val="00F32352"/>
    <w:rsid w:val="00F3249E"/>
    <w:rsid w:val="00F333F9"/>
    <w:rsid w:val="00F33466"/>
    <w:rsid w:val="00F3470E"/>
    <w:rsid w:val="00F34D22"/>
    <w:rsid w:val="00F352B3"/>
    <w:rsid w:val="00F354E1"/>
    <w:rsid w:val="00F35778"/>
    <w:rsid w:val="00F3579E"/>
    <w:rsid w:val="00F35A09"/>
    <w:rsid w:val="00F361D0"/>
    <w:rsid w:val="00F37370"/>
    <w:rsid w:val="00F37860"/>
    <w:rsid w:val="00F40361"/>
    <w:rsid w:val="00F40B72"/>
    <w:rsid w:val="00F40CFC"/>
    <w:rsid w:val="00F41CCC"/>
    <w:rsid w:val="00F42B1B"/>
    <w:rsid w:val="00F43314"/>
    <w:rsid w:val="00F43651"/>
    <w:rsid w:val="00F43C51"/>
    <w:rsid w:val="00F43DD7"/>
    <w:rsid w:val="00F44686"/>
    <w:rsid w:val="00F44A87"/>
    <w:rsid w:val="00F46851"/>
    <w:rsid w:val="00F46F27"/>
    <w:rsid w:val="00F47D31"/>
    <w:rsid w:val="00F47F6B"/>
    <w:rsid w:val="00F47FE9"/>
    <w:rsid w:val="00F5057A"/>
    <w:rsid w:val="00F5169E"/>
    <w:rsid w:val="00F519D9"/>
    <w:rsid w:val="00F522C4"/>
    <w:rsid w:val="00F530A1"/>
    <w:rsid w:val="00F531CB"/>
    <w:rsid w:val="00F5397C"/>
    <w:rsid w:val="00F53AA3"/>
    <w:rsid w:val="00F53DAF"/>
    <w:rsid w:val="00F540EE"/>
    <w:rsid w:val="00F54A19"/>
    <w:rsid w:val="00F54C0C"/>
    <w:rsid w:val="00F557C9"/>
    <w:rsid w:val="00F55A7A"/>
    <w:rsid w:val="00F55B76"/>
    <w:rsid w:val="00F55BB0"/>
    <w:rsid w:val="00F55E08"/>
    <w:rsid w:val="00F56E66"/>
    <w:rsid w:val="00F575A8"/>
    <w:rsid w:val="00F57CD9"/>
    <w:rsid w:val="00F60000"/>
    <w:rsid w:val="00F60B0F"/>
    <w:rsid w:val="00F60CC8"/>
    <w:rsid w:val="00F60EB2"/>
    <w:rsid w:val="00F60F1C"/>
    <w:rsid w:val="00F6157D"/>
    <w:rsid w:val="00F61F7A"/>
    <w:rsid w:val="00F62E58"/>
    <w:rsid w:val="00F642BF"/>
    <w:rsid w:val="00F645E2"/>
    <w:rsid w:val="00F6498C"/>
    <w:rsid w:val="00F64FAA"/>
    <w:rsid w:val="00F65700"/>
    <w:rsid w:val="00F659D5"/>
    <w:rsid w:val="00F65D72"/>
    <w:rsid w:val="00F65E80"/>
    <w:rsid w:val="00F671FC"/>
    <w:rsid w:val="00F67573"/>
    <w:rsid w:val="00F70B47"/>
    <w:rsid w:val="00F71095"/>
    <w:rsid w:val="00F7124D"/>
    <w:rsid w:val="00F71743"/>
    <w:rsid w:val="00F71874"/>
    <w:rsid w:val="00F7254D"/>
    <w:rsid w:val="00F72F13"/>
    <w:rsid w:val="00F75D24"/>
    <w:rsid w:val="00F8011D"/>
    <w:rsid w:val="00F80FDE"/>
    <w:rsid w:val="00F81F90"/>
    <w:rsid w:val="00F8265A"/>
    <w:rsid w:val="00F82AD0"/>
    <w:rsid w:val="00F83E2D"/>
    <w:rsid w:val="00F83EBA"/>
    <w:rsid w:val="00F84254"/>
    <w:rsid w:val="00F8445B"/>
    <w:rsid w:val="00F844D4"/>
    <w:rsid w:val="00F844F3"/>
    <w:rsid w:val="00F855BC"/>
    <w:rsid w:val="00F857A7"/>
    <w:rsid w:val="00F86923"/>
    <w:rsid w:val="00F872DD"/>
    <w:rsid w:val="00F8730B"/>
    <w:rsid w:val="00F8776C"/>
    <w:rsid w:val="00F8C60D"/>
    <w:rsid w:val="00F9087B"/>
    <w:rsid w:val="00F90DCD"/>
    <w:rsid w:val="00F9154C"/>
    <w:rsid w:val="00F91951"/>
    <w:rsid w:val="00F924FB"/>
    <w:rsid w:val="00F9306F"/>
    <w:rsid w:val="00F93286"/>
    <w:rsid w:val="00F937AB"/>
    <w:rsid w:val="00F94392"/>
    <w:rsid w:val="00F94905"/>
    <w:rsid w:val="00F95639"/>
    <w:rsid w:val="00F97A74"/>
    <w:rsid w:val="00F97FD3"/>
    <w:rsid w:val="00FA13D4"/>
    <w:rsid w:val="00FA2628"/>
    <w:rsid w:val="00FA333B"/>
    <w:rsid w:val="00FA3B53"/>
    <w:rsid w:val="00FA4041"/>
    <w:rsid w:val="00FA4D7A"/>
    <w:rsid w:val="00FA617C"/>
    <w:rsid w:val="00FA637C"/>
    <w:rsid w:val="00FA6D15"/>
    <w:rsid w:val="00FA7289"/>
    <w:rsid w:val="00FB057D"/>
    <w:rsid w:val="00FB0DEF"/>
    <w:rsid w:val="00FB1255"/>
    <w:rsid w:val="00FB1BD1"/>
    <w:rsid w:val="00FB1F39"/>
    <w:rsid w:val="00FB2321"/>
    <w:rsid w:val="00FB482B"/>
    <w:rsid w:val="00FB48D3"/>
    <w:rsid w:val="00FB4FAE"/>
    <w:rsid w:val="00FB51DE"/>
    <w:rsid w:val="00FB527C"/>
    <w:rsid w:val="00FB6525"/>
    <w:rsid w:val="00FB6C77"/>
    <w:rsid w:val="00FB6D60"/>
    <w:rsid w:val="00FB7FEF"/>
    <w:rsid w:val="00FC0BB3"/>
    <w:rsid w:val="00FC1248"/>
    <w:rsid w:val="00FC15DB"/>
    <w:rsid w:val="00FC19CD"/>
    <w:rsid w:val="00FC32F0"/>
    <w:rsid w:val="00FC38E3"/>
    <w:rsid w:val="00FC3B4F"/>
    <w:rsid w:val="00FC3F7E"/>
    <w:rsid w:val="00FC4362"/>
    <w:rsid w:val="00FC45DD"/>
    <w:rsid w:val="00FC47C7"/>
    <w:rsid w:val="00FC57F2"/>
    <w:rsid w:val="00FC7158"/>
    <w:rsid w:val="00FC7C35"/>
    <w:rsid w:val="00FD057E"/>
    <w:rsid w:val="00FD12A0"/>
    <w:rsid w:val="00FD1613"/>
    <w:rsid w:val="00FD16C2"/>
    <w:rsid w:val="00FD1771"/>
    <w:rsid w:val="00FD1C6A"/>
    <w:rsid w:val="00FD200D"/>
    <w:rsid w:val="00FD2A9B"/>
    <w:rsid w:val="00FD3870"/>
    <w:rsid w:val="00FD3972"/>
    <w:rsid w:val="00FD4584"/>
    <w:rsid w:val="00FD4B90"/>
    <w:rsid w:val="00FD5150"/>
    <w:rsid w:val="00FD58A4"/>
    <w:rsid w:val="00FD5C5B"/>
    <w:rsid w:val="00FD5E26"/>
    <w:rsid w:val="00FD68DF"/>
    <w:rsid w:val="00FD7580"/>
    <w:rsid w:val="00FD766D"/>
    <w:rsid w:val="00FE04EB"/>
    <w:rsid w:val="00FE0C0B"/>
    <w:rsid w:val="00FE1502"/>
    <w:rsid w:val="00FE1793"/>
    <w:rsid w:val="00FE1A11"/>
    <w:rsid w:val="00FE21C4"/>
    <w:rsid w:val="00FE3157"/>
    <w:rsid w:val="00FE3856"/>
    <w:rsid w:val="00FE3CF4"/>
    <w:rsid w:val="00FE3E3D"/>
    <w:rsid w:val="00FE3FA7"/>
    <w:rsid w:val="00FE4AAD"/>
    <w:rsid w:val="00FE588A"/>
    <w:rsid w:val="00FE61A5"/>
    <w:rsid w:val="00FE6307"/>
    <w:rsid w:val="00FE6543"/>
    <w:rsid w:val="00FE669F"/>
    <w:rsid w:val="00FE7587"/>
    <w:rsid w:val="00FE75BA"/>
    <w:rsid w:val="00FE7FCB"/>
    <w:rsid w:val="00FE7FF5"/>
    <w:rsid w:val="00FF0A07"/>
    <w:rsid w:val="00FF0DD7"/>
    <w:rsid w:val="00FF145C"/>
    <w:rsid w:val="00FF1C89"/>
    <w:rsid w:val="00FF2687"/>
    <w:rsid w:val="00FF3556"/>
    <w:rsid w:val="00FF3ACB"/>
    <w:rsid w:val="00FF3BA1"/>
    <w:rsid w:val="00FF3D4D"/>
    <w:rsid w:val="00FF4127"/>
    <w:rsid w:val="00FF4639"/>
    <w:rsid w:val="00FF4AF2"/>
    <w:rsid w:val="00FF55E1"/>
    <w:rsid w:val="00FF6D90"/>
    <w:rsid w:val="00FF74BE"/>
    <w:rsid w:val="010437F2"/>
    <w:rsid w:val="01174506"/>
    <w:rsid w:val="0132BD5B"/>
    <w:rsid w:val="01380EF6"/>
    <w:rsid w:val="013B383B"/>
    <w:rsid w:val="015A87A8"/>
    <w:rsid w:val="015D3C14"/>
    <w:rsid w:val="016259EA"/>
    <w:rsid w:val="016ED544"/>
    <w:rsid w:val="0177BECB"/>
    <w:rsid w:val="01A74E6C"/>
    <w:rsid w:val="01AC9B23"/>
    <w:rsid w:val="01B31D88"/>
    <w:rsid w:val="01D12AA1"/>
    <w:rsid w:val="01D6752B"/>
    <w:rsid w:val="01F447DF"/>
    <w:rsid w:val="01F727A5"/>
    <w:rsid w:val="020A98FC"/>
    <w:rsid w:val="023493BC"/>
    <w:rsid w:val="0251464C"/>
    <w:rsid w:val="0252744C"/>
    <w:rsid w:val="0268BA5A"/>
    <w:rsid w:val="0269F44C"/>
    <w:rsid w:val="02711925"/>
    <w:rsid w:val="0288953C"/>
    <w:rsid w:val="02BC95E2"/>
    <w:rsid w:val="02D511DB"/>
    <w:rsid w:val="030B1373"/>
    <w:rsid w:val="030BC7FC"/>
    <w:rsid w:val="032DA43A"/>
    <w:rsid w:val="033672DE"/>
    <w:rsid w:val="03424D17"/>
    <w:rsid w:val="0343726F"/>
    <w:rsid w:val="034E039B"/>
    <w:rsid w:val="0367ED8D"/>
    <w:rsid w:val="038A2E9D"/>
    <w:rsid w:val="03BDE058"/>
    <w:rsid w:val="03C638C3"/>
    <w:rsid w:val="03C92379"/>
    <w:rsid w:val="03CF25FE"/>
    <w:rsid w:val="03D3886D"/>
    <w:rsid w:val="03F13043"/>
    <w:rsid w:val="0412E8F9"/>
    <w:rsid w:val="041AA497"/>
    <w:rsid w:val="043608AC"/>
    <w:rsid w:val="046E2837"/>
    <w:rsid w:val="0475777B"/>
    <w:rsid w:val="047B31FE"/>
    <w:rsid w:val="04932A8B"/>
    <w:rsid w:val="049DDF63"/>
    <w:rsid w:val="04ACF0B5"/>
    <w:rsid w:val="04D42D46"/>
    <w:rsid w:val="04ED7377"/>
    <w:rsid w:val="051EB0A5"/>
    <w:rsid w:val="05415466"/>
    <w:rsid w:val="055AFEC6"/>
    <w:rsid w:val="055E8B03"/>
    <w:rsid w:val="056333B2"/>
    <w:rsid w:val="05687F09"/>
    <w:rsid w:val="057C0ADF"/>
    <w:rsid w:val="0582F8B5"/>
    <w:rsid w:val="05912CFE"/>
    <w:rsid w:val="05AB4699"/>
    <w:rsid w:val="05EB91FB"/>
    <w:rsid w:val="0612D300"/>
    <w:rsid w:val="061FC4A6"/>
    <w:rsid w:val="06289C67"/>
    <w:rsid w:val="06308C38"/>
    <w:rsid w:val="06397965"/>
    <w:rsid w:val="063C4B7C"/>
    <w:rsid w:val="0653845E"/>
    <w:rsid w:val="068AB619"/>
    <w:rsid w:val="0694CA21"/>
    <w:rsid w:val="069B7AAB"/>
    <w:rsid w:val="06A3583A"/>
    <w:rsid w:val="06A5958C"/>
    <w:rsid w:val="06B636A4"/>
    <w:rsid w:val="06C20F7C"/>
    <w:rsid w:val="06DA3B29"/>
    <w:rsid w:val="06F4821F"/>
    <w:rsid w:val="07028358"/>
    <w:rsid w:val="070867B7"/>
    <w:rsid w:val="0715E309"/>
    <w:rsid w:val="0727A412"/>
    <w:rsid w:val="073DDEC5"/>
    <w:rsid w:val="074747BC"/>
    <w:rsid w:val="07522D18"/>
    <w:rsid w:val="0755E7F8"/>
    <w:rsid w:val="0760DE2E"/>
    <w:rsid w:val="07712B91"/>
    <w:rsid w:val="07ADDAF5"/>
    <w:rsid w:val="07C7ACA5"/>
    <w:rsid w:val="07D89B25"/>
    <w:rsid w:val="07DE3A4D"/>
    <w:rsid w:val="07DFF691"/>
    <w:rsid w:val="07F80EBC"/>
    <w:rsid w:val="080309E3"/>
    <w:rsid w:val="080C59A3"/>
    <w:rsid w:val="080C9911"/>
    <w:rsid w:val="080EB03E"/>
    <w:rsid w:val="0841A5DC"/>
    <w:rsid w:val="0865F27F"/>
    <w:rsid w:val="086914AC"/>
    <w:rsid w:val="08747008"/>
    <w:rsid w:val="088060CB"/>
    <w:rsid w:val="088A7FA1"/>
    <w:rsid w:val="08A239AF"/>
    <w:rsid w:val="08ABB448"/>
    <w:rsid w:val="08BB8A9A"/>
    <w:rsid w:val="090C6F01"/>
    <w:rsid w:val="09273260"/>
    <w:rsid w:val="094C7889"/>
    <w:rsid w:val="09517615"/>
    <w:rsid w:val="095683A0"/>
    <w:rsid w:val="095FEF40"/>
    <w:rsid w:val="096BC87A"/>
    <w:rsid w:val="0980ACF7"/>
    <w:rsid w:val="0986DD28"/>
    <w:rsid w:val="098CF436"/>
    <w:rsid w:val="09991FC6"/>
    <w:rsid w:val="09A7FEA8"/>
    <w:rsid w:val="09AC7AB0"/>
    <w:rsid w:val="09B2884B"/>
    <w:rsid w:val="09B4D7F0"/>
    <w:rsid w:val="09C6635F"/>
    <w:rsid w:val="09D220A2"/>
    <w:rsid w:val="09D7FEC1"/>
    <w:rsid w:val="09E3CD68"/>
    <w:rsid w:val="09E8C232"/>
    <w:rsid w:val="09E918D4"/>
    <w:rsid w:val="09F53F99"/>
    <w:rsid w:val="09F6C816"/>
    <w:rsid w:val="09FA6AC7"/>
    <w:rsid w:val="09FF6B09"/>
    <w:rsid w:val="0A0FEB16"/>
    <w:rsid w:val="0A12A66F"/>
    <w:rsid w:val="0A14DC68"/>
    <w:rsid w:val="0A14FD17"/>
    <w:rsid w:val="0A1A4AB5"/>
    <w:rsid w:val="0A21E521"/>
    <w:rsid w:val="0A3376FA"/>
    <w:rsid w:val="0A36AA58"/>
    <w:rsid w:val="0A41FEBB"/>
    <w:rsid w:val="0A4A8B7B"/>
    <w:rsid w:val="0A726420"/>
    <w:rsid w:val="0A74F395"/>
    <w:rsid w:val="0A7D14B7"/>
    <w:rsid w:val="0A7DE3B8"/>
    <w:rsid w:val="0A88BCFE"/>
    <w:rsid w:val="0A8985E8"/>
    <w:rsid w:val="0AA1FDB6"/>
    <w:rsid w:val="0AA69E5F"/>
    <w:rsid w:val="0AAEFA06"/>
    <w:rsid w:val="0ACE2D9B"/>
    <w:rsid w:val="0AE46567"/>
    <w:rsid w:val="0B038D63"/>
    <w:rsid w:val="0B0EC5AB"/>
    <w:rsid w:val="0B0F7E33"/>
    <w:rsid w:val="0B1CFEC9"/>
    <w:rsid w:val="0B356879"/>
    <w:rsid w:val="0B37B1D8"/>
    <w:rsid w:val="0B489307"/>
    <w:rsid w:val="0B6B58D0"/>
    <w:rsid w:val="0B76209C"/>
    <w:rsid w:val="0BA2CC30"/>
    <w:rsid w:val="0BA8A9A3"/>
    <w:rsid w:val="0BC85445"/>
    <w:rsid w:val="0BDAF7BD"/>
    <w:rsid w:val="0BE308FB"/>
    <w:rsid w:val="0BF39C30"/>
    <w:rsid w:val="0C028081"/>
    <w:rsid w:val="0C108310"/>
    <w:rsid w:val="0C47023D"/>
    <w:rsid w:val="0C59C913"/>
    <w:rsid w:val="0C739A7D"/>
    <w:rsid w:val="0C739AF1"/>
    <w:rsid w:val="0C87959B"/>
    <w:rsid w:val="0CA44A0B"/>
    <w:rsid w:val="0CABF452"/>
    <w:rsid w:val="0CB5C230"/>
    <w:rsid w:val="0CB61B14"/>
    <w:rsid w:val="0CCC6B69"/>
    <w:rsid w:val="0CD01AAB"/>
    <w:rsid w:val="0CD48858"/>
    <w:rsid w:val="0CDD1816"/>
    <w:rsid w:val="0CE35BC7"/>
    <w:rsid w:val="0CE3B777"/>
    <w:rsid w:val="0CFA0455"/>
    <w:rsid w:val="0D10319A"/>
    <w:rsid w:val="0D2A97EB"/>
    <w:rsid w:val="0D3B4C4A"/>
    <w:rsid w:val="0D40B6EC"/>
    <w:rsid w:val="0D454BDC"/>
    <w:rsid w:val="0D4725E8"/>
    <w:rsid w:val="0D49E8F0"/>
    <w:rsid w:val="0D4AA789"/>
    <w:rsid w:val="0D68B424"/>
    <w:rsid w:val="0D7A5852"/>
    <w:rsid w:val="0D8219A6"/>
    <w:rsid w:val="0D87EDF8"/>
    <w:rsid w:val="0D9A98D8"/>
    <w:rsid w:val="0DA67E62"/>
    <w:rsid w:val="0DD34493"/>
    <w:rsid w:val="0DD3D6CD"/>
    <w:rsid w:val="0DF40E9E"/>
    <w:rsid w:val="0E26D5F9"/>
    <w:rsid w:val="0E2B8BCE"/>
    <w:rsid w:val="0E3D7834"/>
    <w:rsid w:val="0E481D0B"/>
    <w:rsid w:val="0E5E813A"/>
    <w:rsid w:val="0E8F4B27"/>
    <w:rsid w:val="0E949051"/>
    <w:rsid w:val="0E949C92"/>
    <w:rsid w:val="0E96EB5E"/>
    <w:rsid w:val="0E9B2E83"/>
    <w:rsid w:val="0EAEBE39"/>
    <w:rsid w:val="0EB42AAA"/>
    <w:rsid w:val="0EB86DFF"/>
    <w:rsid w:val="0EBA0617"/>
    <w:rsid w:val="0ECFC320"/>
    <w:rsid w:val="0ED45FAB"/>
    <w:rsid w:val="0ED9C443"/>
    <w:rsid w:val="0EE81A11"/>
    <w:rsid w:val="0EF56DE7"/>
    <w:rsid w:val="0EFFD849"/>
    <w:rsid w:val="0F0E0000"/>
    <w:rsid w:val="0F0F7F3F"/>
    <w:rsid w:val="0F206C6D"/>
    <w:rsid w:val="0F381C02"/>
    <w:rsid w:val="0F3975A2"/>
    <w:rsid w:val="0F3A431F"/>
    <w:rsid w:val="0F4E1346"/>
    <w:rsid w:val="0F524757"/>
    <w:rsid w:val="0F7F8269"/>
    <w:rsid w:val="0FB2810D"/>
    <w:rsid w:val="0FB2C68C"/>
    <w:rsid w:val="0FB60D3E"/>
    <w:rsid w:val="0FD8B71A"/>
    <w:rsid w:val="101DB271"/>
    <w:rsid w:val="102D65D0"/>
    <w:rsid w:val="102DBAF7"/>
    <w:rsid w:val="102F5219"/>
    <w:rsid w:val="107A2681"/>
    <w:rsid w:val="1091C64F"/>
    <w:rsid w:val="1094E25B"/>
    <w:rsid w:val="109E93FE"/>
    <w:rsid w:val="10A1281F"/>
    <w:rsid w:val="10BCC5D0"/>
    <w:rsid w:val="10C3E57A"/>
    <w:rsid w:val="10C8DC0B"/>
    <w:rsid w:val="10E3F457"/>
    <w:rsid w:val="10F89C7E"/>
    <w:rsid w:val="1102F5B7"/>
    <w:rsid w:val="11183B5C"/>
    <w:rsid w:val="111F6B49"/>
    <w:rsid w:val="112325EA"/>
    <w:rsid w:val="1151CC0C"/>
    <w:rsid w:val="116F18D0"/>
    <w:rsid w:val="1174DBB5"/>
    <w:rsid w:val="117A75C6"/>
    <w:rsid w:val="118CB554"/>
    <w:rsid w:val="11A285F3"/>
    <w:rsid w:val="11A6EE49"/>
    <w:rsid w:val="11A80055"/>
    <w:rsid w:val="11CF60D8"/>
    <w:rsid w:val="11E288B3"/>
    <w:rsid w:val="11EFC656"/>
    <w:rsid w:val="1212844E"/>
    <w:rsid w:val="121B8F89"/>
    <w:rsid w:val="121DBDD6"/>
    <w:rsid w:val="122A26F9"/>
    <w:rsid w:val="125FBF5A"/>
    <w:rsid w:val="129212A6"/>
    <w:rsid w:val="12941147"/>
    <w:rsid w:val="12980B33"/>
    <w:rsid w:val="12B6E373"/>
    <w:rsid w:val="12BD4AC0"/>
    <w:rsid w:val="12C371D7"/>
    <w:rsid w:val="12C646FA"/>
    <w:rsid w:val="12D12CAC"/>
    <w:rsid w:val="12DE37A0"/>
    <w:rsid w:val="12F712E2"/>
    <w:rsid w:val="12FC38DB"/>
    <w:rsid w:val="12FE1125"/>
    <w:rsid w:val="12FF5B70"/>
    <w:rsid w:val="12FFAE91"/>
    <w:rsid w:val="130CFC6C"/>
    <w:rsid w:val="133FBA9D"/>
    <w:rsid w:val="134303E1"/>
    <w:rsid w:val="134D19B7"/>
    <w:rsid w:val="135A3580"/>
    <w:rsid w:val="1384B933"/>
    <w:rsid w:val="1385784F"/>
    <w:rsid w:val="13887D2B"/>
    <w:rsid w:val="138B28EB"/>
    <w:rsid w:val="1390B28E"/>
    <w:rsid w:val="13A0CF1F"/>
    <w:rsid w:val="13B7E263"/>
    <w:rsid w:val="13BECE5F"/>
    <w:rsid w:val="13DD0D6D"/>
    <w:rsid w:val="13E49D7F"/>
    <w:rsid w:val="140D25BF"/>
    <w:rsid w:val="1414049C"/>
    <w:rsid w:val="1419589E"/>
    <w:rsid w:val="1423A0F3"/>
    <w:rsid w:val="14247E67"/>
    <w:rsid w:val="142EE3E4"/>
    <w:rsid w:val="143CAC21"/>
    <w:rsid w:val="1443284A"/>
    <w:rsid w:val="144585F9"/>
    <w:rsid w:val="1449F5CA"/>
    <w:rsid w:val="1454F383"/>
    <w:rsid w:val="1460AA00"/>
    <w:rsid w:val="1472F0ED"/>
    <w:rsid w:val="147807D4"/>
    <w:rsid w:val="14863936"/>
    <w:rsid w:val="1486F633"/>
    <w:rsid w:val="149588B5"/>
    <w:rsid w:val="1495A14A"/>
    <w:rsid w:val="14986D71"/>
    <w:rsid w:val="14A53803"/>
    <w:rsid w:val="14A78AB3"/>
    <w:rsid w:val="14BB92F2"/>
    <w:rsid w:val="14C76732"/>
    <w:rsid w:val="14E47C28"/>
    <w:rsid w:val="14EA1F9C"/>
    <w:rsid w:val="1505E7D4"/>
    <w:rsid w:val="152112CF"/>
    <w:rsid w:val="152412A0"/>
    <w:rsid w:val="152F9A34"/>
    <w:rsid w:val="153585D2"/>
    <w:rsid w:val="1553FC81"/>
    <w:rsid w:val="15550E82"/>
    <w:rsid w:val="156B2F19"/>
    <w:rsid w:val="15880966"/>
    <w:rsid w:val="15A8FA2B"/>
    <w:rsid w:val="15BD2C7E"/>
    <w:rsid w:val="15C38C48"/>
    <w:rsid w:val="15F98303"/>
    <w:rsid w:val="1605DF04"/>
    <w:rsid w:val="16082E6F"/>
    <w:rsid w:val="163257AB"/>
    <w:rsid w:val="16328FBD"/>
    <w:rsid w:val="1638684C"/>
    <w:rsid w:val="165B2B5A"/>
    <w:rsid w:val="1665BF7F"/>
    <w:rsid w:val="1696D56C"/>
    <w:rsid w:val="16B3559F"/>
    <w:rsid w:val="16B397E3"/>
    <w:rsid w:val="16B456CE"/>
    <w:rsid w:val="16CF6857"/>
    <w:rsid w:val="16D7BD48"/>
    <w:rsid w:val="16E1C6D4"/>
    <w:rsid w:val="16E44278"/>
    <w:rsid w:val="16F03D3D"/>
    <w:rsid w:val="1701824D"/>
    <w:rsid w:val="1725E672"/>
    <w:rsid w:val="172D2DE0"/>
    <w:rsid w:val="173200F6"/>
    <w:rsid w:val="174E52CC"/>
    <w:rsid w:val="1768F924"/>
    <w:rsid w:val="176BF0E8"/>
    <w:rsid w:val="17883895"/>
    <w:rsid w:val="178871A4"/>
    <w:rsid w:val="17901B24"/>
    <w:rsid w:val="1794DB6F"/>
    <w:rsid w:val="1798A25E"/>
    <w:rsid w:val="17B6A92A"/>
    <w:rsid w:val="17BE37C1"/>
    <w:rsid w:val="17D23B1F"/>
    <w:rsid w:val="17DC9BB4"/>
    <w:rsid w:val="17DE10DD"/>
    <w:rsid w:val="18036929"/>
    <w:rsid w:val="18074C6F"/>
    <w:rsid w:val="180C8455"/>
    <w:rsid w:val="1836D07A"/>
    <w:rsid w:val="18446D10"/>
    <w:rsid w:val="18455261"/>
    <w:rsid w:val="185E6F0B"/>
    <w:rsid w:val="1869AD51"/>
    <w:rsid w:val="186BB828"/>
    <w:rsid w:val="186E9A54"/>
    <w:rsid w:val="1873035D"/>
    <w:rsid w:val="187E8E2A"/>
    <w:rsid w:val="18A4730B"/>
    <w:rsid w:val="18B2DE21"/>
    <w:rsid w:val="18B4E04C"/>
    <w:rsid w:val="18DC878E"/>
    <w:rsid w:val="18DD5097"/>
    <w:rsid w:val="18DD51CA"/>
    <w:rsid w:val="18E70631"/>
    <w:rsid w:val="19070D4C"/>
    <w:rsid w:val="190BBD65"/>
    <w:rsid w:val="19173A49"/>
    <w:rsid w:val="1917B2D3"/>
    <w:rsid w:val="194226A8"/>
    <w:rsid w:val="194CA408"/>
    <w:rsid w:val="194EA185"/>
    <w:rsid w:val="1959364A"/>
    <w:rsid w:val="196D7C91"/>
    <w:rsid w:val="197A5E9A"/>
    <w:rsid w:val="199AF4EF"/>
    <w:rsid w:val="19A07FB5"/>
    <w:rsid w:val="19A50A34"/>
    <w:rsid w:val="19B05417"/>
    <w:rsid w:val="19B8DE86"/>
    <w:rsid w:val="19CAF744"/>
    <w:rsid w:val="19EDFF01"/>
    <w:rsid w:val="19FE44D6"/>
    <w:rsid w:val="1A013CCF"/>
    <w:rsid w:val="1A0F133A"/>
    <w:rsid w:val="1A189BF6"/>
    <w:rsid w:val="1A46455C"/>
    <w:rsid w:val="1A4CFDD0"/>
    <w:rsid w:val="1A5364CC"/>
    <w:rsid w:val="1A7676E6"/>
    <w:rsid w:val="1A879F4D"/>
    <w:rsid w:val="1AACEE1E"/>
    <w:rsid w:val="1ABD1F7E"/>
    <w:rsid w:val="1AD2C950"/>
    <w:rsid w:val="1AD6D4A7"/>
    <w:rsid w:val="1ADC7D8B"/>
    <w:rsid w:val="1AE39B53"/>
    <w:rsid w:val="1AE3BE99"/>
    <w:rsid w:val="1AECF961"/>
    <w:rsid w:val="1AF666FF"/>
    <w:rsid w:val="1B18DE52"/>
    <w:rsid w:val="1B386C36"/>
    <w:rsid w:val="1B3BB594"/>
    <w:rsid w:val="1B44D51F"/>
    <w:rsid w:val="1B51E70D"/>
    <w:rsid w:val="1B563049"/>
    <w:rsid w:val="1B83320E"/>
    <w:rsid w:val="1B892C1E"/>
    <w:rsid w:val="1B98E8E6"/>
    <w:rsid w:val="1BAC70FC"/>
    <w:rsid w:val="1BB7E216"/>
    <w:rsid w:val="1BC8C0F5"/>
    <w:rsid w:val="1BFB9ACF"/>
    <w:rsid w:val="1C2AA232"/>
    <w:rsid w:val="1C3DA2D5"/>
    <w:rsid w:val="1C44FC81"/>
    <w:rsid w:val="1C510501"/>
    <w:rsid w:val="1C550075"/>
    <w:rsid w:val="1C599F58"/>
    <w:rsid w:val="1C6574AC"/>
    <w:rsid w:val="1C74BD6F"/>
    <w:rsid w:val="1C8C1F81"/>
    <w:rsid w:val="1C8E560D"/>
    <w:rsid w:val="1C970FD4"/>
    <w:rsid w:val="1C9A0FFC"/>
    <w:rsid w:val="1CA05285"/>
    <w:rsid w:val="1CBC37A4"/>
    <w:rsid w:val="1CBF817F"/>
    <w:rsid w:val="1CCACA43"/>
    <w:rsid w:val="1D1617F4"/>
    <w:rsid w:val="1D1AE820"/>
    <w:rsid w:val="1D2796ED"/>
    <w:rsid w:val="1D563E9F"/>
    <w:rsid w:val="1D617A84"/>
    <w:rsid w:val="1D741F62"/>
    <w:rsid w:val="1D77226D"/>
    <w:rsid w:val="1D817584"/>
    <w:rsid w:val="1D8E6BEA"/>
    <w:rsid w:val="1D8F0388"/>
    <w:rsid w:val="1D941F90"/>
    <w:rsid w:val="1DAB3C69"/>
    <w:rsid w:val="1DC14BDB"/>
    <w:rsid w:val="1DD13DCD"/>
    <w:rsid w:val="1DD604D7"/>
    <w:rsid w:val="1DE72D3E"/>
    <w:rsid w:val="1DEE2B21"/>
    <w:rsid w:val="1E034BA6"/>
    <w:rsid w:val="1E0E5F5C"/>
    <w:rsid w:val="1E0EDA33"/>
    <w:rsid w:val="1E5D3059"/>
    <w:rsid w:val="1E62BF04"/>
    <w:rsid w:val="1E771D9F"/>
    <w:rsid w:val="1E77C343"/>
    <w:rsid w:val="1E83A3AE"/>
    <w:rsid w:val="1E874E73"/>
    <w:rsid w:val="1E9193D9"/>
    <w:rsid w:val="1E988356"/>
    <w:rsid w:val="1EA9EDC3"/>
    <w:rsid w:val="1EAC3A0C"/>
    <w:rsid w:val="1EC81804"/>
    <w:rsid w:val="1ECDA9F4"/>
    <w:rsid w:val="1F0AAE2F"/>
    <w:rsid w:val="1F1A0781"/>
    <w:rsid w:val="1F1DC2F6"/>
    <w:rsid w:val="1F3EC1E2"/>
    <w:rsid w:val="1F4FE3AB"/>
    <w:rsid w:val="1F57280A"/>
    <w:rsid w:val="1F982604"/>
    <w:rsid w:val="1F9AD759"/>
    <w:rsid w:val="1F9C0715"/>
    <w:rsid w:val="1F9D51CB"/>
    <w:rsid w:val="1FBAE46C"/>
    <w:rsid w:val="1FC44E02"/>
    <w:rsid w:val="1FF59633"/>
    <w:rsid w:val="1FFA74CF"/>
    <w:rsid w:val="200F90C8"/>
    <w:rsid w:val="2022741F"/>
    <w:rsid w:val="2026B530"/>
    <w:rsid w:val="20324F69"/>
    <w:rsid w:val="203D423B"/>
    <w:rsid w:val="205E82E1"/>
    <w:rsid w:val="20726AF5"/>
    <w:rsid w:val="2097CB48"/>
    <w:rsid w:val="20A2646C"/>
    <w:rsid w:val="20B16505"/>
    <w:rsid w:val="20E20E8F"/>
    <w:rsid w:val="21079348"/>
    <w:rsid w:val="211877F8"/>
    <w:rsid w:val="2118ABD0"/>
    <w:rsid w:val="2124A3FF"/>
    <w:rsid w:val="212AA069"/>
    <w:rsid w:val="213E3B54"/>
    <w:rsid w:val="214075AF"/>
    <w:rsid w:val="217D956B"/>
    <w:rsid w:val="218DDA00"/>
    <w:rsid w:val="21910482"/>
    <w:rsid w:val="21AB2FB0"/>
    <w:rsid w:val="21C48020"/>
    <w:rsid w:val="21CF6906"/>
    <w:rsid w:val="21D98F2B"/>
    <w:rsid w:val="21DCF74B"/>
    <w:rsid w:val="21E3CA9A"/>
    <w:rsid w:val="21E755C8"/>
    <w:rsid w:val="21EC5AFE"/>
    <w:rsid w:val="21FD7BDD"/>
    <w:rsid w:val="22076BF7"/>
    <w:rsid w:val="220D9876"/>
    <w:rsid w:val="221850A5"/>
    <w:rsid w:val="22267B3B"/>
    <w:rsid w:val="22297011"/>
    <w:rsid w:val="223DA7FE"/>
    <w:rsid w:val="2253A594"/>
    <w:rsid w:val="2257F1FA"/>
    <w:rsid w:val="2326247E"/>
    <w:rsid w:val="23355D7A"/>
    <w:rsid w:val="233853F3"/>
    <w:rsid w:val="233EEF88"/>
    <w:rsid w:val="23565EEE"/>
    <w:rsid w:val="235946D0"/>
    <w:rsid w:val="236A07BE"/>
    <w:rsid w:val="23792A68"/>
    <w:rsid w:val="238128F9"/>
    <w:rsid w:val="23823B59"/>
    <w:rsid w:val="23A15CC9"/>
    <w:rsid w:val="23ADC883"/>
    <w:rsid w:val="23B39422"/>
    <w:rsid w:val="23B88A63"/>
    <w:rsid w:val="23BE5B69"/>
    <w:rsid w:val="23D22B94"/>
    <w:rsid w:val="23E0F1E5"/>
    <w:rsid w:val="23E79183"/>
    <w:rsid w:val="23EA8CE5"/>
    <w:rsid w:val="23F720B3"/>
    <w:rsid w:val="24185661"/>
    <w:rsid w:val="2419A905"/>
    <w:rsid w:val="245C1BB2"/>
    <w:rsid w:val="2460F8F1"/>
    <w:rsid w:val="2482BF61"/>
    <w:rsid w:val="24956AFF"/>
    <w:rsid w:val="249B3B61"/>
    <w:rsid w:val="249D6328"/>
    <w:rsid w:val="24A16841"/>
    <w:rsid w:val="24AA41D3"/>
    <w:rsid w:val="24BE295A"/>
    <w:rsid w:val="24E48E56"/>
    <w:rsid w:val="24ED77C8"/>
    <w:rsid w:val="24F0DBC3"/>
    <w:rsid w:val="24F302F6"/>
    <w:rsid w:val="24F4B753"/>
    <w:rsid w:val="24FC422A"/>
    <w:rsid w:val="250996FB"/>
    <w:rsid w:val="251FB97A"/>
    <w:rsid w:val="253A6B7F"/>
    <w:rsid w:val="254AB5CB"/>
    <w:rsid w:val="255B92D6"/>
    <w:rsid w:val="257A44CD"/>
    <w:rsid w:val="25820354"/>
    <w:rsid w:val="2583D39D"/>
    <w:rsid w:val="25875E9F"/>
    <w:rsid w:val="258B2E5D"/>
    <w:rsid w:val="258E03B7"/>
    <w:rsid w:val="258EEE42"/>
    <w:rsid w:val="25961493"/>
    <w:rsid w:val="25A2C877"/>
    <w:rsid w:val="25B4C8B6"/>
    <w:rsid w:val="25C4B812"/>
    <w:rsid w:val="25FDD694"/>
    <w:rsid w:val="26011E51"/>
    <w:rsid w:val="260F038F"/>
    <w:rsid w:val="260F7017"/>
    <w:rsid w:val="26152B83"/>
    <w:rsid w:val="261F868C"/>
    <w:rsid w:val="26219384"/>
    <w:rsid w:val="2623FD44"/>
    <w:rsid w:val="2632F3DB"/>
    <w:rsid w:val="263BEE88"/>
    <w:rsid w:val="263F5554"/>
    <w:rsid w:val="2643A758"/>
    <w:rsid w:val="26501BE6"/>
    <w:rsid w:val="26A80445"/>
    <w:rsid w:val="26BA5BF0"/>
    <w:rsid w:val="26BCEEAB"/>
    <w:rsid w:val="26D2EC07"/>
    <w:rsid w:val="26D6BDA7"/>
    <w:rsid w:val="26D6F7A9"/>
    <w:rsid w:val="26E150A0"/>
    <w:rsid w:val="26E67F09"/>
    <w:rsid w:val="270370BC"/>
    <w:rsid w:val="2716AC97"/>
    <w:rsid w:val="2750582C"/>
    <w:rsid w:val="27672646"/>
    <w:rsid w:val="2772CA70"/>
    <w:rsid w:val="27755273"/>
    <w:rsid w:val="27A4B2E7"/>
    <w:rsid w:val="27B1C075"/>
    <w:rsid w:val="27BA983A"/>
    <w:rsid w:val="28036AC7"/>
    <w:rsid w:val="2817FD04"/>
    <w:rsid w:val="28289C2F"/>
    <w:rsid w:val="285326C0"/>
    <w:rsid w:val="28631F5B"/>
    <w:rsid w:val="28648FA0"/>
    <w:rsid w:val="2865EA4C"/>
    <w:rsid w:val="2869C201"/>
    <w:rsid w:val="28A6A9AB"/>
    <w:rsid w:val="28AAC36E"/>
    <w:rsid w:val="28B2CBAD"/>
    <w:rsid w:val="28BF633E"/>
    <w:rsid w:val="2908F01B"/>
    <w:rsid w:val="291151EA"/>
    <w:rsid w:val="29268C71"/>
    <w:rsid w:val="2939FF60"/>
    <w:rsid w:val="29530FFC"/>
    <w:rsid w:val="296A3A44"/>
    <w:rsid w:val="296CE000"/>
    <w:rsid w:val="29B1F7C8"/>
    <w:rsid w:val="29D5F1B7"/>
    <w:rsid w:val="29E91DBF"/>
    <w:rsid w:val="29EA3BD4"/>
    <w:rsid w:val="29ED5FDE"/>
    <w:rsid w:val="29F73F1F"/>
    <w:rsid w:val="2A1BEE6A"/>
    <w:rsid w:val="2A376F69"/>
    <w:rsid w:val="2A3A4EF7"/>
    <w:rsid w:val="2A3BC1E4"/>
    <w:rsid w:val="2A49B9D3"/>
    <w:rsid w:val="2A4B4CFD"/>
    <w:rsid w:val="2A556CE5"/>
    <w:rsid w:val="2A7318D2"/>
    <w:rsid w:val="2A8C5768"/>
    <w:rsid w:val="2A9F3AAE"/>
    <w:rsid w:val="2AA62E86"/>
    <w:rsid w:val="2AAA6700"/>
    <w:rsid w:val="2AB682F8"/>
    <w:rsid w:val="2ABD495C"/>
    <w:rsid w:val="2ACF0F91"/>
    <w:rsid w:val="2AD37017"/>
    <w:rsid w:val="2ADB1783"/>
    <w:rsid w:val="2AE42305"/>
    <w:rsid w:val="2AED6EAC"/>
    <w:rsid w:val="2AF79CA8"/>
    <w:rsid w:val="2B0430DC"/>
    <w:rsid w:val="2B2D6F06"/>
    <w:rsid w:val="2B37C738"/>
    <w:rsid w:val="2B37F366"/>
    <w:rsid w:val="2B49838E"/>
    <w:rsid w:val="2B4EA638"/>
    <w:rsid w:val="2B6840AA"/>
    <w:rsid w:val="2B6B5A31"/>
    <w:rsid w:val="2B88C0FE"/>
    <w:rsid w:val="2B8CDF81"/>
    <w:rsid w:val="2BA337FF"/>
    <w:rsid w:val="2BC44730"/>
    <w:rsid w:val="2BC45690"/>
    <w:rsid w:val="2BD0207C"/>
    <w:rsid w:val="2BD526EE"/>
    <w:rsid w:val="2BED176C"/>
    <w:rsid w:val="2C05FB36"/>
    <w:rsid w:val="2C0CD673"/>
    <w:rsid w:val="2C2AEBAF"/>
    <w:rsid w:val="2C2BFF09"/>
    <w:rsid w:val="2C3603D4"/>
    <w:rsid w:val="2C45264D"/>
    <w:rsid w:val="2C50D8E2"/>
    <w:rsid w:val="2C57EF33"/>
    <w:rsid w:val="2C5E87B3"/>
    <w:rsid w:val="2C75828D"/>
    <w:rsid w:val="2C829482"/>
    <w:rsid w:val="2CA97C17"/>
    <w:rsid w:val="2CACCF37"/>
    <w:rsid w:val="2CC3B0BA"/>
    <w:rsid w:val="2CCDC415"/>
    <w:rsid w:val="2CF25765"/>
    <w:rsid w:val="2D066DF2"/>
    <w:rsid w:val="2D1E8607"/>
    <w:rsid w:val="2D49D62A"/>
    <w:rsid w:val="2D5B81B3"/>
    <w:rsid w:val="2D5D79EE"/>
    <w:rsid w:val="2D6A865E"/>
    <w:rsid w:val="2D722694"/>
    <w:rsid w:val="2D7330FC"/>
    <w:rsid w:val="2D74D2E8"/>
    <w:rsid w:val="2D7DD320"/>
    <w:rsid w:val="2D8BD856"/>
    <w:rsid w:val="2D9554F4"/>
    <w:rsid w:val="2DAA9FD8"/>
    <w:rsid w:val="2DBC0DE9"/>
    <w:rsid w:val="2E02B9BB"/>
    <w:rsid w:val="2E193A45"/>
    <w:rsid w:val="2E253FF3"/>
    <w:rsid w:val="2E30ADEC"/>
    <w:rsid w:val="2E43AB29"/>
    <w:rsid w:val="2E5355CA"/>
    <w:rsid w:val="2E67B8D6"/>
    <w:rsid w:val="2E71039E"/>
    <w:rsid w:val="2E789A5E"/>
    <w:rsid w:val="2E835221"/>
    <w:rsid w:val="2E93A481"/>
    <w:rsid w:val="2EAB1DC6"/>
    <w:rsid w:val="2EE9928C"/>
    <w:rsid w:val="2EEA1455"/>
    <w:rsid w:val="2F036CB6"/>
    <w:rsid w:val="2F366C5E"/>
    <w:rsid w:val="2F378E2F"/>
    <w:rsid w:val="2F58F92D"/>
    <w:rsid w:val="2F703B43"/>
    <w:rsid w:val="2F738A7A"/>
    <w:rsid w:val="2F778D4D"/>
    <w:rsid w:val="2F7F5EE4"/>
    <w:rsid w:val="2FB14DED"/>
    <w:rsid w:val="2FB6FE4E"/>
    <w:rsid w:val="2FD72BD5"/>
    <w:rsid w:val="2FD87E03"/>
    <w:rsid w:val="301B4CCB"/>
    <w:rsid w:val="30348319"/>
    <w:rsid w:val="303EC3FD"/>
    <w:rsid w:val="30402BFB"/>
    <w:rsid w:val="304183EF"/>
    <w:rsid w:val="304191A8"/>
    <w:rsid w:val="30442244"/>
    <w:rsid w:val="3045A1DF"/>
    <w:rsid w:val="304D1E1E"/>
    <w:rsid w:val="3055C443"/>
    <w:rsid w:val="3056724B"/>
    <w:rsid w:val="305904E0"/>
    <w:rsid w:val="305ADAA8"/>
    <w:rsid w:val="3067386E"/>
    <w:rsid w:val="30720BAC"/>
    <w:rsid w:val="307A8811"/>
    <w:rsid w:val="30806F4C"/>
    <w:rsid w:val="3088F794"/>
    <w:rsid w:val="309E3FA7"/>
    <w:rsid w:val="30AB62D8"/>
    <w:rsid w:val="30AF5378"/>
    <w:rsid w:val="30C20A30"/>
    <w:rsid w:val="30C421F7"/>
    <w:rsid w:val="30E04738"/>
    <w:rsid w:val="30E265FD"/>
    <w:rsid w:val="30E2D348"/>
    <w:rsid w:val="30E59188"/>
    <w:rsid w:val="30F70F62"/>
    <w:rsid w:val="30FCC87A"/>
    <w:rsid w:val="31203890"/>
    <w:rsid w:val="312CE1BD"/>
    <w:rsid w:val="31382D3E"/>
    <w:rsid w:val="314900A3"/>
    <w:rsid w:val="31764AC9"/>
    <w:rsid w:val="318A9A77"/>
    <w:rsid w:val="31A3BE95"/>
    <w:rsid w:val="31B496D5"/>
    <w:rsid w:val="3213596C"/>
    <w:rsid w:val="3216056B"/>
    <w:rsid w:val="322F75DC"/>
    <w:rsid w:val="323915A6"/>
    <w:rsid w:val="324C0477"/>
    <w:rsid w:val="324C86C7"/>
    <w:rsid w:val="324D5FA2"/>
    <w:rsid w:val="3269BFC5"/>
    <w:rsid w:val="326BC968"/>
    <w:rsid w:val="326FCE45"/>
    <w:rsid w:val="327B9254"/>
    <w:rsid w:val="328F2171"/>
    <w:rsid w:val="32BC6BDB"/>
    <w:rsid w:val="32C71042"/>
    <w:rsid w:val="32DE7F4F"/>
    <w:rsid w:val="32EC05E6"/>
    <w:rsid w:val="32F3B9B6"/>
    <w:rsid w:val="32F3E970"/>
    <w:rsid w:val="32F85074"/>
    <w:rsid w:val="32FB4DEE"/>
    <w:rsid w:val="331054F5"/>
    <w:rsid w:val="3320BED0"/>
    <w:rsid w:val="332E9117"/>
    <w:rsid w:val="3330CBFB"/>
    <w:rsid w:val="33353C7A"/>
    <w:rsid w:val="33476F0A"/>
    <w:rsid w:val="3348D4E3"/>
    <w:rsid w:val="335ADDD1"/>
    <w:rsid w:val="3366F095"/>
    <w:rsid w:val="33825748"/>
    <w:rsid w:val="3390B5FF"/>
    <w:rsid w:val="339E1251"/>
    <w:rsid w:val="33A748A8"/>
    <w:rsid w:val="33AEAC83"/>
    <w:rsid w:val="33B8AACE"/>
    <w:rsid w:val="33D71BB0"/>
    <w:rsid w:val="33E0FB76"/>
    <w:rsid w:val="34128F83"/>
    <w:rsid w:val="34219932"/>
    <w:rsid w:val="3426A3AA"/>
    <w:rsid w:val="34283F69"/>
    <w:rsid w:val="3429FEAE"/>
    <w:rsid w:val="3435836F"/>
    <w:rsid w:val="3436DB7A"/>
    <w:rsid w:val="343D4CB9"/>
    <w:rsid w:val="344BF002"/>
    <w:rsid w:val="345860A8"/>
    <w:rsid w:val="3463CC38"/>
    <w:rsid w:val="34780248"/>
    <w:rsid w:val="34A92B53"/>
    <w:rsid w:val="34A9721C"/>
    <w:rsid w:val="34B9465E"/>
    <w:rsid w:val="34BFF7F8"/>
    <w:rsid w:val="34C28538"/>
    <w:rsid w:val="34CD105E"/>
    <w:rsid w:val="34F534D8"/>
    <w:rsid w:val="34F5EBB8"/>
    <w:rsid w:val="34F9E2BE"/>
    <w:rsid w:val="350F8D17"/>
    <w:rsid w:val="35165CEE"/>
    <w:rsid w:val="35268C52"/>
    <w:rsid w:val="352E6C9B"/>
    <w:rsid w:val="353F9026"/>
    <w:rsid w:val="35457E64"/>
    <w:rsid w:val="354B2AF7"/>
    <w:rsid w:val="354F7BE1"/>
    <w:rsid w:val="355B73C4"/>
    <w:rsid w:val="3560AE00"/>
    <w:rsid w:val="356C355E"/>
    <w:rsid w:val="35745B76"/>
    <w:rsid w:val="357BAA7E"/>
    <w:rsid w:val="357C9025"/>
    <w:rsid w:val="3590857C"/>
    <w:rsid w:val="359898AE"/>
    <w:rsid w:val="35998576"/>
    <w:rsid w:val="35C88E9B"/>
    <w:rsid w:val="35CBA617"/>
    <w:rsid w:val="36030316"/>
    <w:rsid w:val="3609827F"/>
    <w:rsid w:val="36371C57"/>
    <w:rsid w:val="363A61D2"/>
    <w:rsid w:val="365531AC"/>
    <w:rsid w:val="365C581D"/>
    <w:rsid w:val="365FBC3A"/>
    <w:rsid w:val="366B164B"/>
    <w:rsid w:val="3672A1D2"/>
    <w:rsid w:val="36760C00"/>
    <w:rsid w:val="367E0943"/>
    <w:rsid w:val="36E0028A"/>
    <w:rsid w:val="36E78A0C"/>
    <w:rsid w:val="3702FC77"/>
    <w:rsid w:val="371E0BA8"/>
    <w:rsid w:val="372505EC"/>
    <w:rsid w:val="3731901D"/>
    <w:rsid w:val="3740DC07"/>
    <w:rsid w:val="374F6798"/>
    <w:rsid w:val="3765FECD"/>
    <w:rsid w:val="376908C4"/>
    <w:rsid w:val="376ECE50"/>
    <w:rsid w:val="37780411"/>
    <w:rsid w:val="3790473F"/>
    <w:rsid w:val="3799720D"/>
    <w:rsid w:val="37A0C771"/>
    <w:rsid w:val="37C2C240"/>
    <w:rsid w:val="37C99BF9"/>
    <w:rsid w:val="37CBA24C"/>
    <w:rsid w:val="3815C53A"/>
    <w:rsid w:val="38234E5B"/>
    <w:rsid w:val="382A3863"/>
    <w:rsid w:val="3845564C"/>
    <w:rsid w:val="38707C65"/>
    <w:rsid w:val="3882047D"/>
    <w:rsid w:val="38C91523"/>
    <w:rsid w:val="38DCAC9E"/>
    <w:rsid w:val="38EEEEC2"/>
    <w:rsid w:val="38F0B256"/>
    <w:rsid w:val="3910B3FE"/>
    <w:rsid w:val="3933811B"/>
    <w:rsid w:val="393748D5"/>
    <w:rsid w:val="3949E670"/>
    <w:rsid w:val="394DEFF5"/>
    <w:rsid w:val="394E581D"/>
    <w:rsid w:val="394E8A86"/>
    <w:rsid w:val="394EBEEF"/>
    <w:rsid w:val="3958903D"/>
    <w:rsid w:val="39611E97"/>
    <w:rsid w:val="396D3CCC"/>
    <w:rsid w:val="396F44AE"/>
    <w:rsid w:val="399F7F8B"/>
    <w:rsid w:val="399FA699"/>
    <w:rsid w:val="39A1540B"/>
    <w:rsid w:val="39B164B6"/>
    <w:rsid w:val="39BB8CEF"/>
    <w:rsid w:val="39C20149"/>
    <w:rsid w:val="39D01E74"/>
    <w:rsid w:val="39D115D4"/>
    <w:rsid w:val="39D9B11D"/>
    <w:rsid w:val="39DD0037"/>
    <w:rsid w:val="39FB99E2"/>
    <w:rsid w:val="3A023989"/>
    <w:rsid w:val="3A0B31AB"/>
    <w:rsid w:val="3A0DF7A8"/>
    <w:rsid w:val="3A13F06F"/>
    <w:rsid w:val="3A2409DD"/>
    <w:rsid w:val="3A41D352"/>
    <w:rsid w:val="3A47B49A"/>
    <w:rsid w:val="3A49E60C"/>
    <w:rsid w:val="3A571811"/>
    <w:rsid w:val="3A6E2E8B"/>
    <w:rsid w:val="3A6EF5B5"/>
    <w:rsid w:val="3A7D6B0F"/>
    <w:rsid w:val="3AAD1E03"/>
    <w:rsid w:val="3AADBC59"/>
    <w:rsid w:val="3AC2CA91"/>
    <w:rsid w:val="3ACA270B"/>
    <w:rsid w:val="3AE4FCEC"/>
    <w:rsid w:val="3AEE1F8F"/>
    <w:rsid w:val="3AF094DB"/>
    <w:rsid w:val="3AF3885B"/>
    <w:rsid w:val="3B0A6CF0"/>
    <w:rsid w:val="3B228386"/>
    <w:rsid w:val="3B27F339"/>
    <w:rsid w:val="3B2F8D78"/>
    <w:rsid w:val="3B40B0ED"/>
    <w:rsid w:val="3B45E945"/>
    <w:rsid w:val="3B4ECB52"/>
    <w:rsid w:val="3B8287CD"/>
    <w:rsid w:val="3BA4ED8E"/>
    <w:rsid w:val="3BA83827"/>
    <w:rsid w:val="3BBFBCB6"/>
    <w:rsid w:val="3BCEF8FF"/>
    <w:rsid w:val="3C0A9879"/>
    <w:rsid w:val="3C18D50E"/>
    <w:rsid w:val="3C20730B"/>
    <w:rsid w:val="3C27831C"/>
    <w:rsid w:val="3C3070C1"/>
    <w:rsid w:val="3C35EFC3"/>
    <w:rsid w:val="3C5039C9"/>
    <w:rsid w:val="3C587CA7"/>
    <w:rsid w:val="3C627F02"/>
    <w:rsid w:val="3C73BF99"/>
    <w:rsid w:val="3C7BDBEB"/>
    <w:rsid w:val="3C7EF8B0"/>
    <w:rsid w:val="3C7F01F6"/>
    <w:rsid w:val="3C7F4633"/>
    <w:rsid w:val="3C89F1E8"/>
    <w:rsid w:val="3C9DFE03"/>
    <w:rsid w:val="3CB25D6E"/>
    <w:rsid w:val="3CB5AD8A"/>
    <w:rsid w:val="3CB9C7CC"/>
    <w:rsid w:val="3CB9CA23"/>
    <w:rsid w:val="3CCC9260"/>
    <w:rsid w:val="3CCCF460"/>
    <w:rsid w:val="3CED3065"/>
    <w:rsid w:val="3CF95397"/>
    <w:rsid w:val="3D0BBCB1"/>
    <w:rsid w:val="3D103043"/>
    <w:rsid w:val="3D271D74"/>
    <w:rsid w:val="3D299D70"/>
    <w:rsid w:val="3D2EF642"/>
    <w:rsid w:val="3D316096"/>
    <w:rsid w:val="3D3DF551"/>
    <w:rsid w:val="3D5F22FF"/>
    <w:rsid w:val="3D7EE64A"/>
    <w:rsid w:val="3D955DEF"/>
    <w:rsid w:val="3DA10180"/>
    <w:rsid w:val="3DA19210"/>
    <w:rsid w:val="3DA43B07"/>
    <w:rsid w:val="3DA62E17"/>
    <w:rsid w:val="3DB381EE"/>
    <w:rsid w:val="3DC7995D"/>
    <w:rsid w:val="3DD11FE9"/>
    <w:rsid w:val="3DDED3AB"/>
    <w:rsid w:val="3DE30987"/>
    <w:rsid w:val="3DFFD78E"/>
    <w:rsid w:val="3E09C77B"/>
    <w:rsid w:val="3E155AF2"/>
    <w:rsid w:val="3E1BAE35"/>
    <w:rsid w:val="3E215F77"/>
    <w:rsid w:val="3E2472EE"/>
    <w:rsid w:val="3E3E8B28"/>
    <w:rsid w:val="3E4BE4AC"/>
    <w:rsid w:val="3E5899D8"/>
    <w:rsid w:val="3E657F39"/>
    <w:rsid w:val="3E7A93A7"/>
    <w:rsid w:val="3E7EF5A8"/>
    <w:rsid w:val="3E92D5C3"/>
    <w:rsid w:val="3EAB77AD"/>
    <w:rsid w:val="3EB02544"/>
    <w:rsid w:val="3EDE82B2"/>
    <w:rsid w:val="3EDED09B"/>
    <w:rsid w:val="3EE56BD1"/>
    <w:rsid w:val="3EEA1332"/>
    <w:rsid w:val="3EED5F4F"/>
    <w:rsid w:val="3F0799D0"/>
    <w:rsid w:val="3F16B9B1"/>
    <w:rsid w:val="3F1D9B35"/>
    <w:rsid w:val="3F26A6DF"/>
    <w:rsid w:val="3F27BF8D"/>
    <w:rsid w:val="3F336D8B"/>
    <w:rsid w:val="3F55D362"/>
    <w:rsid w:val="3F5FEE92"/>
    <w:rsid w:val="3F7115DA"/>
    <w:rsid w:val="3F834288"/>
    <w:rsid w:val="3F8AAAFC"/>
    <w:rsid w:val="3F8E426D"/>
    <w:rsid w:val="3F956E7D"/>
    <w:rsid w:val="3F9B95F4"/>
    <w:rsid w:val="3F9BA52F"/>
    <w:rsid w:val="3FA3C32A"/>
    <w:rsid w:val="3FAD7862"/>
    <w:rsid w:val="3FE20C7B"/>
    <w:rsid w:val="3FEA5D32"/>
    <w:rsid w:val="3FFB31ED"/>
    <w:rsid w:val="3FFD357B"/>
    <w:rsid w:val="3FFDE7A6"/>
    <w:rsid w:val="40028290"/>
    <w:rsid w:val="401FD0F5"/>
    <w:rsid w:val="4038188A"/>
    <w:rsid w:val="40432CDE"/>
    <w:rsid w:val="40544347"/>
    <w:rsid w:val="4059CEE4"/>
    <w:rsid w:val="40671F0A"/>
    <w:rsid w:val="408944B1"/>
    <w:rsid w:val="40BEA76C"/>
    <w:rsid w:val="40CF658B"/>
    <w:rsid w:val="40D4A45B"/>
    <w:rsid w:val="40F157FE"/>
    <w:rsid w:val="40FBD444"/>
    <w:rsid w:val="411AD82F"/>
    <w:rsid w:val="411D943B"/>
    <w:rsid w:val="4124DBBE"/>
    <w:rsid w:val="415C70F9"/>
    <w:rsid w:val="416351DE"/>
    <w:rsid w:val="416637EE"/>
    <w:rsid w:val="41798BF6"/>
    <w:rsid w:val="41946BBD"/>
    <w:rsid w:val="4194E469"/>
    <w:rsid w:val="4199AAAD"/>
    <w:rsid w:val="419CD3B2"/>
    <w:rsid w:val="419CFD34"/>
    <w:rsid w:val="41A8F6BE"/>
    <w:rsid w:val="41B66013"/>
    <w:rsid w:val="41BF2D59"/>
    <w:rsid w:val="41C050CD"/>
    <w:rsid w:val="41F7F59D"/>
    <w:rsid w:val="42017991"/>
    <w:rsid w:val="421227D0"/>
    <w:rsid w:val="42192C66"/>
    <w:rsid w:val="42246FFA"/>
    <w:rsid w:val="423DF992"/>
    <w:rsid w:val="4298B783"/>
    <w:rsid w:val="42BC85CE"/>
    <w:rsid w:val="42C2F60F"/>
    <w:rsid w:val="42C47E56"/>
    <w:rsid w:val="42C8B7FA"/>
    <w:rsid w:val="42D109AA"/>
    <w:rsid w:val="42D56BD5"/>
    <w:rsid w:val="42F7A744"/>
    <w:rsid w:val="4324CF2A"/>
    <w:rsid w:val="432DDE18"/>
    <w:rsid w:val="433E47FA"/>
    <w:rsid w:val="434B2332"/>
    <w:rsid w:val="436036C9"/>
    <w:rsid w:val="43661858"/>
    <w:rsid w:val="43678200"/>
    <w:rsid w:val="4396FA21"/>
    <w:rsid w:val="439F7F4D"/>
    <w:rsid w:val="43B787C0"/>
    <w:rsid w:val="43BE6A01"/>
    <w:rsid w:val="43BF0209"/>
    <w:rsid w:val="43D5FC77"/>
    <w:rsid w:val="43ED899C"/>
    <w:rsid w:val="43F194D1"/>
    <w:rsid w:val="43F5D416"/>
    <w:rsid w:val="43F5F7AD"/>
    <w:rsid w:val="4403BE23"/>
    <w:rsid w:val="4418AE1A"/>
    <w:rsid w:val="441E7093"/>
    <w:rsid w:val="442978E9"/>
    <w:rsid w:val="442C85B1"/>
    <w:rsid w:val="44B2FF2C"/>
    <w:rsid w:val="44C3CE35"/>
    <w:rsid w:val="44D2B632"/>
    <w:rsid w:val="44EB50D3"/>
    <w:rsid w:val="44FEEAC9"/>
    <w:rsid w:val="45123A60"/>
    <w:rsid w:val="45309E2A"/>
    <w:rsid w:val="45353AEE"/>
    <w:rsid w:val="4537A00F"/>
    <w:rsid w:val="453D9D69"/>
    <w:rsid w:val="456B13E3"/>
    <w:rsid w:val="456C27B0"/>
    <w:rsid w:val="45822E2A"/>
    <w:rsid w:val="45C12167"/>
    <w:rsid w:val="45C8A6EB"/>
    <w:rsid w:val="45DE94D9"/>
    <w:rsid w:val="45EC99D7"/>
    <w:rsid w:val="460C268B"/>
    <w:rsid w:val="461A8062"/>
    <w:rsid w:val="461DF68C"/>
    <w:rsid w:val="4657429E"/>
    <w:rsid w:val="46618DFA"/>
    <w:rsid w:val="4667FCE7"/>
    <w:rsid w:val="46899C4B"/>
    <w:rsid w:val="46ADD2E8"/>
    <w:rsid w:val="46AEB9CF"/>
    <w:rsid w:val="46B3012D"/>
    <w:rsid w:val="46C041C1"/>
    <w:rsid w:val="46C1B185"/>
    <w:rsid w:val="46F238D2"/>
    <w:rsid w:val="46F8B252"/>
    <w:rsid w:val="472A4BC6"/>
    <w:rsid w:val="472FC01F"/>
    <w:rsid w:val="4731F50B"/>
    <w:rsid w:val="4735A799"/>
    <w:rsid w:val="473C2A5A"/>
    <w:rsid w:val="474C923E"/>
    <w:rsid w:val="47526039"/>
    <w:rsid w:val="47760A9B"/>
    <w:rsid w:val="477D787F"/>
    <w:rsid w:val="478A7A60"/>
    <w:rsid w:val="478AF755"/>
    <w:rsid w:val="47B1234F"/>
    <w:rsid w:val="47B46887"/>
    <w:rsid w:val="47BF30B2"/>
    <w:rsid w:val="47C6CAE0"/>
    <w:rsid w:val="47CC7876"/>
    <w:rsid w:val="47DD319A"/>
    <w:rsid w:val="4801ABD0"/>
    <w:rsid w:val="48027045"/>
    <w:rsid w:val="480295FB"/>
    <w:rsid w:val="4807C989"/>
    <w:rsid w:val="4808B73C"/>
    <w:rsid w:val="481A8F21"/>
    <w:rsid w:val="4841566A"/>
    <w:rsid w:val="48491395"/>
    <w:rsid w:val="4852C8E1"/>
    <w:rsid w:val="48546DAC"/>
    <w:rsid w:val="48888F49"/>
    <w:rsid w:val="489C6FBA"/>
    <w:rsid w:val="48AA6B47"/>
    <w:rsid w:val="48AE7005"/>
    <w:rsid w:val="48BA9F6B"/>
    <w:rsid w:val="48CC02FD"/>
    <w:rsid w:val="48D0C5B2"/>
    <w:rsid w:val="48D8ACF8"/>
    <w:rsid w:val="48E03347"/>
    <w:rsid w:val="490EBA90"/>
    <w:rsid w:val="49113E3B"/>
    <w:rsid w:val="4921A49A"/>
    <w:rsid w:val="49253C25"/>
    <w:rsid w:val="49456FBB"/>
    <w:rsid w:val="49797ECA"/>
    <w:rsid w:val="498DB246"/>
    <w:rsid w:val="498F3666"/>
    <w:rsid w:val="49B23FB2"/>
    <w:rsid w:val="49B5C405"/>
    <w:rsid w:val="49CEBDCA"/>
    <w:rsid w:val="49DA1D83"/>
    <w:rsid w:val="49E28A9C"/>
    <w:rsid w:val="49E3A559"/>
    <w:rsid w:val="49ECFB31"/>
    <w:rsid w:val="49F3842D"/>
    <w:rsid w:val="4A0EE93F"/>
    <w:rsid w:val="4A132089"/>
    <w:rsid w:val="4A18C1F2"/>
    <w:rsid w:val="4A340C53"/>
    <w:rsid w:val="4A3DB01A"/>
    <w:rsid w:val="4A57CF9D"/>
    <w:rsid w:val="4A5AEFC1"/>
    <w:rsid w:val="4A6BC29C"/>
    <w:rsid w:val="4A7A0275"/>
    <w:rsid w:val="4A8143A6"/>
    <w:rsid w:val="4A8628AF"/>
    <w:rsid w:val="4A9CA48F"/>
    <w:rsid w:val="4AA782A6"/>
    <w:rsid w:val="4AEA5120"/>
    <w:rsid w:val="4B05DC27"/>
    <w:rsid w:val="4B091247"/>
    <w:rsid w:val="4B1ADF3F"/>
    <w:rsid w:val="4B2990F8"/>
    <w:rsid w:val="4B2ABF01"/>
    <w:rsid w:val="4B3F90A6"/>
    <w:rsid w:val="4B72E8E1"/>
    <w:rsid w:val="4B73E6BF"/>
    <w:rsid w:val="4B8056FE"/>
    <w:rsid w:val="4B8DE4DE"/>
    <w:rsid w:val="4B9BB42D"/>
    <w:rsid w:val="4BD0C90D"/>
    <w:rsid w:val="4BD3D8F2"/>
    <w:rsid w:val="4BD61C45"/>
    <w:rsid w:val="4BE0E202"/>
    <w:rsid w:val="4BFE8D5E"/>
    <w:rsid w:val="4C01D98A"/>
    <w:rsid w:val="4C0D3260"/>
    <w:rsid w:val="4C698D22"/>
    <w:rsid w:val="4C8113C9"/>
    <w:rsid w:val="4C934D88"/>
    <w:rsid w:val="4C9918B9"/>
    <w:rsid w:val="4C9CB322"/>
    <w:rsid w:val="4CC8191D"/>
    <w:rsid w:val="4CCC2EAD"/>
    <w:rsid w:val="4CD1BFF6"/>
    <w:rsid w:val="4D18C5EB"/>
    <w:rsid w:val="4D4A395B"/>
    <w:rsid w:val="4D5EB3B2"/>
    <w:rsid w:val="4D611E1A"/>
    <w:rsid w:val="4D648778"/>
    <w:rsid w:val="4D6573A3"/>
    <w:rsid w:val="4D7576E3"/>
    <w:rsid w:val="4D790D52"/>
    <w:rsid w:val="4D82C5AE"/>
    <w:rsid w:val="4D9D3600"/>
    <w:rsid w:val="4DA54D9A"/>
    <w:rsid w:val="4DA5E19E"/>
    <w:rsid w:val="4DBBA668"/>
    <w:rsid w:val="4DC7B29B"/>
    <w:rsid w:val="4DC935D3"/>
    <w:rsid w:val="4DF121B5"/>
    <w:rsid w:val="4DF7841A"/>
    <w:rsid w:val="4DF87181"/>
    <w:rsid w:val="4E0B28E9"/>
    <w:rsid w:val="4E35C34F"/>
    <w:rsid w:val="4E4BD08B"/>
    <w:rsid w:val="4E5A8C52"/>
    <w:rsid w:val="4E6113DA"/>
    <w:rsid w:val="4E666052"/>
    <w:rsid w:val="4E7F3888"/>
    <w:rsid w:val="4E873DB4"/>
    <w:rsid w:val="4E98D464"/>
    <w:rsid w:val="4E9DAFA6"/>
    <w:rsid w:val="4EA2EC9A"/>
    <w:rsid w:val="4EBEBE14"/>
    <w:rsid w:val="4EC3E0AE"/>
    <w:rsid w:val="4EDC63CF"/>
    <w:rsid w:val="4EDE9C54"/>
    <w:rsid w:val="4F075372"/>
    <w:rsid w:val="4F1CC2C2"/>
    <w:rsid w:val="4F235512"/>
    <w:rsid w:val="4F4A0FE1"/>
    <w:rsid w:val="4F52069C"/>
    <w:rsid w:val="4F67E400"/>
    <w:rsid w:val="4F7DD86C"/>
    <w:rsid w:val="4F8DE1CC"/>
    <w:rsid w:val="4FE01C32"/>
    <w:rsid w:val="4FECBB78"/>
    <w:rsid w:val="4FF14810"/>
    <w:rsid w:val="4FFE9018"/>
    <w:rsid w:val="500C96A7"/>
    <w:rsid w:val="501A7073"/>
    <w:rsid w:val="501F4941"/>
    <w:rsid w:val="50241C11"/>
    <w:rsid w:val="503176C9"/>
    <w:rsid w:val="50361003"/>
    <w:rsid w:val="5063959F"/>
    <w:rsid w:val="506D6BE4"/>
    <w:rsid w:val="50849AF3"/>
    <w:rsid w:val="50A5AE9E"/>
    <w:rsid w:val="50D14980"/>
    <w:rsid w:val="50EA5A41"/>
    <w:rsid w:val="50FAFBFA"/>
    <w:rsid w:val="50FEE5B4"/>
    <w:rsid w:val="50FF4C51"/>
    <w:rsid w:val="513019B8"/>
    <w:rsid w:val="514492FB"/>
    <w:rsid w:val="5166D4B9"/>
    <w:rsid w:val="51751E4C"/>
    <w:rsid w:val="5182114E"/>
    <w:rsid w:val="518CD3DB"/>
    <w:rsid w:val="518EFE2F"/>
    <w:rsid w:val="51988E6C"/>
    <w:rsid w:val="519DD064"/>
    <w:rsid w:val="51AC94B3"/>
    <w:rsid w:val="51ACAA79"/>
    <w:rsid w:val="51B2DFD8"/>
    <w:rsid w:val="51B97BF9"/>
    <w:rsid w:val="51BF2DAF"/>
    <w:rsid w:val="51DE5F43"/>
    <w:rsid w:val="51F453FC"/>
    <w:rsid w:val="51FF59EC"/>
    <w:rsid w:val="520BE928"/>
    <w:rsid w:val="5223C0C2"/>
    <w:rsid w:val="52257420"/>
    <w:rsid w:val="52263C94"/>
    <w:rsid w:val="522CD93A"/>
    <w:rsid w:val="523E2CC6"/>
    <w:rsid w:val="524B7782"/>
    <w:rsid w:val="525C9F9A"/>
    <w:rsid w:val="52713EF7"/>
    <w:rsid w:val="527513DE"/>
    <w:rsid w:val="5281BBCF"/>
    <w:rsid w:val="52831F49"/>
    <w:rsid w:val="52964126"/>
    <w:rsid w:val="529E86B6"/>
    <w:rsid w:val="52AEAEF5"/>
    <w:rsid w:val="52BEC995"/>
    <w:rsid w:val="52BF30A2"/>
    <w:rsid w:val="52CB618A"/>
    <w:rsid w:val="52DCF1F4"/>
    <w:rsid w:val="52DE06DD"/>
    <w:rsid w:val="52ED2370"/>
    <w:rsid w:val="530DBD17"/>
    <w:rsid w:val="5313E4AB"/>
    <w:rsid w:val="53164748"/>
    <w:rsid w:val="53205A62"/>
    <w:rsid w:val="53220E49"/>
    <w:rsid w:val="5324C3DB"/>
    <w:rsid w:val="5327A3AF"/>
    <w:rsid w:val="53348C71"/>
    <w:rsid w:val="5341DD4E"/>
    <w:rsid w:val="535C8EBC"/>
    <w:rsid w:val="535D269C"/>
    <w:rsid w:val="537BC306"/>
    <w:rsid w:val="53A7E342"/>
    <w:rsid w:val="53A9D27B"/>
    <w:rsid w:val="53AF4F9C"/>
    <w:rsid w:val="53B4E93C"/>
    <w:rsid w:val="53BD9323"/>
    <w:rsid w:val="53D277B4"/>
    <w:rsid w:val="53DACF2B"/>
    <w:rsid w:val="53EF8D91"/>
    <w:rsid w:val="542EAD01"/>
    <w:rsid w:val="542F028F"/>
    <w:rsid w:val="5447D9E1"/>
    <w:rsid w:val="544AABEF"/>
    <w:rsid w:val="544FD13D"/>
    <w:rsid w:val="54516AFE"/>
    <w:rsid w:val="54626D4F"/>
    <w:rsid w:val="546BC51D"/>
    <w:rsid w:val="547E3D71"/>
    <w:rsid w:val="5480DBB4"/>
    <w:rsid w:val="54846689"/>
    <w:rsid w:val="548F45E4"/>
    <w:rsid w:val="5497EF69"/>
    <w:rsid w:val="54B5344D"/>
    <w:rsid w:val="54CAAC2C"/>
    <w:rsid w:val="54D3F0CE"/>
    <w:rsid w:val="54D7973D"/>
    <w:rsid w:val="54EF7E6A"/>
    <w:rsid w:val="54F0D954"/>
    <w:rsid w:val="54F8A816"/>
    <w:rsid w:val="54F8CC09"/>
    <w:rsid w:val="5509ADBC"/>
    <w:rsid w:val="55178BEF"/>
    <w:rsid w:val="551F0EC4"/>
    <w:rsid w:val="552D2D4D"/>
    <w:rsid w:val="5530E838"/>
    <w:rsid w:val="553C7FCA"/>
    <w:rsid w:val="553CD59D"/>
    <w:rsid w:val="555820C9"/>
    <w:rsid w:val="555DE878"/>
    <w:rsid w:val="55864F9B"/>
    <w:rsid w:val="558F900A"/>
    <w:rsid w:val="5599F571"/>
    <w:rsid w:val="55A432C1"/>
    <w:rsid w:val="55B2F1A7"/>
    <w:rsid w:val="55C9A473"/>
    <w:rsid w:val="55CB59C6"/>
    <w:rsid w:val="55F4FDF0"/>
    <w:rsid w:val="55FC9815"/>
    <w:rsid w:val="560F110D"/>
    <w:rsid w:val="56132DE7"/>
    <w:rsid w:val="5624E655"/>
    <w:rsid w:val="5638D814"/>
    <w:rsid w:val="5648D794"/>
    <w:rsid w:val="564F4460"/>
    <w:rsid w:val="565D6DE5"/>
    <w:rsid w:val="566258D9"/>
    <w:rsid w:val="566A89D3"/>
    <w:rsid w:val="5679E178"/>
    <w:rsid w:val="5687D6D6"/>
    <w:rsid w:val="56C719A9"/>
    <w:rsid w:val="56C99D3F"/>
    <w:rsid w:val="56E78D8F"/>
    <w:rsid w:val="56FCB168"/>
    <w:rsid w:val="571B7770"/>
    <w:rsid w:val="571C68C9"/>
    <w:rsid w:val="5722EF4C"/>
    <w:rsid w:val="5724075B"/>
    <w:rsid w:val="57300B91"/>
    <w:rsid w:val="5730E7B8"/>
    <w:rsid w:val="5737AAE9"/>
    <w:rsid w:val="57446B81"/>
    <w:rsid w:val="57454C2C"/>
    <w:rsid w:val="574FC955"/>
    <w:rsid w:val="575558EC"/>
    <w:rsid w:val="57783104"/>
    <w:rsid w:val="5778DE68"/>
    <w:rsid w:val="577969E1"/>
    <w:rsid w:val="577E185F"/>
    <w:rsid w:val="57887132"/>
    <w:rsid w:val="57890E9B"/>
    <w:rsid w:val="578B44EC"/>
    <w:rsid w:val="5795CCF2"/>
    <w:rsid w:val="5797EF64"/>
    <w:rsid w:val="57A757C9"/>
    <w:rsid w:val="57A8E786"/>
    <w:rsid w:val="57AB0FF4"/>
    <w:rsid w:val="57AC02CD"/>
    <w:rsid w:val="57C9A3B4"/>
    <w:rsid w:val="57D84B58"/>
    <w:rsid w:val="58285276"/>
    <w:rsid w:val="58422FF3"/>
    <w:rsid w:val="584A670B"/>
    <w:rsid w:val="5855BD01"/>
    <w:rsid w:val="58748724"/>
    <w:rsid w:val="587649E1"/>
    <w:rsid w:val="5881032B"/>
    <w:rsid w:val="58832D3A"/>
    <w:rsid w:val="588F81A6"/>
    <w:rsid w:val="5896CA4A"/>
    <w:rsid w:val="589B7905"/>
    <w:rsid w:val="58B7720E"/>
    <w:rsid w:val="58CBBD46"/>
    <w:rsid w:val="58CCDFF1"/>
    <w:rsid w:val="58DF58BA"/>
    <w:rsid w:val="58E0F931"/>
    <w:rsid w:val="58F66658"/>
    <w:rsid w:val="58F6E319"/>
    <w:rsid w:val="5904313F"/>
    <w:rsid w:val="590D55B6"/>
    <w:rsid w:val="5910AC60"/>
    <w:rsid w:val="591E1E5B"/>
    <w:rsid w:val="59321A15"/>
    <w:rsid w:val="5932534E"/>
    <w:rsid w:val="593CC5A2"/>
    <w:rsid w:val="593E6733"/>
    <w:rsid w:val="595473ED"/>
    <w:rsid w:val="5972E9FC"/>
    <w:rsid w:val="599DF8BE"/>
    <w:rsid w:val="59A4967E"/>
    <w:rsid w:val="59CFBCFF"/>
    <w:rsid w:val="5A043E49"/>
    <w:rsid w:val="5A088700"/>
    <w:rsid w:val="5A10BA24"/>
    <w:rsid w:val="5A2DBF3E"/>
    <w:rsid w:val="5A429C6E"/>
    <w:rsid w:val="5A4A031D"/>
    <w:rsid w:val="5A5DE785"/>
    <w:rsid w:val="5A60ECCE"/>
    <w:rsid w:val="5A61CE6D"/>
    <w:rsid w:val="5A7CF269"/>
    <w:rsid w:val="5AB3C171"/>
    <w:rsid w:val="5ABADB28"/>
    <w:rsid w:val="5AC51EAE"/>
    <w:rsid w:val="5AC5C45E"/>
    <w:rsid w:val="5ACF452D"/>
    <w:rsid w:val="5AE89EDA"/>
    <w:rsid w:val="5AE9EBA8"/>
    <w:rsid w:val="5AF5C39C"/>
    <w:rsid w:val="5AFDD90A"/>
    <w:rsid w:val="5B19C941"/>
    <w:rsid w:val="5B1FAED7"/>
    <w:rsid w:val="5B2BF7AA"/>
    <w:rsid w:val="5B3189CD"/>
    <w:rsid w:val="5B603E25"/>
    <w:rsid w:val="5B6273BD"/>
    <w:rsid w:val="5B64473F"/>
    <w:rsid w:val="5B6AF778"/>
    <w:rsid w:val="5B6DC013"/>
    <w:rsid w:val="5B76A856"/>
    <w:rsid w:val="5B77C618"/>
    <w:rsid w:val="5B7A1326"/>
    <w:rsid w:val="5B7B96D7"/>
    <w:rsid w:val="5B91DB70"/>
    <w:rsid w:val="5B931579"/>
    <w:rsid w:val="5BA154CF"/>
    <w:rsid w:val="5BBCEA2F"/>
    <w:rsid w:val="5BD12F8B"/>
    <w:rsid w:val="5BDACF44"/>
    <w:rsid w:val="5C12BB14"/>
    <w:rsid w:val="5C288DEC"/>
    <w:rsid w:val="5C2E1525"/>
    <w:rsid w:val="5C3B67EF"/>
    <w:rsid w:val="5C4742B1"/>
    <w:rsid w:val="5C5E2029"/>
    <w:rsid w:val="5C62C148"/>
    <w:rsid w:val="5C8E7EE7"/>
    <w:rsid w:val="5CA458CB"/>
    <w:rsid w:val="5CA68CE2"/>
    <w:rsid w:val="5CAC7DE3"/>
    <w:rsid w:val="5CD235CD"/>
    <w:rsid w:val="5CF778B9"/>
    <w:rsid w:val="5D175F86"/>
    <w:rsid w:val="5D197C29"/>
    <w:rsid w:val="5D1D2DD8"/>
    <w:rsid w:val="5D1E70D1"/>
    <w:rsid w:val="5D2A2973"/>
    <w:rsid w:val="5D3A6374"/>
    <w:rsid w:val="5D52F5C0"/>
    <w:rsid w:val="5D5AB31C"/>
    <w:rsid w:val="5D5F0122"/>
    <w:rsid w:val="5D6D60A3"/>
    <w:rsid w:val="5D8EDD40"/>
    <w:rsid w:val="5DA09EF5"/>
    <w:rsid w:val="5DE481B8"/>
    <w:rsid w:val="5DEFDD14"/>
    <w:rsid w:val="5DF76354"/>
    <w:rsid w:val="5DFF2A3B"/>
    <w:rsid w:val="5E033C7F"/>
    <w:rsid w:val="5E0D04D1"/>
    <w:rsid w:val="5E17EB6F"/>
    <w:rsid w:val="5E1B11F7"/>
    <w:rsid w:val="5E1D2200"/>
    <w:rsid w:val="5E2005C5"/>
    <w:rsid w:val="5E27DB69"/>
    <w:rsid w:val="5E358206"/>
    <w:rsid w:val="5E435AE6"/>
    <w:rsid w:val="5E4DDF7E"/>
    <w:rsid w:val="5E50BB00"/>
    <w:rsid w:val="5E599546"/>
    <w:rsid w:val="5E7A56D2"/>
    <w:rsid w:val="5E8C61CF"/>
    <w:rsid w:val="5E8E10B1"/>
    <w:rsid w:val="5E90945B"/>
    <w:rsid w:val="5EC8F8B0"/>
    <w:rsid w:val="5ECABDE2"/>
    <w:rsid w:val="5ED6D437"/>
    <w:rsid w:val="5EDAC0E0"/>
    <w:rsid w:val="5EE26F1D"/>
    <w:rsid w:val="5F0B14C5"/>
    <w:rsid w:val="5F3EF91B"/>
    <w:rsid w:val="5F46E1AE"/>
    <w:rsid w:val="5F5755C9"/>
    <w:rsid w:val="5F72727F"/>
    <w:rsid w:val="5F839F88"/>
    <w:rsid w:val="5F841AFF"/>
    <w:rsid w:val="5FA96C6C"/>
    <w:rsid w:val="5FAB934A"/>
    <w:rsid w:val="5FB0CEC0"/>
    <w:rsid w:val="5FB382AF"/>
    <w:rsid w:val="5FC25C9F"/>
    <w:rsid w:val="5FC7C2AF"/>
    <w:rsid w:val="5FC8007D"/>
    <w:rsid w:val="5FD0E392"/>
    <w:rsid w:val="5FD53997"/>
    <w:rsid w:val="5FE65418"/>
    <w:rsid w:val="600642FE"/>
    <w:rsid w:val="6016D764"/>
    <w:rsid w:val="6025C840"/>
    <w:rsid w:val="60385794"/>
    <w:rsid w:val="604BF15B"/>
    <w:rsid w:val="604C9635"/>
    <w:rsid w:val="607F2EC1"/>
    <w:rsid w:val="6082C85F"/>
    <w:rsid w:val="6085C3FB"/>
    <w:rsid w:val="608A754A"/>
    <w:rsid w:val="60981D1C"/>
    <w:rsid w:val="609841AA"/>
    <w:rsid w:val="60A81459"/>
    <w:rsid w:val="60ACF90A"/>
    <w:rsid w:val="60B75CEA"/>
    <w:rsid w:val="60B9B2A1"/>
    <w:rsid w:val="60BC94E4"/>
    <w:rsid w:val="60EB88F7"/>
    <w:rsid w:val="60EC2B62"/>
    <w:rsid w:val="60F2B231"/>
    <w:rsid w:val="610485DE"/>
    <w:rsid w:val="610EBCB2"/>
    <w:rsid w:val="610F39BA"/>
    <w:rsid w:val="610FE06F"/>
    <w:rsid w:val="612629CD"/>
    <w:rsid w:val="61263B5C"/>
    <w:rsid w:val="61413970"/>
    <w:rsid w:val="61547959"/>
    <w:rsid w:val="61649450"/>
    <w:rsid w:val="61A792E0"/>
    <w:rsid w:val="61A9C1E8"/>
    <w:rsid w:val="61B64100"/>
    <w:rsid w:val="61DFDB81"/>
    <w:rsid w:val="61FCFD9D"/>
    <w:rsid w:val="6200171A"/>
    <w:rsid w:val="6207BDAC"/>
    <w:rsid w:val="622A6B45"/>
    <w:rsid w:val="6240FEA6"/>
    <w:rsid w:val="624D21F6"/>
    <w:rsid w:val="6267C35A"/>
    <w:rsid w:val="627AD158"/>
    <w:rsid w:val="629DCA21"/>
    <w:rsid w:val="62A963B9"/>
    <w:rsid w:val="62B204EC"/>
    <w:rsid w:val="62C4B336"/>
    <w:rsid w:val="62D5E655"/>
    <w:rsid w:val="62E81025"/>
    <w:rsid w:val="62F1B528"/>
    <w:rsid w:val="62F98D4D"/>
    <w:rsid w:val="63024F96"/>
    <w:rsid w:val="6316D6C3"/>
    <w:rsid w:val="632B311A"/>
    <w:rsid w:val="6334C268"/>
    <w:rsid w:val="635E29D2"/>
    <w:rsid w:val="636602E6"/>
    <w:rsid w:val="636965CE"/>
    <w:rsid w:val="6378FC8F"/>
    <w:rsid w:val="637B1F45"/>
    <w:rsid w:val="637C07FC"/>
    <w:rsid w:val="63B5F567"/>
    <w:rsid w:val="63BD5CD9"/>
    <w:rsid w:val="63E27C5B"/>
    <w:rsid w:val="63F85202"/>
    <w:rsid w:val="63F989E9"/>
    <w:rsid w:val="63FD7030"/>
    <w:rsid w:val="63FEE4F8"/>
    <w:rsid w:val="6406BBED"/>
    <w:rsid w:val="641C01BE"/>
    <w:rsid w:val="643DDA3B"/>
    <w:rsid w:val="643E486A"/>
    <w:rsid w:val="644180C4"/>
    <w:rsid w:val="644BA6BE"/>
    <w:rsid w:val="645D8314"/>
    <w:rsid w:val="64656E57"/>
    <w:rsid w:val="64708586"/>
    <w:rsid w:val="648007B5"/>
    <w:rsid w:val="648262AA"/>
    <w:rsid w:val="649A179A"/>
    <w:rsid w:val="64B16A15"/>
    <w:rsid w:val="64CF6F7E"/>
    <w:rsid w:val="64D28E51"/>
    <w:rsid w:val="64F0BBE6"/>
    <w:rsid w:val="651428F5"/>
    <w:rsid w:val="65273225"/>
    <w:rsid w:val="654F45C6"/>
    <w:rsid w:val="65531454"/>
    <w:rsid w:val="65584E0D"/>
    <w:rsid w:val="656613EA"/>
    <w:rsid w:val="659548E2"/>
    <w:rsid w:val="65982A3F"/>
    <w:rsid w:val="65ACFE5D"/>
    <w:rsid w:val="65C7FF19"/>
    <w:rsid w:val="65F794A0"/>
    <w:rsid w:val="65FF1F89"/>
    <w:rsid w:val="6607EBBA"/>
    <w:rsid w:val="6613ABD5"/>
    <w:rsid w:val="664F83D4"/>
    <w:rsid w:val="6657A374"/>
    <w:rsid w:val="66633BE8"/>
    <w:rsid w:val="66890D1C"/>
    <w:rsid w:val="668FA1FA"/>
    <w:rsid w:val="668FEAA2"/>
    <w:rsid w:val="66B9454C"/>
    <w:rsid w:val="66C64D0A"/>
    <w:rsid w:val="66D6326E"/>
    <w:rsid w:val="66DFB117"/>
    <w:rsid w:val="66FF0C30"/>
    <w:rsid w:val="67096EFE"/>
    <w:rsid w:val="670B35F6"/>
    <w:rsid w:val="672B613A"/>
    <w:rsid w:val="67331099"/>
    <w:rsid w:val="674717FB"/>
    <w:rsid w:val="6752274B"/>
    <w:rsid w:val="6780A054"/>
    <w:rsid w:val="6787E077"/>
    <w:rsid w:val="678AFA8F"/>
    <w:rsid w:val="67913889"/>
    <w:rsid w:val="67937B11"/>
    <w:rsid w:val="67B99343"/>
    <w:rsid w:val="67C5774E"/>
    <w:rsid w:val="67E0A266"/>
    <w:rsid w:val="67E3B8C9"/>
    <w:rsid w:val="67E70033"/>
    <w:rsid w:val="67E809F5"/>
    <w:rsid w:val="67FA57A6"/>
    <w:rsid w:val="680F7DE9"/>
    <w:rsid w:val="6817F07E"/>
    <w:rsid w:val="682C3A44"/>
    <w:rsid w:val="6831BE3D"/>
    <w:rsid w:val="6860DABA"/>
    <w:rsid w:val="68801AD6"/>
    <w:rsid w:val="6887BF2D"/>
    <w:rsid w:val="68ADE4BD"/>
    <w:rsid w:val="68BF4C04"/>
    <w:rsid w:val="691F29FB"/>
    <w:rsid w:val="6956C7C4"/>
    <w:rsid w:val="6958D3B9"/>
    <w:rsid w:val="69773F58"/>
    <w:rsid w:val="697B0E97"/>
    <w:rsid w:val="699B7382"/>
    <w:rsid w:val="69B063F2"/>
    <w:rsid w:val="69BB1C7B"/>
    <w:rsid w:val="69C18E4D"/>
    <w:rsid w:val="69F78727"/>
    <w:rsid w:val="6A230E9A"/>
    <w:rsid w:val="6A24EF77"/>
    <w:rsid w:val="6A2E5905"/>
    <w:rsid w:val="6A3EA2CD"/>
    <w:rsid w:val="6A7DC380"/>
    <w:rsid w:val="6A80051D"/>
    <w:rsid w:val="6A8CE3B1"/>
    <w:rsid w:val="6AA3525E"/>
    <w:rsid w:val="6AA76EE7"/>
    <w:rsid w:val="6AEBB09B"/>
    <w:rsid w:val="6AF9ECE8"/>
    <w:rsid w:val="6B0ACF60"/>
    <w:rsid w:val="6B11A7EC"/>
    <w:rsid w:val="6B216D4A"/>
    <w:rsid w:val="6B27601C"/>
    <w:rsid w:val="6B2C5633"/>
    <w:rsid w:val="6B356038"/>
    <w:rsid w:val="6B427B28"/>
    <w:rsid w:val="6B469E56"/>
    <w:rsid w:val="6B5FA279"/>
    <w:rsid w:val="6B860586"/>
    <w:rsid w:val="6B9B1EF7"/>
    <w:rsid w:val="6BA87D98"/>
    <w:rsid w:val="6BAA1DC5"/>
    <w:rsid w:val="6BB1D861"/>
    <w:rsid w:val="6BC720EF"/>
    <w:rsid w:val="6BDC6FE7"/>
    <w:rsid w:val="6BDFC1C1"/>
    <w:rsid w:val="6BE72D45"/>
    <w:rsid w:val="6BE84077"/>
    <w:rsid w:val="6BFDEB90"/>
    <w:rsid w:val="6BFE057B"/>
    <w:rsid w:val="6BFF95BF"/>
    <w:rsid w:val="6C0A3535"/>
    <w:rsid w:val="6C103B66"/>
    <w:rsid w:val="6C352271"/>
    <w:rsid w:val="6C465C56"/>
    <w:rsid w:val="6C5276CB"/>
    <w:rsid w:val="6C5E87AA"/>
    <w:rsid w:val="6C701D42"/>
    <w:rsid w:val="6C936AC7"/>
    <w:rsid w:val="6CAE19B4"/>
    <w:rsid w:val="6CB4833C"/>
    <w:rsid w:val="6CBCBF20"/>
    <w:rsid w:val="6CBE6A8F"/>
    <w:rsid w:val="6CE19906"/>
    <w:rsid w:val="6D08AA25"/>
    <w:rsid w:val="6D0C51EE"/>
    <w:rsid w:val="6D111EE2"/>
    <w:rsid w:val="6D21CEA9"/>
    <w:rsid w:val="6D259186"/>
    <w:rsid w:val="6D3D67D7"/>
    <w:rsid w:val="6D444CE0"/>
    <w:rsid w:val="6D473946"/>
    <w:rsid w:val="6D571751"/>
    <w:rsid w:val="6D6BA575"/>
    <w:rsid w:val="6D7246C6"/>
    <w:rsid w:val="6D89B504"/>
    <w:rsid w:val="6D94757E"/>
    <w:rsid w:val="6DB46F51"/>
    <w:rsid w:val="6DBCC978"/>
    <w:rsid w:val="6DDE8E4E"/>
    <w:rsid w:val="6DE297D6"/>
    <w:rsid w:val="6DE89B09"/>
    <w:rsid w:val="6E0D9365"/>
    <w:rsid w:val="6E1E0979"/>
    <w:rsid w:val="6E1E1957"/>
    <w:rsid w:val="6E49F0DD"/>
    <w:rsid w:val="6E83B92A"/>
    <w:rsid w:val="6EB36CCA"/>
    <w:rsid w:val="6EB5CEE6"/>
    <w:rsid w:val="6EBB49A7"/>
    <w:rsid w:val="6ED47C44"/>
    <w:rsid w:val="6EE41E25"/>
    <w:rsid w:val="6EFA7797"/>
    <w:rsid w:val="6F04B159"/>
    <w:rsid w:val="6F07D3CB"/>
    <w:rsid w:val="6F1E0C0A"/>
    <w:rsid w:val="6F2C0458"/>
    <w:rsid w:val="6F2DCAF2"/>
    <w:rsid w:val="6F37FAED"/>
    <w:rsid w:val="6F49AB54"/>
    <w:rsid w:val="6F56F5E5"/>
    <w:rsid w:val="6F5C0DB1"/>
    <w:rsid w:val="6F5F8BD9"/>
    <w:rsid w:val="6F7127F9"/>
    <w:rsid w:val="6F757F06"/>
    <w:rsid w:val="6FA49BEC"/>
    <w:rsid w:val="6FA5244B"/>
    <w:rsid w:val="6FACC0E5"/>
    <w:rsid w:val="6FB36611"/>
    <w:rsid w:val="6FCB4A0B"/>
    <w:rsid w:val="6FD32F92"/>
    <w:rsid w:val="6FEACB24"/>
    <w:rsid w:val="6FF694AE"/>
    <w:rsid w:val="7015DC4C"/>
    <w:rsid w:val="701FCF06"/>
    <w:rsid w:val="7048A5CF"/>
    <w:rsid w:val="70516548"/>
    <w:rsid w:val="7056AF87"/>
    <w:rsid w:val="705EAFE3"/>
    <w:rsid w:val="70970856"/>
    <w:rsid w:val="70A19D17"/>
    <w:rsid w:val="70BA72CE"/>
    <w:rsid w:val="70BC37F7"/>
    <w:rsid w:val="70E8D10E"/>
    <w:rsid w:val="70E8D4BF"/>
    <w:rsid w:val="71038C61"/>
    <w:rsid w:val="7106B4C2"/>
    <w:rsid w:val="7107E70E"/>
    <w:rsid w:val="71175B40"/>
    <w:rsid w:val="712200A1"/>
    <w:rsid w:val="7128F65B"/>
    <w:rsid w:val="712E6EC9"/>
    <w:rsid w:val="7139144E"/>
    <w:rsid w:val="71525E32"/>
    <w:rsid w:val="715E7F64"/>
    <w:rsid w:val="716C1171"/>
    <w:rsid w:val="717F48EA"/>
    <w:rsid w:val="7191E394"/>
    <w:rsid w:val="71A59671"/>
    <w:rsid w:val="71B1AD51"/>
    <w:rsid w:val="71E8E892"/>
    <w:rsid w:val="71EB1B9F"/>
    <w:rsid w:val="71F21A21"/>
    <w:rsid w:val="71F4C0E0"/>
    <w:rsid w:val="720D7DDC"/>
    <w:rsid w:val="7227F031"/>
    <w:rsid w:val="7239B1B7"/>
    <w:rsid w:val="724B38E9"/>
    <w:rsid w:val="724ECB3A"/>
    <w:rsid w:val="7272D85B"/>
    <w:rsid w:val="727DF8C3"/>
    <w:rsid w:val="72830641"/>
    <w:rsid w:val="7291214B"/>
    <w:rsid w:val="72998828"/>
    <w:rsid w:val="729F0971"/>
    <w:rsid w:val="72A2E70B"/>
    <w:rsid w:val="72ADCB63"/>
    <w:rsid w:val="72ADF426"/>
    <w:rsid w:val="72CAB458"/>
    <w:rsid w:val="72D517EB"/>
    <w:rsid w:val="730B22B1"/>
    <w:rsid w:val="732BD0B6"/>
    <w:rsid w:val="7356BD26"/>
    <w:rsid w:val="735869B2"/>
    <w:rsid w:val="736153CB"/>
    <w:rsid w:val="73639C7F"/>
    <w:rsid w:val="737060EE"/>
    <w:rsid w:val="73880461"/>
    <w:rsid w:val="738AE6C8"/>
    <w:rsid w:val="738FF393"/>
    <w:rsid w:val="739C8E9E"/>
    <w:rsid w:val="73A683E0"/>
    <w:rsid w:val="73B6EE4C"/>
    <w:rsid w:val="73DD6AFB"/>
    <w:rsid w:val="741CF97E"/>
    <w:rsid w:val="7422CC2C"/>
    <w:rsid w:val="7423926D"/>
    <w:rsid w:val="74245D36"/>
    <w:rsid w:val="74272528"/>
    <w:rsid w:val="74334C93"/>
    <w:rsid w:val="7447A03D"/>
    <w:rsid w:val="74565772"/>
    <w:rsid w:val="747316D1"/>
    <w:rsid w:val="747C7A3C"/>
    <w:rsid w:val="747F4607"/>
    <w:rsid w:val="7482FB1F"/>
    <w:rsid w:val="7493B4AA"/>
    <w:rsid w:val="74BCE84B"/>
    <w:rsid w:val="74BF1508"/>
    <w:rsid w:val="74F1CDCB"/>
    <w:rsid w:val="75191D3A"/>
    <w:rsid w:val="7539CCE1"/>
    <w:rsid w:val="75418710"/>
    <w:rsid w:val="754A8232"/>
    <w:rsid w:val="756360D7"/>
    <w:rsid w:val="75816285"/>
    <w:rsid w:val="758AD4DE"/>
    <w:rsid w:val="75949E3F"/>
    <w:rsid w:val="759F7748"/>
    <w:rsid w:val="75A0083B"/>
    <w:rsid w:val="75A6E0AB"/>
    <w:rsid w:val="75B55D9A"/>
    <w:rsid w:val="75B5CAFB"/>
    <w:rsid w:val="75C51663"/>
    <w:rsid w:val="75C8BD09"/>
    <w:rsid w:val="75D6E6CB"/>
    <w:rsid w:val="75DAF569"/>
    <w:rsid w:val="75F0224B"/>
    <w:rsid w:val="761F1DC1"/>
    <w:rsid w:val="761F9168"/>
    <w:rsid w:val="76209857"/>
    <w:rsid w:val="7625EDF7"/>
    <w:rsid w:val="76408784"/>
    <w:rsid w:val="76467DDD"/>
    <w:rsid w:val="765F52DC"/>
    <w:rsid w:val="7675A5AE"/>
    <w:rsid w:val="7679E0CF"/>
    <w:rsid w:val="767FC577"/>
    <w:rsid w:val="768D8D10"/>
    <w:rsid w:val="76C9DF21"/>
    <w:rsid w:val="76DD367B"/>
    <w:rsid w:val="76EA09BE"/>
    <w:rsid w:val="7703098A"/>
    <w:rsid w:val="770B4E72"/>
    <w:rsid w:val="771537F7"/>
    <w:rsid w:val="772140BB"/>
    <w:rsid w:val="772BBD8A"/>
    <w:rsid w:val="77384D1A"/>
    <w:rsid w:val="774B65D3"/>
    <w:rsid w:val="774CE229"/>
    <w:rsid w:val="7756E8CF"/>
    <w:rsid w:val="777472DF"/>
    <w:rsid w:val="779EE50D"/>
    <w:rsid w:val="77B28E5D"/>
    <w:rsid w:val="77B3B05C"/>
    <w:rsid w:val="77B5C46A"/>
    <w:rsid w:val="77C2860B"/>
    <w:rsid w:val="77D828BD"/>
    <w:rsid w:val="77E6D85C"/>
    <w:rsid w:val="780BB9A3"/>
    <w:rsid w:val="781290A9"/>
    <w:rsid w:val="781C6B64"/>
    <w:rsid w:val="781D98FF"/>
    <w:rsid w:val="781F89AB"/>
    <w:rsid w:val="782376BE"/>
    <w:rsid w:val="78247CF5"/>
    <w:rsid w:val="782E9347"/>
    <w:rsid w:val="783CDD89"/>
    <w:rsid w:val="784AF236"/>
    <w:rsid w:val="78675996"/>
    <w:rsid w:val="78A49963"/>
    <w:rsid w:val="78A68F90"/>
    <w:rsid w:val="78C2C76F"/>
    <w:rsid w:val="78DF560C"/>
    <w:rsid w:val="78F17E2D"/>
    <w:rsid w:val="78F9AADB"/>
    <w:rsid w:val="79055469"/>
    <w:rsid w:val="7911C618"/>
    <w:rsid w:val="79320658"/>
    <w:rsid w:val="79480ADA"/>
    <w:rsid w:val="794B93F4"/>
    <w:rsid w:val="794DD08E"/>
    <w:rsid w:val="79700387"/>
    <w:rsid w:val="799414A4"/>
    <w:rsid w:val="79945239"/>
    <w:rsid w:val="79AD84C2"/>
    <w:rsid w:val="79B4F18A"/>
    <w:rsid w:val="79BBC442"/>
    <w:rsid w:val="79BD1EF9"/>
    <w:rsid w:val="79BEF3EC"/>
    <w:rsid w:val="79C28DB4"/>
    <w:rsid w:val="79D4E448"/>
    <w:rsid w:val="79EA7FBD"/>
    <w:rsid w:val="79EED821"/>
    <w:rsid w:val="7A106AE8"/>
    <w:rsid w:val="7A15FEEE"/>
    <w:rsid w:val="7A2147B9"/>
    <w:rsid w:val="7A37DA64"/>
    <w:rsid w:val="7A3C2A4B"/>
    <w:rsid w:val="7A44D44E"/>
    <w:rsid w:val="7A5BE027"/>
    <w:rsid w:val="7A7497C7"/>
    <w:rsid w:val="7A798E9C"/>
    <w:rsid w:val="7A7C5C76"/>
    <w:rsid w:val="7A867A91"/>
    <w:rsid w:val="7AA06B0B"/>
    <w:rsid w:val="7AAB770C"/>
    <w:rsid w:val="7AAD8BD7"/>
    <w:rsid w:val="7AB7E7AC"/>
    <w:rsid w:val="7ABD5357"/>
    <w:rsid w:val="7AC019E7"/>
    <w:rsid w:val="7AD25065"/>
    <w:rsid w:val="7B218F5F"/>
    <w:rsid w:val="7B2862FA"/>
    <w:rsid w:val="7B31C8A1"/>
    <w:rsid w:val="7B3E5183"/>
    <w:rsid w:val="7B3EE914"/>
    <w:rsid w:val="7B40ABAA"/>
    <w:rsid w:val="7B42A982"/>
    <w:rsid w:val="7B60AE6A"/>
    <w:rsid w:val="7B647A16"/>
    <w:rsid w:val="7B7EA01B"/>
    <w:rsid w:val="7B824C53"/>
    <w:rsid w:val="7B8D43FD"/>
    <w:rsid w:val="7BB9B149"/>
    <w:rsid w:val="7BC2D69D"/>
    <w:rsid w:val="7BC63773"/>
    <w:rsid w:val="7BC9E899"/>
    <w:rsid w:val="7BCC1CE1"/>
    <w:rsid w:val="7BD0E8E4"/>
    <w:rsid w:val="7BD780EE"/>
    <w:rsid w:val="7BE4C2B5"/>
    <w:rsid w:val="7BEE8B36"/>
    <w:rsid w:val="7BF70F95"/>
    <w:rsid w:val="7BF8681D"/>
    <w:rsid w:val="7C215217"/>
    <w:rsid w:val="7C22B675"/>
    <w:rsid w:val="7C27D736"/>
    <w:rsid w:val="7C36DAAD"/>
    <w:rsid w:val="7C4F37F6"/>
    <w:rsid w:val="7C66A986"/>
    <w:rsid w:val="7C692AE4"/>
    <w:rsid w:val="7C7309B9"/>
    <w:rsid w:val="7C88D431"/>
    <w:rsid w:val="7C93DD36"/>
    <w:rsid w:val="7CA0FECB"/>
    <w:rsid w:val="7CA538E8"/>
    <w:rsid w:val="7CB91870"/>
    <w:rsid w:val="7D034EB1"/>
    <w:rsid w:val="7D25558A"/>
    <w:rsid w:val="7D2B59B3"/>
    <w:rsid w:val="7D353F82"/>
    <w:rsid w:val="7D388761"/>
    <w:rsid w:val="7D3F4594"/>
    <w:rsid w:val="7D56BDA9"/>
    <w:rsid w:val="7D5F6F3A"/>
    <w:rsid w:val="7D6DAFE5"/>
    <w:rsid w:val="7D791936"/>
    <w:rsid w:val="7D7E3F06"/>
    <w:rsid w:val="7D83D96A"/>
    <w:rsid w:val="7D95ED80"/>
    <w:rsid w:val="7DA53858"/>
    <w:rsid w:val="7DA87C80"/>
    <w:rsid w:val="7DBF6C7F"/>
    <w:rsid w:val="7DC64A2E"/>
    <w:rsid w:val="7DD89EAD"/>
    <w:rsid w:val="7DF3CF9B"/>
    <w:rsid w:val="7E1AEB6B"/>
    <w:rsid w:val="7E21CEBD"/>
    <w:rsid w:val="7E36C642"/>
    <w:rsid w:val="7E3E0AD5"/>
    <w:rsid w:val="7E6A0814"/>
    <w:rsid w:val="7E84D93D"/>
    <w:rsid w:val="7E9346CB"/>
    <w:rsid w:val="7E9D01AD"/>
    <w:rsid w:val="7EA67CDC"/>
    <w:rsid w:val="7EA707B8"/>
    <w:rsid w:val="7EAF7FA0"/>
    <w:rsid w:val="7ED5D9E6"/>
    <w:rsid w:val="7EE24882"/>
    <w:rsid w:val="7EF7A81C"/>
    <w:rsid w:val="7EF99C48"/>
    <w:rsid w:val="7EFA7E62"/>
    <w:rsid w:val="7F1601F7"/>
    <w:rsid w:val="7F1C47EF"/>
    <w:rsid w:val="7F615DDA"/>
    <w:rsid w:val="7F81B855"/>
    <w:rsid w:val="7F8B1856"/>
    <w:rsid w:val="7FB5CF71"/>
    <w:rsid w:val="7FBC28EC"/>
    <w:rsid w:val="7FCC0F7C"/>
    <w:rsid w:val="7FCD491A"/>
    <w:rsid w:val="7FD0F568"/>
    <w:rsid w:val="7FEB49F5"/>
    <w:rsid w:val="7FF0CA6A"/>
    <w:rsid w:val="7FF695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4C77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6DA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96DA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96DA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96DA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96DA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96D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D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D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D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DA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96DA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96DA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96DA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96DA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96D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D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D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DAB"/>
    <w:rPr>
      <w:rFonts w:eastAsiaTheme="majorEastAsia" w:cstheme="majorBidi"/>
      <w:color w:val="272727" w:themeColor="text1" w:themeTint="D8"/>
    </w:rPr>
  </w:style>
  <w:style w:type="paragraph" w:styleId="Title">
    <w:name w:val="Title"/>
    <w:basedOn w:val="Normal"/>
    <w:next w:val="Normal"/>
    <w:link w:val="TitleChar"/>
    <w:uiPriority w:val="10"/>
    <w:qFormat/>
    <w:rsid w:val="00596D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D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D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D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D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6DAB"/>
    <w:rPr>
      <w:i/>
      <w:iCs/>
      <w:color w:val="404040" w:themeColor="text1" w:themeTint="BF"/>
    </w:rPr>
  </w:style>
  <w:style w:type="paragraph" w:styleId="ListParagraph">
    <w:name w:val="List Paragraph"/>
    <w:basedOn w:val="Normal"/>
    <w:uiPriority w:val="34"/>
    <w:qFormat/>
    <w:rsid w:val="00596DAB"/>
    <w:pPr>
      <w:ind w:left="720"/>
      <w:contextualSpacing/>
    </w:pPr>
  </w:style>
  <w:style w:type="character" w:styleId="IntenseEmphasis">
    <w:name w:val="Intense Emphasis"/>
    <w:basedOn w:val="DefaultParagraphFont"/>
    <w:uiPriority w:val="21"/>
    <w:qFormat/>
    <w:rsid w:val="00596DAB"/>
    <w:rPr>
      <w:i/>
      <w:iCs/>
      <w:color w:val="365F91" w:themeColor="accent1" w:themeShade="BF"/>
    </w:rPr>
  </w:style>
  <w:style w:type="paragraph" w:styleId="IntenseQuote">
    <w:name w:val="Intense Quote"/>
    <w:basedOn w:val="Normal"/>
    <w:next w:val="Normal"/>
    <w:link w:val="IntenseQuoteChar"/>
    <w:uiPriority w:val="30"/>
    <w:qFormat/>
    <w:rsid w:val="00596DA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6DAB"/>
    <w:rPr>
      <w:i/>
      <w:iCs/>
      <w:color w:val="365F91" w:themeColor="accent1" w:themeShade="BF"/>
    </w:rPr>
  </w:style>
  <w:style w:type="character" w:styleId="IntenseReference">
    <w:name w:val="Intense Reference"/>
    <w:basedOn w:val="DefaultParagraphFont"/>
    <w:uiPriority w:val="32"/>
    <w:qFormat/>
    <w:rsid w:val="00596DAB"/>
    <w:rPr>
      <w:b/>
      <w:bCs/>
      <w:smallCaps/>
      <w:color w:val="365F91" w:themeColor="accent1" w:themeShade="BF"/>
      <w:spacing w:val="5"/>
    </w:rPr>
  </w:style>
  <w:style w:type="character" w:customStyle="1" w:styleId="Marker">
    <w:name w:val="Marker"/>
    <w:basedOn w:val="DefaultParagraphFont"/>
    <w:rsid w:val="00596DAB"/>
    <w:rPr>
      <w:color w:val="0000FF"/>
      <w:shd w:val="clear" w:color="auto" w:fill="auto"/>
    </w:rPr>
  </w:style>
  <w:style w:type="paragraph" w:styleId="Header">
    <w:name w:val="header"/>
    <w:basedOn w:val="Normal"/>
    <w:link w:val="HeaderChar"/>
    <w:uiPriority w:val="99"/>
    <w:unhideWhenUsed/>
    <w:rsid w:val="00596D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DAB"/>
  </w:style>
  <w:style w:type="paragraph" w:styleId="Footer">
    <w:name w:val="footer"/>
    <w:basedOn w:val="Normal"/>
    <w:link w:val="FooterChar"/>
    <w:uiPriority w:val="99"/>
    <w:unhideWhenUsed/>
    <w:rsid w:val="00596D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DAB"/>
  </w:style>
  <w:style w:type="paragraph" w:customStyle="1" w:styleId="Pagedecouverture">
    <w:name w:val="Page de couverture"/>
    <w:basedOn w:val="Normal"/>
    <w:next w:val="Normal"/>
    <w:rsid w:val="00596DAB"/>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96DA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96DAB"/>
    <w:rPr>
      <w:rFonts w:ascii="Times New Roman" w:hAnsi="Times New Roman" w:cs="Times New Roman"/>
      <w:sz w:val="24"/>
    </w:rPr>
  </w:style>
  <w:style w:type="paragraph" w:customStyle="1" w:styleId="FooterSensitivity">
    <w:name w:val="Footer Sensitivity"/>
    <w:basedOn w:val="Normal"/>
    <w:link w:val="FooterSensitivityChar"/>
    <w:rsid w:val="00596D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96DAB"/>
    <w:rPr>
      <w:rFonts w:ascii="Times New Roman" w:hAnsi="Times New Roman" w:cs="Times New Roman"/>
      <w:b/>
      <w:sz w:val="32"/>
    </w:rPr>
  </w:style>
  <w:style w:type="paragraph" w:customStyle="1" w:styleId="HeaderCoverPage">
    <w:name w:val="Header Cover Page"/>
    <w:basedOn w:val="Normal"/>
    <w:link w:val="HeaderCoverPageChar"/>
    <w:rsid w:val="00596DA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96DAB"/>
    <w:rPr>
      <w:rFonts w:ascii="Times New Roman" w:hAnsi="Times New Roman" w:cs="Times New Roman"/>
      <w:sz w:val="24"/>
    </w:rPr>
  </w:style>
  <w:style w:type="paragraph" w:customStyle="1" w:styleId="HeaderSensitivity">
    <w:name w:val="Header Sensitivity"/>
    <w:basedOn w:val="Normal"/>
    <w:link w:val="HeaderSensitivityChar"/>
    <w:rsid w:val="00596D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96DAB"/>
    <w:rPr>
      <w:rFonts w:ascii="Times New Roman" w:hAnsi="Times New Roman" w:cs="Times New Roman"/>
      <w:b/>
      <w:sz w:val="32"/>
    </w:rPr>
  </w:style>
  <w:style w:type="paragraph" w:customStyle="1" w:styleId="HeaderSensitivityRight">
    <w:name w:val="Header Sensitivity Right"/>
    <w:basedOn w:val="Normal"/>
    <w:link w:val="HeaderSensitivityRightChar"/>
    <w:rsid w:val="007D7BB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96DAB"/>
    <w:rPr>
      <w:rFonts w:ascii="Times New Roman" w:hAnsi="Times New Roman" w:cs="Times New Roman"/>
      <w:sz w:val="28"/>
    </w:rPr>
  </w:style>
  <w:style w:type="paragraph" w:customStyle="1" w:styleId="Typedudocument">
    <w:name w:val="Type du document"/>
    <w:basedOn w:val="Normal"/>
    <w:next w:val="Normal"/>
    <w:rsid w:val="00E65721"/>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E65721"/>
    <w:pPr>
      <w:spacing w:before="360" w:after="360" w:line="240" w:lineRule="auto"/>
      <w:jc w:val="center"/>
    </w:pPr>
    <w:rPr>
      <w:rFonts w:ascii="Times New Roman" w:hAnsi="Times New Roman" w:cs="Times New Roman"/>
      <w:b/>
      <w:kern w:val="0"/>
      <w:sz w:val="24"/>
      <w14:ligatures w14:val="none"/>
    </w:rPr>
  </w:style>
  <w:style w:type="paragraph" w:styleId="Revision">
    <w:name w:val="Revision"/>
    <w:hidden/>
    <w:uiPriority w:val="99"/>
    <w:semiHidden/>
    <w:rsid w:val="00D859DA"/>
    <w:pPr>
      <w:spacing w:after="0" w:line="240" w:lineRule="auto"/>
    </w:pPr>
  </w:style>
  <w:style w:type="paragraph" w:styleId="Caption">
    <w:name w:val="caption"/>
    <w:basedOn w:val="Normal"/>
    <w:next w:val="Normal"/>
    <w:semiHidden/>
    <w:rsid w:val="00ED00DE"/>
    <w:pPr>
      <w:spacing w:before="160" w:after="240" w:line="240" w:lineRule="auto"/>
      <w:jc w:val="both"/>
    </w:pPr>
    <w:rPr>
      <w:rFonts w:ascii="Times New Roman" w:eastAsia="Times New Roman" w:hAnsi="Times New Roman" w:cs="Times New Roman"/>
      <w:i/>
      <w:kern w:val="0"/>
      <w:szCs w:val="20"/>
      <w:lang w:eastAsia="en-IE"/>
      <w14:ligatures w14:val="none"/>
    </w:rPr>
  </w:style>
  <w:style w:type="character" w:styleId="Hyperlink">
    <w:name w:val="Hyperlink"/>
    <w:basedOn w:val="DefaultParagraphFont"/>
    <w:uiPriority w:val="99"/>
    <w:unhideWhenUsed/>
    <w:rsid w:val="004639BC"/>
    <w:rPr>
      <w:color w:val="0000FF"/>
      <w:u w:val="single"/>
    </w:rPr>
  </w:style>
  <w:style w:type="table" w:styleId="TableGrid">
    <w:name w:val="Table Grid"/>
    <w:basedOn w:val="TableNormal"/>
    <w:uiPriority w:val="59"/>
    <w:rsid w:val="004639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909D1"/>
    <w:rPr>
      <w:b/>
      <w:bCs/>
    </w:rPr>
  </w:style>
  <w:style w:type="character" w:customStyle="1" w:styleId="CommentSubjectChar">
    <w:name w:val="Comment Subject Char"/>
    <w:basedOn w:val="CommentTextChar"/>
    <w:link w:val="CommentSubject"/>
    <w:uiPriority w:val="99"/>
    <w:semiHidden/>
    <w:rsid w:val="006909D1"/>
    <w:rPr>
      <w:b/>
      <w:bCs/>
      <w:sz w:val="20"/>
      <w:szCs w:val="20"/>
    </w:rPr>
  </w:style>
  <w:style w:type="paragraph" w:styleId="FootnoteText">
    <w:name w:val="footnote text"/>
    <w:basedOn w:val="Normal"/>
    <w:uiPriority w:val="99"/>
    <w:semiHidden/>
    <w:unhideWhenUsed/>
    <w:rsid w:val="5FB0CEC0"/>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Mention">
    <w:name w:val="Mention"/>
    <w:basedOn w:val="DefaultParagraphFont"/>
    <w:uiPriority w:val="99"/>
    <w:unhideWhenUsed/>
    <w:rsid w:val="00FC19CD"/>
    <w:rPr>
      <w:color w:val="2B579A"/>
      <w:shd w:val="clear" w:color="auto" w:fill="E1DFDD"/>
    </w:rPr>
  </w:style>
  <w:style w:type="character" w:customStyle="1" w:styleId="UnresolvedMention">
    <w:name w:val="Unresolved Mention"/>
    <w:basedOn w:val="DefaultParagraphFont"/>
    <w:uiPriority w:val="99"/>
    <w:semiHidden/>
    <w:unhideWhenUsed/>
    <w:rsid w:val="00325055"/>
    <w:rPr>
      <w:color w:val="605E5C"/>
      <w:shd w:val="clear" w:color="auto" w:fill="E1DFDD"/>
    </w:rPr>
  </w:style>
  <w:style w:type="character" w:styleId="FollowedHyperlink">
    <w:name w:val="FollowedHyperlink"/>
    <w:basedOn w:val="DefaultParagraphFont"/>
    <w:uiPriority w:val="99"/>
    <w:semiHidden/>
    <w:unhideWhenUsed/>
    <w:rsid w:val="00325055"/>
    <w:rPr>
      <w:color w:val="800080" w:themeColor="followedHyperlink"/>
      <w:u w:val="single"/>
    </w:rPr>
  </w:style>
  <w:style w:type="character" w:customStyle="1" w:styleId="FootnoteTextChar">
    <w:name w:val="Footnote Text Char"/>
    <w:basedOn w:val="DefaultParagraphFont"/>
    <w:uiPriority w:val="99"/>
    <w:semiHidden/>
    <w:rsid w:val="00131918"/>
    <w:rPr>
      <w:sz w:val="20"/>
      <w:szCs w:val="20"/>
    </w:rPr>
  </w:style>
  <w:style w:type="paragraph" w:customStyle="1" w:styleId="Disclaimer">
    <w:name w:val="Disclaimer"/>
    <w:basedOn w:val="Normal"/>
    <w:rsid w:val="007D7BB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7D7BB7"/>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7D7BB7"/>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7D7BB7"/>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4997">
      <w:bodyDiv w:val="1"/>
      <w:marLeft w:val="0"/>
      <w:marRight w:val="0"/>
      <w:marTop w:val="0"/>
      <w:marBottom w:val="0"/>
      <w:divBdr>
        <w:top w:val="none" w:sz="0" w:space="0" w:color="auto"/>
        <w:left w:val="none" w:sz="0" w:space="0" w:color="auto"/>
        <w:bottom w:val="none" w:sz="0" w:space="0" w:color="auto"/>
        <w:right w:val="none" w:sz="0" w:space="0" w:color="auto"/>
      </w:divBdr>
    </w:div>
    <w:div w:id="87119792">
      <w:bodyDiv w:val="1"/>
      <w:marLeft w:val="0"/>
      <w:marRight w:val="0"/>
      <w:marTop w:val="0"/>
      <w:marBottom w:val="0"/>
      <w:divBdr>
        <w:top w:val="none" w:sz="0" w:space="0" w:color="auto"/>
        <w:left w:val="none" w:sz="0" w:space="0" w:color="auto"/>
        <w:bottom w:val="none" w:sz="0" w:space="0" w:color="auto"/>
        <w:right w:val="none" w:sz="0" w:space="0" w:color="auto"/>
      </w:divBdr>
    </w:div>
    <w:div w:id="87894486">
      <w:bodyDiv w:val="1"/>
      <w:marLeft w:val="0"/>
      <w:marRight w:val="0"/>
      <w:marTop w:val="0"/>
      <w:marBottom w:val="0"/>
      <w:divBdr>
        <w:top w:val="none" w:sz="0" w:space="0" w:color="auto"/>
        <w:left w:val="none" w:sz="0" w:space="0" w:color="auto"/>
        <w:bottom w:val="none" w:sz="0" w:space="0" w:color="auto"/>
        <w:right w:val="none" w:sz="0" w:space="0" w:color="auto"/>
      </w:divBdr>
    </w:div>
    <w:div w:id="134567493">
      <w:bodyDiv w:val="1"/>
      <w:marLeft w:val="0"/>
      <w:marRight w:val="0"/>
      <w:marTop w:val="0"/>
      <w:marBottom w:val="0"/>
      <w:divBdr>
        <w:top w:val="none" w:sz="0" w:space="0" w:color="auto"/>
        <w:left w:val="none" w:sz="0" w:space="0" w:color="auto"/>
        <w:bottom w:val="none" w:sz="0" w:space="0" w:color="auto"/>
        <w:right w:val="none" w:sz="0" w:space="0" w:color="auto"/>
      </w:divBdr>
    </w:div>
    <w:div w:id="151875831">
      <w:bodyDiv w:val="1"/>
      <w:marLeft w:val="0"/>
      <w:marRight w:val="0"/>
      <w:marTop w:val="0"/>
      <w:marBottom w:val="0"/>
      <w:divBdr>
        <w:top w:val="none" w:sz="0" w:space="0" w:color="auto"/>
        <w:left w:val="none" w:sz="0" w:space="0" w:color="auto"/>
        <w:bottom w:val="none" w:sz="0" w:space="0" w:color="auto"/>
        <w:right w:val="none" w:sz="0" w:space="0" w:color="auto"/>
      </w:divBdr>
    </w:div>
    <w:div w:id="223833168">
      <w:bodyDiv w:val="1"/>
      <w:marLeft w:val="0"/>
      <w:marRight w:val="0"/>
      <w:marTop w:val="0"/>
      <w:marBottom w:val="0"/>
      <w:divBdr>
        <w:top w:val="none" w:sz="0" w:space="0" w:color="auto"/>
        <w:left w:val="none" w:sz="0" w:space="0" w:color="auto"/>
        <w:bottom w:val="none" w:sz="0" w:space="0" w:color="auto"/>
        <w:right w:val="none" w:sz="0" w:space="0" w:color="auto"/>
      </w:divBdr>
    </w:div>
    <w:div w:id="321010421">
      <w:bodyDiv w:val="1"/>
      <w:marLeft w:val="0"/>
      <w:marRight w:val="0"/>
      <w:marTop w:val="0"/>
      <w:marBottom w:val="0"/>
      <w:divBdr>
        <w:top w:val="none" w:sz="0" w:space="0" w:color="auto"/>
        <w:left w:val="none" w:sz="0" w:space="0" w:color="auto"/>
        <w:bottom w:val="none" w:sz="0" w:space="0" w:color="auto"/>
        <w:right w:val="none" w:sz="0" w:space="0" w:color="auto"/>
      </w:divBdr>
    </w:div>
    <w:div w:id="396056914">
      <w:bodyDiv w:val="1"/>
      <w:marLeft w:val="0"/>
      <w:marRight w:val="0"/>
      <w:marTop w:val="0"/>
      <w:marBottom w:val="0"/>
      <w:divBdr>
        <w:top w:val="none" w:sz="0" w:space="0" w:color="auto"/>
        <w:left w:val="none" w:sz="0" w:space="0" w:color="auto"/>
        <w:bottom w:val="none" w:sz="0" w:space="0" w:color="auto"/>
        <w:right w:val="none" w:sz="0" w:space="0" w:color="auto"/>
      </w:divBdr>
    </w:div>
    <w:div w:id="669064434">
      <w:bodyDiv w:val="1"/>
      <w:marLeft w:val="0"/>
      <w:marRight w:val="0"/>
      <w:marTop w:val="0"/>
      <w:marBottom w:val="0"/>
      <w:divBdr>
        <w:top w:val="none" w:sz="0" w:space="0" w:color="auto"/>
        <w:left w:val="none" w:sz="0" w:space="0" w:color="auto"/>
        <w:bottom w:val="none" w:sz="0" w:space="0" w:color="auto"/>
        <w:right w:val="none" w:sz="0" w:space="0" w:color="auto"/>
      </w:divBdr>
      <w:divsChild>
        <w:div w:id="178937777">
          <w:marLeft w:val="0"/>
          <w:marRight w:val="0"/>
          <w:marTop w:val="0"/>
          <w:marBottom w:val="0"/>
          <w:divBdr>
            <w:top w:val="none" w:sz="0" w:space="0" w:color="auto"/>
            <w:left w:val="none" w:sz="0" w:space="0" w:color="auto"/>
            <w:bottom w:val="none" w:sz="0" w:space="0" w:color="auto"/>
            <w:right w:val="none" w:sz="0" w:space="0" w:color="auto"/>
          </w:divBdr>
        </w:div>
        <w:div w:id="1774204478">
          <w:marLeft w:val="0"/>
          <w:marRight w:val="0"/>
          <w:marTop w:val="0"/>
          <w:marBottom w:val="0"/>
          <w:divBdr>
            <w:top w:val="none" w:sz="0" w:space="0" w:color="auto"/>
            <w:left w:val="none" w:sz="0" w:space="0" w:color="auto"/>
            <w:bottom w:val="none" w:sz="0" w:space="0" w:color="auto"/>
            <w:right w:val="none" w:sz="0" w:space="0" w:color="auto"/>
          </w:divBdr>
        </w:div>
      </w:divsChild>
    </w:div>
    <w:div w:id="860052181">
      <w:bodyDiv w:val="1"/>
      <w:marLeft w:val="0"/>
      <w:marRight w:val="0"/>
      <w:marTop w:val="0"/>
      <w:marBottom w:val="0"/>
      <w:divBdr>
        <w:top w:val="none" w:sz="0" w:space="0" w:color="auto"/>
        <w:left w:val="none" w:sz="0" w:space="0" w:color="auto"/>
        <w:bottom w:val="none" w:sz="0" w:space="0" w:color="auto"/>
        <w:right w:val="none" w:sz="0" w:space="0" w:color="auto"/>
      </w:divBdr>
    </w:div>
    <w:div w:id="910771264">
      <w:bodyDiv w:val="1"/>
      <w:marLeft w:val="0"/>
      <w:marRight w:val="0"/>
      <w:marTop w:val="0"/>
      <w:marBottom w:val="0"/>
      <w:divBdr>
        <w:top w:val="none" w:sz="0" w:space="0" w:color="auto"/>
        <w:left w:val="none" w:sz="0" w:space="0" w:color="auto"/>
        <w:bottom w:val="none" w:sz="0" w:space="0" w:color="auto"/>
        <w:right w:val="none" w:sz="0" w:space="0" w:color="auto"/>
      </w:divBdr>
    </w:div>
    <w:div w:id="1010329366">
      <w:bodyDiv w:val="1"/>
      <w:marLeft w:val="0"/>
      <w:marRight w:val="0"/>
      <w:marTop w:val="0"/>
      <w:marBottom w:val="0"/>
      <w:divBdr>
        <w:top w:val="none" w:sz="0" w:space="0" w:color="auto"/>
        <w:left w:val="none" w:sz="0" w:space="0" w:color="auto"/>
        <w:bottom w:val="none" w:sz="0" w:space="0" w:color="auto"/>
        <w:right w:val="none" w:sz="0" w:space="0" w:color="auto"/>
      </w:divBdr>
    </w:div>
    <w:div w:id="1103375332">
      <w:bodyDiv w:val="1"/>
      <w:marLeft w:val="0"/>
      <w:marRight w:val="0"/>
      <w:marTop w:val="0"/>
      <w:marBottom w:val="0"/>
      <w:divBdr>
        <w:top w:val="none" w:sz="0" w:space="0" w:color="auto"/>
        <w:left w:val="none" w:sz="0" w:space="0" w:color="auto"/>
        <w:bottom w:val="none" w:sz="0" w:space="0" w:color="auto"/>
        <w:right w:val="none" w:sz="0" w:space="0" w:color="auto"/>
      </w:divBdr>
      <w:divsChild>
        <w:div w:id="1512375405">
          <w:marLeft w:val="0"/>
          <w:marRight w:val="0"/>
          <w:marTop w:val="0"/>
          <w:marBottom w:val="0"/>
          <w:divBdr>
            <w:top w:val="none" w:sz="0" w:space="0" w:color="auto"/>
            <w:left w:val="none" w:sz="0" w:space="0" w:color="auto"/>
            <w:bottom w:val="none" w:sz="0" w:space="0" w:color="auto"/>
            <w:right w:val="none" w:sz="0" w:space="0" w:color="auto"/>
          </w:divBdr>
        </w:div>
        <w:div w:id="1946960556">
          <w:marLeft w:val="0"/>
          <w:marRight w:val="0"/>
          <w:marTop w:val="0"/>
          <w:marBottom w:val="0"/>
          <w:divBdr>
            <w:top w:val="none" w:sz="0" w:space="0" w:color="auto"/>
            <w:left w:val="none" w:sz="0" w:space="0" w:color="auto"/>
            <w:bottom w:val="none" w:sz="0" w:space="0" w:color="auto"/>
            <w:right w:val="none" w:sz="0" w:space="0" w:color="auto"/>
          </w:divBdr>
        </w:div>
      </w:divsChild>
    </w:div>
    <w:div w:id="1155875647">
      <w:bodyDiv w:val="1"/>
      <w:marLeft w:val="0"/>
      <w:marRight w:val="0"/>
      <w:marTop w:val="0"/>
      <w:marBottom w:val="0"/>
      <w:divBdr>
        <w:top w:val="none" w:sz="0" w:space="0" w:color="auto"/>
        <w:left w:val="none" w:sz="0" w:space="0" w:color="auto"/>
        <w:bottom w:val="none" w:sz="0" w:space="0" w:color="auto"/>
        <w:right w:val="none" w:sz="0" w:space="0" w:color="auto"/>
      </w:divBdr>
    </w:div>
    <w:div w:id="1400667545">
      <w:bodyDiv w:val="1"/>
      <w:marLeft w:val="0"/>
      <w:marRight w:val="0"/>
      <w:marTop w:val="0"/>
      <w:marBottom w:val="0"/>
      <w:divBdr>
        <w:top w:val="none" w:sz="0" w:space="0" w:color="auto"/>
        <w:left w:val="none" w:sz="0" w:space="0" w:color="auto"/>
        <w:bottom w:val="none" w:sz="0" w:space="0" w:color="auto"/>
        <w:right w:val="none" w:sz="0" w:space="0" w:color="auto"/>
      </w:divBdr>
    </w:div>
    <w:div w:id="1456215916">
      <w:bodyDiv w:val="1"/>
      <w:marLeft w:val="0"/>
      <w:marRight w:val="0"/>
      <w:marTop w:val="0"/>
      <w:marBottom w:val="0"/>
      <w:divBdr>
        <w:top w:val="none" w:sz="0" w:space="0" w:color="auto"/>
        <w:left w:val="none" w:sz="0" w:space="0" w:color="auto"/>
        <w:bottom w:val="none" w:sz="0" w:space="0" w:color="auto"/>
        <w:right w:val="none" w:sz="0" w:space="0" w:color="auto"/>
      </w:divBdr>
    </w:div>
    <w:div w:id="1468859835">
      <w:bodyDiv w:val="1"/>
      <w:marLeft w:val="0"/>
      <w:marRight w:val="0"/>
      <w:marTop w:val="0"/>
      <w:marBottom w:val="0"/>
      <w:divBdr>
        <w:top w:val="none" w:sz="0" w:space="0" w:color="auto"/>
        <w:left w:val="none" w:sz="0" w:space="0" w:color="auto"/>
        <w:bottom w:val="none" w:sz="0" w:space="0" w:color="auto"/>
        <w:right w:val="none" w:sz="0" w:space="0" w:color="auto"/>
      </w:divBdr>
      <w:divsChild>
        <w:div w:id="1213078009">
          <w:marLeft w:val="0"/>
          <w:marRight w:val="0"/>
          <w:marTop w:val="0"/>
          <w:marBottom w:val="0"/>
          <w:divBdr>
            <w:top w:val="none" w:sz="0" w:space="0" w:color="auto"/>
            <w:left w:val="none" w:sz="0" w:space="0" w:color="auto"/>
            <w:bottom w:val="none" w:sz="0" w:space="0" w:color="auto"/>
            <w:right w:val="none" w:sz="0" w:space="0" w:color="auto"/>
          </w:divBdr>
        </w:div>
        <w:div w:id="2031295339">
          <w:marLeft w:val="0"/>
          <w:marRight w:val="0"/>
          <w:marTop w:val="0"/>
          <w:marBottom w:val="0"/>
          <w:divBdr>
            <w:top w:val="none" w:sz="0" w:space="0" w:color="auto"/>
            <w:left w:val="none" w:sz="0" w:space="0" w:color="auto"/>
            <w:bottom w:val="none" w:sz="0" w:space="0" w:color="auto"/>
            <w:right w:val="none" w:sz="0" w:space="0" w:color="auto"/>
          </w:divBdr>
        </w:div>
      </w:divsChild>
    </w:div>
    <w:div w:id="1505515550">
      <w:bodyDiv w:val="1"/>
      <w:marLeft w:val="0"/>
      <w:marRight w:val="0"/>
      <w:marTop w:val="0"/>
      <w:marBottom w:val="0"/>
      <w:divBdr>
        <w:top w:val="none" w:sz="0" w:space="0" w:color="auto"/>
        <w:left w:val="none" w:sz="0" w:space="0" w:color="auto"/>
        <w:bottom w:val="none" w:sz="0" w:space="0" w:color="auto"/>
        <w:right w:val="none" w:sz="0" w:space="0" w:color="auto"/>
      </w:divBdr>
    </w:div>
    <w:div w:id="1535119638">
      <w:bodyDiv w:val="1"/>
      <w:marLeft w:val="0"/>
      <w:marRight w:val="0"/>
      <w:marTop w:val="0"/>
      <w:marBottom w:val="0"/>
      <w:divBdr>
        <w:top w:val="none" w:sz="0" w:space="0" w:color="auto"/>
        <w:left w:val="none" w:sz="0" w:space="0" w:color="auto"/>
        <w:bottom w:val="none" w:sz="0" w:space="0" w:color="auto"/>
        <w:right w:val="none" w:sz="0" w:space="0" w:color="auto"/>
      </w:divBdr>
    </w:div>
    <w:div w:id="1643074747">
      <w:bodyDiv w:val="1"/>
      <w:marLeft w:val="0"/>
      <w:marRight w:val="0"/>
      <w:marTop w:val="0"/>
      <w:marBottom w:val="0"/>
      <w:divBdr>
        <w:top w:val="none" w:sz="0" w:space="0" w:color="auto"/>
        <w:left w:val="none" w:sz="0" w:space="0" w:color="auto"/>
        <w:bottom w:val="none" w:sz="0" w:space="0" w:color="auto"/>
        <w:right w:val="none" w:sz="0" w:space="0" w:color="auto"/>
      </w:divBdr>
    </w:div>
    <w:div w:id="1653217712">
      <w:bodyDiv w:val="1"/>
      <w:marLeft w:val="0"/>
      <w:marRight w:val="0"/>
      <w:marTop w:val="0"/>
      <w:marBottom w:val="0"/>
      <w:divBdr>
        <w:top w:val="none" w:sz="0" w:space="0" w:color="auto"/>
        <w:left w:val="none" w:sz="0" w:space="0" w:color="auto"/>
        <w:bottom w:val="none" w:sz="0" w:space="0" w:color="auto"/>
        <w:right w:val="none" w:sz="0" w:space="0" w:color="auto"/>
      </w:divBdr>
    </w:div>
    <w:div w:id="1682973335">
      <w:bodyDiv w:val="1"/>
      <w:marLeft w:val="0"/>
      <w:marRight w:val="0"/>
      <w:marTop w:val="0"/>
      <w:marBottom w:val="0"/>
      <w:divBdr>
        <w:top w:val="none" w:sz="0" w:space="0" w:color="auto"/>
        <w:left w:val="none" w:sz="0" w:space="0" w:color="auto"/>
        <w:bottom w:val="none" w:sz="0" w:space="0" w:color="auto"/>
        <w:right w:val="none" w:sz="0" w:space="0" w:color="auto"/>
      </w:divBdr>
    </w:div>
    <w:div w:id="1805343980">
      <w:bodyDiv w:val="1"/>
      <w:marLeft w:val="0"/>
      <w:marRight w:val="0"/>
      <w:marTop w:val="0"/>
      <w:marBottom w:val="0"/>
      <w:divBdr>
        <w:top w:val="none" w:sz="0" w:space="0" w:color="auto"/>
        <w:left w:val="none" w:sz="0" w:space="0" w:color="auto"/>
        <w:bottom w:val="none" w:sz="0" w:space="0" w:color="auto"/>
        <w:right w:val="none" w:sz="0" w:space="0" w:color="auto"/>
      </w:divBdr>
    </w:div>
    <w:div w:id="1829979556">
      <w:bodyDiv w:val="1"/>
      <w:marLeft w:val="0"/>
      <w:marRight w:val="0"/>
      <w:marTop w:val="0"/>
      <w:marBottom w:val="0"/>
      <w:divBdr>
        <w:top w:val="none" w:sz="0" w:space="0" w:color="auto"/>
        <w:left w:val="none" w:sz="0" w:space="0" w:color="auto"/>
        <w:bottom w:val="none" w:sz="0" w:space="0" w:color="auto"/>
        <w:right w:val="none" w:sz="0" w:space="0" w:color="auto"/>
      </w:divBdr>
      <w:divsChild>
        <w:div w:id="526911296">
          <w:marLeft w:val="0"/>
          <w:marRight w:val="0"/>
          <w:marTop w:val="0"/>
          <w:marBottom w:val="0"/>
          <w:divBdr>
            <w:top w:val="none" w:sz="0" w:space="0" w:color="auto"/>
            <w:left w:val="none" w:sz="0" w:space="0" w:color="auto"/>
            <w:bottom w:val="none" w:sz="0" w:space="0" w:color="auto"/>
            <w:right w:val="none" w:sz="0" w:space="0" w:color="auto"/>
          </w:divBdr>
        </w:div>
        <w:div w:id="840244559">
          <w:marLeft w:val="0"/>
          <w:marRight w:val="0"/>
          <w:marTop w:val="0"/>
          <w:marBottom w:val="0"/>
          <w:divBdr>
            <w:top w:val="none" w:sz="0" w:space="0" w:color="auto"/>
            <w:left w:val="none" w:sz="0" w:space="0" w:color="auto"/>
            <w:bottom w:val="none" w:sz="0" w:space="0" w:color="auto"/>
            <w:right w:val="none" w:sz="0" w:space="0" w:color="auto"/>
          </w:divBdr>
        </w:div>
      </w:divsChild>
    </w:div>
    <w:div w:id="1834181528">
      <w:bodyDiv w:val="1"/>
      <w:marLeft w:val="0"/>
      <w:marRight w:val="0"/>
      <w:marTop w:val="0"/>
      <w:marBottom w:val="0"/>
      <w:divBdr>
        <w:top w:val="none" w:sz="0" w:space="0" w:color="auto"/>
        <w:left w:val="none" w:sz="0" w:space="0" w:color="auto"/>
        <w:bottom w:val="none" w:sz="0" w:space="0" w:color="auto"/>
        <w:right w:val="none" w:sz="0" w:space="0" w:color="auto"/>
      </w:divBdr>
      <w:divsChild>
        <w:div w:id="33971878">
          <w:marLeft w:val="0"/>
          <w:marRight w:val="0"/>
          <w:marTop w:val="0"/>
          <w:marBottom w:val="0"/>
          <w:divBdr>
            <w:top w:val="none" w:sz="0" w:space="0" w:color="auto"/>
            <w:left w:val="none" w:sz="0" w:space="0" w:color="auto"/>
            <w:bottom w:val="none" w:sz="0" w:space="0" w:color="auto"/>
            <w:right w:val="none" w:sz="0" w:space="0" w:color="auto"/>
          </w:divBdr>
        </w:div>
        <w:div w:id="500631832">
          <w:marLeft w:val="0"/>
          <w:marRight w:val="0"/>
          <w:marTop w:val="0"/>
          <w:marBottom w:val="0"/>
          <w:divBdr>
            <w:top w:val="none" w:sz="0" w:space="0" w:color="auto"/>
            <w:left w:val="none" w:sz="0" w:space="0" w:color="auto"/>
            <w:bottom w:val="none" w:sz="0" w:space="0" w:color="auto"/>
            <w:right w:val="none" w:sz="0" w:space="0" w:color="auto"/>
          </w:divBdr>
        </w:div>
      </w:divsChild>
    </w:div>
    <w:div w:id="1835757435">
      <w:bodyDiv w:val="1"/>
      <w:marLeft w:val="0"/>
      <w:marRight w:val="0"/>
      <w:marTop w:val="0"/>
      <w:marBottom w:val="0"/>
      <w:divBdr>
        <w:top w:val="none" w:sz="0" w:space="0" w:color="auto"/>
        <w:left w:val="none" w:sz="0" w:space="0" w:color="auto"/>
        <w:bottom w:val="none" w:sz="0" w:space="0" w:color="auto"/>
        <w:right w:val="none" w:sz="0" w:space="0" w:color="auto"/>
      </w:divBdr>
    </w:div>
    <w:div w:id="1903170597">
      <w:bodyDiv w:val="1"/>
      <w:marLeft w:val="0"/>
      <w:marRight w:val="0"/>
      <w:marTop w:val="0"/>
      <w:marBottom w:val="0"/>
      <w:divBdr>
        <w:top w:val="none" w:sz="0" w:space="0" w:color="auto"/>
        <w:left w:val="none" w:sz="0" w:space="0" w:color="auto"/>
        <w:bottom w:val="none" w:sz="0" w:space="0" w:color="auto"/>
        <w:right w:val="none" w:sz="0" w:space="0" w:color="auto"/>
      </w:divBdr>
      <w:divsChild>
        <w:div w:id="211969761">
          <w:marLeft w:val="0"/>
          <w:marRight w:val="0"/>
          <w:marTop w:val="0"/>
          <w:marBottom w:val="0"/>
          <w:divBdr>
            <w:top w:val="none" w:sz="0" w:space="0" w:color="auto"/>
            <w:left w:val="none" w:sz="0" w:space="0" w:color="auto"/>
            <w:bottom w:val="none" w:sz="0" w:space="0" w:color="auto"/>
            <w:right w:val="none" w:sz="0" w:space="0" w:color="auto"/>
          </w:divBdr>
        </w:div>
        <w:div w:id="1627809549">
          <w:marLeft w:val="0"/>
          <w:marRight w:val="0"/>
          <w:marTop w:val="0"/>
          <w:marBottom w:val="0"/>
          <w:divBdr>
            <w:top w:val="none" w:sz="0" w:space="0" w:color="auto"/>
            <w:left w:val="none" w:sz="0" w:space="0" w:color="auto"/>
            <w:bottom w:val="none" w:sz="0" w:space="0" w:color="auto"/>
            <w:right w:val="none" w:sz="0" w:space="0" w:color="auto"/>
          </w:divBdr>
        </w:div>
      </w:divsChild>
    </w:div>
    <w:div w:id="2003852070">
      <w:bodyDiv w:val="1"/>
      <w:marLeft w:val="0"/>
      <w:marRight w:val="0"/>
      <w:marTop w:val="0"/>
      <w:marBottom w:val="0"/>
      <w:divBdr>
        <w:top w:val="none" w:sz="0" w:space="0" w:color="auto"/>
        <w:left w:val="none" w:sz="0" w:space="0" w:color="auto"/>
        <w:bottom w:val="none" w:sz="0" w:space="0" w:color="auto"/>
        <w:right w:val="none" w:sz="0" w:space="0" w:color="auto"/>
      </w:divBdr>
    </w:div>
    <w:div w:id="2107845924">
      <w:bodyDiv w:val="1"/>
      <w:marLeft w:val="0"/>
      <w:marRight w:val="0"/>
      <w:marTop w:val="0"/>
      <w:marBottom w:val="0"/>
      <w:divBdr>
        <w:top w:val="none" w:sz="0" w:space="0" w:color="auto"/>
        <w:left w:val="none" w:sz="0" w:space="0" w:color="auto"/>
        <w:bottom w:val="none" w:sz="0" w:space="0" w:color="auto"/>
        <w:right w:val="none" w:sz="0" w:space="0" w:color="auto"/>
      </w:divBdr>
    </w:div>
    <w:div w:id="211138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rldefense.com/v3/__https:/me.gov.ua/view/d9c13c33-a438-406f-8daf-3145852df99a__;!!DOxrgLBm!HA7xDfBdFrd977TNDXbS2Oh_9hI2Q83KRVeBrPkvhxP1qoXfJrY60I3rRcxznKX3gFp4cxF_ZqoPiMRnwpSyA9QsttGgCIMsJK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77bd4c56248ebdf5993d09df5533488f">
  <xsd:schema xmlns:xsd="http://www.w3.org/2001/XMLSchema" xmlns:xs="http://www.w3.org/2001/XMLSchema" xmlns:p="http://schemas.microsoft.com/office/2006/metadata/properties" xmlns:ns2="2a565401-6124-4834-af4c-bc1a772a6083" targetNamespace="http://schemas.microsoft.com/office/2006/metadata/properties" ma:root="true" ma:fieldsID="0d21c66c8a208a651832a9e3056369d0"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456-55A7-4612-A14A-0D611D85299C}">
  <ds:schemaRefs>
    <ds:schemaRef ds:uri="http://schemas.microsoft.com/sharepoint/v3/contenttype/forms"/>
  </ds:schemaRefs>
</ds:datastoreItem>
</file>

<file path=customXml/itemProps2.xml><?xml version="1.0" encoding="utf-8"?>
<ds:datastoreItem xmlns:ds="http://schemas.openxmlformats.org/officeDocument/2006/customXml" ds:itemID="{F8031779-B5BC-469B-9D0A-E1F411CD1F63}">
  <ds:schemaRef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 ds:uri="2a565401-6124-4834-af4c-bc1a772a6083"/>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E96883BE-CBBC-4281-B792-D1A380AAD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5C4AA-0256-48CD-8203-022CE17B1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8561</Words>
  <Characters>48799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57246</CharactersWithSpaces>
  <SharedDoc>false</SharedDoc>
  <HLinks>
    <vt:vector size="6" baseType="variant">
      <vt:variant>
        <vt:i4>851971</vt:i4>
      </vt:variant>
      <vt:variant>
        <vt:i4>0</vt:i4>
      </vt:variant>
      <vt:variant>
        <vt:i4>0</vt:i4>
      </vt:variant>
      <vt:variant>
        <vt:i4>5</vt:i4>
      </vt:variant>
      <vt:variant>
        <vt:lpwstr>https://urldefense.com/v3/__https:/me.gov.ua/view/d9c13c33-a438-406f-8daf-3145852df99a__;!!DOxrgLBm!HA7xDfBdFrd977TNDXbS2Oh_9hI2Q83KRVeBrPkvhxP1qoXfJrY60I3rRcxznKX3gFp4cxF_ZqoPiMRnwpSyA9QsttGgCIMsJKaA$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2025-08-26T06:08:00Z</dcterms:created>
  <dcterms:modified xsi:type="dcterms:W3CDTF">2025-09-09T07:25:00Z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2025-06-05T15:11:12Z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092d3a18-24db-4fb2-b64f-9e406ede5591</vt:lpwstr>
  </property>
  <property fmtid="{D5CDD505-2E9C-101B-9397-08002B2CF9AE}" pid="8" name="MSIP_Label_6bd9ddd1-4d20-43f6-abfa-fc3c07406f94_ContentBits">
    <vt:lpwstr>0</vt:lpwstr>
  </property>
  <property fmtid="{D5CDD505-2E9C-101B-9397-08002B2CF9AE}" pid="9" name="ContentTypeId">
    <vt:lpwstr>0x01010078D2C354A9B80F4897019BC7E2880A88</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ies>
</file>