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8D726" w14:textId="548D0E2F" w:rsidR="006A6532" w:rsidRPr="00D77A8F" w:rsidRDefault="00775153" w:rsidP="00775153">
      <w:pPr>
        <w:pStyle w:val="Pagedecouverture"/>
        <w:rPr>
          <w:noProof/>
        </w:rPr>
      </w:pPr>
      <w:bookmarkStart w:id="0" w:name="LW_BM_COVERPAGE"/>
      <w:r>
        <w:rPr>
          <w:noProof/>
        </w:rPr>
        <w:pict w14:anchorId="1A0EC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4627A67-1DD7-4A79-971F-E7BF3B28B7FC" style="width:455.25pt;height:324pt">
            <v:imagedata r:id="rId8" o:title=""/>
          </v:shape>
        </w:pict>
      </w:r>
    </w:p>
    <w:bookmarkEnd w:id="0"/>
    <w:p w14:paraId="4DF63C14" w14:textId="77777777" w:rsidR="00EF7DF0" w:rsidRPr="00D77A8F" w:rsidRDefault="00EF7DF0" w:rsidP="00EF7DF0">
      <w:pPr>
        <w:rPr>
          <w:noProof/>
        </w:rPr>
        <w:sectPr w:rsidR="00EF7DF0" w:rsidRPr="00D77A8F" w:rsidSect="00775153">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323ABB9C" w14:textId="77777777" w:rsidR="00345B7E" w:rsidRPr="001A0882" w:rsidRDefault="00345B7E" w:rsidP="00E90C9A">
      <w:pPr>
        <w:spacing w:line="240" w:lineRule="auto"/>
        <w:jc w:val="center"/>
        <w:rPr>
          <w:rFonts w:ascii="Times New Roman" w:hAnsi="Times New Roman" w:cs="Times New Roman"/>
          <w:b/>
          <w:noProof/>
          <w:sz w:val="24"/>
          <w:szCs w:val="24"/>
        </w:rPr>
      </w:pPr>
      <w:bookmarkStart w:id="1" w:name="_GoBack"/>
      <w:bookmarkEnd w:id="1"/>
      <w:r w:rsidRPr="001A0882">
        <w:rPr>
          <w:rFonts w:ascii="Times New Roman" w:hAnsi="Times New Roman"/>
          <w:b/>
          <w:noProof/>
          <w:sz w:val="24"/>
        </w:rPr>
        <w:lastRenderedPageBreak/>
        <w:t>RAPORT AL COMISIEI CĂTRE PARLAMENTUL EUROPEAN ȘI CONSILIU</w:t>
      </w:r>
    </w:p>
    <w:p w14:paraId="123C2C10" w14:textId="514157BA" w:rsidR="00345B7E" w:rsidRPr="001A0882" w:rsidRDefault="00345B7E" w:rsidP="00E90C9A">
      <w:pPr>
        <w:spacing w:line="240" w:lineRule="auto"/>
        <w:jc w:val="center"/>
        <w:rPr>
          <w:rFonts w:ascii="Times New Roman" w:hAnsi="Times New Roman" w:cs="Times New Roman"/>
          <w:b/>
          <w:noProof/>
          <w:sz w:val="24"/>
          <w:szCs w:val="24"/>
        </w:rPr>
      </w:pPr>
      <w:r w:rsidRPr="001A0882">
        <w:rPr>
          <w:rFonts w:ascii="Times New Roman" w:hAnsi="Times New Roman"/>
          <w:b/>
          <w:noProof/>
          <w:sz w:val="24"/>
        </w:rPr>
        <w:t>privind exercitarea competenței de a adopta acte delegate, conferită Comisiei în temeiul Regulamentului (CE) nr. 184/2005 privind statisticile comunitare ale balanței de plăți, ale comerțului internațional cu servicii și ale investițiilor străine directe</w:t>
      </w:r>
    </w:p>
    <w:p w14:paraId="297313DE" w14:textId="77777777" w:rsidR="00345B7E" w:rsidRPr="001A0882" w:rsidRDefault="00345B7E" w:rsidP="001A0882">
      <w:pPr>
        <w:spacing w:after="60" w:line="240" w:lineRule="auto"/>
        <w:jc w:val="center"/>
        <w:rPr>
          <w:rFonts w:ascii="Times New Roman" w:hAnsi="Times New Roman" w:cs="Times New Roman"/>
          <w:b/>
          <w:noProof/>
          <w:sz w:val="24"/>
          <w:szCs w:val="24"/>
          <w:lang w:eastAsia="en-GB"/>
        </w:rPr>
      </w:pPr>
    </w:p>
    <w:p w14:paraId="3ECDEC03" w14:textId="77777777" w:rsidR="00702D5F" w:rsidRPr="001A0882" w:rsidRDefault="00702D5F" w:rsidP="001A0882">
      <w:pPr>
        <w:spacing w:after="60" w:line="240" w:lineRule="auto"/>
        <w:jc w:val="center"/>
        <w:rPr>
          <w:rFonts w:ascii="Times New Roman" w:hAnsi="Times New Roman" w:cs="Times New Roman"/>
          <w:b/>
          <w:noProof/>
          <w:sz w:val="24"/>
          <w:szCs w:val="24"/>
          <w:lang w:eastAsia="en-GB"/>
        </w:rPr>
      </w:pPr>
    </w:p>
    <w:p w14:paraId="7CE40A0D" w14:textId="2C52C2B7" w:rsidR="00345B7E" w:rsidRPr="001A0882" w:rsidRDefault="00345B7E" w:rsidP="00E90C9A">
      <w:pPr>
        <w:pStyle w:val="ListParagraph"/>
        <w:numPr>
          <w:ilvl w:val="0"/>
          <w:numId w:val="1"/>
        </w:numPr>
        <w:spacing w:line="240" w:lineRule="auto"/>
        <w:ind w:left="426" w:hanging="426"/>
        <w:rPr>
          <w:rFonts w:ascii="Times New Roman" w:hAnsi="Times New Roman" w:cs="Times New Roman"/>
          <w:b/>
          <w:noProof/>
          <w:sz w:val="24"/>
          <w:szCs w:val="24"/>
        </w:rPr>
      </w:pPr>
      <w:r w:rsidRPr="001A0882">
        <w:rPr>
          <w:rFonts w:ascii="Times New Roman" w:hAnsi="Times New Roman"/>
          <w:b/>
          <w:noProof/>
          <w:sz w:val="24"/>
        </w:rPr>
        <w:t>INTRODUCERE</w:t>
      </w:r>
    </w:p>
    <w:p w14:paraId="53628231" w14:textId="33760B6B" w:rsidR="000B3739" w:rsidRPr="00D77A8F" w:rsidRDefault="00345B7E" w:rsidP="00E90C9A">
      <w:pPr>
        <w:spacing w:line="240" w:lineRule="auto"/>
        <w:jc w:val="both"/>
        <w:rPr>
          <w:rFonts w:ascii="Times New Roman" w:hAnsi="Times New Roman" w:cs="Times New Roman"/>
          <w:noProof/>
          <w:sz w:val="24"/>
          <w:szCs w:val="24"/>
        </w:rPr>
      </w:pPr>
      <w:r>
        <w:rPr>
          <w:rFonts w:ascii="Times New Roman" w:hAnsi="Times New Roman"/>
          <w:noProof/>
          <w:sz w:val="24"/>
        </w:rPr>
        <w:t>Regulamentul (UE) 2016/1013 al Parlamentului European și al Consiliului</w:t>
      </w:r>
      <w:r>
        <w:rPr>
          <w:rStyle w:val="FootnoteReference"/>
          <w:rFonts w:ascii="Times New Roman" w:hAnsi="Times New Roman" w:cs="Times New Roman"/>
          <w:noProof/>
          <w:sz w:val="24"/>
          <w:szCs w:val="24"/>
        </w:rPr>
        <w:footnoteReference w:id="1"/>
      </w:r>
      <w:r>
        <w:rPr>
          <w:rFonts w:ascii="Times New Roman" w:hAnsi="Times New Roman"/>
          <w:noProof/>
          <w:sz w:val="24"/>
        </w:rPr>
        <w:t xml:space="preserve"> a aliniat, printre altele, competențele conferite Comisiei de Regulamentul (CE) nr. 184/2005</w:t>
      </w:r>
      <w:r>
        <w:rPr>
          <w:rStyle w:val="FootnoteReference"/>
          <w:rFonts w:ascii="Times New Roman" w:hAnsi="Times New Roman" w:cs="Times New Roman"/>
          <w:noProof/>
          <w:sz w:val="24"/>
          <w:szCs w:val="24"/>
        </w:rPr>
        <w:footnoteReference w:id="2"/>
      </w:r>
      <w:r>
        <w:rPr>
          <w:rFonts w:ascii="Times New Roman" w:hAnsi="Times New Roman"/>
          <w:noProof/>
          <w:sz w:val="24"/>
        </w:rPr>
        <w:t xml:space="preserve"> cu Tratatul privind funcționarea Uniunii Europene (TFUE).</w:t>
      </w:r>
    </w:p>
    <w:p w14:paraId="05297A2E" w14:textId="76EB43AB" w:rsidR="007837C8" w:rsidRPr="00D77A8F" w:rsidRDefault="002A61C7" w:rsidP="00E90C9A">
      <w:pPr>
        <w:spacing w:line="240" w:lineRule="auto"/>
        <w:jc w:val="both"/>
        <w:rPr>
          <w:rFonts w:ascii="Times New Roman" w:hAnsi="Times New Roman" w:cs="Times New Roman"/>
          <w:noProof/>
          <w:sz w:val="24"/>
          <w:szCs w:val="24"/>
        </w:rPr>
      </w:pPr>
      <w:r>
        <w:rPr>
          <w:rFonts w:ascii="Times New Roman" w:hAnsi="Times New Roman"/>
          <w:noProof/>
          <w:sz w:val="24"/>
        </w:rPr>
        <w:t>În temeiul Regulamentului (CE) nr. 184/2005, astfel cum a fost modificat, Comisia are competența de a adopta acte delegate în conformitate cu articolul 290 din TFUE în următoarele scopuri:</w:t>
      </w:r>
    </w:p>
    <w:p w14:paraId="2340EB2A" w14:textId="0F496531" w:rsidR="00973861" w:rsidRPr="00D77A8F" w:rsidRDefault="00252409" w:rsidP="00174AC8">
      <w:pPr>
        <w:pStyle w:val="ListParagraph"/>
        <w:numPr>
          <w:ilvl w:val="0"/>
          <w:numId w:val="2"/>
        </w:numPr>
        <w:spacing w:after="240" w:line="240" w:lineRule="auto"/>
        <w:ind w:left="595" w:hanging="425"/>
        <w:contextualSpacing w:val="0"/>
        <w:jc w:val="both"/>
        <w:rPr>
          <w:rFonts w:ascii="Times New Roman" w:hAnsi="Times New Roman" w:cs="Times New Roman"/>
          <w:noProof/>
          <w:sz w:val="24"/>
          <w:szCs w:val="24"/>
        </w:rPr>
      </w:pPr>
      <w:r>
        <w:rPr>
          <w:rFonts w:ascii="Times New Roman" w:hAnsi="Times New Roman"/>
          <w:noProof/>
          <w:sz w:val="24"/>
        </w:rPr>
        <w:t>actualizarea nivelurilor de defalcare geografică, a nivelurilor de defalcare pe sectoare instituționale și a nivelurilor de defalcare pe activități economice, stabilite în tabelele 6, 7 și 8 din anexa I, pentru a reflecta schimbările economice sau tehnice [articolul 2 alineatul (3)];</w:t>
      </w:r>
    </w:p>
    <w:p w14:paraId="700AE173" w14:textId="77601636" w:rsidR="004B1942" w:rsidRPr="00D77A8F" w:rsidRDefault="00252409" w:rsidP="004B1942">
      <w:pPr>
        <w:pStyle w:val="ListParagraph"/>
        <w:numPr>
          <w:ilvl w:val="0"/>
          <w:numId w:val="2"/>
        </w:numPr>
        <w:spacing w:after="240" w:line="240" w:lineRule="auto"/>
        <w:ind w:left="595" w:hanging="425"/>
        <w:contextualSpacing w:val="0"/>
        <w:jc w:val="both"/>
        <w:rPr>
          <w:rFonts w:ascii="Times New Roman" w:hAnsi="Times New Roman" w:cs="Times New Roman"/>
          <w:noProof/>
          <w:sz w:val="24"/>
          <w:szCs w:val="24"/>
        </w:rPr>
      </w:pPr>
      <w:r>
        <w:rPr>
          <w:rFonts w:ascii="Times New Roman" w:hAnsi="Times New Roman"/>
          <w:noProof/>
          <w:sz w:val="24"/>
        </w:rPr>
        <w:t>eliminarea sau reducerea anumitor cerințe privind fluxurile de date din anexa I la regulament, cu condiția ca o astfel de eliminare sau reducere să nu diminueze calitatea statisticilor elaborate în conformitate cu regulamentul respectiv [articolul 2 alineatul (3)];</w:t>
      </w:r>
    </w:p>
    <w:p w14:paraId="3E08DEAC" w14:textId="271052FF" w:rsidR="00967EFC" w:rsidRPr="00D77A8F" w:rsidRDefault="00252409" w:rsidP="004B1942">
      <w:pPr>
        <w:pStyle w:val="ListParagraph"/>
        <w:numPr>
          <w:ilvl w:val="0"/>
          <w:numId w:val="2"/>
        </w:numPr>
        <w:spacing w:after="240" w:line="240" w:lineRule="auto"/>
        <w:ind w:left="595" w:hanging="425"/>
        <w:contextualSpacing w:val="0"/>
        <w:jc w:val="both"/>
        <w:rPr>
          <w:rFonts w:ascii="Times New Roman" w:hAnsi="Times New Roman" w:cs="Times New Roman"/>
          <w:noProof/>
          <w:sz w:val="24"/>
          <w:szCs w:val="24"/>
        </w:rPr>
      </w:pPr>
      <w:r>
        <w:rPr>
          <w:rFonts w:ascii="Times New Roman" w:hAnsi="Times New Roman"/>
          <w:noProof/>
          <w:sz w:val="24"/>
        </w:rPr>
        <w:t>prelungirea termenului pentru raportul întocmit în temeiul articolului 5 alineatul (5) din regulamentul respectiv în ceea ce privește constatările studiilor- pilot referitoare la statisticile privind investițiile străine directe (ISD) bazate pe conceptul de proprietar final și la statisticile ISD în care se face distincția între tranzacțiile ISD de tip greenfield și ISD de tip preluare [articolul 5 alineatul (6)].</w:t>
      </w:r>
    </w:p>
    <w:p w14:paraId="066EA8F2" w14:textId="66AE015D" w:rsidR="00174AC8" w:rsidRPr="00D77A8F" w:rsidRDefault="000453FC" w:rsidP="001A0882">
      <w:pPr>
        <w:widowControl w:val="0"/>
        <w:spacing w:after="240" w:line="240" w:lineRule="auto"/>
        <w:jc w:val="both"/>
        <w:rPr>
          <w:rFonts w:ascii="Times New Roman" w:hAnsi="Times New Roman" w:cs="Times New Roman"/>
          <w:noProof/>
          <w:sz w:val="24"/>
          <w:szCs w:val="24"/>
        </w:rPr>
      </w:pPr>
      <w:r>
        <w:rPr>
          <w:rFonts w:ascii="Times New Roman" w:hAnsi="Times New Roman"/>
          <w:noProof/>
          <w:sz w:val="24"/>
        </w:rPr>
        <w:t>Atunci când exercită competențele respective, Comisia trebuie să se asigure că actele delegate adoptate în temeiul acestor dispoziții nu impun o sarcină suplimentară semnificativă statelor membre sau unităților respondente, depășind ceea ce este necesar în sensul Regulamentului (CE) nr. 184/2005, și nici nu modifică cadrul conceptual de bază aplicabil. Articolul 10 alineatul (4) din regulamentul respectiv prevede obligația Comisiei de a organiza consultări sistematice cu experți din statele membre în cadrul lucrărilor sale pregătitoare privind actele delegate, în conformitate cu Acordul interinstituțional din 13 aprilie 2016 privind o mai bună legiferare</w:t>
      </w:r>
      <w:r>
        <w:rPr>
          <w:rStyle w:val="FootnoteReference"/>
          <w:rFonts w:ascii="Times New Roman" w:hAnsi="Times New Roman" w:cs="Times New Roman"/>
          <w:noProof/>
          <w:sz w:val="24"/>
          <w:szCs w:val="24"/>
        </w:rPr>
        <w:footnoteReference w:id="3"/>
      </w:r>
      <w:r>
        <w:rPr>
          <w:rFonts w:ascii="Times New Roman" w:hAnsi="Times New Roman"/>
          <w:noProof/>
          <w:sz w:val="24"/>
        </w:rPr>
        <w:t>. În temeiul articolului 10 alineatul (5) din regulamentul respectiv, Comisia trebuie să notifice simultan actul delegat Parlamentului European și Consiliului, de îndată ce îl adoptă.</w:t>
      </w:r>
    </w:p>
    <w:p w14:paraId="5E53FB58" w14:textId="3C774D36" w:rsidR="00345B7E" w:rsidRPr="001A0882" w:rsidRDefault="00345B7E" w:rsidP="00E90C9A">
      <w:pPr>
        <w:pStyle w:val="ListParagraph"/>
        <w:numPr>
          <w:ilvl w:val="0"/>
          <w:numId w:val="1"/>
        </w:numPr>
        <w:spacing w:line="240" w:lineRule="auto"/>
        <w:ind w:left="426" w:hanging="426"/>
        <w:rPr>
          <w:rFonts w:ascii="Times New Roman" w:hAnsi="Times New Roman" w:cs="Times New Roman"/>
          <w:b/>
          <w:noProof/>
          <w:sz w:val="24"/>
          <w:szCs w:val="24"/>
        </w:rPr>
      </w:pPr>
      <w:r w:rsidRPr="001A0882">
        <w:rPr>
          <w:rFonts w:ascii="Times New Roman" w:hAnsi="Times New Roman"/>
          <w:b/>
          <w:noProof/>
          <w:sz w:val="24"/>
        </w:rPr>
        <w:t>TEMEI JURIDIC</w:t>
      </w:r>
    </w:p>
    <w:p w14:paraId="56DE37FC" w14:textId="0620B1A4" w:rsidR="000453FC" w:rsidRPr="00D77A8F" w:rsidRDefault="000453FC" w:rsidP="00E90C9A">
      <w:pPr>
        <w:spacing w:after="240" w:line="240" w:lineRule="auto"/>
        <w:jc w:val="both"/>
        <w:rPr>
          <w:rFonts w:ascii="Times New Roman" w:hAnsi="Times New Roman" w:cs="Times New Roman"/>
          <w:noProof/>
          <w:sz w:val="24"/>
          <w:szCs w:val="24"/>
        </w:rPr>
      </w:pPr>
      <w:r>
        <w:rPr>
          <w:rFonts w:ascii="Times New Roman" w:hAnsi="Times New Roman"/>
          <w:noProof/>
          <w:sz w:val="24"/>
        </w:rPr>
        <w:t>În temeiul articolului 10 alineatul (2) din Regulamentul (CE) nr. 184/2005, competența de a adopta acte delegate se conferă Comisiei pentru o perioadă de cinci ani, începând de la 19 iulie 2021. Delegarea de competențe se prelungește tacit cu perioade de cinci ani, cu excepția cazului în care Parlamentul European sau Consiliul se opune prelungirii respective cel târziu cu trei luni înainte de încheierea fiecărei perioade.</w:t>
      </w:r>
    </w:p>
    <w:p w14:paraId="073B9D6B" w14:textId="31044030" w:rsidR="00843606" w:rsidRPr="00D77A8F" w:rsidRDefault="000453FC" w:rsidP="00E90C9A">
      <w:pPr>
        <w:spacing w:after="240" w:line="240" w:lineRule="auto"/>
        <w:jc w:val="both"/>
        <w:rPr>
          <w:rFonts w:ascii="Times New Roman" w:hAnsi="Times New Roman" w:cs="Times New Roman"/>
          <w:noProof/>
          <w:sz w:val="24"/>
          <w:szCs w:val="24"/>
        </w:rPr>
      </w:pPr>
      <w:r>
        <w:rPr>
          <w:rFonts w:ascii="Times New Roman" w:hAnsi="Times New Roman"/>
          <w:noProof/>
          <w:sz w:val="24"/>
        </w:rPr>
        <w:t>Comisia trebuie să prezinte un raport privind delegarea competențelor cel târziu cu nouă luni înainte de încheierea perioadei de cinci ani. Prezentul raport îndeplinește obligația respectivă.</w:t>
      </w:r>
    </w:p>
    <w:p w14:paraId="1512B7A3" w14:textId="0B1F4E47" w:rsidR="008C5612" w:rsidRPr="001A0882" w:rsidRDefault="000453FC" w:rsidP="00E90C9A">
      <w:pPr>
        <w:pStyle w:val="ListParagraph"/>
        <w:numPr>
          <w:ilvl w:val="0"/>
          <w:numId w:val="1"/>
        </w:numPr>
        <w:spacing w:line="240" w:lineRule="auto"/>
        <w:ind w:left="426" w:hanging="426"/>
        <w:rPr>
          <w:rFonts w:ascii="Times New Roman" w:hAnsi="Times New Roman" w:cs="Times New Roman"/>
          <w:b/>
          <w:noProof/>
          <w:sz w:val="24"/>
          <w:szCs w:val="24"/>
        </w:rPr>
      </w:pPr>
      <w:r w:rsidRPr="001A0882">
        <w:rPr>
          <w:rFonts w:ascii="Times New Roman" w:hAnsi="Times New Roman"/>
          <w:b/>
          <w:noProof/>
          <w:sz w:val="24"/>
        </w:rPr>
        <w:t>EXERCITAREA DELEGĂRII DE CĂTRE COMISIE</w:t>
      </w:r>
    </w:p>
    <w:p w14:paraId="0E06F5D0" w14:textId="1095F697" w:rsidR="00DB1B11" w:rsidRPr="00D77A8F" w:rsidRDefault="004501F9"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Într-un raport din 2020</w:t>
      </w:r>
      <w:r>
        <w:rPr>
          <w:rStyle w:val="FootnoteReference"/>
          <w:rFonts w:ascii="Times New Roman" w:hAnsi="Times New Roman" w:cs="Times New Roman"/>
          <w:noProof/>
          <w:sz w:val="24"/>
          <w:szCs w:val="24"/>
        </w:rPr>
        <w:footnoteReference w:id="4"/>
      </w:r>
      <w:r>
        <w:rPr>
          <w:rFonts w:ascii="Times New Roman" w:hAnsi="Times New Roman"/>
          <w:noProof/>
          <w:sz w:val="24"/>
        </w:rPr>
        <w:t>, Comisia a examinat utilizarea delegării de competențe în cursul primilor cinci ani de aplicare a Regulamentului (CE) nr. 184/2005. De la intrarea în vigoare a Regulamentului (UE) 2016/1013, Comisia a adoptat un act delegat, și anume Regulamentul delegat (UE) 2019/505 al Comisiei</w:t>
      </w:r>
      <w:r>
        <w:rPr>
          <w:rStyle w:val="FootnoteReference"/>
          <w:rFonts w:ascii="Times New Roman" w:hAnsi="Times New Roman" w:cs="Times New Roman"/>
          <w:noProof/>
          <w:sz w:val="24"/>
          <w:szCs w:val="24"/>
        </w:rPr>
        <w:footnoteReference w:id="5"/>
      </w:r>
      <w:r>
        <w:rPr>
          <w:rFonts w:ascii="Times New Roman" w:hAnsi="Times New Roman"/>
          <w:noProof/>
          <w:sz w:val="24"/>
        </w:rPr>
        <w:t>. Acest act, care se bazează pe articolul 2 alineatul (3) din Regulamentul (CE) nr. 184/2005, a actualizat nivelurile de defalcare geografică stabilite în anexa I la Regulamentul (CE) nr. 184/2005, pentru a reflecta evoluțiile economice și tehnice.</w:t>
      </w:r>
    </w:p>
    <w:p w14:paraId="0E6CCA76" w14:textId="77777777" w:rsidR="00DB1B11" w:rsidRPr="00D77A8F" w:rsidRDefault="00DB1B11" w:rsidP="00B81217">
      <w:pPr>
        <w:spacing w:after="0" w:line="240" w:lineRule="auto"/>
        <w:jc w:val="both"/>
        <w:rPr>
          <w:rFonts w:ascii="Times New Roman" w:hAnsi="Times New Roman" w:cs="Times New Roman"/>
          <w:noProof/>
          <w:sz w:val="24"/>
          <w:szCs w:val="24"/>
        </w:rPr>
      </w:pPr>
    </w:p>
    <w:p w14:paraId="1C94E91B" w14:textId="31F9FB55" w:rsidR="003134A4" w:rsidRPr="00D77A8F" w:rsidRDefault="00DB1B11"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În perioada următoare, începând cu 19 iulie 2021, în urma extinderii tacite a delegării de competențe, s-a considerat că actualul cadru de reglementare bazat pe Regulamentul (CE) nr. 184/2005 este pe deplin adecvat pentru a răspunde nevoilor statistice și metodologice în ceea ce privește balanța de plăți, comerțul internațional cu servicii și ISD în cursul perioadei de raportare. Acest lucru a fost confirmat prin consultări ample cu grupul de experți privind balanța de plăți și cu alte grupuri de experți relevante, asigurându-se implicarea părților interesate pentru a monitoriza orice eventuală nevoie de acte delegate.</w:t>
      </w:r>
    </w:p>
    <w:p w14:paraId="26799F0B" w14:textId="77777777" w:rsidR="003134A4" w:rsidRPr="00D77A8F" w:rsidRDefault="003134A4" w:rsidP="00B81217">
      <w:pPr>
        <w:spacing w:after="0" w:line="240" w:lineRule="auto"/>
        <w:jc w:val="both"/>
        <w:rPr>
          <w:rFonts w:ascii="Times New Roman" w:hAnsi="Times New Roman" w:cs="Times New Roman"/>
          <w:noProof/>
          <w:sz w:val="24"/>
          <w:szCs w:val="24"/>
        </w:rPr>
      </w:pPr>
    </w:p>
    <w:p w14:paraId="3CB1C058" w14:textId="7451EE87" w:rsidR="00B81217" w:rsidRPr="00D77A8F" w:rsidRDefault="00DB1B11"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Pe de altă parte, Comisia și-a exercitat competența de a adopta acte delegate conferită prin articolul 10 din Regulamentul (CE) nr. 184/2005 pentru a adapta trimiterile la clasificarea activităților economice (NACE) prin Regulamentul delegat (UE) 2024/3104 al Comisiei</w:t>
      </w:r>
      <w:r>
        <w:rPr>
          <w:rStyle w:val="FootnoteReference"/>
          <w:rFonts w:ascii="Times New Roman" w:hAnsi="Times New Roman" w:cs="Times New Roman"/>
          <w:noProof/>
          <w:sz w:val="24"/>
          <w:szCs w:val="24"/>
        </w:rPr>
        <w:footnoteReference w:id="6"/>
      </w:r>
      <w:r>
        <w:rPr>
          <w:rFonts w:ascii="Times New Roman" w:hAnsi="Times New Roman"/>
          <w:noProof/>
          <w:sz w:val="24"/>
        </w:rPr>
        <w:t>.</w:t>
      </w:r>
    </w:p>
    <w:p w14:paraId="4EE85E98" w14:textId="77777777" w:rsidR="001A0882" w:rsidRPr="001A0882" w:rsidRDefault="004148BB" w:rsidP="00FE4EBE">
      <w:pPr>
        <w:rPr>
          <w:noProof/>
          <w:sz w:val="20"/>
          <w:szCs w:val="20"/>
        </w:rPr>
      </w:pPr>
      <w:r w:rsidRPr="001A0882">
        <w:rPr>
          <w:noProof/>
          <w:sz w:val="20"/>
          <w:szCs w:val="20"/>
        </w:rPr>
        <w:br w:type="page"/>
      </w:r>
    </w:p>
    <w:p w14:paraId="40915DF3" w14:textId="146702F0" w:rsidR="00345B7E" w:rsidRPr="001A0882" w:rsidRDefault="00345B7E" w:rsidP="001A0882">
      <w:pPr>
        <w:pStyle w:val="ListParagraph"/>
        <w:numPr>
          <w:ilvl w:val="0"/>
          <w:numId w:val="1"/>
        </w:numPr>
        <w:spacing w:line="240" w:lineRule="auto"/>
        <w:ind w:left="426" w:hanging="426"/>
        <w:rPr>
          <w:rFonts w:ascii="Times New Roman" w:hAnsi="Times New Roman" w:cs="Times New Roman"/>
          <w:b/>
          <w:noProof/>
          <w:sz w:val="24"/>
          <w:szCs w:val="24"/>
        </w:rPr>
      </w:pPr>
      <w:r w:rsidRPr="001A0882">
        <w:rPr>
          <w:rFonts w:ascii="Times New Roman" w:hAnsi="Times New Roman"/>
          <w:b/>
          <w:noProof/>
          <w:sz w:val="24"/>
        </w:rPr>
        <w:t>CONCLUZIE</w:t>
      </w:r>
    </w:p>
    <w:p w14:paraId="6F6C6801" w14:textId="4946D2F0" w:rsidR="001332A4" w:rsidRPr="00D77A8F" w:rsidRDefault="001332A4"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Începând cu 19 iulie 2021, Comisia și-a exercitat competența de a adopta acte delegate conferită în temeiul Regulamentului (CE) nr. 184/2005 pentru a adapta trimiterile la clasificarea activităților economice (NACE).</w:t>
      </w:r>
    </w:p>
    <w:p w14:paraId="7BB00DAB" w14:textId="77777777" w:rsidR="001332A4" w:rsidRPr="00D77A8F" w:rsidRDefault="001332A4" w:rsidP="00B81217">
      <w:pPr>
        <w:spacing w:after="0" w:line="240" w:lineRule="auto"/>
        <w:jc w:val="both"/>
        <w:rPr>
          <w:rFonts w:ascii="Times New Roman" w:hAnsi="Times New Roman" w:cs="Times New Roman"/>
          <w:noProof/>
          <w:sz w:val="24"/>
          <w:szCs w:val="24"/>
        </w:rPr>
      </w:pPr>
    </w:p>
    <w:p w14:paraId="32EE7E35" w14:textId="1C7E79BC" w:rsidR="003F130A" w:rsidRPr="00D77A8F" w:rsidRDefault="001332A4"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Comisia consideră că ar trebui să păstreze competențele delegate prevăzute de regulament. Aceste competențe rămân esențiale pentru a răspunde unor eventuale nevoi viitoare, cum ar fi actualizări ale clasificărilor, metodologiilor sau variabilelor, și pentru a se asigura că statisticile UE în domeniul balanței de plăți, al comerțului internațional cu servicii și al ISD respectă în continuare standarde înalte de calitate.</w:t>
      </w:r>
    </w:p>
    <w:p w14:paraId="53DDBFD0" w14:textId="77777777" w:rsidR="001332A4" w:rsidRPr="00D77A8F" w:rsidRDefault="001332A4" w:rsidP="00B81217">
      <w:pPr>
        <w:spacing w:after="0" w:line="240" w:lineRule="auto"/>
        <w:jc w:val="both"/>
        <w:rPr>
          <w:rFonts w:ascii="Times New Roman" w:hAnsi="Times New Roman" w:cs="Times New Roman"/>
          <w:noProof/>
          <w:sz w:val="24"/>
          <w:szCs w:val="24"/>
        </w:rPr>
      </w:pPr>
    </w:p>
    <w:p w14:paraId="7D2D3718" w14:textId="77777777" w:rsidR="00B81217" w:rsidRPr="00D77A8F" w:rsidRDefault="00B81217" w:rsidP="00B81217">
      <w:pPr>
        <w:rPr>
          <w:rFonts w:ascii="Times New Roman" w:hAnsi="Times New Roman" w:cs="Times New Roman"/>
          <w:noProof/>
          <w:sz w:val="24"/>
          <w:szCs w:val="24"/>
        </w:rPr>
      </w:pPr>
      <w:r>
        <w:rPr>
          <w:rFonts w:ascii="Times New Roman" w:hAnsi="Times New Roman"/>
          <w:noProof/>
          <w:sz w:val="24"/>
        </w:rPr>
        <w:t>Comisia invită Parlamentul European și Consiliul să ia act de prezentul raport.</w:t>
      </w:r>
    </w:p>
    <w:sectPr w:rsidR="00B81217" w:rsidRPr="00D77A8F" w:rsidSect="0050716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851" w:left="1440" w:header="708" w:footer="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5B9F1" w14:textId="77777777" w:rsidR="005F08AD" w:rsidRPr="00D77A8F" w:rsidRDefault="005F08AD" w:rsidP="006A6532">
      <w:pPr>
        <w:spacing w:after="0" w:line="240" w:lineRule="auto"/>
      </w:pPr>
      <w:r>
        <w:separator/>
      </w:r>
    </w:p>
  </w:endnote>
  <w:endnote w:type="continuationSeparator" w:id="0">
    <w:p w14:paraId="1101FCC1" w14:textId="77777777" w:rsidR="005F08AD" w:rsidRPr="00D77A8F" w:rsidRDefault="005F08AD" w:rsidP="006A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75112" w14:textId="32073FB4" w:rsidR="00775153" w:rsidRPr="00775153" w:rsidRDefault="00775153" w:rsidP="00775153">
    <w:pPr>
      <w:pStyle w:val="FooterCoverPage"/>
      <w:rPr>
        <w:rFonts w:ascii="Arial" w:hAnsi="Arial" w:cs="Arial"/>
        <w:b/>
        <w:sz w:val="48"/>
      </w:rPr>
    </w:pPr>
    <w:r w:rsidRPr="00775153">
      <w:rPr>
        <w:rFonts w:ascii="Arial" w:hAnsi="Arial" w:cs="Arial"/>
        <w:b/>
        <w:sz w:val="48"/>
      </w:rPr>
      <w:t>RO</w:t>
    </w:r>
    <w:r w:rsidRPr="00775153">
      <w:rPr>
        <w:rFonts w:ascii="Arial" w:hAnsi="Arial" w:cs="Arial"/>
        <w:b/>
        <w:sz w:val="48"/>
      </w:rPr>
      <w:tab/>
    </w:r>
    <w:r w:rsidRPr="00775153">
      <w:rPr>
        <w:rFonts w:ascii="Arial" w:hAnsi="Arial" w:cs="Arial"/>
        <w:b/>
        <w:sz w:val="48"/>
      </w:rPr>
      <w:tab/>
    </w:r>
    <w:r w:rsidRPr="00775153">
      <w:tab/>
    </w:r>
    <w:r w:rsidRPr="00775153">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58E80" w14:textId="0EF7647A" w:rsidR="00775153" w:rsidRPr="00775153" w:rsidRDefault="00775153" w:rsidP="00775153">
    <w:pPr>
      <w:pStyle w:val="FooterCoverPage"/>
      <w:rPr>
        <w:rFonts w:ascii="Arial" w:hAnsi="Arial" w:cs="Arial"/>
        <w:b/>
        <w:sz w:val="48"/>
      </w:rPr>
    </w:pPr>
    <w:r w:rsidRPr="00775153">
      <w:rPr>
        <w:rFonts w:ascii="Arial" w:hAnsi="Arial" w:cs="Arial"/>
        <w:b/>
        <w:sz w:val="48"/>
      </w:rPr>
      <w:t>RO</w:t>
    </w:r>
    <w:r w:rsidRPr="00775153">
      <w:rPr>
        <w:rFonts w:ascii="Arial" w:hAnsi="Arial" w:cs="Arial"/>
        <w:b/>
        <w:sz w:val="48"/>
      </w:rPr>
      <w:tab/>
    </w:r>
    <w:r w:rsidRPr="00775153">
      <w:rPr>
        <w:rFonts w:ascii="Arial" w:hAnsi="Arial" w:cs="Arial"/>
        <w:b/>
        <w:sz w:val="48"/>
      </w:rPr>
      <w:tab/>
    </w:r>
    <w:r w:rsidRPr="00775153">
      <w:tab/>
    </w:r>
    <w:r w:rsidRPr="00775153">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53E4" w14:textId="77777777" w:rsidR="00775153" w:rsidRPr="00775153" w:rsidRDefault="00775153" w:rsidP="00775153">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0BCB4" w14:textId="77777777" w:rsidR="006A6532" w:rsidRPr="00D77A8F" w:rsidRDefault="006A65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745398"/>
      <w:docPartObj>
        <w:docPartGallery w:val="Page Numbers (Bottom of Page)"/>
        <w:docPartUnique/>
      </w:docPartObj>
    </w:sdtPr>
    <w:sdtEndPr/>
    <w:sdtContent>
      <w:p w14:paraId="27D3ED54" w14:textId="5256F47C" w:rsidR="0050716D" w:rsidRPr="00D77A8F" w:rsidRDefault="0050716D">
        <w:pPr>
          <w:pStyle w:val="Footer"/>
          <w:jc w:val="right"/>
        </w:pPr>
        <w:r>
          <w:fldChar w:fldCharType="begin"/>
        </w:r>
        <w:r>
          <w:instrText xml:space="preserve"> PAGE   \* MERGEFORMAT </w:instrText>
        </w:r>
        <w:r>
          <w:fldChar w:fldCharType="separate"/>
        </w:r>
        <w:r w:rsidR="00775153">
          <w:rPr>
            <w:noProof/>
          </w:rPr>
          <w:t>1</w:t>
        </w:r>
        <w:r>
          <w:fldChar w:fldCharType="end"/>
        </w:r>
      </w:p>
    </w:sdtContent>
  </w:sdt>
  <w:p w14:paraId="667ADEAA" w14:textId="142E8CAF" w:rsidR="004F546D" w:rsidRPr="00D77A8F" w:rsidRDefault="001A0882" w:rsidP="004F546D">
    <w:pPr>
      <w:pStyle w:val="FooterCoverPage"/>
      <w:rPr>
        <w:rFonts w:ascii="Arial" w:hAnsi="Arial" w:cs="Arial"/>
        <w:b/>
        <w:sz w:val="48"/>
      </w:rPr>
    </w:pPr>
    <w:r>
      <w:rPr>
        <w:rFonts w:ascii="Arial" w:hAnsi="Arial"/>
        <w:b/>
        <w:sz w:val="48"/>
      </w:rPr>
      <w:t>RO</w:t>
    </w:r>
    <w:r w:rsidR="004F546D">
      <w:tab/>
    </w:r>
    <w:r w:rsidR="004F546D">
      <w:tab/>
    </w:r>
    <w:r w:rsidR="004F546D">
      <w:tab/>
    </w:r>
    <w:r>
      <w:rPr>
        <w:rFonts w:ascii="Arial" w:hAnsi="Arial"/>
        <w:b/>
        <w:sz w:val="48"/>
      </w:rPr>
      <w:t>RO</w:t>
    </w:r>
  </w:p>
  <w:p w14:paraId="084487EF" w14:textId="12BD0583" w:rsidR="006A6532" w:rsidRPr="00D77A8F" w:rsidRDefault="006A6532" w:rsidP="004F546D">
    <w:pPr>
      <w:pStyle w:val="Footer"/>
      <w:tabs>
        <w:tab w:val="clear" w:pos="4513"/>
        <w:tab w:val="clear" w:pos="9026"/>
        <w:tab w:val="left" w:pos="5140"/>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C130E" w14:textId="77777777" w:rsidR="006A6532" w:rsidRPr="00D77A8F" w:rsidRDefault="006A6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B9C87" w14:textId="77777777" w:rsidR="005F08AD" w:rsidRPr="00D77A8F" w:rsidRDefault="005F08AD" w:rsidP="006A6532">
      <w:pPr>
        <w:spacing w:after="0" w:line="240" w:lineRule="auto"/>
      </w:pPr>
      <w:r>
        <w:separator/>
      </w:r>
    </w:p>
  </w:footnote>
  <w:footnote w:type="continuationSeparator" w:id="0">
    <w:p w14:paraId="7FC8DB7B" w14:textId="77777777" w:rsidR="005F08AD" w:rsidRPr="00D77A8F" w:rsidRDefault="005F08AD" w:rsidP="006A6532">
      <w:pPr>
        <w:spacing w:after="0" w:line="240" w:lineRule="auto"/>
      </w:pPr>
      <w:r>
        <w:continuationSeparator/>
      </w:r>
    </w:p>
  </w:footnote>
  <w:footnote w:id="1">
    <w:p w14:paraId="5F95019C" w14:textId="68F583AA" w:rsidR="00B47933" w:rsidRPr="001A0882" w:rsidRDefault="00B47933" w:rsidP="003905A6">
      <w:pPr>
        <w:pStyle w:val="NormalWeb"/>
        <w:spacing w:before="0" w:beforeAutospacing="0" w:after="120" w:afterAutospacing="0"/>
        <w:ind w:left="142" w:hanging="142"/>
        <w:jc w:val="both"/>
        <w:rPr>
          <w:i/>
          <w:sz w:val="20"/>
          <w:szCs w:val="20"/>
        </w:rPr>
      </w:pPr>
      <w:r w:rsidRPr="001A0882">
        <w:rPr>
          <w:rStyle w:val="FootnoteReference"/>
          <w:sz w:val="20"/>
          <w:szCs w:val="20"/>
        </w:rPr>
        <w:footnoteRef/>
      </w:r>
      <w:r w:rsidRPr="001A0882">
        <w:rPr>
          <w:sz w:val="20"/>
          <w:szCs w:val="20"/>
        </w:rPr>
        <w:t xml:space="preserve"> </w:t>
      </w:r>
      <w:hyperlink r:id="rId1" w:history="1">
        <w:r w:rsidRPr="001A0882">
          <w:rPr>
            <w:rStyle w:val="Hyperlink"/>
            <w:sz w:val="20"/>
            <w:szCs w:val="20"/>
          </w:rPr>
          <w:t>Regulamentul (UE) 2016/1013</w:t>
        </w:r>
      </w:hyperlink>
      <w:r w:rsidRPr="001A0882">
        <w:rPr>
          <w:sz w:val="20"/>
          <w:szCs w:val="20"/>
        </w:rPr>
        <w:t xml:space="preserve"> al Parlamentului European și al Consiliului din 8 iunie 2016 de modificare a Regulamentului (CE) nr. 184/2005 privind statisticile comunitare ale balanței de plăți, ale comerțului internațional cu servicii și ale investițiilor străine directe (</w:t>
      </w:r>
      <w:r w:rsidRPr="001A0882">
        <w:rPr>
          <w:rStyle w:val="Emphasis"/>
          <w:i w:val="0"/>
          <w:sz w:val="20"/>
          <w:szCs w:val="20"/>
        </w:rPr>
        <w:t>JO L 171, 29.6.2016, p. 144</w:t>
      </w:r>
      <w:r w:rsidRPr="001A0882">
        <w:rPr>
          <w:sz w:val="20"/>
          <w:szCs w:val="20"/>
        </w:rPr>
        <w:t>).</w:t>
      </w:r>
    </w:p>
  </w:footnote>
  <w:footnote w:id="2">
    <w:p w14:paraId="726B97BC" w14:textId="0A0E3A7B" w:rsidR="00B47933" w:rsidRPr="001A0882" w:rsidRDefault="00B47933" w:rsidP="00702D5F">
      <w:pPr>
        <w:pStyle w:val="NormalWeb"/>
        <w:spacing w:before="0" w:beforeAutospacing="0" w:after="120" w:afterAutospacing="0"/>
        <w:ind w:left="142" w:hanging="142"/>
        <w:jc w:val="both"/>
        <w:rPr>
          <w:sz w:val="20"/>
          <w:szCs w:val="20"/>
        </w:rPr>
      </w:pPr>
      <w:r w:rsidRPr="001A0882">
        <w:rPr>
          <w:rStyle w:val="FootnoteReference"/>
          <w:sz w:val="20"/>
          <w:szCs w:val="20"/>
        </w:rPr>
        <w:footnoteRef/>
      </w:r>
      <w:r w:rsidRPr="001A0882">
        <w:rPr>
          <w:sz w:val="20"/>
          <w:szCs w:val="20"/>
        </w:rPr>
        <w:t xml:space="preserve"> </w:t>
      </w:r>
      <w:hyperlink r:id="rId2" w:history="1">
        <w:r w:rsidRPr="001A0882">
          <w:rPr>
            <w:rStyle w:val="Hyperlink"/>
            <w:sz w:val="20"/>
            <w:szCs w:val="20"/>
          </w:rPr>
          <w:t>Regulamentul (CE) nr. 184/2005</w:t>
        </w:r>
      </w:hyperlink>
      <w:r w:rsidRPr="001A0882">
        <w:rPr>
          <w:sz w:val="20"/>
          <w:szCs w:val="20"/>
        </w:rPr>
        <w:t xml:space="preserve"> al Parlamentului European și al Consiliului din 12 ianuarie 2005 privind statisticile comunitare ale balanței de plăți, ale comerțului internațional cu servicii și ale investițiilor străine directe (</w:t>
      </w:r>
      <w:r w:rsidRPr="001A0882">
        <w:rPr>
          <w:rStyle w:val="Emphasis"/>
          <w:i w:val="0"/>
          <w:sz w:val="20"/>
          <w:szCs w:val="20"/>
        </w:rPr>
        <w:t>JO</w:t>
      </w:r>
      <w:r w:rsidR="001A0882">
        <w:rPr>
          <w:rStyle w:val="Emphasis"/>
          <w:i w:val="0"/>
          <w:sz w:val="20"/>
          <w:szCs w:val="20"/>
        </w:rPr>
        <w:t> </w:t>
      </w:r>
      <w:r w:rsidRPr="001A0882">
        <w:rPr>
          <w:rStyle w:val="Emphasis"/>
          <w:i w:val="0"/>
          <w:sz w:val="20"/>
          <w:szCs w:val="20"/>
        </w:rPr>
        <w:t>L 35, 8.2.2005, p. 23</w:t>
      </w:r>
      <w:r w:rsidRPr="001A0882">
        <w:rPr>
          <w:sz w:val="20"/>
          <w:szCs w:val="20"/>
        </w:rPr>
        <w:t>).</w:t>
      </w:r>
    </w:p>
  </w:footnote>
  <w:footnote w:id="3">
    <w:p w14:paraId="24A8EDE0" w14:textId="5119E654" w:rsidR="00802C3A" w:rsidRPr="001A0882" w:rsidRDefault="00802C3A" w:rsidP="00702D5F">
      <w:pPr>
        <w:pStyle w:val="FootnoteText"/>
        <w:spacing w:after="120"/>
        <w:ind w:left="142" w:hanging="142"/>
        <w:rPr>
          <w:rFonts w:ascii="Times New Roman" w:hAnsi="Times New Roman" w:cs="Times New Roman"/>
        </w:rPr>
      </w:pPr>
      <w:r w:rsidRPr="001A0882">
        <w:rPr>
          <w:rStyle w:val="FootnoteReference"/>
          <w:rFonts w:ascii="Times New Roman" w:hAnsi="Times New Roman" w:cs="Times New Roman"/>
        </w:rPr>
        <w:footnoteRef/>
      </w:r>
      <w:r w:rsidRPr="001A0882">
        <w:rPr>
          <w:rFonts w:ascii="Times New Roman" w:hAnsi="Times New Roman" w:cs="Times New Roman"/>
        </w:rPr>
        <w:t xml:space="preserve"> </w:t>
      </w:r>
      <w:hyperlink r:id="rId3" w:history="1">
        <w:r w:rsidRPr="001A0882">
          <w:rPr>
            <w:rStyle w:val="Hyperlink"/>
            <w:rFonts w:ascii="Times New Roman" w:hAnsi="Times New Roman" w:cs="Times New Roman"/>
          </w:rPr>
          <w:t>Acordul interinstituțional</w:t>
        </w:r>
      </w:hyperlink>
      <w:r w:rsidRPr="001A0882">
        <w:rPr>
          <w:rFonts w:ascii="Times New Roman" w:hAnsi="Times New Roman" w:cs="Times New Roman"/>
        </w:rPr>
        <w:t xml:space="preserve"> dintre Parlamentul European, Consiliul Uniunii Europene și Comisia Europeană din 13 aprilie 2016 privind o mai bună legiferare (JO L 123, 12.5.2016, p. 1).</w:t>
      </w:r>
    </w:p>
  </w:footnote>
  <w:footnote w:id="4">
    <w:p w14:paraId="3EF43690" w14:textId="574FFA79" w:rsidR="003465E4" w:rsidRPr="001A0882" w:rsidRDefault="003465E4" w:rsidP="003465E4">
      <w:pPr>
        <w:pStyle w:val="NormalWeb"/>
        <w:spacing w:before="0" w:beforeAutospacing="0" w:after="120" w:afterAutospacing="0"/>
        <w:ind w:left="142" w:hanging="142"/>
        <w:jc w:val="both"/>
        <w:rPr>
          <w:sz w:val="20"/>
          <w:szCs w:val="20"/>
        </w:rPr>
      </w:pPr>
      <w:r w:rsidRPr="001A0882">
        <w:rPr>
          <w:rStyle w:val="FootnoteReference"/>
          <w:sz w:val="20"/>
          <w:szCs w:val="20"/>
        </w:rPr>
        <w:footnoteRef/>
      </w:r>
      <w:r w:rsidRPr="001A0882">
        <w:rPr>
          <w:sz w:val="20"/>
          <w:szCs w:val="20"/>
        </w:rPr>
        <w:t xml:space="preserve"> Raport al Comisiei către Parlamentul European și Consiliu privind exercitarea competenței de a adopta acte delegate conferite Comisiei în temeiul Regulamentului (CE) nr. 184/2005 privind statisticile comunitare ale balanței de plăți, ale comerțului internațional cu servicii și ale investițiilor străine directe , COM(2020) 490 final, 10.9.2020, </w:t>
      </w:r>
      <w:hyperlink r:id="rId4" w:tgtFrame="_blank" w:history="1">
        <w:r w:rsidRPr="001A0882">
          <w:rPr>
            <w:rStyle w:val="Hyperlink"/>
            <w:sz w:val="20"/>
            <w:szCs w:val="20"/>
          </w:rPr>
          <w:t>https://eur-lex.europa.eu/legal-content/RO/TXT/PDF/?uri=CELEX:52020DC0490</w:t>
        </w:r>
      </w:hyperlink>
      <w:r w:rsidRPr="001A0882">
        <w:rPr>
          <w:sz w:val="20"/>
          <w:szCs w:val="20"/>
        </w:rPr>
        <w:t>.</w:t>
      </w:r>
    </w:p>
  </w:footnote>
  <w:footnote w:id="5">
    <w:p w14:paraId="2452821A" w14:textId="7825BEA6" w:rsidR="009470BB" w:rsidRPr="001A0882" w:rsidRDefault="009470BB" w:rsidP="003465E4">
      <w:pPr>
        <w:pStyle w:val="NormalWeb"/>
        <w:spacing w:before="0" w:beforeAutospacing="0" w:after="120" w:afterAutospacing="0"/>
        <w:ind w:left="142" w:hanging="142"/>
        <w:jc w:val="both"/>
        <w:rPr>
          <w:i/>
          <w:sz w:val="20"/>
          <w:szCs w:val="20"/>
        </w:rPr>
      </w:pPr>
      <w:r w:rsidRPr="001A0882">
        <w:rPr>
          <w:rStyle w:val="FootnoteReference"/>
          <w:sz w:val="20"/>
          <w:szCs w:val="20"/>
        </w:rPr>
        <w:footnoteRef/>
      </w:r>
      <w:r w:rsidRPr="001A0882">
        <w:rPr>
          <w:sz w:val="20"/>
          <w:szCs w:val="20"/>
        </w:rPr>
        <w:t>.</w:t>
      </w:r>
      <w:hyperlink r:id="rId5" w:history="1">
        <w:r w:rsidRPr="001A0882">
          <w:rPr>
            <w:rStyle w:val="Hyperlink"/>
            <w:sz w:val="20"/>
            <w:szCs w:val="20"/>
          </w:rPr>
          <w:t>Regulamentul delegat (UE) 2019/505 al Comisiei</w:t>
        </w:r>
      </w:hyperlink>
      <w:r w:rsidRPr="001A0882">
        <w:rPr>
          <w:sz w:val="20"/>
          <w:szCs w:val="20"/>
        </w:rPr>
        <w:t xml:space="preserve"> din 19 decembrie 2018 de modificare a anexei I la Regulamentul (CE) nr. 184/2005 al Parlamentului European și al Consiliului în ceea ce privește nivelurile de defalcare geografică (JO L 85, 27.3.2019, p. 1).</w:t>
      </w:r>
    </w:p>
  </w:footnote>
  <w:footnote w:id="6">
    <w:p w14:paraId="114EEEF1" w14:textId="5835539B" w:rsidR="00DB1B11" w:rsidRPr="001A0882" w:rsidRDefault="00DB1B11" w:rsidP="003465E4">
      <w:pPr>
        <w:pStyle w:val="NormalWeb"/>
        <w:spacing w:before="0" w:beforeAutospacing="0" w:after="120" w:afterAutospacing="0"/>
        <w:ind w:left="142" w:hanging="142"/>
        <w:jc w:val="both"/>
        <w:rPr>
          <w:i/>
          <w:sz w:val="20"/>
          <w:szCs w:val="20"/>
        </w:rPr>
      </w:pPr>
      <w:r w:rsidRPr="001A0882">
        <w:rPr>
          <w:rStyle w:val="FootnoteReference"/>
          <w:sz w:val="20"/>
          <w:szCs w:val="20"/>
        </w:rPr>
        <w:footnoteRef/>
      </w:r>
      <w:r w:rsidRPr="001A0882">
        <w:rPr>
          <w:sz w:val="20"/>
          <w:szCs w:val="20"/>
        </w:rPr>
        <w:t xml:space="preserve"> </w:t>
      </w:r>
      <w:hyperlink r:id="rId6" w:history="1">
        <w:r w:rsidRPr="001A0882">
          <w:rPr>
            <w:rStyle w:val="Hyperlink"/>
            <w:sz w:val="20"/>
            <w:szCs w:val="20"/>
          </w:rPr>
          <w:t>Regulamentul delegat (UE) 2024/3104 al Comisiei</w:t>
        </w:r>
      </w:hyperlink>
      <w:r w:rsidRPr="001A0882">
        <w:rPr>
          <w:sz w:val="20"/>
          <w:szCs w:val="20"/>
        </w:rPr>
        <w:t xml:space="preserve"> din 2 septembrie 2024 de modificare a Regulamentului (CE) nr. 184/2005 al Parlamentului European și al Consiliului în ceea ce privește trimiterile la nomenclatorul statistic al activităților economice NACE stabilit prin Regulamentul (CE) nr. 1893/2006 al Parlamentului European și al Consiliului (JO</w:t>
      </w:r>
      <w:r w:rsidR="001A0882">
        <w:rPr>
          <w:sz w:val="20"/>
          <w:szCs w:val="20"/>
        </w:rPr>
        <w:t> </w:t>
      </w:r>
      <w:r w:rsidRPr="001A0882">
        <w:rPr>
          <w:sz w:val="20"/>
          <w:szCs w:val="20"/>
        </w:rPr>
        <w:t>L, 2024/3104, 12.12.2024, ELI: http://data.europa.eu/eli/reg_del/2024/3104/oj).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80FF3" w14:textId="77777777" w:rsidR="00775153" w:rsidRPr="00775153" w:rsidRDefault="00775153" w:rsidP="00775153">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8EBC2" w14:textId="77777777" w:rsidR="00775153" w:rsidRPr="00775153" w:rsidRDefault="00775153" w:rsidP="00775153">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A0CB9" w14:textId="77777777" w:rsidR="00775153" w:rsidRPr="00775153" w:rsidRDefault="00775153" w:rsidP="00775153">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3819" w14:textId="77777777" w:rsidR="006A6532" w:rsidRPr="00D77A8F" w:rsidRDefault="006A65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74042" w14:textId="2629420F" w:rsidR="006A6532" w:rsidRPr="00D77A8F" w:rsidRDefault="006A65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7B866" w14:textId="77777777" w:rsidR="006A6532" w:rsidRPr="00D77A8F" w:rsidRDefault="006A65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229608A5"/>
    <w:multiLevelType w:val="hybridMultilevel"/>
    <w:tmpl w:val="CC9AC3D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135E8"/>
    <w:multiLevelType w:val="multilevel"/>
    <w:tmpl w:val="7A1612E2"/>
    <w:lvl w:ilvl="0">
      <w:start w:val="1"/>
      <w:numFmt w:val="decimal"/>
      <w:lvlRestart w:val="0"/>
      <w:lvlText w:val="(%1)"/>
      <w:lvlJc w:val="left"/>
      <w:pPr>
        <w:tabs>
          <w:tab w:val="num" w:pos="850"/>
        </w:tabs>
        <w:ind w:left="850" w:hanging="850"/>
      </w:pPr>
    </w:lvl>
    <w:lvl w:ilvl="1">
      <w:start w:val="1"/>
      <w:numFmt w:val="bullet"/>
      <w:lvlText w:val=""/>
      <w:lvlJc w:val="left"/>
      <w:pPr>
        <w:tabs>
          <w:tab w:val="num" w:pos="850"/>
        </w:tabs>
        <w:ind w:left="850" w:hanging="850"/>
      </w:pPr>
      <w:rPr>
        <w:rFonts w:ascii="Symbol" w:hAnsi="Symbol" w:hint="default"/>
      </w:r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4C3E2DA1"/>
    <w:multiLevelType w:val="hybridMultilevel"/>
    <w:tmpl w:val="68784A7A"/>
    <w:lvl w:ilvl="0" w:tplc="080C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63612B"/>
    <w:multiLevelType w:val="hybridMultilevel"/>
    <w:tmpl w:val="B82C2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2A6268"/>
    <w:multiLevelType w:val="hybridMultilevel"/>
    <w:tmpl w:val="DD7A3086"/>
    <w:lvl w:ilvl="0" w:tplc="080C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0F2A12"/>
    <w:multiLevelType w:val="hybridMultilevel"/>
    <w:tmpl w:val="550E743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04627A67-1DD7-4A79-971F-E7BF3B28B7FC"/>
    <w:docVar w:name="LW_COVERPAGE_TYPE" w:val="1"/>
    <w:docVar w:name="LW_CROSSREFERENCE" w:val="&lt;UNUSED&gt;"/>
    <w:docVar w:name="LW_DocType" w:val="NORMAL"/>
    <w:docVar w:name="LW_EMISSION" w:val="22.7.2025"/>
    <w:docVar w:name="LW_EMISSION_ISODATE" w:val="2025-07-22"/>
    <w:docVar w:name="LW_EMISSION_LOCATION" w:val="BRX"/>
    <w:docVar w:name="LW_EMISSION_PREFIX" w:val="Bruxelles, "/>
    <w:docVar w:name="LW_EMISSION_SUFFIX" w:val=" "/>
    <w:docVar w:name="LW_ID_DOCTYPE_NONLW" w:val="CP-006"/>
    <w:docVar w:name="LW_LANGUE" w:val="RO"/>
    <w:docVar w:name="LW_LEVEL_OF_SENSITIVITY" w:val="Standard treatment"/>
    <w:docVar w:name="LW_NOM.INST" w:val="COMISIA EUROPEAN\u258?"/>
    <w:docVar w:name="LW_NOM.INST_JOINTDOC" w:val="&lt;EMPTY&gt;"/>
    <w:docVar w:name="LW_PART_NBR" w:val="1"/>
    <w:docVar w:name="LW_PART_NBR_TOTAL" w:val="1"/>
    <w:docVar w:name="LW_REF.INST.NEW" w:val="COM"/>
    <w:docVar w:name="LW_REF.INST.NEW_ADOPTED" w:val="final"/>
    <w:docVar w:name="LW_REF.INST.NEW_TEXT" w:val="(2025) 41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privind exercitarea competen\u539?ei de a adopta acte delegate, conferit\u259? Comisiei în temeiul Regulamentului (CE) nr. 184/2005 privind statisticile comunitare ale balan\u539?ei de pl\u259?\u539?i, ale comer\u539?ului interna\u539?ional cu servicii \u537?i ale investi\u539?iilor str\u259?ine directe&lt;/FMT&gt;   "/>
    <w:docVar w:name="LW_TYPE.DOC.CP" w:val="RAPORT AL COMISIEI C\u258?TRE PARLAMENTUL EUROPEAN \u536?I CONSILIU"/>
    <w:docVar w:name="LwApiVersions" w:val="LW4CoDe 1.24.5.0; LW 9.0, Build 20240221"/>
    <w:docVar w:name="Stamp" w:val="\\dossiers.dgt.cec.eu.int\dossiers\ESTAT\ESTAT-2025-00213\ESTAT-2025-00213-00-00-EN-EDT-00.20250611164559669277.DOCX"/>
  </w:docVars>
  <w:rsids>
    <w:rsidRoot w:val="006A6532"/>
    <w:rsid w:val="000020E8"/>
    <w:rsid w:val="00002957"/>
    <w:rsid w:val="00003837"/>
    <w:rsid w:val="000049CD"/>
    <w:rsid w:val="0001054C"/>
    <w:rsid w:val="000111C2"/>
    <w:rsid w:val="0001786B"/>
    <w:rsid w:val="000313EA"/>
    <w:rsid w:val="00031D87"/>
    <w:rsid w:val="0003223D"/>
    <w:rsid w:val="0003685A"/>
    <w:rsid w:val="0003707A"/>
    <w:rsid w:val="00044338"/>
    <w:rsid w:val="000453FC"/>
    <w:rsid w:val="000457E4"/>
    <w:rsid w:val="00052ED3"/>
    <w:rsid w:val="00056BAC"/>
    <w:rsid w:val="0005721E"/>
    <w:rsid w:val="00061C3F"/>
    <w:rsid w:val="00064C03"/>
    <w:rsid w:val="00071351"/>
    <w:rsid w:val="00073CE4"/>
    <w:rsid w:val="0008408E"/>
    <w:rsid w:val="00086F68"/>
    <w:rsid w:val="0008788A"/>
    <w:rsid w:val="00092E4E"/>
    <w:rsid w:val="00094300"/>
    <w:rsid w:val="000A1FCF"/>
    <w:rsid w:val="000A5013"/>
    <w:rsid w:val="000B1978"/>
    <w:rsid w:val="000B1EEB"/>
    <w:rsid w:val="000B3739"/>
    <w:rsid w:val="000B3DF6"/>
    <w:rsid w:val="000C742A"/>
    <w:rsid w:val="000D5D8D"/>
    <w:rsid w:val="000D7B6A"/>
    <w:rsid w:val="000E0461"/>
    <w:rsid w:val="000E1373"/>
    <w:rsid w:val="000E3E5D"/>
    <w:rsid w:val="000E5D71"/>
    <w:rsid w:val="000F6BFE"/>
    <w:rsid w:val="00111D63"/>
    <w:rsid w:val="0012323D"/>
    <w:rsid w:val="001332A4"/>
    <w:rsid w:val="0013526C"/>
    <w:rsid w:val="001421A0"/>
    <w:rsid w:val="001469C1"/>
    <w:rsid w:val="0015220F"/>
    <w:rsid w:val="001578C4"/>
    <w:rsid w:val="00160739"/>
    <w:rsid w:val="00162B83"/>
    <w:rsid w:val="00163221"/>
    <w:rsid w:val="00164916"/>
    <w:rsid w:val="00164E62"/>
    <w:rsid w:val="00174AC8"/>
    <w:rsid w:val="001835EB"/>
    <w:rsid w:val="00184E22"/>
    <w:rsid w:val="00185404"/>
    <w:rsid w:val="00190454"/>
    <w:rsid w:val="00191404"/>
    <w:rsid w:val="0019307E"/>
    <w:rsid w:val="0019319C"/>
    <w:rsid w:val="00197C7F"/>
    <w:rsid w:val="001A0882"/>
    <w:rsid w:val="001A3B98"/>
    <w:rsid w:val="001A3EC0"/>
    <w:rsid w:val="001B6E05"/>
    <w:rsid w:val="001D18A4"/>
    <w:rsid w:val="001D347A"/>
    <w:rsid w:val="001D54A3"/>
    <w:rsid w:val="001F0656"/>
    <w:rsid w:val="001F11D0"/>
    <w:rsid w:val="001F4EAD"/>
    <w:rsid w:val="0020132D"/>
    <w:rsid w:val="00203407"/>
    <w:rsid w:val="00207062"/>
    <w:rsid w:val="0020776C"/>
    <w:rsid w:val="002114B6"/>
    <w:rsid w:val="002118CA"/>
    <w:rsid w:val="00213AD8"/>
    <w:rsid w:val="002253C2"/>
    <w:rsid w:val="00230741"/>
    <w:rsid w:val="00252409"/>
    <w:rsid w:val="002632EF"/>
    <w:rsid w:val="00266915"/>
    <w:rsid w:val="002738CF"/>
    <w:rsid w:val="00276007"/>
    <w:rsid w:val="00286A1A"/>
    <w:rsid w:val="00290F8B"/>
    <w:rsid w:val="002A61C7"/>
    <w:rsid w:val="002A7B2F"/>
    <w:rsid w:val="002B680E"/>
    <w:rsid w:val="002C5D28"/>
    <w:rsid w:val="002D7613"/>
    <w:rsid w:val="002D7934"/>
    <w:rsid w:val="002F33D1"/>
    <w:rsid w:val="0030004F"/>
    <w:rsid w:val="003134A4"/>
    <w:rsid w:val="003330E4"/>
    <w:rsid w:val="00335920"/>
    <w:rsid w:val="00345B7E"/>
    <w:rsid w:val="003465E4"/>
    <w:rsid w:val="00347D04"/>
    <w:rsid w:val="00350517"/>
    <w:rsid w:val="00351E2D"/>
    <w:rsid w:val="00357194"/>
    <w:rsid w:val="00362C42"/>
    <w:rsid w:val="00362C59"/>
    <w:rsid w:val="00365F6B"/>
    <w:rsid w:val="00371050"/>
    <w:rsid w:val="003822A9"/>
    <w:rsid w:val="003905A6"/>
    <w:rsid w:val="003A021D"/>
    <w:rsid w:val="003A2CB4"/>
    <w:rsid w:val="003A3D2E"/>
    <w:rsid w:val="003A6260"/>
    <w:rsid w:val="003B067D"/>
    <w:rsid w:val="003B659E"/>
    <w:rsid w:val="003C4A40"/>
    <w:rsid w:val="003C5266"/>
    <w:rsid w:val="003C6035"/>
    <w:rsid w:val="003C606E"/>
    <w:rsid w:val="003D4663"/>
    <w:rsid w:val="003D67E0"/>
    <w:rsid w:val="003D6A5A"/>
    <w:rsid w:val="003D6B6B"/>
    <w:rsid w:val="003E753A"/>
    <w:rsid w:val="003F0E1D"/>
    <w:rsid w:val="003F130A"/>
    <w:rsid w:val="0040002C"/>
    <w:rsid w:val="00404267"/>
    <w:rsid w:val="0041489C"/>
    <w:rsid w:val="004148BB"/>
    <w:rsid w:val="00415A2D"/>
    <w:rsid w:val="00415C14"/>
    <w:rsid w:val="00421880"/>
    <w:rsid w:val="00430028"/>
    <w:rsid w:val="004427D2"/>
    <w:rsid w:val="00442990"/>
    <w:rsid w:val="00443F44"/>
    <w:rsid w:val="004501F9"/>
    <w:rsid w:val="00454731"/>
    <w:rsid w:val="00461F2E"/>
    <w:rsid w:val="00464ABF"/>
    <w:rsid w:val="004665A1"/>
    <w:rsid w:val="0046792A"/>
    <w:rsid w:val="0047111B"/>
    <w:rsid w:val="00477A05"/>
    <w:rsid w:val="004812EE"/>
    <w:rsid w:val="0048165A"/>
    <w:rsid w:val="00481AA4"/>
    <w:rsid w:val="00487DFA"/>
    <w:rsid w:val="004A22B4"/>
    <w:rsid w:val="004A2575"/>
    <w:rsid w:val="004A7DD2"/>
    <w:rsid w:val="004B0ED3"/>
    <w:rsid w:val="004B1942"/>
    <w:rsid w:val="004B66ED"/>
    <w:rsid w:val="004D5D88"/>
    <w:rsid w:val="004E049F"/>
    <w:rsid w:val="004F1672"/>
    <w:rsid w:val="004F41EA"/>
    <w:rsid w:val="004F48DD"/>
    <w:rsid w:val="004F546D"/>
    <w:rsid w:val="005029D7"/>
    <w:rsid w:val="0050327E"/>
    <w:rsid w:val="00504DD2"/>
    <w:rsid w:val="0050716D"/>
    <w:rsid w:val="00513604"/>
    <w:rsid w:val="00515F3D"/>
    <w:rsid w:val="00516C8C"/>
    <w:rsid w:val="005219C2"/>
    <w:rsid w:val="005261E9"/>
    <w:rsid w:val="00535147"/>
    <w:rsid w:val="00536387"/>
    <w:rsid w:val="00542002"/>
    <w:rsid w:val="005453FE"/>
    <w:rsid w:val="00550DEF"/>
    <w:rsid w:val="00571F0D"/>
    <w:rsid w:val="005729B7"/>
    <w:rsid w:val="0057405A"/>
    <w:rsid w:val="00574B3E"/>
    <w:rsid w:val="00575755"/>
    <w:rsid w:val="00591365"/>
    <w:rsid w:val="00591CCA"/>
    <w:rsid w:val="005959C0"/>
    <w:rsid w:val="005974B0"/>
    <w:rsid w:val="005A019A"/>
    <w:rsid w:val="005A3AFC"/>
    <w:rsid w:val="005A4867"/>
    <w:rsid w:val="005A5A77"/>
    <w:rsid w:val="005B0029"/>
    <w:rsid w:val="005B4275"/>
    <w:rsid w:val="005C13C0"/>
    <w:rsid w:val="005C3A44"/>
    <w:rsid w:val="005C5D6D"/>
    <w:rsid w:val="005C5F81"/>
    <w:rsid w:val="005D1C1C"/>
    <w:rsid w:val="005D6B01"/>
    <w:rsid w:val="005F08AD"/>
    <w:rsid w:val="005F733D"/>
    <w:rsid w:val="00602C92"/>
    <w:rsid w:val="0061376F"/>
    <w:rsid w:val="00613B7F"/>
    <w:rsid w:val="0061644B"/>
    <w:rsid w:val="0064566A"/>
    <w:rsid w:val="0065163E"/>
    <w:rsid w:val="00670159"/>
    <w:rsid w:val="00673766"/>
    <w:rsid w:val="00675168"/>
    <w:rsid w:val="00675F6D"/>
    <w:rsid w:val="006821AB"/>
    <w:rsid w:val="00685189"/>
    <w:rsid w:val="00685D17"/>
    <w:rsid w:val="006A346C"/>
    <w:rsid w:val="006A5666"/>
    <w:rsid w:val="006A6532"/>
    <w:rsid w:val="006C1B77"/>
    <w:rsid w:val="006C7A66"/>
    <w:rsid w:val="006D1AF6"/>
    <w:rsid w:val="006E0E81"/>
    <w:rsid w:val="006E3D0E"/>
    <w:rsid w:val="006E5F1D"/>
    <w:rsid w:val="006E64EB"/>
    <w:rsid w:val="006F1BE1"/>
    <w:rsid w:val="006F6CCA"/>
    <w:rsid w:val="00702D5F"/>
    <w:rsid w:val="00715E77"/>
    <w:rsid w:val="0071732A"/>
    <w:rsid w:val="00723B9E"/>
    <w:rsid w:val="00724BEB"/>
    <w:rsid w:val="007338A5"/>
    <w:rsid w:val="007341F1"/>
    <w:rsid w:val="00742015"/>
    <w:rsid w:val="00744352"/>
    <w:rsid w:val="00746E2B"/>
    <w:rsid w:val="00747181"/>
    <w:rsid w:val="00761013"/>
    <w:rsid w:val="00762A27"/>
    <w:rsid w:val="00762D5C"/>
    <w:rsid w:val="007632C4"/>
    <w:rsid w:val="00770C07"/>
    <w:rsid w:val="007735DA"/>
    <w:rsid w:val="00775153"/>
    <w:rsid w:val="00776A41"/>
    <w:rsid w:val="00777C27"/>
    <w:rsid w:val="00780BE9"/>
    <w:rsid w:val="00780C89"/>
    <w:rsid w:val="007837C8"/>
    <w:rsid w:val="00785C9F"/>
    <w:rsid w:val="00786FC4"/>
    <w:rsid w:val="007943E6"/>
    <w:rsid w:val="00796849"/>
    <w:rsid w:val="00796998"/>
    <w:rsid w:val="007A7A3A"/>
    <w:rsid w:val="007B2BA9"/>
    <w:rsid w:val="007D0358"/>
    <w:rsid w:val="007E627C"/>
    <w:rsid w:val="00801474"/>
    <w:rsid w:val="00802C3A"/>
    <w:rsid w:val="00805609"/>
    <w:rsid w:val="00814A67"/>
    <w:rsid w:val="00817079"/>
    <w:rsid w:val="0082524E"/>
    <w:rsid w:val="00830832"/>
    <w:rsid w:val="0083140C"/>
    <w:rsid w:val="0083559E"/>
    <w:rsid w:val="00840081"/>
    <w:rsid w:val="00843606"/>
    <w:rsid w:val="0084591E"/>
    <w:rsid w:val="00861DD0"/>
    <w:rsid w:val="00863548"/>
    <w:rsid w:val="008672F9"/>
    <w:rsid w:val="00872DDB"/>
    <w:rsid w:val="00875A86"/>
    <w:rsid w:val="00880450"/>
    <w:rsid w:val="00885B32"/>
    <w:rsid w:val="00890BEA"/>
    <w:rsid w:val="008911BC"/>
    <w:rsid w:val="00894E7C"/>
    <w:rsid w:val="008951AB"/>
    <w:rsid w:val="008A07D4"/>
    <w:rsid w:val="008A1C50"/>
    <w:rsid w:val="008A3165"/>
    <w:rsid w:val="008A60BC"/>
    <w:rsid w:val="008C079A"/>
    <w:rsid w:val="008C2E63"/>
    <w:rsid w:val="008C5612"/>
    <w:rsid w:val="008C6904"/>
    <w:rsid w:val="008D5780"/>
    <w:rsid w:val="008D61D0"/>
    <w:rsid w:val="008E5151"/>
    <w:rsid w:val="009039D7"/>
    <w:rsid w:val="00905689"/>
    <w:rsid w:val="00925A5F"/>
    <w:rsid w:val="00925EB6"/>
    <w:rsid w:val="009268DD"/>
    <w:rsid w:val="00934ABD"/>
    <w:rsid w:val="00940531"/>
    <w:rsid w:val="009470BB"/>
    <w:rsid w:val="009507D9"/>
    <w:rsid w:val="00950D62"/>
    <w:rsid w:val="00967EFC"/>
    <w:rsid w:val="00973283"/>
    <w:rsid w:val="00973496"/>
    <w:rsid w:val="00973861"/>
    <w:rsid w:val="009941C6"/>
    <w:rsid w:val="00994383"/>
    <w:rsid w:val="0099526E"/>
    <w:rsid w:val="009B072F"/>
    <w:rsid w:val="009B7E1F"/>
    <w:rsid w:val="009C2BA7"/>
    <w:rsid w:val="009D522D"/>
    <w:rsid w:val="009D7C1C"/>
    <w:rsid w:val="009F35A5"/>
    <w:rsid w:val="009F3625"/>
    <w:rsid w:val="009F563C"/>
    <w:rsid w:val="00A0120C"/>
    <w:rsid w:val="00A04EE9"/>
    <w:rsid w:val="00A1167D"/>
    <w:rsid w:val="00A12573"/>
    <w:rsid w:val="00A203CE"/>
    <w:rsid w:val="00A22904"/>
    <w:rsid w:val="00A25F82"/>
    <w:rsid w:val="00A33DC2"/>
    <w:rsid w:val="00A36B7D"/>
    <w:rsid w:val="00A431D1"/>
    <w:rsid w:val="00A50B41"/>
    <w:rsid w:val="00A5162D"/>
    <w:rsid w:val="00A5295C"/>
    <w:rsid w:val="00A53409"/>
    <w:rsid w:val="00A66D0F"/>
    <w:rsid w:val="00A70E9D"/>
    <w:rsid w:val="00A7370A"/>
    <w:rsid w:val="00A73CD6"/>
    <w:rsid w:val="00A8576F"/>
    <w:rsid w:val="00A92F3F"/>
    <w:rsid w:val="00AD05D8"/>
    <w:rsid w:val="00AD1BD6"/>
    <w:rsid w:val="00AE0ED1"/>
    <w:rsid w:val="00AE1AB4"/>
    <w:rsid w:val="00AE376E"/>
    <w:rsid w:val="00AE79DB"/>
    <w:rsid w:val="00AF29E9"/>
    <w:rsid w:val="00B02473"/>
    <w:rsid w:val="00B1365F"/>
    <w:rsid w:val="00B20BFA"/>
    <w:rsid w:val="00B26136"/>
    <w:rsid w:val="00B408BF"/>
    <w:rsid w:val="00B41BFB"/>
    <w:rsid w:val="00B45FB2"/>
    <w:rsid w:val="00B47933"/>
    <w:rsid w:val="00B57B98"/>
    <w:rsid w:val="00B6097A"/>
    <w:rsid w:val="00B70EC9"/>
    <w:rsid w:val="00B80117"/>
    <w:rsid w:val="00B80B0C"/>
    <w:rsid w:val="00B81217"/>
    <w:rsid w:val="00B85428"/>
    <w:rsid w:val="00B90B86"/>
    <w:rsid w:val="00B97D7C"/>
    <w:rsid w:val="00BB72C8"/>
    <w:rsid w:val="00BB74AF"/>
    <w:rsid w:val="00BC3498"/>
    <w:rsid w:val="00BC428E"/>
    <w:rsid w:val="00BD41AA"/>
    <w:rsid w:val="00BE28C4"/>
    <w:rsid w:val="00BF1E08"/>
    <w:rsid w:val="00C137F3"/>
    <w:rsid w:val="00C13BB6"/>
    <w:rsid w:val="00C162A4"/>
    <w:rsid w:val="00C22421"/>
    <w:rsid w:val="00C25F28"/>
    <w:rsid w:val="00C25FFA"/>
    <w:rsid w:val="00C3320B"/>
    <w:rsid w:val="00C33ABB"/>
    <w:rsid w:val="00C33EE5"/>
    <w:rsid w:val="00C45FF6"/>
    <w:rsid w:val="00C4644A"/>
    <w:rsid w:val="00C70D38"/>
    <w:rsid w:val="00C76B30"/>
    <w:rsid w:val="00C93682"/>
    <w:rsid w:val="00C9469B"/>
    <w:rsid w:val="00C96C33"/>
    <w:rsid w:val="00CA034D"/>
    <w:rsid w:val="00CA1E67"/>
    <w:rsid w:val="00CA2C3C"/>
    <w:rsid w:val="00CA2DE3"/>
    <w:rsid w:val="00CA5457"/>
    <w:rsid w:val="00CB54D7"/>
    <w:rsid w:val="00CC77A0"/>
    <w:rsid w:val="00CD6869"/>
    <w:rsid w:val="00CD70DA"/>
    <w:rsid w:val="00CE4DBF"/>
    <w:rsid w:val="00CE55C5"/>
    <w:rsid w:val="00CF4D47"/>
    <w:rsid w:val="00CF62B2"/>
    <w:rsid w:val="00D03686"/>
    <w:rsid w:val="00D07831"/>
    <w:rsid w:val="00D07DDE"/>
    <w:rsid w:val="00D143E6"/>
    <w:rsid w:val="00D14641"/>
    <w:rsid w:val="00D21286"/>
    <w:rsid w:val="00D234DB"/>
    <w:rsid w:val="00D24283"/>
    <w:rsid w:val="00D420B0"/>
    <w:rsid w:val="00D42E0D"/>
    <w:rsid w:val="00D460D3"/>
    <w:rsid w:val="00D50AC0"/>
    <w:rsid w:val="00D575E4"/>
    <w:rsid w:val="00D61002"/>
    <w:rsid w:val="00D71359"/>
    <w:rsid w:val="00D7203F"/>
    <w:rsid w:val="00D75981"/>
    <w:rsid w:val="00D762F5"/>
    <w:rsid w:val="00D77A8F"/>
    <w:rsid w:val="00D84FDF"/>
    <w:rsid w:val="00D8685B"/>
    <w:rsid w:val="00D87448"/>
    <w:rsid w:val="00DA01A6"/>
    <w:rsid w:val="00DA432C"/>
    <w:rsid w:val="00DB06D5"/>
    <w:rsid w:val="00DB10C7"/>
    <w:rsid w:val="00DB1B11"/>
    <w:rsid w:val="00DD26B1"/>
    <w:rsid w:val="00DD7E0B"/>
    <w:rsid w:val="00DF20D8"/>
    <w:rsid w:val="00E05442"/>
    <w:rsid w:val="00E150A5"/>
    <w:rsid w:val="00E17BD7"/>
    <w:rsid w:val="00E35AAE"/>
    <w:rsid w:val="00E413C2"/>
    <w:rsid w:val="00E4196E"/>
    <w:rsid w:val="00E465A0"/>
    <w:rsid w:val="00E50AD5"/>
    <w:rsid w:val="00E525A3"/>
    <w:rsid w:val="00E54C8A"/>
    <w:rsid w:val="00E724E7"/>
    <w:rsid w:val="00E736AF"/>
    <w:rsid w:val="00E744DB"/>
    <w:rsid w:val="00E76F06"/>
    <w:rsid w:val="00E77952"/>
    <w:rsid w:val="00E81CCB"/>
    <w:rsid w:val="00E843F7"/>
    <w:rsid w:val="00E84DEE"/>
    <w:rsid w:val="00E8750C"/>
    <w:rsid w:val="00E90C9A"/>
    <w:rsid w:val="00E92A80"/>
    <w:rsid w:val="00E93277"/>
    <w:rsid w:val="00E94350"/>
    <w:rsid w:val="00E94C8B"/>
    <w:rsid w:val="00E95120"/>
    <w:rsid w:val="00E965E0"/>
    <w:rsid w:val="00E967DB"/>
    <w:rsid w:val="00EB1C1A"/>
    <w:rsid w:val="00EB6BF3"/>
    <w:rsid w:val="00EC5892"/>
    <w:rsid w:val="00EC71E1"/>
    <w:rsid w:val="00ED465F"/>
    <w:rsid w:val="00ED790F"/>
    <w:rsid w:val="00EE0436"/>
    <w:rsid w:val="00EE13CB"/>
    <w:rsid w:val="00EE67D5"/>
    <w:rsid w:val="00EF7DF0"/>
    <w:rsid w:val="00F06F02"/>
    <w:rsid w:val="00F078A1"/>
    <w:rsid w:val="00F2476C"/>
    <w:rsid w:val="00F37016"/>
    <w:rsid w:val="00F405CC"/>
    <w:rsid w:val="00F54088"/>
    <w:rsid w:val="00F54A1B"/>
    <w:rsid w:val="00F55F51"/>
    <w:rsid w:val="00F57018"/>
    <w:rsid w:val="00F609B4"/>
    <w:rsid w:val="00F62BF2"/>
    <w:rsid w:val="00F65312"/>
    <w:rsid w:val="00F6663F"/>
    <w:rsid w:val="00F820D3"/>
    <w:rsid w:val="00F90D3B"/>
    <w:rsid w:val="00FA61E6"/>
    <w:rsid w:val="00FB39C9"/>
    <w:rsid w:val="00FB5652"/>
    <w:rsid w:val="00FC0ADC"/>
    <w:rsid w:val="00FC151E"/>
    <w:rsid w:val="00FE4EBE"/>
    <w:rsid w:val="00FE74AC"/>
    <w:rsid w:val="00FF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1780F2"/>
  <w15:chartTrackingRefBased/>
  <w15:docId w15:val="{0A426DE0-DDBA-46C5-8414-143596A5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6A6532"/>
    <w:rPr>
      <w:color w:val="0000FF"/>
      <w:shd w:val="clear" w:color="auto" w:fill="auto"/>
    </w:rPr>
  </w:style>
  <w:style w:type="paragraph" w:customStyle="1" w:styleId="Pagedecouverture">
    <w:name w:val="Page de couverture"/>
    <w:basedOn w:val="Normal"/>
    <w:next w:val="Normal"/>
    <w:rsid w:val="006A6532"/>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6A6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532"/>
  </w:style>
  <w:style w:type="paragraph" w:styleId="Footer">
    <w:name w:val="footer"/>
    <w:basedOn w:val="Normal"/>
    <w:link w:val="FooterChar"/>
    <w:uiPriority w:val="99"/>
    <w:unhideWhenUsed/>
    <w:rsid w:val="006A6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532"/>
  </w:style>
  <w:style w:type="paragraph" w:customStyle="1" w:styleId="FooterCoverPage">
    <w:name w:val="Footer Cover Page"/>
    <w:basedOn w:val="Normal"/>
    <w:link w:val="FooterCoverPageChar"/>
    <w:rsid w:val="006A6532"/>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6A6532"/>
    <w:rPr>
      <w:rFonts w:ascii="Times New Roman" w:hAnsi="Times New Roman" w:cs="Times New Roman"/>
      <w:sz w:val="24"/>
    </w:rPr>
  </w:style>
  <w:style w:type="paragraph" w:customStyle="1" w:styleId="FooterSensitivity">
    <w:name w:val="Footer Sensitivity"/>
    <w:basedOn w:val="Normal"/>
    <w:link w:val="FooterSensitivityChar"/>
    <w:rsid w:val="006A653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6A6532"/>
    <w:rPr>
      <w:rFonts w:ascii="Times New Roman" w:hAnsi="Times New Roman" w:cs="Times New Roman"/>
      <w:b/>
      <w:sz w:val="32"/>
    </w:rPr>
  </w:style>
  <w:style w:type="paragraph" w:customStyle="1" w:styleId="HeaderCoverPage">
    <w:name w:val="Header Cover Page"/>
    <w:basedOn w:val="Normal"/>
    <w:link w:val="HeaderCoverPageChar"/>
    <w:rsid w:val="006A6532"/>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6A6532"/>
    <w:rPr>
      <w:rFonts w:ascii="Times New Roman" w:hAnsi="Times New Roman" w:cs="Times New Roman"/>
      <w:sz w:val="24"/>
    </w:rPr>
  </w:style>
  <w:style w:type="paragraph" w:customStyle="1" w:styleId="HeaderSensitivity">
    <w:name w:val="Header Sensitivity"/>
    <w:basedOn w:val="Normal"/>
    <w:link w:val="HeaderSensitivityChar"/>
    <w:rsid w:val="006A6532"/>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6A6532"/>
    <w:rPr>
      <w:rFonts w:ascii="Times New Roman" w:hAnsi="Times New Roman" w:cs="Times New Roman"/>
      <w:b/>
      <w:sz w:val="32"/>
    </w:rPr>
  </w:style>
  <w:style w:type="paragraph" w:customStyle="1" w:styleId="HeaderSensitivityRight">
    <w:name w:val="Header Sensitivity Right"/>
    <w:basedOn w:val="Normal"/>
    <w:link w:val="HeaderSensitivityRightChar"/>
    <w:rsid w:val="006A653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6A6532"/>
    <w:rPr>
      <w:rFonts w:ascii="Times New Roman" w:hAnsi="Times New Roman" w:cs="Times New Roman"/>
      <w:sz w:val="28"/>
    </w:rPr>
  </w:style>
  <w:style w:type="paragraph" w:styleId="ListParagraph">
    <w:name w:val="List Paragraph"/>
    <w:basedOn w:val="Normal"/>
    <w:uiPriority w:val="34"/>
    <w:qFormat/>
    <w:rsid w:val="00345B7E"/>
    <w:pPr>
      <w:ind w:left="720"/>
      <w:contextualSpacing/>
    </w:pPr>
  </w:style>
  <w:style w:type="paragraph" w:styleId="FootnoteText">
    <w:name w:val="footnote text"/>
    <w:basedOn w:val="Normal"/>
    <w:uiPriority w:val="99"/>
    <w:unhideWhenUsed/>
    <w:rsid w:val="00B47933"/>
    <w:pPr>
      <w:spacing w:after="0" w:line="240" w:lineRule="auto"/>
    </w:pPr>
    <w:rPr>
      <w:sz w:val="20"/>
      <w:szCs w:val="20"/>
    </w:rPr>
  </w:style>
  <w:style w:type="character" w:customStyle="1" w:styleId="FootnoteTextChar">
    <w:name w:val="Footnote Text Char"/>
    <w:basedOn w:val="DefaultParagraphFont"/>
    <w:uiPriority w:val="99"/>
    <w:rsid w:val="00B47933"/>
    <w:rPr>
      <w:sz w:val="20"/>
      <w:szCs w:val="20"/>
    </w:rPr>
  </w:style>
  <w:style w:type="character" w:styleId="FootnoteReference">
    <w:name w:val="footnote reference"/>
    <w:basedOn w:val="DefaultParagraphFont"/>
    <w:uiPriority w:val="99"/>
    <w:semiHidden/>
    <w:unhideWhenUsed/>
    <w:rsid w:val="00B47933"/>
    <w:rPr>
      <w:vertAlign w:val="superscript"/>
    </w:rPr>
  </w:style>
  <w:style w:type="paragraph" w:styleId="NormalWeb">
    <w:name w:val="Normal (Web)"/>
    <w:basedOn w:val="Normal"/>
    <w:uiPriority w:val="99"/>
    <w:unhideWhenUsed/>
    <w:rsid w:val="00B479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47933"/>
    <w:rPr>
      <w:i/>
      <w:iCs/>
    </w:rPr>
  </w:style>
  <w:style w:type="character" w:styleId="Hyperlink">
    <w:name w:val="Hyperlink"/>
    <w:basedOn w:val="DefaultParagraphFont"/>
    <w:uiPriority w:val="99"/>
    <w:unhideWhenUsed/>
    <w:rsid w:val="00B47933"/>
    <w:rPr>
      <w:color w:val="0000FF" w:themeColor="hyperlink"/>
      <w:u w:val="single"/>
    </w:rPr>
  </w:style>
  <w:style w:type="paragraph" w:customStyle="1" w:styleId="norm">
    <w:name w:val="norm"/>
    <w:basedOn w:val="Normal"/>
    <w:rsid w:val="008056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per">
    <w:name w:val="super"/>
    <w:basedOn w:val="DefaultParagraphFont"/>
    <w:rsid w:val="008A1C50"/>
  </w:style>
  <w:style w:type="character" w:customStyle="1" w:styleId="superscript">
    <w:name w:val="superscript"/>
    <w:basedOn w:val="DefaultParagraphFont"/>
    <w:rsid w:val="001F4EAD"/>
  </w:style>
  <w:style w:type="character" w:styleId="Strong">
    <w:name w:val="Strong"/>
    <w:basedOn w:val="DefaultParagraphFont"/>
    <w:uiPriority w:val="22"/>
    <w:qFormat/>
    <w:rsid w:val="001421A0"/>
    <w:rPr>
      <w:b/>
      <w:bCs/>
    </w:rPr>
  </w:style>
  <w:style w:type="paragraph" w:customStyle="1" w:styleId="Point0number">
    <w:name w:val="Point 0 (number)"/>
    <w:basedOn w:val="Normal"/>
    <w:rsid w:val="00E81CCB"/>
    <w:pPr>
      <w:numPr>
        <w:numId w:val="4"/>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E81CCB"/>
    <w:pPr>
      <w:numPr>
        <w:ilvl w:val="2"/>
        <w:numId w:val="4"/>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E81CCB"/>
    <w:pPr>
      <w:numPr>
        <w:ilvl w:val="4"/>
        <w:numId w:val="4"/>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E81CCB"/>
    <w:pPr>
      <w:numPr>
        <w:ilvl w:val="6"/>
        <w:numId w:val="4"/>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E81CCB"/>
    <w:pPr>
      <w:numPr>
        <w:ilvl w:val="1"/>
        <w:numId w:val="4"/>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E81CCB"/>
    <w:pPr>
      <w:numPr>
        <w:ilvl w:val="3"/>
        <w:numId w:val="4"/>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E81CCB"/>
    <w:pPr>
      <w:numPr>
        <w:ilvl w:val="5"/>
        <w:numId w:val="4"/>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E81CCB"/>
    <w:pPr>
      <w:numPr>
        <w:ilvl w:val="7"/>
        <w:numId w:val="4"/>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E81CCB"/>
    <w:pPr>
      <w:numPr>
        <w:ilvl w:val="8"/>
        <w:numId w:val="4"/>
      </w:numPr>
      <w:spacing w:before="120" w:after="120" w:line="240" w:lineRule="auto"/>
      <w:jc w:val="both"/>
    </w:pPr>
    <w:rPr>
      <w:rFonts w:ascii="Times New Roman" w:hAnsi="Times New Roman" w:cs="Times New Roman"/>
      <w:sz w:val="24"/>
    </w:rPr>
  </w:style>
  <w:style w:type="character" w:styleId="CommentReference">
    <w:name w:val="annotation reference"/>
    <w:basedOn w:val="DefaultParagraphFont"/>
    <w:uiPriority w:val="99"/>
    <w:semiHidden/>
    <w:unhideWhenUsed/>
    <w:rsid w:val="003C606E"/>
    <w:rPr>
      <w:sz w:val="16"/>
      <w:szCs w:val="16"/>
    </w:rPr>
  </w:style>
  <w:style w:type="paragraph" w:styleId="CommentText">
    <w:name w:val="annotation text"/>
    <w:basedOn w:val="Normal"/>
    <w:link w:val="CommentTextChar"/>
    <w:uiPriority w:val="99"/>
    <w:unhideWhenUsed/>
    <w:rsid w:val="003C606E"/>
    <w:pPr>
      <w:spacing w:line="240" w:lineRule="auto"/>
    </w:pPr>
    <w:rPr>
      <w:sz w:val="20"/>
      <w:szCs w:val="20"/>
    </w:rPr>
  </w:style>
  <w:style w:type="character" w:customStyle="1" w:styleId="CommentTextChar">
    <w:name w:val="Comment Text Char"/>
    <w:basedOn w:val="DefaultParagraphFont"/>
    <w:link w:val="CommentText"/>
    <w:uiPriority w:val="99"/>
    <w:rsid w:val="003C606E"/>
    <w:rPr>
      <w:sz w:val="20"/>
      <w:szCs w:val="20"/>
    </w:rPr>
  </w:style>
  <w:style w:type="paragraph" w:styleId="CommentSubject">
    <w:name w:val="annotation subject"/>
    <w:basedOn w:val="CommentText"/>
    <w:next w:val="CommentText"/>
    <w:link w:val="CommentSubjectChar"/>
    <w:uiPriority w:val="99"/>
    <w:semiHidden/>
    <w:unhideWhenUsed/>
    <w:rsid w:val="003C606E"/>
    <w:rPr>
      <w:b/>
      <w:bCs/>
    </w:rPr>
  </w:style>
  <w:style w:type="character" w:customStyle="1" w:styleId="CommentSubjectChar">
    <w:name w:val="Comment Subject Char"/>
    <w:basedOn w:val="CommentTextChar"/>
    <w:link w:val="CommentSubject"/>
    <w:uiPriority w:val="99"/>
    <w:semiHidden/>
    <w:rsid w:val="003C606E"/>
    <w:rPr>
      <w:b/>
      <w:bCs/>
      <w:sz w:val="20"/>
      <w:szCs w:val="20"/>
    </w:rPr>
  </w:style>
  <w:style w:type="paragraph" w:styleId="BalloonText">
    <w:name w:val="Balloon Text"/>
    <w:basedOn w:val="Normal"/>
    <w:link w:val="BalloonTextChar"/>
    <w:uiPriority w:val="99"/>
    <w:semiHidden/>
    <w:unhideWhenUsed/>
    <w:rsid w:val="003C60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06E"/>
    <w:rPr>
      <w:rFonts w:ascii="Segoe UI" w:hAnsi="Segoe UI" w:cs="Segoe UI"/>
      <w:sz w:val="18"/>
      <w:szCs w:val="18"/>
    </w:rPr>
  </w:style>
  <w:style w:type="character" w:styleId="FollowedHyperlink">
    <w:name w:val="FollowedHyperlink"/>
    <w:basedOn w:val="DefaultParagraphFont"/>
    <w:uiPriority w:val="99"/>
    <w:semiHidden/>
    <w:unhideWhenUsed/>
    <w:rsid w:val="003C606E"/>
    <w:rPr>
      <w:color w:val="800080" w:themeColor="followedHyperlink"/>
      <w:u w:val="single"/>
    </w:rPr>
  </w:style>
  <w:style w:type="table" w:styleId="TableGrid">
    <w:name w:val="Table Grid"/>
    <w:basedOn w:val="TableNormal"/>
    <w:uiPriority w:val="59"/>
    <w:rsid w:val="00BE28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66ED"/>
    <w:pPr>
      <w:spacing w:after="0" w:line="240" w:lineRule="auto"/>
    </w:pPr>
  </w:style>
  <w:style w:type="character" w:customStyle="1" w:styleId="UnresolvedMention">
    <w:name w:val="Unresolved Mention"/>
    <w:basedOn w:val="DefaultParagraphFont"/>
    <w:uiPriority w:val="99"/>
    <w:semiHidden/>
    <w:unhideWhenUsed/>
    <w:rsid w:val="004B6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4298">
      <w:bodyDiv w:val="1"/>
      <w:marLeft w:val="0"/>
      <w:marRight w:val="0"/>
      <w:marTop w:val="0"/>
      <w:marBottom w:val="0"/>
      <w:divBdr>
        <w:top w:val="none" w:sz="0" w:space="0" w:color="auto"/>
        <w:left w:val="none" w:sz="0" w:space="0" w:color="auto"/>
        <w:bottom w:val="none" w:sz="0" w:space="0" w:color="auto"/>
        <w:right w:val="none" w:sz="0" w:space="0" w:color="auto"/>
      </w:divBdr>
    </w:div>
    <w:div w:id="777066835">
      <w:bodyDiv w:val="1"/>
      <w:marLeft w:val="0"/>
      <w:marRight w:val="0"/>
      <w:marTop w:val="0"/>
      <w:marBottom w:val="0"/>
      <w:divBdr>
        <w:top w:val="none" w:sz="0" w:space="0" w:color="auto"/>
        <w:left w:val="none" w:sz="0" w:space="0" w:color="auto"/>
        <w:bottom w:val="none" w:sz="0" w:space="0" w:color="auto"/>
        <w:right w:val="none" w:sz="0" w:space="0" w:color="auto"/>
      </w:divBdr>
    </w:div>
    <w:div w:id="1011177879">
      <w:bodyDiv w:val="1"/>
      <w:marLeft w:val="0"/>
      <w:marRight w:val="0"/>
      <w:marTop w:val="0"/>
      <w:marBottom w:val="0"/>
      <w:divBdr>
        <w:top w:val="none" w:sz="0" w:space="0" w:color="auto"/>
        <w:left w:val="none" w:sz="0" w:space="0" w:color="auto"/>
        <w:bottom w:val="none" w:sz="0" w:space="0" w:color="auto"/>
        <w:right w:val="none" w:sz="0" w:space="0" w:color="auto"/>
      </w:divBdr>
    </w:div>
    <w:div w:id="1107504458">
      <w:bodyDiv w:val="1"/>
      <w:marLeft w:val="0"/>
      <w:marRight w:val="0"/>
      <w:marTop w:val="0"/>
      <w:marBottom w:val="0"/>
      <w:divBdr>
        <w:top w:val="none" w:sz="0" w:space="0" w:color="auto"/>
        <w:left w:val="none" w:sz="0" w:space="0" w:color="auto"/>
        <w:bottom w:val="none" w:sz="0" w:space="0" w:color="auto"/>
        <w:right w:val="none" w:sz="0" w:space="0" w:color="auto"/>
      </w:divBdr>
    </w:div>
    <w:div w:id="1160199228">
      <w:bodyDiv w:val="1"/>
      <w:marLeft w:val="0"/>
      <w:marRight w:val="0"/>
      <w:marTop w:val="0"/>
      <w:marBottom w:val="0"/>
      <w:divBdr>
        <w:top w:val="none" w:sz="0" w:space="0" w:color="auto"/>
        <w:left w:val="none" w:sz="0" w:space="0" w:color="auto"/>
        <w:bottom w:val="none" w:sz="0" w:space="0" w:color="auto"/>
        <w:right w:val="none" w:sz="0" w:space="0" w:color="auto"/>
      </w:divBdr>
    </w:div>
    <w:div w:id="1552380519">
      <w:bodyDiv w:val="1"/>
      <w:marLeft w:val="0"/>
      <w:marRight w:val="0"/>
      <w:marTop w:val="0"/>
      <w:marBottom w:val="0"/>
      <w:divBdr>
        <w:top w:val="none" w:sz="0" w:space="0" w:color="auto"/>
        <w:left w:val="none" w:sz="0" w:space="0" w:color="auto"/>
        <w:bottom w:val="none" w:sz="0" w:space="0" w:color="auto"/>
        <w:right w:val="none" w:sz="0" w:space="0" w:color="auto"/>
      </w:divBdr>
    </w:div>
    <w:div w:id="1757631897">
      <w:bodyDiv w:val="1"/>
      <w:marLeft w:val="0"/>
      <w:marRight w:val="0"/>
      <w:marTop w:val="0"/>
      <w:marBottom w:val="0"/>
      <w:divBdr>
        <w:top w:val="none" w:sz="0" w:space="0" w:color="auto"/>
        <w:left w:val="none" w:sz="0" w:space="0" w:color="auto"/>
        <w:bottom w:val="none" w:sz="0" w:space="0" w:color="auto"/>
        <w:right w:val="none" w:sz="0" w:space="0" w:color="auto"/>
      </w:divBdr>
    </w:div>
    <w:div w:id="213320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RO/TXT/?uri=uriserv:OJ.L_.2016.123.01.0001.01.ENG" TargetMode="External"/><Relationship Id="rId2" Type="http://schemas.openxmlformats.org/officeDocument/2006/relationships/hyperlink" Target="https://eur-lex.europa.eu/legal-content/RO/ALL/?uri=CELEX:32005R0184" TargetMode="External"/><Relationship Id="rId1" Type="http://schemas.openxmlformats.org/officeDocument/2006/relationships/hyperlink" Target="https://eur-lex.europa.eu/legal-content/RO/TXT/?uri=uriserv%3AOJ.L_.2016.171.01.0144.01.ENG" TargetMode="External"/><Relationship Id="rId6" Type="http://schemas.openxmlformats.org/officeDocument/2006/relationships/hyperlink" Target="https://eur-lex.europa.eu/legal-content/RO/TXT/?uri=CELEX%3A32024R3104" TargetMode="External"/><Relationship Id="rId5" Type="http://schemas.openxmlformats.org/officeDocument/2006/relationships/hyperlink" Target="https://eur-lex.europa.eu/eli/reg_del/2019/505/oj/eng" TargetMode="External"/><Relationship Id="rId4" Type="http://schemas.openxmlformats.org/officeDocument/2006/relationships/hyperlink" Target="https://eur-lex.europa.eu/legal-content/RO/TXT/PDF/?uri=CELEX:52020DC0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0352225-DC6E-4CF1-8733-DB04E738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2025-06-25T11:14:00Z</dcterms:created>
  <dcterms:modified xsi:type="dcterms:W3CDTF">2025-07-14T07:44:00Z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9.1, Build 20240808</vt:lpwstr>
  </property>
  <property fmtid="{D5CDD505-2E9C-101B-9397-08002B2CF9AE}" pid="8" name="Created using">
    <vt:lpwstr>LW 7.0, Build 20190717</vt:lpwstr>
  </property>
  <property fmtid="{D5CDD505-2E9C-101B-9397-08002B2CF9AE}" pid="9" name="MSIP_Label_6bd9ddd1-4d20-43f6-abfa-fc3c07406f94_Enabled">
    <vt:lpwstr>true</vt:lpwstr>
  </property>
  <property fmtid="{D5CDD505-2E9C-101B-9397-08002B2CF9AE}" pid="10" name="MSIP_Label_6bd9ddd1-4d20-43f6-abfa-fc3c07406f94_SetDate">
    <vt:lpwstr>2024-12-19T14:44:20Z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78491d09-989c-4c3f-be65-b0e6b20df8e9</vt:lpwstr>
  </property>
  <property fmtid="{D5CDD505-2E9C-101B-9397-08002B2CF9AE}" pid="15" name="MSIP_Label_6bd9ddd1-4d20-43f6-abfa-fc3c07406f94_ContentBits">
    <vt:lpwstr>0</vt:lpwstr>
  </property>
</Properties>
</file>